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803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3302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269875</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080"/>
        <w:spacing w:after="0"/>
        <w:rPr>
          <w:sz w:val="20"/>
          <w:szCs w:val="20"/>
          <w:color w:val="auto"/>
        </w:rPr>
      </w:pPr>
      <w:r>
        <w:rPr>
          <w:rFonts w:ascii="Arial" w:cs="Arial" w:eastAsia="Arial" w:hAnsi="Arial"/>
          <w:sz w:val="21"/>
          <w:szCs w:val="21"/>
          <w:b w:val="1"/>
          <w:bCs w:val="1"/>
          <w:color w:val="auto"/>
        </w:rPr>
        <w:t>Washington, D.C. 20549</w:t>
      </w:r>
    </w:p>
    <w:p>
      <w:pPr>
        <w:spacing w:after="0" w:line="187" w:lineRule="exact"/>
        <w:rPr>
          <w:sz w:val="24"/>
          <w:szCs w:val="24"/>
          <w:color w:val="auto"/>
        </w:rPr>
      </w:pPr>
    </w:p>
    <w:p>
      <w:pPr>
        <w:ind w:left="4820"/>
        <w:spacing w:after="0"/>
        <w:rPr>
          <w:sz w:val="20"/>
          <w:szCs w:val="20"/>
          <w:color w:val="auto"/>
        </w:rPr>
      </w:pPr>
      <w:r>
        <w:rPr>
          <w:rFonts w:ascii="Arial" w:cs="Arial" w:eastAsia="Arial" w:hAnsi="Arial"/>
          <w:sz w:val="31"/>
          <w:szCs w:val="31"/>
          <w:b w:val="1"/>
          <w:bCs w:val="1"/>
          <w:color w:val="auto"/>
        </w:rPr>
        <w:t>FORM 6-K</w:t>
      </w:r>
    </w:p>
    <w:p>
      <w:pPr>
        <w:spacing w:after="0" w:line="255"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Report of Foreign Private Issuer</w:t>
      </w:r>
    </w:p>
    <w:p>
      <w:pPr>
        <w:spacing w:after="0" w:line="24"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Pursuant to Rule 13a-16 or 15d-16 under the</w:t>
      </w:r>
    </w:p>
    <w:p>
      <w:pPr>
        <w:spacing w:after="0" w:line="12"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Securities Exchange Act of 1934</w:t>
      </w:r>
    </w:p>
    <w:p>
      <w:pPr>
        <w:spacing w:after="0" w:line="226"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For the month of February 2023</w:t>
      </w:r>
    </w:p>
    <w:p>
      <w:pPr>
        <w:spacing w:after="0" w:line="251"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41"/>
          <w:szCs w:val="41"/>
          <w:b w:val="1"/>
          <w:bCs w:val="1"/>
          <w:color w:val="auto"/>
        </w:rPr>
        <w:t>CREDICORP LTD.</w:t>
      </w:r>
    </w:p>
    <w:p>
      <w:pPr>
        <w:spacing w:after="0" w:line="51"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(Translation of registrant’s name into English)</w:t>
      </w:r>
    </w:p>
    <w:p>
      <w:pPr>
        <w:spacing w:after="0" w:line="225"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Of our subsidiary</w:t>
      </w:r>
    </w:p>
    <w:p>
      <w:pPr>
        <w:spacing w:after="0" w:line="30"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Banco de Credito del Peru:</w:t>
      </w:r>
    </w:p>
    <w:p>
      <w:pPr>
        <w:spacing w:after="0" w:line="12"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Calle Centenario 156</w:t>
      </w:r>
    </w:p>
    <w:p>
      <w:pPr>
        <w:spacing w:after="0" w:line="12"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La Molina 15026</w:t>
      </w:r>
    </w:p>
    <w:p>
      <w:pPr>
        <w:spacing w:after="0" w:line="12"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Lima, Peru</w:t>
      </w:r>
    </w:p>
    <w:p>
      <w:pPr>
        <w:spacing w:after="0" w:line="12"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(Address of principal executive office)</w:t>
      </w:r>
    </w:p>
    <w:p>
      <w:pPr>
        <w:spacing w:after="0" w:line="23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235" w:lineRule="exact"/>
        <w:rPr>
          <w:sz w:val="24"/>
          <w:szCs w:val="24"/>
          <w:color w:val="auto"/>
        </w:rPr>
      </w:pPr>
    </w:p>
    <w:p>
      <w:pPr>
        <w:ind w:left="4700"/>
        <w:spacing w:after="0" w:line="228" w:lineRule="exact"/>
        <w:rPr>
          <w:sz w:val="20"/>
          <w:szCs w:val="20"/>
          <w:color w:val="auto"/>
        </w:rPr>
      </w:pPr>
      <w:r>
        <w:rPr>
          <w:rFonts w:ascii="Arial" w:cs="Arial" w:eastAsia="Arial" w:hAnsi="Arial"/>
          <w:sz w:val="17"/>
          <w:szCs w:val="17"/>
          <w:color w:val="auto"/>
        </w:rPr>
        <w:t xml:space="preserve">Form 20-F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Form 40-F</w:t>
      </w:r>
    </w:p>
    <w:p>
      <w:pPr>
        <w:spacing w:after="0" w:line="24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4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196215</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286385</wp:posOffset>
            </wp:positionV>
            <wp:extent cx="713803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3302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418465</wp:posOffset>
            </wp:positionV>
            <wp:extent cx="713803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099"/>
          </w:cols>
          <w:pgMar w:left="360" w:top="751"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924050" cy="247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24050" cy="247015"/>
                    </a:xfrm>
                    <a:prstGeom prst="rect">
                      <a:avLst/>
                    </a:prstGeom>
                    <a:noFill/>
                  </pic:spPr>
                </pic:pic>
              </a:graphicData>
            </a:graphic>
          </wp:anchor>
        </w:drawing>
        <w:t>February 28, 2023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 SEC</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Re.: MATERIAL EVENT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3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Please find attached a copy of the audited consolidated financial statements of Credicorp Ltd. (the Company”) and its subsidiaries, for the fiscal year ended on December 31, 2022, including the report of the external auditors Gaveglio Aparicio y Asociados Sociedad Civil de Responsabilidad Limitada, members of PricewaterhouseCoopers in Peru, approved by the Company’s Board of Directors in its session held on February 23, 2023, and which will be presented to the Annual General Meeting of Shareholders on March 27, 2023.</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/s/ Miriam Böttger</w:t>
      </w:r>
    </w:p>
    <w:p>
      <w:pPr>
        <w:spacing w:after="0" w:line="238" w:lineRule="auto"/>
        <w:rPr>
          <w:sz w:val="20"/>
          <w:szCs w:val="20"/>
          <w:color w:val="auto"/>
        </w:rPr>
      </w:pPr>
      <w:r>
        <w:rPr>
          <w:rFonts w:ascii="Arial" w:cs="Arial" w:eastAsia="Arial" w:hAnsi="Arial"/>
          <w:sz w:val="17"/>
          <w:szCs w:val="17"/>
          <w:color w:val="auto"/>
        </w:rPr>
        <w:t>Authorized Representative</w:t>
      </w:r>
    </w:p>
    <w:p>
      <w:pPr>
        <w:spacing w:after="0"/>
        <w:rPr>
          <w:sz w:val="20"/>
          <w:szCs w:val="20"/>
          <w:color w:val="auto"/>
        </w:rPr>
      </w:pPr>
      <w:r>
        <w:rPr>
          <w:rFonts w:ascii="Arial" w:cs="Arial" w:eastAsia="Arial" w:hAnsi="Arial"/>
          <w:sz w:val="17"/>
          <w:szCs w:val="17"/>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221615</wp:posOffset>
            </wp:positionV>
            <wp:extent cx="713803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721" w:right="3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7"/>
          <w:szCs w:val="17"/>
          <w:b w:val="1"/>
          <w:bCs w:val="1"/>
          <w:color w:val="auto"/>
        </w:rPr>
        <w:t>SIGNATURE</w:t>
      </w:r>
    </w:p>
    <w:p>
      <w:pPr>
        <w:spacing w:after="0" w:line="251" w:lineRule="exact"/>
        <w:rPr>
          <w:sz w:val="20"/>
          <w:szCs w:val="20"/>
          <w:color w:val="auto"/>
        </w:rPr>
      </w:pPr>
    </w:p>
    <w:p>
      <w:pPr>
        <w:ind w:firstLine="513"/>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Date: February 28, 2023</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CREDICORP LTD.</w:t>
      </w:r>
    </w:p>
    <w:p>
      <w:pPr>
        <w:spacing w:after="0" w:line="2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(Registrant)</w:t>
      </w:r>
    </w:p>
    <w:p>
      <w:pPr>
        <w:spacing w:after="0" w:line="180"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23495</wp:posOffset>
            </wp:positionV>
            <wp:extent cx="23850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5060" cy="16510"/>
                    </a:xfrm>
                    <a:prstGeom prst="rect">
                      <a:avLst/>
                    </a:prstGeom>
                    <a:noFill/>
                  </pic:spPr>
                </pic:pic>
              </a:graphicData>
            </a:graphic>
          </wp:anchor>
        </w:drawing>
      </w:r>
    </w:p>
    <w:p>
      <w:pPr>
        <w:spacing w:after="0" w:line="2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Miriam Böttger</w:t>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368935</wp:posOffset>
            </wp:positionV>
            <wp:extent cx="713803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80"/>
          </w:cols>
          <w:pgMar w:left="320" w:top="121"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803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3302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1148715</wp:posOffset>
            </wp:positionV>
            <wp:extent cx="7138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13970</wp:posOffset>
            </wp:positionV>
            <wp:extent cx="1052830" cy="830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2830" cy="83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(Free translation from the original in Spanish)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CREDICORP LTD. AND SUBSIDIARIES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CONSOLIDATED FINANCIAL STATEMENTS</w:t>
      </w:r>
    </w:p>
    <w:p>
      <w:pPr>
        <w:ind w:left="520"/>
        <w:spacing w:after="0"/>
        <w:rPr>
          <w:sz w:val="20"/>
          <w:szCs w:val="20"/>
          <w:color w:val="auto"/>
        </w:rPr>
      </w:pPr>
      <w:r>
        <w:rPr>
          <w:rFonts w:ascii="Arial" w:cs="Arial" w:eastAsia="Arial" w:hAnsi="Arial"/>
          <w:sz w:val="17"/>
          <w:szCs w:val="17"/>
          <w:color w:val="auto"/>
        </w:rPr>
        <w:t>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156210</wp:posOffset>
            </wp:positionV>
            <wp:extent cx="7138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316230</wp:posOffset>
            </wp:positionV>
            <wp:extent cx="33655" cy="165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Gaveglio Aparicio y Asociados Sociedad Civil de Responsabilidad Limitada.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 Santo Toribio 143, Piso 7, San Isidro, Lima, Perú T: +51 (1) 211 6500, F: +51 (1) 211-6565</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www.pwc.pe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122555</wp:posOffset>
            </wp:positionV>
            <wp:extent cx="713803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40"/>
          </w:cols>
          <w:pgMar w:left="420" w:top="25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(Free translation from the original in Spanish)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w:t>
      </w:r>
    </w:p>
    <w:p>
      <w:pPr>
        <w:spacing w:after="0"/>
        <w:rPr>
          <w:sz w:val="20"/>
          <w:szCs w:val="20"/>
          <w:color w:val="auto"/>
        </w:rPr>
      </w:pPr>
      <w:r>
        <w:rPr>
          <w:rFonts w:ascii="Arial" w:cs="Arial" w:eastAsia="Arial" w:hAnsi="Arial"/>
          <w:sz w:val="17"/>
          <w:szCs w:val="17"/>
          <w:color w:val="auto"/>
        </w:rPr>
        <w:t>AS OF DECEMBER 31, 2022, AND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20"/>
                <w:szCs w:val="20"/>
                <w:color w:val="auto"/>
              </w:rPr>
            </w:pPr>
            <w:r>
              <w:rPr>
                <w:rFonts w:ascii="Arial" w:cs="Arial" w:eastAsia="Arial" w:hAnsi="Arial"/>
                <w:sz w:val="17"/>
                <w:szCs w:val="17"/>
                <w:color w:val="auto"/>
              </w:rPr>
              <w:t>CONTENTS</w:t>
            </w:r>
          </w:p>
        </w:tc>
        <w:tc>
          <w:tcPr>
            <w:tcW w:w="5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Pages</w:t>
            </w:r>
          </w:p>
        </w:tc>
      </w:tr>
      <w:tr>
        <w:trPr>
          <w:trHeight w:val="389"/>
        </w:trPr>
        <w:tc>
          <w:tcPr>
            <w:tcW w:w="2380" w:type="dxa"/>
            <w:vAlign w:val="bottom"/>
          </w:tcPr>
          <w:p>
            <w:pPr>
              <w:spacing w:after="0"/>
              <w:rPr>
                <w:sz w:val="20"/>
                <w:szCs w:val="20"/>
                <w:color w:val="auto"/>
              </w:rPr>
            </w:pPr>
            <w:r>
              <w:rPr>
                <w:rFonts w:ascii="Arial" w:cs="Arial" w:eastAsia="Arial" w:hAnsi="Arial"/>
                <w:sz w:val="17"/>
                <w:szCs w:val="17"/>
                <w:color w:val="auto"/>
              </w:rPr>
              <w:t>Independent auditor’s report</w:t>
            </w:r>
          </w:p>
        </w:tc>
        <w:tc>
          <w:tcPr>
            <w:tcW w:w="5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1 - 8</w:t>
            </w:r>
          </w:p>
        </w:tc>
      </w:tr>
      <w:tr>
        <w:trPr>
          <w:trHeight w:val="389"/>
        </w:trPr>
        <w:tc>
          <w:tcPr>
            <w:tcW w:w="7500" w:type="dxa"/>
            <w:vAlign w:val="bottom"/>
            <w:gridSpan w:val="3"/>
          </w:tcPr>
          <w:p>
            <w:pPr>
              <w:spacing w:after="0"/>
              <w:rPr>
                <w:sz w:val="20"/>
                <w:szCs w:val="20"/>
                <w:color w:val="auto"/>
              </w:rPr>
            </w:pPr>
            <w:r>
              <w:rPr>
                <w:rFonts w:ascii="Arial" w:cs="Arial" w:eastAsia="Arial" w:hAnsi="Arial"/>
                <w:sz w:val="17"/>
                <w:szCs w:val="17"/>
                <w:color w:val="auto"/>
              </w:rPr>
              <w:t>Consolidated statement of financial position</w:t>
            </w:r>
          </w:p>
        </w:tc>
        <w:tc>
          <w:tcPr>
            <w:tcW w:w="37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89"/>
        </w:trPr>
        <w:tc>
          <w:tcPr>
            <w:tcW w:w="2880" w:type="dxa"/>
            <w:vAlign w:val="bottom"/>
            <w:gridSpan w:val="2"/>
          </w:tcPr>
          <w:p>
            <w:pPr>
              <w:spacing w:after="0"/>
              <w:rPr>
                <w:sz w:val="20"/>
                <w:szCs w:val="20"/>
                <w:color w:val="auto"/>
              </w:rPr>
            </w:pPr>
            <w:r>
              <w:rPr>
                <w:rFonts w:ascii="Arial" w:cs="Arial" w:eastAsia="Arial" w:hAnsi="Arial"/>
                <w:sz w:val="17"/>
                <w:szCs w:val="17"/>
                <w:color w:val="auto"/>
              </w:rPr>
              <w:t>Consolidated statement of income</w:t>
            </w:r>
          </w:p>
        </w:tc>
        <w:tc>
          <w:tcPr>
            <w:tcW w:w="462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10 - 11</w:t>
            </w:r>
          </w:p>
        </w:tc>
      </w:tr>
      <w:tr>
        <w:trPr>
          <w:trHeight w:val="389"/>
        </w:trPr>
        <w:tc>
          <w:tcPr>
            <w:tcW w:w="7500" w:type="dxa"/>
            <w:vAlign w:val="bottom"/>
            <w:gridSpan w:val="3"/>
          </w:tcPr>
          <w:p>
            <w:pPr>
              <w:spacing w:after="0"/>
              <w:rPr>
                <w:sz w:val="20"/>
                <w:szCs w:val="20"/>
                <w:color w:val="auto"/>
              </w:rPr>
            </w:pPr>
            <w:r>
              <w:rPr>
                <w:rFonts w:ascii="Arial" w:cs="Arial" w:eastAsia="Arial" w:hAnsi="Arial"/>
                <w:sz w:val="17"/>
                <w:szCs w:val="17"/>
                <w:color w:val="auto"/>
              </w:rPr>
              <w:t>Consolidated statement of comprehensive income</w:t>
            </w:r>
          </w:p>
        </w:tc>
        <w:tc>
          <w:tcPr>
            <w:tcW w:w="37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89"/>
        </w:trPr>
        <w:tc>
          <w:tcPr>
            <w:tcW w:w="7500" w:type="dxa"/>
            <w:vAlign w:val="bottom"/>
            <w:gridSpan w:val="3"/>
          </w:tcPr>
          <w:p>
            <w:pPr>
              <w:spacing w:after="0"/>
              <w:rPr>
                <w:sz w:val="20"/>
                <w:szCs w:val="20"/>
                <w:color w:val="auto"/>
              </w:rPr>
            </w:pPr>
            <w:r>
              <w:rPr>
                <w:rFonts w:ascii="Arial" w:cs="Arial" w:eastAsia="Arial" w:hAnsi="Arial"/>
                <w:sz w:val="17"/>
                <w:szCs w:val="17"/>
                <w:color w:val="auto"/>
              </w:rPr>
              <w:t>Consolidated statement of changes in net equity</w:t>
            </w:r>
          </w:p>
        </w:tc>
        <w:tc>
          <w:tcPr>
            <w:tcW w:w="3740" w:type="dxa"/>
            <w:vAlign w:val="bottom"/>
          </w:tcPr>
          <w:p>
            <w:pPr>
              <w:jc w:val="right"/>
              <w:spacing w:after="0"/>
              <w:rPr>
                <w:sz w:val="20"/>
                <w:szCs w:val="20"/>
                <w:color w:val="auto"/>
              </w:rPr>
            </w:pPr>
            <w:r>
              <w:rPr>
                <w:rFonts w:ascii="Arial" w:cs="Arial" w:eastAsia="Arial" w:hAnsi="Arial"/>
                <w:sz w:val="17"/>
                <w:szCs w:val="17"/>
                <w:color w:val="auto"/>
              </w:rPr>
              <w:t>13 -14</w:t>
            </w:r>
          </w:p>
        </w:tc>
      </w:tr>
      <w:tr>
        <w:trPr>
          <w:trHeight w:val="389"/>
        </w:trPr>
        <w:tc>
          <w:tcPr>
            <w:tcW w:w="2880" w:type="dxa"/>
            <w:vAlign w:val="bottom"/>
            <w:gridSpan w:val="2"/>
          </w:tcPr>
          <w:p>
            <w:pPr>
              <w:spacing w:after="0"/>
              <w:rPr>
                <w:sz w:val="20"/>
                <w:szCs w:val="20"/>
                <w:color w:val="auto"/>
              </w:rPr>
            </w:pPr>
            <w:r>
              <w:rPr>
                <w:rFonts w:ascii="Arial" w:cs="Arial" w:eastAsia="Arial" w:hAnsi="Arial"/>
                <w:sz w:val="17"/>
                <w:szCs w:val="17"/>
                <w:color w:val="auto"/>
              </w:rPr>
              <w:t>Consolidated statement of cash flows</w:t>
            </w:r>
          </w:p>
        </w:tc>
        <w:tc>
          <w:tcPr>
            <w:tcW w:w="462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15 - 18</w:t>
            </w:r>
          </w:p>
        </w:tc>
      </w:tr>
      <w:tr>
        <w:trPr>
          <w:trHeight w:val="389"/>
        </w:trPr>
        <w:tc>
          <w:tcPr>
            <w:tcW w:w="7500" w:type="dxa"/>
            <w:vAlign w:val="bottom"/>
            <w:gridSpan w:val="3"/>
          </w:tcPr>
          <w:p>
            <w:pPr>
              <w:spacing w:after="0"/>
              <w:rPr>
                <w:sz w:val="20"/>
                <w:szCs w:val="20"/>
                <w:color w:val="auto"/>
              </w:rPr>
            </w:pPr>
            <w:r>
              <w:rPr>
                <w:rFonts w:ascii="Arial" w:cs="Arial" w:eastAsia="Arial" w:hAnsi="Arial"/>
                <w:sz w:val="17"/>
                <w:szCs w:val="17"/>
                <w:color w:val="auto"/>
              </w:rPr>
              <w:t>Notes to the consolidated financial statements</w:t>
            </w:r>
          </w:p>
        </w:tc>
        <w:tc>
          <w:tcPr>
            <w:tcW w:w="3740" w:type="dxa"/>
            <w:vAlign w:val="bottom"/>
          </w:tcPr>
          <w:p>
            <w:pPr>
              <w:jc w:val="right"/>
              <w:spacing w:after="0"/>
              <w:rPr>
                <w:sz w:val="20"/>
                <w:szCs w:val="20"/>
                <w:color w:val="auto"/>
              </w:rPr>
            </w:pPr>
            <w:r>
              <w:rPr>
                <w:rFonts w:ascii="Arial" w:cs="Arial" w:eastAsia="Arial" w:hAnsi="Arial"/>
                <w:sz w:val="17"/>
                <w:szCs w:val="17"/>
                <w:color w:val="auto"/>
              </w:rPr>
              <w:t>19 - 189</w:t>
            </w:r>
          </w:p>
        </w:tc>
      </w:tr>
      <w:tr>
        <w:trPr>
          <w:trHeight w:val="375"/>
        </w:trPr>
        <w:tc>
          <w:tcPr>
            <w:tcW w:w="2380" w:type="dxa"/>
            <w:vAlign w:val="bottom"/>
          </w:tcPr>
          <w:p>
            <w:pPr>
              <w:spacing w:after="0"/>
              <w:rPr>
                <w:sz w:val="20"/>
                <w:szCs w:val="20"/>
                <w:color w:val="auto"/>
              </w:rPr>
            </w:pPr>
            <w:r>
              <w:rPr>
                <w:rFonts w:ascii="Arial" w:cs="Arial" w:eastAsia="Arial" w:hAnsi="Arial"/>
                <w:sz w:val="17"/>
                <w:szCs w:val="17"/>
                <w:color w:val="auto"/>
              </w:rPr>
              <w:t>US$, U.S. dollar</w:t>
            </w: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4620" w:type="dxa"/>
            <w:vAlign w:val="bottom"/>
          </w:tcPr>
          <w:p>
            <w:pPr>
              <w:spacing w:after="0"/>
              <w:rPr>
                <w:sz w:val="20"/>
                <w:szCs w:val="20"/>
                <w:color w:val="auto"/>
              </w:rPr>
            </w:pPr>
            <w:r>
              <w:rPr>
                <w:rFonts w:ascii="Arial" w:cs="Arial" w:eastAsia="Arial" w:hAnsi="Arial"/>
                <w:sz w:val="17"/>
                <w:szCs w:val="17"/>
                <w:color w:val="auto"/>
              </w:rPr>
              <w:t>United States dollar</w:t>
            </w:r>
          </w:p>
        </w:tc>
        <w:tc>
          <w:tcPr>
            <w:tcW w:w="3740" w:type="dxa"/>
            <w:vAlign w:val="bottom"/>
          </w:tcPr>
          <w:p>
            <w:pPr>
              <w:spacing w:after="0"/>
              <w:rPr>
                <w:sz w:val="24"/>
                <w:szCs w:val="24"/>
                <w:color w:val="auto"/>
              </w:rPr>
            </w:pPr>
          </w:p>
        </w:tc>
      </w:tr>
      <w:tr>
        <w:trPr>
          <w:trHeight w:val="194"/>
        </w:trPr>
        <w:tc>
          <w:tcPr>
            <w:tcW w:w="2380" w:type="dxa"/>
            <w:vAlign w:val="bottom"/>
          </w:tcPr>
          <w:p>
            <w:pPr>
              <w:spacing w:after="0" w:line="194" w:lineRule="exact"/>
              <w:rPr>
                <w:sz w:val="20"/>
                <w:szCs w:val="20"/>
                <w:color w:val="auto"/>
              </w:rPr>
            </w:pPr>
            <w:r>
              <w:rPr>
                <w:rFonts w:ascii="Arial" w:cs="Arial" w:eastAsia="Arial" w:hAnsi="Arial"/>
                <w:sz w:val="17"/>
                <w:szCs w:val="17"/>
                <w:color w:val="auto"/>
              </w:rPr>
              <w:t>S/</w:t>
            </w:r>
          </w:p>
        </w:tc>
        <w:tc>
          <w:tcPr>
            <w:tcW w:w="5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4620" w:type="dxa"/>
            <w:vAlign w:val="bottom"/>
          </w:tcPr>
          <w:p>
            <w:pPr>
              <w:spacing w:after="0" w:line="194" w:lineRule="exact"/>
              <w:rPr>
                <w:sz w:val="20"/>
                <w:szCs w:val="20"/>
                <w:color w:val="auto"/>
              </w:rPr>
            </w:pPr>
            <w:r>
              <w:rPr>
                <w:rFonts w:ascii="Arial" w:cs="Arial" w:eastAsia="Arial" w:hAnsi="Arial"/>
                <w:sz w:val="17"/>
                <w:szCs w:val="17"/>
                <w:color w:val="auto"/>
              </w:rPr>
              <w:t>Sol</w:t>
            </w:r>
          </w:p>
        </w:tc>
        <w:tc>
          <w:tcPr>
            <w:tcW w:w="3740" w:type="dxa"/>
            <w:vAlign w:val="bottom"/>
          </w:tcPr>
          <w:p>
            <w:pPr>
              <w:spacing w:after="0"/>
              <w:rPr>
                <w:sz w:val="16"/>
                <w:szCs w:val="16"/>
                <w:color w:val="auto"/>
              </w:rPr>
            </w:pPr>
          </w:p>
        </w:tc>
      </w:tr>
      <w:tr>
        <w:trPr>
          <w:trHeight w:val="194"/>
        </w:trPr>
        <w:tc>
          <w:tcPr>
            <w:tcW w:w="2380" w:type="dxa"/>
            <w:vAlign w:val="bottom"/>
          </w:tcPr>
          <w:p>
            <w:pPr>
              <w:spacing w:after="0" w:line="194" w:lineRule="exact"/>
              <w:rPr>
                <w:sz w:val="20"/>
                <w:szCs w:val="20"/>
                <w:color w:val="auto"/>
              </w:rPr>
            </w:pPr>
            <w:r>
              <w:rPr>
                <w:rFonts w:ascii="Arial" w:cs="Arial" w:eastAsia="Arial" w:hAnsi="Arial"/>
                <w:sz w:val="17"/>
                <w:szCs w:val="17"/>
                <w:color w:val="auto"/>
              </w:rPr>
              <w:t>Bs</w:t>
            </w:r>
          </w:p>
        </w:tc>
        <w:tc>
          <w:tcPr>
            <w:tcW w:w="5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4620" w:type="dxa"/>
            <w:vAlign w:val="bottom"/>
          </w:tcPr>
          <w:p>
            <w:pPr>
              <w:spacing w:after="0" w:line="194" w:lineRule="exact"/>
              <w:rPr>
                <w:sz w:val="20"/>
                <w:szCs w:val="20"/>
                <w:color w:val="auto"/>
              </w:rPr>
            </w:pPr>
            <w:r>
              <w:rPr>
                <w:rFonts w:ascii="Arial" w:cs="Arial" w:eastAsia="Arial" w:hAnsi="Arial"/>
                <w:sz w:val="17"/>
                <w:szCs w:val="17"/>
                <w:color w:val="auto"/>
              </w:rPr>
              <w:t>Boliviano</w:t>
            </w:r>
          </w:p>
        </w:tc>
        <w:tc>
          <w:tcPr>
            <w:tcW w:w="3740" w:type="dxa"/>
            <w:vAlign w:val="bottom"/>
          </w:tcPr>
          <w:p>
            <w:pPr>
              <w:spacing w:after="0"/>
              <w:rPr>
                <w:sz w:val="16"/>
                <w:szCs w:val="16"/>
                <w:color w:val="auto"/>
              </w:rPr>
            </w:pPr>
          </w:p>
        </w:tc>
      </w:tr>
      <w:tr>
        <w:trPr>
          <w:trHeight w:val="194"/>
        </w:trPr>
        <w:tc>
          <w:tcPr>
            <w:tcW w:w="238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5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4620" w:type="dxa"/>
            <w:vAlign w:val="bottom"/>
          </w:tcPr>
          <w:p>
            <w:pPr>
              <w:spacing w:after="0" w:line="194" w:lineRule="exact"/>
              <w:rPr>
                <w:sz w:val="20"/>
                <w:szCs w:val="20"/>
                <w:color w:val="auto"/>
              </w:rPr>
            </w:pPr>
            <w:r>
              <w:rPr>
                <w:rFonts w:ascii="Arial" w:cs="Arial" w:eastAsia="Arial" w:hAnsi="Arial"/>
                <w:sz w:val="17"/>
                <w:szCs w:val="17"/>
                <w:color w:val="auto"/>
              </w:rPr>
              <w:t>Colombian peso</w:t>
            </w:r>
          </w:p>
        </w:tc>
        <w:tc>
          <w:tcPr>
            <w:tcW w:w="3740" w:type="dxa"/>
            <w:vAlign w:val="bottom"/>
          </w:tcPr>
          <w:p>
            <w:pPr>
              <w:spacing w:after="0"/>
              <w:rPr>
                <w:sz w:val="16"/>
                <w:szCs w:val="16"/>
                <w:color w:val="auto"/>
              </w:rPr>
            </w:pPr>
          </w:p>
        </w:tc>
      </w:tr>
      <w:tr>
        <w:trPr>
          <w:trHeight w:val="208"/>
        </w:trPr>
        <w:tc>
          <w:tcPr>
            <w:tcW w:w="238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4620" w:type="dxa"/>
            <w:vAlign w:val="bottom"/>
          </w:tcPr>
          <w:p>
            <w:pPr>
              <w:spacing w:after="0"/>
              <w:rPr>
                <w:sz w:val="20"/>
                <w:szCs w:val="20"/>
                <w:color w:val="auto"/>
              </w:rPr>
            </w:pPr>
            <w:r>
              <w:rPr>
                <w:rFonts w:ascii="Arial" w:cs="Arial" w:eastAsia="Arial" w:hAnsi="Arial"/>
                <w:sz w:val="17"/>
                <w:szCs w:val="17"/>
                <w:color w:val="auto"/>
              </w:rPr>
              <w:t>Yen</w:t>
            </w:r>
          </w:p>
        </w:tc>
        <w:tc>
          <w:tcPr>
            <w:tcW w:w="3740" w:type="dxa"/>
            <w:vAlign w:val="bottom"/>
          </w:tcPr>
          <w:p>
            <w:pPr>
              <w:spacing w:after="0"/>
              <w:rPr>
                <w:sz w:val="18"/>
                <w:szCs w:val="18"/>
                <w:color w:val="auto"/>
              </w:rPr>
            </w:pPr>
          </w:p>
        </w:tc>
      </w:tr>
      <w:tr>
        <w:trPr>
          <w:trHeight w:val="161"/>
        </w:trPr>
        <w:tc>
          <w:tcPr>
            <w:tcW w:w="2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40" w:right="339" w:bottom="1440" w:gutter="0" w:footer="0" w:header="0"/>
        </w:sectPr>
      </w:pPr>
    </w:p>
    <w:bookmarkStart w:id="5" w:name="page6"/>
    <w:bookmarkEnd w:id="5"/>
    <w:p>
      <w:pPr>
        <w:spacing w:after="0" w:line="2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052830" cy="830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52830" cy="83058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(A free translation of the original in Spanish)</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auditor’s report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w:t>
      </w:r>
    </w:p>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opinion</w:t>
      </w:r>
    </w:p>
    <w:p>
      <w:pPr>
        <w:spacing w:after="0" w:line="193" w:lineRule="exact"/>
        <w:rPr>
          <w:sz w:val="20"/>
          <w:szCs w:val="20"/>
          <w:color w:val="auto"/>
        </w:rPr>
      </w:pPr>
    </w:p>
    <w:p>
      <w:pPr>
        <w:ind w:right="120" w:hanging="1"/>
        <w:spacing w:after="0" w:line="254" w:lineRule="auto"/>
        <w:rPr>
          <w:sz w:val="20"/>
          <w:szCs w:val="20"/>
          <w:color w:val="auto"/>
        </w:rPr>
      </w:pPr>
      <w:r>
        <w:rPr>
          <w:rFonts w:ascii="Arial" w:cs="Arial" w:eastAsia="Arial" w:hAnsi="Arial"/>
          <w:sz w:val="17"/>
          <w:szCs w:val="17"/>
          <w:color w:val="auto"/>
        </w:rPr>
        <w:t xml:space="preserve">In our opinion, the consolidated financial statements present fairly, in all material respects, the consolidated financial position of </w:t>
      </w:r>
      <w:r>
        <w:rPr>
          <w:rFonts w:ascii="Arial" w:cs="Arial" w:eastAsia="Arial" w:hAnsi="Arial"/>
          <w:sz w:val="17"/>
          <w:szCs w:val="17"/>
          <w:b w:val="1"/>
          <w:bCs w:val="1"/>
          <w:color w:val="auto"/>
        </w:rPr>
        <w:t>Credicorp Ltd.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and subsidiaries </w:t>
      </w:r>
      <w:r>
        <w:rPr>
          <w:rFonts w:ascii="Arial" w:cs="Arial" w:eastAsia="Arial" w:hAnsi="Arial"/>
          <w:sz w:val="17"/>
          <w:szCs w:val="17"/>
          <w:color w:val="auto"/>
        </w:rPr>
        <w:t>(the Group) as of December 31, 2022, and their consolidated financial performance and its consolidated cash flows for the year</w:t>
      </w:r>
      <w:r>
        <w:rPr>
          <w:rFonts w:ascii="Arial" w:cs="Arial" w:eastAsia="Arial" w:hAnsi="Arial"/>
          <w:sz w:val="17"/>
          <w:szCs w:val="17"/>
          <w:b w:val="1"/>
          <w:bCs w:val="1"/>
          <w:color w:val="auto"/>
        </w:rPr>
        <w:t xml:space="preserve"> </w:t>
      </w:r>
      <w:r>
        <w:rPr>
          <w:rFonts w:ascii="Arial" w:cs="Arial" w:eastAsia="Arial" w:hAnsi="Arial"/>
          <w:sz w:val="17"/>
          <w:szCs w:val="17"/>
          <w:color w:val="auto"/>
        </w:rPr>
        <w:t>then ended in accordance with the International Financial Reporting Standards (IFRS) issued by the International Accounting Standards Board (IASB).</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we have audited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Group’s consolidated financial statements comprise:</w:t>
      </w:r>
    </w:p>
    <w:p>
      <w:pPr>
        <w:spacing w:after="0" w:line="192" w:lineRule="exact"/>
        <w:rPr>
          <w:sz w:val="20"/>
          <w:szCs w:val="20"/>
          <w:color w:val="auto"/>
        </w:rPr>
      </w:pPr>
    </w:p>
    <w:p>
      <w:pPr>
        <w:ind w:left="200" w:hanging="196"/>
        <w:spacing w:after="0"/>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financial position as of December 31, 2022;</w:t>
      </w:r>
    </w:p>
    <w:p>
      <w:pPr>
        <w:ind w:left="200" w:hanging="196"/>
        <w:spacing w:after="0" w:line="238" w:lineRule="auto"/>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income for the year then ended;</w:t>
      </w:r>
    </w:p>
    <w:p>
      <w:pPr>
        <w:ind w:left="200" w:hanging="196"/>
        <w:spacing w:after="0" w:line="238" w:lineRule="auto"/>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comprehensive income for the year then ended;</w:t>
      </w:r>
    </w:p>
    <w:p>
      <w:pPr>
        <w:ind w:left="200" w:hanging="196"/>
        <w:spacing w:after="0" w:line="238" w:lineRule="auto"/>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changes in net equity for the year then ended;</w:t>
      </w:r>
    </w:p>
    <w:p>
      <w:pPr>
        <w:ind w:left="200" w:hanging="196"/>
        <w:spacing w:after="0" w:line="238" w:lineRule="auto"/>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cash flows for the year then ended; and</w:t>
      </w:r>
    </w:p>
    <w:p>
      <w:pPr>
        <w:ind w:left="200" w:hanging="196"/>
        <w:spacing w:after="0"/>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notes to the consolidated financial statements, which include a summary of the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our opinion</w:t>
      </w:r>
    </w:p>
    <w:p>
      <w:pPr>
        <w:spacing w:after="0" w:line="215" w:lineRule="exact"/>
        <w:rPr>
          <w:sz w:val="20"/>
          <w:szCs w:val="20"/>
          <w:color w:val="auto"/>
        </w:rPr>
      </w:pPr>
    </w:p>
    <w:p>
      <w:pPr>
        <w:jc w:val="both"/>
        <w:ind w:hanging="1"/>
        <w:spacing w:after="0" w:line="254" w:lineRule="auto"/>
        <w:rPr>
          <w:sz w:val="20"/>
          <w:szCs w:val="20"/>
          <w:color w:val="auto"/>
        </w:rPr>
      </w:pPr>
      <w:r>
        <w:rPr>
          <w:rFonts w:ascii="Arial" w:cs="Arial" w:eastAsia="Arial" w:hAnsi="Arial"/>
          <w:sz w:val="17"/>
          <w:szCs w:val="17"/>
          <w:color w:val="auto"/>
        </w:rPr>
        <w:t xml:space="preserve">We conducted our audit in accordance with International Standards on Auditing (ISAs). Our responsibilities under those standards are further described in the </w:t>
      </w:r>
      <w:r>
        <w:rPr>
          <w:rFonts w:ascii="Arial" w:cs="Arial" w:eastAsia="Arial" w:hAnsi="Arial"/>
          <w:sz w:val="17"/>
          <w:szCs w:val="17"/>
          <w:i w:val="1"/>
          <w:iCs w:val="1"/>
          <w:color w:val="auto"/>
        </w:rPr>
        <w:t>Auditor's responsibilities for the audit of the consolidated financial statements</w:t>
      </w:r>
      <w:r>
        <w:rPr>
          <w:rFonts w:ascii="Arial" w:cs="Arial" w:eastAsia="Arial" w:hAnsi="Arial"/>
          <w:sz w:val="17"/>
          <w:szCs w:val="17"/>
          <w:color w:val="auto"/>
        </w:rPr>
        <w:t xml:space="preserve"> section of our report.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are independent of the Group in accordance with the International Ethics Standards Board for Accountants’ Code of Ethics for Professional Accountants (IESBA Code of Ethics) and the ethical requirements of the Code of Professional Ethics issued by the Board of Deans of the Institutes of Peruvian Certified Public Accountants, which are relevant for our audit of the consolidated financial statements. We have fulfilled our other ethical responsibilities in accordance with the IESBA Code of Ethics.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audit approach</w:t>
      </w:r>
    </w:p>
    <w:p>
      <w:pPr>
        <w:spacing w:after="0" w:line="215" w:lineRule="exact"/>
        <w:rPr>
          <w:sz w:val="20"/>
          <w:szCs w:val="20"/>
          <w:color w:val="auto"/>
        </w:rPr>
      </w:pPr>
    </w:p>
    <w:p>
      <w:pPr>
        <w:jc w:val="both"/>
        <w:ind w:hanging="1"/>
        <w:spacing w:after="0" w:line="246" w:lineRule="auto"/>
        <w:rPr>
          <w:sz w:val="20"/>
          <w:szCs w:val="20"/>
          <w:color w:val="auto"/>
        </w:rPr>
      </w:pPr>
      <w:r>
        <w:rPr>
          <w:rFonts w:ascii="Arial" w:cs="Arial" w:eastAsia="Arial" w:hAnsi="Arial"/>
          <w:sz w:val="17"/>
          <w:szCs w:val="17"/>
          <w:color w:val="auto"/>
        </w:rPr>
        <w:t>An audit is designed to obtain reasonable assurance about whether the consolidated financial statements are free from material misstatement. Misstatements may arise due to error or fraud. These are considered material if, individually or in the aggregate, they could reasonably influence the economic decisions that users make based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99695</wp:posOffset>
            </wp:positionV>
            <wp:extent cx="33655" cy="165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165100"/>
                    </a:xfrm>
                    <a:prstGeom prst="rect">
                      <a:avLst/>
                    </a:prstGeom>
                    <a:noFill/>
                  </pic:spPr>
                </pic:pic>
              </a:graphicData>
            </a:graphic>
          </wp:anchor>
        </w:drawing>
      </w:r>
    </w:p>
    <w:p>
      <w:pPr>
        <w:spacing w:after="0" w:line="3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Gaveglio Aparicio y Asociados Sociedad Civil de Responsabilidad Limitada.</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Av. Santo Toribio 143, Piso 7, San Isidro, Lima, Perú T: +51 (1) 211 6500, F: +51 (1) 211-6550</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www.pwc.pe</w:t>
      </w:r>
    </w:p>
    <w:p>
      <w:pPr>
        <w:spacing w:after="0" w:line="210"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Gaveglio Aparicio y Asociados Sociedad Civil de Responsabilidad Limitada es una firma miembro de la red global de PricewaterhouseCoopers International Limited (PwCIL). Cada una de las firmas es una entidad legal separada e independiente que no actúa en nombre de PwCIL ni de cualquier otra firma miembro de la red. Inscrita en la Partida No. 11028527, Registro de Personas Jurídicas de Lima y Callao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3803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052830" cy="830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52830" cy="830580"/>
                    </a:xfrm>
                    <a:prstGeom prst="rect">
                      <a:avLst/>
                    </a:prstGeom>
                    <a:noFill/>
                  </pic:spPr>
                </pic:pic>
              </a:graphicData>
            </a:graphic>
          </wp:anchor>
        </w:drawing>
      </w:r>
    </w:p>
    <w:p>
      <w:pPr>
        <w:jc w:val="both"/>
        <w:ind w:hanging="1"/>
        <w:spacing w:after="0" w:line="243" w:lineRule="auto"/>
        <w:rPr>
          <w:sz w:val="20"/>
          <w:szCs w:val="20"/>
          <w:color w:val="auto"/>
        </w:rPr>
      </w:pPr>
      <w:r>
        <w:rPr>
          <w:rFonts w:ascii="Arial" w:cs="Arial" w:eastAsia="Arial" w:hAnsi="Arial"/>
          <w:sz w:val="17"/>
          <w:szCs w:val="17"/>
          <w:color w:val="auto"/>
        </w:rPr>
        <w:t>The scope of our audit and the nature, timing and extent of our procedures were determined by our risk assessment that the consolidated financial statements may contain material errors, whether due to fraud or error. We performed our audit procedures based on the legal entities considered financially significant relative to the Group, with a combination of full scope audits and certain audit procedures to achieve the desired level of audit evidence at a consolidated level.</w:t>
      </w:r>
    </w:p>
    <w:p>
      <w:pPr>
        <w:spacing w:after="0" w:line="162" w:lineRule="exact"/>
        <w:rPr>
          <w:sz w:val="20"/>
          <w:szCs w:val="20"/>
          <w:color w:val="auto"/>
        </w:rPr>
      </w:pPr>
    </w:p>
    <w:p>
      <w:pPr>
        <w:jc w:val="both"/>
        <w:ind w:hanging="1"/>
        <w:spacing w:after="0" w:line="276" w:lineRule="auto"/>
        <w:rPr>
          <w:sz w:val="20"/>
          <w:szCs w:val="20"/>
          <w:color w:val="auto"/>
        </w:rPr>
      </w:pPr>
      <w:r>
        <w:rPr>
          <w:rFonts w:ascii="Arial" w:cs="Arial" w:eastAsia="Arial" w:hAnsi="Arial"/>
          <w:sz w:val="17"/>
          <w:szCs w:val="17"/>
          <w:i w:val="1"/>
          <w:iCs w:val="1"/>
          <w:color w:val="auto"/>
        </w:rPr>
        <w:t xml:space="preserve">Key Audit Matters </w:t>
      </w:r>
      <w:r>
        <w:rPr>
          <w:rFonts w:ascii="Arial" w:cs="Arial" w:eastAsia="Arial" w:hAnsi="Arial"/>
          <w:sz w:val="17"/>
          <w:szCs w:val="17"/>
          <w:color w:val="auto"/>
        </w:rPr>
        <w:t>are those which, in our professional judgment, were the most significant in our audit of the consolidated financial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current period:</w:t>
      </w:r>
    </w:p>
    <w:p>
      <w:pPr>
        <w:spacing w:after="0" w:line="150" w:lineRule="exact"/>
        <w:rPr>
          <w:sz w:val="20"/>
          <w:szCs w:val="20"/>
          <w:color w:val="auto"/>
        </w:rPr>
      </w:pPr>
    </w:p>
    <w:p>
      <w:pPr>
        <w:ind w:left="320" w:hanging="316"/>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Information technology environment (IT);</w:t>
      </w:r>
    </w:p>
    <w:p>
      <w:pPr>
        <w:ind w:left="320" w:hanging="316"/>
        <w:spacing w:after="0" w:line="238" w:lineRule="auto"/>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Provision for credit losses on loan portfolio; and</w:t>
      </w:r>
    </w:p>
    <w:p>
      <w:pPr>
        <w:ind w:left="320" w:hanging="316"/>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Valuation of the mathematical reserves of annuities.</w:t>
      </w:r>
    </w:p>
    <w:p>
      <w:pPr>
        <w:spacing w:after="0" w:line="193" w:lineRule="exact"/>
        <w:rPr>
          <w:sz w:val="20"/>
          <w:szCs w:val="20"/>
          <w:color w:val="auto"/>
        </w:rPr>
      </w:pPr>
    </w:p>
    <w:p>
      <w:pPr>
        <w:jc w:val="both"/>
        <w:ind w:hanging="1"/>
        <w:spacing w:after="0" w:line="242" w:lineRule="auto"/>
        <w:rPr>
          <w:sz w:val="20"/>
          <w:szCs w:val="20"/>
          <w:color w:val="auto"/>
        </w:rPr>
      </w:pPr>
      <w:r>
        <w:rPr>
          <w:rFonts w:ascii="Arial" w:cs="Arial" w:eastAsia="Arial" w:hAnsi="Arial"/>
          <w:sz w:val="17"/>
          <w:szCs w:val="17"/>
          <w:color w:val="auto"/>
        </w:rPr>
        <w:t>As part of the design of our audit, we determined materiality and assessed the risks of material misstatement in the consolidated financial statements. In particular, we considered situations where management has made critical judgments; for example, in respect of significant accounting estimates that involve making assumptions and considering future events that are inherently uncertain. We also addressed the risk of management override of internal controls, including, among other matters, consideration of whether there was evidence of bias that represented a risk of material misstatement in the financial statements due to fraud.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designed the scope of our audit of the Group</w:t>
      </w:r>
    </w:p>
    <w:p>
      <w:pPr>
        <w:spacing w:after="0" w:line="215" w:lineRule="exact"/>
        <w:rPr>
          <w:sz w:val="20"/>
          <w:szCs w:val="20"/>
          <w:color w:val="auto"/>
        </w:rPr>
      </w:pPr>
    </w:p>
    <w:p>
      <w:pPr>
        <w:jc w:val="both"/>
        <w:ind w:hanging="1"/>
        <w:spacing w:after="0" w:line="254" w:lineRule="auto"/>
        <w:rPr>
          <w:sz w:val="20"/>
          <w:szCs w:val="20"/>
          <w:color w:val="auto"/>
        </w:rPr>
      </w:pPr>
      <w:r>
        <w:rPr>
          <w:rFonts w:ascii="Arial" w:cs="Arial" w:eastAsia="Arial" w:hAnsi="Arial"/>
          <w:sz w:val="17"/>
          <w:szCs w:val="17"/>
          <w:color w:val="auto"/>
        </w:rPr>
        <w:t>We tailored the scope of our audit in order to perform sufficient work to enable us to provide an opinion on the consolidated financial statements as a whole, taking into account the structure of the Group, the accounting processes and controls, and the industries in which the Group operates.</w:t>
      </w:r>
    </w:p>
    <w:p>
      <w:pPr>
        <w:spacing w:after="0" w:line="169" w:lineRule="exact"/>
        <w:rPr>
          <w:sz w:val="20"/>
          <w:szCs w:val="20"/>
          <w:color w:val="auto"/>
        </w:rPr>
      </w:pPr>
    </w:p>
    <w:p>
      <w:pPr>
        <w:jc w:val="both"/>
        <w:ind w:hanging="1"/>
        <w:spacing w:after="0" w:line="242" w:lineRule="auto"/>
        <w:rPr>
          <w:sz w:val="20"/>
          <w:szCs w:val="20"/>
          <w:color w:val="auto"/>
        </w:rPr>
      </w:pPr>
      <w:r>
        <w:rPr>
          <w:rFonts w:ascii="Arial" w:cs="Arial" w:eastAsia="Arial" w:hAnsi="Arial"/>
          <w:sz w:val="17"/>
          <w:szCs w:val="17"/>
          <w:color w:val="auto"/>
        </w:rPr>
        <w:t>To establish the general approach for the Group audit, we determined the type of work that is required to be performed on the components of the Group, based mainly on individual legal entities. In this sense, we consider Banco de Crédito del Perú S.A., Mibanco, Banco de la Microempresa S.A., and Pacífico Compañía de Seguros y Reaseguros S.A. as significant components, due to the amounts they contribute to the consolidated financial statements and the risks involved in the constitution of provisions. Additionally, we have considered the individual audit work performed in each subsidiary.</w:t>
      </w:r>
    </w:p>
    <w:p>
      <w:pPr>
        <w:spacing w:after="0" w:line="180" w:lineRule="exact"/>
        <w:rPr>
          <w:sz w:val="20"/>
          <w:szCs w:val="20"/>
          <w:color w:val="auto"/>
        </w:rPr>
      </w:pPr>
    </w:p>
    <w:p>
      <w:pPr>
        <w:jc w:val="both"/>
        <w:ind w:hanging="1"/>
        <w:spacing w:after="0" w:line="241" w:lineRule="auto"/>
        <w:rPr>
          <w:sz w:val="20"/>
          <w:szCs w:val="20"/>
          <w:color w:val="auto"/>
        </w:rPr>
      </w:pPr>
      <w:r>
        <w:rPr>
          <w:rFonts w:ascii="Arial" w:cs="Arial" w:eastAsia="Arial" w:hAnsi="Arial"/>
          <w:sz w:val="17"/>
          <w:szCs w:val="17"/>
          <w:color w:val="auto"/>
        </w:rPr>
        <w:t>The audit of the subsidiaries includes audit work performed in other countries, such as Panamá, Chile, Colombia, and Bolivia. For those components, we determined the level of audit work that would need to be performed in auditing those entities to conclude as to whether sufficient and appropriate audit evidence had been obtained as a basis for our audit opinion on the consolidated financial statements as a whole. This includes regular communications of the components auditors during the entire year, the issue of audit instructions, monitoring of component auditors’ work and our review of the results of their main audit procedures including the nature, timing and extent of the work that may impact our audit opinion.</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Audit Matters (KAM)</w:t>
      </w:r>
    </w:p>
    <w:p>
      <w:pPr>
        <w:spacing w:after="0" w:line="215" w:lineRule="exact"/>
        <w:rPr>
          <w:sz w:val="20"/>
          <w:szCs w:val="20"/>
          <w:color w:val="auto"/>
        </w:rPr>
      </w:pPr>
    </w:p>
    <w:p>
      <w:pPr>
        <w:jc w:val="both"/>
        <w:ind w:hanging="1"/>
        <w:spacing w:after="0" w:line="246" w:lineRule="auto"/>
        <w:rPr>
          <w:sz w:val="20"/>
          <w:szCs w:val="20"/>
          <w:color w:val="auto"/>
        </w:rPr>
      </w:pPr>
      <w:r>
        <w:rPr>
          <w:rFonts w:ascii="Arial" w:cs="Arial" w:eastAsia="Arial" w:hAnsi="Arial"/>
          <w:sz w:val="17"/>
          <w:szCs w:val="17"/>
          <w:color w:val="auto"/>
        </w:rPr>
        <w:t>Key audit matters are those matters that, in our professional judgment, were of most significance in our audit of the consolidated financial statements of the current period. These matters were addressed in the context of our audit of the consolidated financial statements as a whole, and in forming our opinion thereon. However, we do not provide a separate opinion on these matters.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052830" cy="83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52830" cy="8305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540" w:type="dxa"/>
            <w:vAlign w:val="bottom"/>
            <w:tcBorders>
              <w:top w:val="single" w:sz="8" w:color="D05F12"/>
              <w:bottom w:val="single" w:sz="8" w:color="D05F12"/>
            </w:tcBorders>
            <w:shd w:val="clear" w:color="auto" w:fill="DC6900"/>
          </w:tcPr>
          <w:p>
            <w:pPr>
              <w:spacing w:after="0"/>
              <w:rPr>
                <w:sz w:val="20"/>
                <w:szCs w:val="20"/>
                <w:color w:val="auto"/>
              </w:rPr>
            </w:pPr>
            <w:r>
              <w:rPr>
                <w:rFonts w:ascii="Arial" w:cs="Arial" w:eastAsia="Arial" w:hAnsi="Arial"/>
                <w:sz w:val="17"/>
                <w:szCs w:val="17"/>
                <w:b w:val="1"/>
                <w:bCs w:val="1"/>
                <w:i w:val="1"/>
                <w:iCs w:val="1"/>
                <w:color w:val="FFFFFF"/>
              </w:rPr>
              <w:t>Key Audit Matters</w:t>
            </w:r>
          </w:p>
        </w:tc>
        <w:tc>
          <w:tcPr>
            <w:tcW w:w="6700" w:type="dxa"/>
            <w:vAlign w:val="bottom"/>
            <w:tcBorders>
              <w:top w:val="single" w:sz="8" w:color="D05F12"/>
              <w:bottom w:val="single" w:sz="8" w:color="D05F12"/>
            </w:tcBorders>
            <w:shd w:val="clear" w:color="auto" w:fill="DC6900"/>
          </w:tcPr>
          <w:p>
            <w:pPr>
              <w:ind w:left="1200"/>
              <w:spacing w:after="0"/>
              <w:rPr>
                <w:sz w:val="20"/>
                <w:szCs w:val="20"/>
                <w:color w:val="auto"/>
              </w:rPr>
            </w:pPr>
            <w:r>
              <w:rPr>
                <w:rFonts w:ascii="Arial" w:cs="Arial" w:eastAsia="Arial" w:hAnsi="Arial"/>
                <w:sz w:val="17"/>
                <w:szCs w:val="17"/>
                <w:b w:val="1"/>
                <w:bCs w:val="1"/>
                <w:i w:val="1"/>
                <w:iCs w:val="1"/>
                <w:color w:val="FFFFFF"/>
              </w:rPr>
              <w:t>How our audit addressed the key audit matter</w:t>
            </w:r>
          </w:p>
        </w:tc>
      </w:tr>
      <w:tr>
        <w:trPr>
          <w:trHeight w:val="199"/>
        </w:trPr>
        <w:tc>
          <w:tcPr>
            <w:tcW w:w="4540" w:type="dxa"/>
            <w:vAlign w:val="bottom"/>
          </w:tcPr>
          <w:p>
            <w:pPr>
              <w:spacing w:after="0"/>
              <w:rPr>
                <w:sz w:val="20"/>
                <w:szCs w:val="20"/>
                <w:color w:val="auto"/>
              </w:rPr>
            </w:pPr>
            <w:r>
              <w:rPr>
                <w:rFonts w:ascii="Arial" w:cs="Arial" w:eastAsia="Arial" w:hAnsi="Arial"/>
                <w:sz w:val="17"/>
                <w:szCs w:val="17"/>
                <w:b w:val="1"/>
                <w:bCs w:val="1"/>
                <w:color w:val="auto"/>
              </w:rPr>
              <w:t>Information technology environment (IT)</w:t>
            </w:r>
          </w:p>
        </w:tc>
        <w:tc>
          <w:tcPr>
            <w:tcW w:w="670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93" w:lineRule="exact"/>
        <w:rPr>
          <w:sz w:val="20"/>
          <w:szCs w:val="20"/>
          <w:color w:val="auto"/>
        </w:rPr>
      </w:pPr>
    </w:p>
    <w:p>
      <w:pPr>
        <w:ind w:right="20" w:hanging="1"/>
        <w:spacing w:after="0" w:line="243" w:lineRule="auto"/>
        <w:rPr>
          <w:sz w:val="20"/>
          <w:szCs w:val="20"/>
          <w:color w:val="auto"/>
        </w:rPr>
      </w:pPr>
      <w:r>
        <w:rPr>
          <w:rFonts w:ascii="Arial" w:cs="Arial" w:eastAsia="Arial" w:hAnsi="Arial"/>
          <w:sz w:val="17"/>
          <w:szCs w:val="17"/>
          <w:color w:val="auto"/>
        </w:rPr>
        <w:t>The Group is highly dependent on its technological structure for the processing of its business operations, as well as for the preparation and fair presentation of its consolidated financial statements, which makes us consider the IT environment as a key audit matter.</w:t>
      </w:r>
    </w:p>
    <w:p>
      <w:pPr>
        <w:spacing w:after="0" w:line="180" w:lineRule="exact"/>
        <w:rPr>
          <w:sz w:val="20"/>
          <w:szCs w:val="20"/>
          <w:color w:val="auto"/>
        </w:rPr>
      </w:pPr>
    </w:p>
    <w:p>
      <w:pPr>
        <w:jc w:val="both"/>
        <w:ind w:right="120" w:hanging="1"/>
        <w:spacing w:after="0" w:line="246" w:lineRule="auto"/>
        <w:rPr>
          <w:sz w:val="20"/>
          <w:szCs w:val="20"/>
          <w:color w:val="auto"/>
        </w:rPr>
      </w:pPr>
      <w:r>
        <w:rPr>
          <w:rFonts w:ascii="Arial" w:cs="Arial" w:eastAsia="Arial" w:hAnsi="Arial"/>
          <w:sz w:val="17"/>
          <w:szCs w:val="17"/>
          <w:color w:val="auto"/>
        </w:rPr>
        <w:t>Technology is key in the evolution of the businesses of the Group, with significant investments in the IT environment, information security and cybersecurity.</w:t>
      </w:r>
    </w:p>
    <w:p>
      <w:pPr>
        <w:spacing w:after="0" w:line="176" w:lineRule="exact"/>
        <w:rPr>
          <w:sz w:val="20"/>
          <w:szCs w:val="20"/>
          <w:color w:val="auto"/>
        </w:rPr>
      </w:pPr>
    </w:p>
    <w:p>
      <w:pPr>
        <w:ind w:hanging="1"/>
        <w:spacing w:after="0"/>
        <w:rPr>
          <w:sz w:val="20"/>
          <w:szCs w:val="20"/>
          <w:color w:val="auto"/>
        </w:rPr>
      </w:pPr>
      <w:r>
        <w:rPr>
          <w:rFonts w:ascii="Arial" w:cs="Arial" w:eastAsia="Arial" w:hAnsi="Arial"/>
          <w:sz w:val="17"/>
          <w:szCs w:val="17"/>
          <w:color w:val="auto"/>
        </w:rPr>
        <w:t>The Group has a technological infrastructure to support its business activities, as well as continuous improvement plans, maintenance of access management, changes in systems and applications, development of new programs and automated controls in relevant business processes. The controls to authorize, control, restrict and withdraw access to the systems and the change management programs are important to mitigate the potential risk of fraud or error based on misuse or improper changes in the systems of the Group, thus ensuring the integrity of the financial information and accounting records.</w:t>
      </w:r>
    </w:p>
    <w:p>
      <w:pPr>
        <w:spacing w:after="0" w:line="183" w:lineRule="exact"/>
        <w:rPr>
          <w:sz w:val="20"/>
          <w:szCs w:val="20"/>
          <w:color w:val="auto"/>
        </w:rPr>
      </w:pPr>
    </w:p>
    <w:p>
      <w:pPr>
        <w:ind w:right="80" w:hanging="1"/>
        <w:spacing w:after="0" w:line="242" w:lineRule="auto"/>
        <w:rPr>
          <w:sz w:val="20"/>
          <w:szCs w:val="20"/>
          <w:color w:val="auto"/>
        </w:rPr>
      </w:pPr>
      <w:r>
        <w:rPr>
          <w:rFonts w:ascii="Arial" w:cs="Arial" w:eastAsia="Arial" w:hAnsi="Arial"/>
          <w:sz w:val="17"/>
          <w:szCs w:val="17"/>
          <w:color w:val="auto"/>
        </w:rPr>
        <w:t>The Group has an integrated information technology structure with different processes and segregated controls. In addition, at present it is continuously changing due to digital transformation and changes of the structural, functional, and third-party support levels. This situation increases the risks related to information security and cybersecurity.</w:t>
      </w:r>
    </w:p>
    <w:p>
      <w:pPr>
        <w:spacing w:after="0" w:line="180" w:lineRule="exact"/>
        <w:rPr>
          <w:sz w:val="20"/>
          <w:szCs w:val="20"/>
          <w:color w:val="auto"/>
        </w:rPr>
      </w:pPr>
    </w:p>
    <w:p>
      <w:pPr>
        <w:jc w:val="both"/>
        <w:ind w:right="40" w:hanging="1"/>
        <w:spacing w:after="0" w:line="246" w:lineRule="auto"/>
        <w:rPr>
          <w:sz w:val="20"/>
          <w:szCs w:val="20"/>
          <w:color w:val="auto"/>
        </w:rPr>
      </w:pPr>
      <w:r>
        <w:rPr>
          <w:rFonts w:ascii="Arial" w:cs="Arial" w:eastAsia="Arial" w:hAnsi="Arial"/>
          <w:sz w:val="17"/>
          <w:szCs w:val="17"/>
          <w:color w:val="auto"/>
        </w:rPr>
        <w:t>The lack of a proper general IT control environment and the dependent controls could impact the capacity for processing and preparation of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Considering the above, this is a key audit matter.</w:t>
      </w:r>
    </w:p>
    <w:p>
      <w:pPr>
        <w:spacing w:after="0" w:line="20" w:lineRule="exact"/>
        <w:rPr>
          <w:sz w:val="20"/>
          <w:szCs w:val="20"/>
          <w:color w:val="auto"/>
        </w:rPr>
      </w:pPr>
      <w:r>
        <w:rPr>
          <w:sz w:val="20"/>
          <w:szCs w:val="20"/>
          <w:color w:val="auto"/>
        </w:rPr>
        <w:br w:type="column"/>
      </w:r>
    </w:p>
    <w:p>
      <w:pPr>
        <w:ind w:hanging="1"/>
        <w:spacing w:after="0"/>
        <w:rPr>
          <w:sz w:val="20"/>
          <w:szCs w:val="20"/>
          <w:color w:val="auto"/>
        </w:rPr>
      </w:pPr>
      <w:r>
        <w:rPr>
          <w:rFonts w:ascii="Arial" w:cs="Arial" w:eastAsia="Arial" w:hAnsi="Arial"/>
          <w:sz w:val="17"/>
          <w:szCs w:val="17"/>
          <w:color w:val="auto"/>
        </w:rPr>
        <w:t>With the participation of systems audit specialists, we evaluate the design and test operational effectiveness of general IT controls. We reviewed the IT governance framework of the Group and key controls over program and data access management, program development and changes, and IT operations. We evaluated the mechanisms implemented by the Group to respond to possible cybersecurity events and segregation of duties, including compensatory controls, if necessary.</w:t>
      </w:r>
    </w:p>
    <w:p>
      <w:pPr>
        <w:spacing w:after="0" w:line="380" w:lineRule="exact"/>
        <w:rPr>
          <w:sz w:val="20"/>
          <w:szCs w:val="20"/>
          <w:color w:val="auto"/>
        </w:rPr>
      </w:pPr>
    </w:p>
    <w:p>
      <w:pPr>
        <w:ind w:hanging="1"/>
        <w:spacing w:after="0"/>
        <w:rPr>
          <w:sz w:val="20"/>
          <w:szCs w:val="20"/>
          <w:color w:val="auto"/>
        </w:rPr>
      </w:pPr>
      <w:r>
        <w:rPr>
          <w:rFonts w:ascii="Arial" w:cs="Arial" w:eastAsia="Arial" w:hAnsi="Arial"/>
          <w:sz w:val="17"/>
          <w:szCs w:val="17"/>
          <w:color w:val="auto"/>
        </w:rPr>
        <w:t>The IT environment and controls defined by Management, together with the tests of key controls, including compensatory controls, that we have reviewed and the substantive tests that we have performed, provide us with a reasonable basis to trust in the completeness and reliability of the information generated for the preparation of the Group consolidated financial statements. We have also reviewed the existence of technology risk mitigation mechanisms and containment of cyber-attacks, preventive measures to ensure the continuous operation of its security and access controls, awareness campaigns for personnel regarding information security, management of identities and access, among others, that contribute to mitigating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1471930</wp:posOffset>
            </wp:positionV>
            <wp:extent cx="7138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324" w:lineRule="exact"/>
        <w:rPr>
          <w:sz w:val="20"/>
          <w:szCs w:val="20"/>
          <w:color w:val="auto"/>
        </w:rPr>
      </w:pPr>
    </w:p>
    <w:p>
      <w:pPr>
        <w:sectPr>
          <w:pgSz w:w="11900" w:h="16838" w:orient="portrait"/>
          <w:cols w:equalWidth="0" w:num="2">
            <w:col w:w="5500" w:space="240"/>
            <w:col w:w="5500"/>
          </w:cols>
          <w:pgMar w:left="320" w:top="1440" w:right="33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13803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052830" cy="830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52830" cy="830580"/>
                    </a:xfrm>
                    <a:prstGeom prst="rect">
                      <a:avLst/>
                    </a:prstGeom>
                    <a:noFill/>
                  </pic:spPr>
                </pic:pic>
              </a:graphicData>
            </a:graphic>
          </wp:anchor>
        </w:drawing>
      </w:r>
    </w:p>
    <w:p>
      <w:pPr>
        <w:spacing w:after="0"/>
        <w:tabs>
          <w:tab w:leader="none" w:pos="5720" w:val="left"/>
        </w:tabs>
        <w:rPr>
          <w:sz w:val="20"/>
          <w:szCs w:val="20"/>
          <w:color w:val="auto"/>
        </w:rPr>
      </w:pPr>
      <w:r>
        <w:rPr>
          <w:rFonts w:ascii="Arial" w:cs="Arial" w:eastAsia="Arial" w:hAnsi="Arial"/>
          <w:sz w:val="17"/>
          <w:szCs w:val="17"/>
          <w:b w:val="1"/>
          <w:bCs w:val="1"/>
          <w:i w:val="1"/>
          <w:iCs w:val="1"/>
          <w:color w:val="FFFFFF"/>
        </w:rPr>
        <w:t>Key Audit Matters</w:t>
      </w:r>
      <w:r>
        <w:rPr>
          <w:sz w:val="20"/>
          <w:szCs w:val="20"/>
          <w:color w:val="auto"/>
        </w:rPr>
        <w:tab/>
      </w:r>
      <w:r>
        <w:rPr>
          <w:rFonts w:ascii="Arial" w:cs="Arial" w:eastAsia="Arial" w:hAnsi="Arial"/>
          <w:sz w:val="17"/>
          <w:szCs w:val="17"/>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7138035"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credit losses on loan portfolio (Notes 3 f; 3 i; 7 and 34.1 to the consolidated financial statements)</w:t>
      </w:r>
    </w:p>
    <w:p>
      <w:pPr>
        <w:sectPr>
          <w:pgSz w:w="11900" w:h="16838" w:orient="portrait"/>
          <w:cols w:equalWidth="0" w:num="1">
            <w:col w:w="11180"/>
          </w:cols>
          <w:pgMar w:left="320" w:top="1440" w:right="399" w:bottom="1440" w:gutter="0" w:footer="0" w:header="0"/>
        </w:sectPr>
      </w:pPr>
    </w:p>
    <w:p>
      <w:pPr>
        <w:spacing w:after="0" w:line="193" w:lineRule="exact"/>
        <w:rPr>
          <w:sz w:val="20"/>
          <w:szCs w:val="20"/>
          <w:color w:val="auto"/>
        </w:rPr>
      </w:pPr>
    </w:p>
    <w:p>
      <w:pPr>
        <w:ind w:right="20" w:hanging="1"/>
        <w:spacing w:after="0" w:line="254" w:lineRule="auto"/>
        <w:rPr>
          <w:sz w:val="20"/>
          <w:szCs w:val="20"/>
          <w:color w:val="auto"/>
        </w:rPr>
      </w:pPr>
      <w:r>
        <w:rPr>
          <w:rFonts w:ascii="Arial" w:cs="Arial" w:eastAsia="Arial" w:hAnsi="Arial"/>
          <w:sz w:val="17"/>
          <w:szCs w:val="17"/>
          <w:color w:val="auto"/>
        </w:rPr>
        <w:t>The amount recognized as provisions for credit losses is S/8,531 million as of December 31, 2022.</w:t>
      </w:r>
    </w:p>
    <w:p>
      <w:pPr>
        <w:spacing w:after="0" w:line="169" w:lineRule="exact"/>
        <w:rPr>
          <w:sz w:val="20"/>
          <w:szCs w:val="20"/>
          <w:color w:val="auto"/>
        </w:rPr>
      </w:pPr>
    </w:p>
    <w:p>
      <w:pPr>
        <w:ind w:hanging="1"/>
        <w:spacing w:after="0"/>
        <w:rPr>
          <w:sz w:val="20"/>
          <w:szCs w:val="20"/>
          <w:color w:val="auto"/>
        </w:rPr>
      </w:pPr>
      <w:r>
        <w:rPr>
          <w:rFonts w:ascii="Arial" w:cs="Arial" w:eastAsia="Arial" w:hAnsi="Arial"/>
          <w:sz w:val="17"/>
          <w:szCs w:val="17"/>
          <w:color w:val="auto"/>
        </w:rPr>
        <w:t xml:space="preserve">Provisions for credit losses, calculated under the parameters required by International Financial Reporting Standard 9 "Financial Instruments" (hereinafter IFRS 9), are estimated at each reporting date using a three-stage model of expected credit losses based on the deterioration of the credit quality since </w:t>
      </w:r>
      <w:r>
        <w:rPr>
          <w:rFonts w:ascii="Arial" w:cs="Arial" w:eastAsia="Arial" w:hAnsi="Arial"/>
          <w:sz w:val="17"/>
          <w:szCs w:val="17"/>
          <w:color w:val="222222"/>
        </w:rPr>
        <w:t>origination</w:t>
      </w:r>
      <w:r>
        <w:rPr>
          <w:rFonts w:ascii="Arial" w:cs="Arial" w:eastAsia="Arial" w:hAnsi="Arial"/>
          <w:sz w:val="17"/>
          <w:szCs w:val="17"/>
          <w:color w:val="auto"/>
        </w:rPr>
        <w:t xml:space="preserve">. Expected credit loss is estimated based on the probability of default (PD) at 12 months or </w:t>
      </w:r>
      <w:r>
        <w:rPr>
          <w:rFonts w:ascii="Arial" w:cs="Arial" w:eastAsia="Arial" w:hAnsi="Arial"/>
          <w:sz w:val="17"/>
          <w:szCs w:val="17"/>
          <w:color w:val="222222"/>
        </w:rPr>
        <w:t>over the PD</w:t>
      </w:r>
      <w:r>
        <w:rPr>
          <w:rFonts w:ascii="Arial" w:cs="Arial" w:eastAsia="Arial" w:hAnsi="Arial"/>
          <w:sz w:val="17"/>
          <w:szCs w:val="17"/>
          <w:color w:val="auto"/>
        </w:rPr>
        <w:t xml:space="preserve"> </w:t>
      </w:r>
      <w:r>
        <w:rPr>
          <w:rFonts w:ascii="Arial" w:cs="Arial" w:eastAsia="Arial" w:hAnsi="Arial"/>
          <w:sz w:val="17"/>
          <w:szCs w:val="17"/>
          <w:color w:val="222222"/>
        </w:rPr>
        <w:t>throughout the lifetime of the loan</w:t>
      </w:r>
      <w:r>
        <w:rPr>
          <w:rFonts w:ascii="Arial" w:cs="Arial" w:eastAsia="Arial" w:hAnsi="Arial"/>
          <w:sz w:val="17"/>
          <w:szCs w:val="17"/>
          <w:color w:val="000000"/>
        </w:rPr>
        <w:t>, the loss-given default (LGD), and the</w:t>
      </w:r>
      <w:r>
        <w:rPr>
          <w:rFonts w:ascii="Arial" w:cs="Arial" w:eastAsia="Arial" w:hAnsi="Arial"/>
          <w:sz w:val="17"/>
          <w:szCs w:val="17"/>
          <w:color w:val="222222"/>
        </w:rPr>
        <w:t xml:space="preserve"> </w:t>
      </w:r>
      <w:r>
        <w:rPr>
          <w:rFonts w:ascii="Arial" w:cs="Arial" w:eastAsia="Arial" w:hAnsi="Arial"/>
          <w:sz w:val="17"/>
          <w:szCs w:val="17"/>
          <w:color w:val="000000"/>
        </w:rPr>
        <w:t>exposure at default (EAD), with the inclusion of forward-looking information comprising reasonable projections of future events and economic conditions that may have an impact on expected credit losses.</w:t>
      </w:r>
    </w:p>
    <w:p>
      <w:pPr>
        <w:spacing w:after="0" w:line="376" w:lineRule="exact"/>
        <w:rPr>
          <w:sz w:val="20"/>
          <w:szCs w:val="20"/>
          <w:color w:val="auto"/>
        </w:rPr>
      </w:pPr>
    </w:p>
    <w:p>
      <w:pPr>
        <w:ind w:right="360" w:hanging="1"/>
        <w:spacing w:after="0" w:line="246" w:lineRule="auto"/>
        <w:rPr>
          <w:sz w:val="20"/>
          <w:szCs w:val="20"/>
          <w:color w:val="auto"/>
        </w:rPr>
      </w:pPr>
      <w:r>
        <w:rPr>
          <w:rFonts w:ascii="Arial" w:cs="Arial" w:eastAsia="Arial" w:hAnsi="Arial"/>
          <w:sz w:val="17"/>
          <w:szCs w:val="17"/>
          <w:color w:val="auto"/>
        </w:rPr>
        <w:t>In order to estimate the expected credit losses, Management has developed specific methodologies with a series of assumptions that involve judgment, among which is:</w:t>
      </w:r>
    </w:p>
    <w:p>
      <w:pPr>
        <w:spacing w:after="0" w:line="176" w:lineRule="exact"/>
        <w:rPr>
          <w:sz w:val="20"/>
          <w:szCs w:val="20"/>
          <w:color w:val="auto"/>
        </w:rPr>
      </w:pPr>
    </w:p>
    <w:p>
      <w:pPr>
        <w:jc w:val="both"/>
        <w:ind w:left="320" w:right="520" w:hanging="316"/>
        <w:spacing w:after="0" w:line="238"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Prospective information, which include projections of multiple scenarios using macroeconomic variables that differ between portfolios, as well as scenario weights;</w:t>
      </w:r>
    </w:p>
    <w:p>
      <w:pPr>
        <w:spacing w:after="0" w:line="1" w:lineRule="exact"/>
        <w:rPr>
          <w:rFonts w:ascii="Arial" w:cs="Arial" w:eastAsia="Arial" w:hAnsi="Arial"/>
          <w:sz w:val="17"/>
          <w:szCs w:val="17"/>
          <w:color w:val="auto"/>
        </w:rPr>
      </w:pPr>
    </w:p>
    <w:p>
      <w:pPr>
        <w:ind w:left="320" w:right="520" w:hanging="316"/>
        <w:spacing w:after="0" w:line="238" w:lineRule="auto"/>
        <w:tabs>
          <w:tab w:leader="none" w:pos="30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probability of default, which uses information on payment behavior, as well as rating and scoring models;</w:t>
      </w:r>
    </w:p>
    <w:p>
      <w:pPr>
        <w:ind w:left="320" w:right="60" w:hanging="316"/>
        <w:spacing w:after="0" w:line="238" w:lineRule="auto"/>
        <w:tabs>
          <w:tab w:leader="none" w:pos="30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given by default, which uses information on credit recoveries and related costs, including the fair value of guarantees;</w:t>
      </w:r>
    </w:p>
    <w:p>
      <w:pPr>
        <w:ind w:left="320" w:right="80" w:hanging="316"/>
        <w:spacing w:after="0" w:line="238"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t>Quantitative and qualitative criteria for changes in stages 3, according to the credit risk level, which includes the individual review performed on wholesale banking portfolio to include them in stage 3 when there is objective evidence of impairment and;</w:t>
      </w:r>
    </w:p>
    <w:p>
      <w:pPr>
        <w:spacing w:after="0" w:line="1" w:lineRule="exact"/>
        <w:rPr>
          <w:rFonts w:ascii="Arial" w:cs="Arial" w:eastAsia="Arial" w:hAnsi="Arial"/>
          <w:sz w:val="17"/>
          <w:szCs w:val="17"/>
          <w:color w:val="auto"/>
        </w:rPr>
      </w:pPr>
    </w:p>
    <w:p>
      <w:pPr>
        <w:ind w:left="320" w:right="120" w:hanging="316"/>
        <w:spacing w:after="0" w:line="243" w:lineRule="auto"/>
        <w:tabs>
          <w:tab w:leader="none" w:pos="30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provision under an individual analysis for wholesale banking customers in stage 3, through the estimate of expected cash flows based on the financial position and/or the guarantees granted by them.</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40" w:hanging="1"/>
        <w:spacing w:after="0" w:line="242" w:lineRule="auto"/>
        <w:rPr>
          <w:sz w:val="20"/>
          <w:szCs w:val="20"/>
          <w:color w:val="auto"/>
        </w:rPr>
      </w:pPr>
      <w:r>
        <w:rPr>
          <w:rFonts w:ascii="Arial" w:cs="Arial" w:eastAsia="Arial" w:hAnsi="Arial"/>
          <w:sz w:val="17"/>
          <w:szCs w:val="17"/>
          <w:color w:val="auto"/>
        </w:rPr>
        <w:t>We obtained an understanding of the credit risk process developed by the Group for the analysis, estimation, and disclosure of the qualitative and quantitative aspects of IFRS 9. In addition, with the participation of our credit-risk specialists, we performed audit procedures related to compliance with the standard requirements.</w:t>
      </w:r>
    </w:p>
    <w:p>
      <w:pPr>
        <w:spacing w:after="0" w:line="180" w:lineRule="exact"/>
        <w:rPr>
          <w:sz w:val="20"/>
          <w:szCs w:val="20"/>
          <w:color w:val="auto"/>
        </w:rPr>
      </w:pPr>
    </w:p>
    <w:p>
      <w:pPr>
        <w:ind w:right="180" w:hanging="1"/>
        <w:spacing w:after="0" w:line="243" w:lineRule="auto"/>
        <w:rPr>
          <w:sz w:val="20"/>
          <w:szCs w:val="20"/>
          <w:color w:val="auto"/>
        </w:rPr>
      </w:pPr>
      <w:r>
        <w:rPr>
          <w:rFonts w:ascii="Arial" w:cs="Arial" w:eastAsia="Arial" w:hAnsi="Arial"/>
          <w:sz w:val="17"/>
          <w:szCs w:val="17"/>
          <w:color w:val="auto"/>
        </w:rPr>
        <w:t>Our work has been focused on evaluating and testing the design and operating effectiveness of key controls over the data, assumptions, models and calculations of the provision for credit loss. These key controls, among others, were established to:</w:t>
      </w:r>
    </w:p>
    <w:p>
      <w:pPr>
        <w:spacing w:after="0" w:line="180" w:lineRule="exact"/>
        <w:rPr>
          <w:sz w:val="20"/>
          <w:szCs w:val="20"/>
          <w:color w:val="auto"/>
        </w:rPr>
      </w:pPr>
    </w:p>
    <w:p>
      <w:pPr>
        <w:ind w:left="320" w:right="200" w:hanging="319"/>
        <w:spacing w:after="0" w:line="238"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Validate the completeness and accuracy of the database and the auxiliary systems, including the monitoring of the valuation of the guarantees and the assignment of the ratings related to the Wholesaler banking portfolio;</w:t>
      </w:r>
    </w:p>
    <w:p>
      <w:pPr>
        <w:spacing w:after="0" w:line="1" w:lineRule="exact"/>
        <w:rPr>
          <w:rFonts w:ascii="Arial" w:cs="Arial" w:eastAsia="Arial" w:hAnsi="Arial"/>
          <w:sz w:val="17"/>
          <w:szCs w:val="17"/>
          <w:color w:val="auto"/>
        </w:rPr>
      </w:pPr>
    </w:p>
    <w:p>
      <w:pPr>
        <w:ind w:left="320" w:hanging="319"/>
        <w:spacing w:after="0" w:line="238"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Individual review performed on Wholesale banking portfolio through their financial statements analysis, behavioral information and guarantees to determine their recovery cash flows and credit risk;</w:t>
      </w:r>
    </w:p>
    <w:p>
      <w:pPr>
        <w:spacing w:after="0" w:line="1" w:lineRule="exact"/>
        <w:rPr>
          <w:rFonts w:ascii="Arial" w:cs="Arial" w:eastAsia="Arial" w:hAnsi="Arial"/>
          <w:sz w:val="17"/>
          <w:szCs w:val="17"/>
          <w:color w:val="auto"/>
        </w:rPr>
      </w:pPr>
    </w:p>
    <w:p>
      <w:pPr>
        <w:ind w:left="320" w:right="120" w:hanging="319"/>
        <w:spacing w:after="0" w:line="238"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 the proper implementation and monitoring of the models used to estimate the PD, LGD, EAD, scores and rating, as well as the different assumptions, including the prospective information used in the models;</w:t>
      </w:r>
    </w:p>
    <w:p>
      <w:pPr>
        <w:spacing w:after="0" w:line="1" w:lineRule="exact"/>
        <w:rPr>
          <w:rFonts w:ascii="Arial" w:cs="Arial" w:eastAsia="Arial" w:hAnsi="Arial"/>
          <w:sz w:val="17"/>
          <w:szCs w:val="17"/>
          <w:color w:val="auto"/>
        </w:rPr>
      </w:pPr>
    </w:p>
    <w:p>
      <w:pPr>
        <w:ind w:left="300" w:hanging="299"/>
        <w:spacing w:after="0" w:line="238"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 the accuracy of the result of the provision calculation;</w:t>
      </w:r>
    </w:p>
    <w:p>
      <w:pPr>
        <w:ind w:left="320" w:right="780" w:hanging="319"/>
        <w:spacing w:after="0" w:line="254"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 the preparation and disclosure of the notes to the consolidated financial statements.</w:t>
      </w:r>
    </w:p>
    <w:p>
      <w:pPr>
        <w:spacing w:after="0" w:line="169" w:lineRule="exact"/>
        <w:rPr>
          <w:sz w:val="20"/>
          <w:szCs w:val="20"/>
          <w:color w:val="auto"/>
        </w:rPr>
      </w:pPr>
    </w:p>
    <w:p>
      <w:pPr>
        <w:ind w:right="60" w:hanging="1"/>
        <w:spacing w:after="0" w:line="254" w:lineRule="auto"/>
        <w:rPr>
          <w:sz w:val="20"/>
          <w:szCs w:val="20"/>
          <w:color w:val="auto"/>
        </w:rPr>
      </w:pPr>
      <w:r>
        <w:rPr>
          <w:rFonts w:ascii="Arial" w:cs="Arial" w:eastAsia="Arial" w:hAnsi="Arial"/>
          <w:sz w:val="17"/>
          <w:szCs w:val="17"/>
          <w:color w:val="auto"/>
        </w:rPr>
        <w:t>In addition, with the support of our systems audit specialists, we tested the IT controls on data extraction and provision calculation.</w:t>
      </w:r>
    </w:p>
    <w:p>
      <w:pPr>
        <w:spacing w:after="0" w:line="169" w:lineRule="exact"/>
        <w:rPr>
          <w:sz w:val="20"/>
          <w:szCs w:val="20"/>
          <w:color w:val="auto"/>
        </w:rPr>
      </w:pPr>
    </w:p>
    <w:p>
      <w:pPr>
        <w:ind w:hanging="1"/>
        <w:spacing w:after="0" w:line="254" w:lineRule="auto"/>
        <w:rPr>
          <w:sz w:val="20"/>
          <w:szCs w:val="20"/>
          <w:color w:val="auto"/>
        </w:rPr>
      </w:pPr>
      <w:r>
        <w:rPr>
          <w:rFonts w:ascii="Arial" w:cs="Arial" w:eastAsia="Arial" w:hAnsi="Arial"/>
          <w:sz w:val="17"/>
          <w:szCs w:val="17"/>
          <w:color w:val="auto"/>
        </w:rPr>
        <w:t>We have also performed independent detailed testing, including but not limited to:</w:t>
      </w:r>
    </w:p>
    <w:p>
      <w:pPr>
        <w:spacing w:after="0" w:line="169" w:lineRule="exact"/>
        <w:rPr>
          <w:sz w:val="20"/>
          <w:szCs w:val="20"/>
          <w:color w:val="auto"/>
        </w:rPr>
      </w:pPr>
    </w:p>
    <w:p>
      <w:pPr>
        <w:ind w:left="320" w:right="140" w:hanging="319"/>
        <w:spacing w:after="0" w:line="254" w:lineRule="auto"/>
        <w:tabs>
          <w:tab w:leader="none" w:pos="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Review of the accounting policies and methodological framework developed by the Group to verify the application of IFRS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107950</wp:posOffset>
            </wp:positionV>
            <wp:extent cx="7138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40"/>
            <w:col w:w="5440"/>
          </w:cols>
          <w:pgMar w:left="320" w:top="1440" w:right="399" w:bottom="1440" w:gutter="0" w:footer="0" w:header="0"/>
          <w:type w:val="continuous"/>
        </w:sectPr>
      </w:pP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13803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9" w:name="page10"/>
    <w:bookmarkEnd w:id="9"/>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052830" cy="830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52830" cy="830580"/>
                    </a:xfrm>
                    <a:prstGeom prst="rect">
                      <a:avLst/>
                    </a:prstGeom>
                    <a:noFill/>
                  </pic:spPr>
                </pic:pic>
              </a:graphicData>
            </a:graphic>
          </wp:anchor>
        </w:drawing>
      </w:r>
    </w:p>
    <w:p>
      <w:pPr>
        <w:spacing w:after="0"/>
        <w:tabs>
          <w:tab w:leader="none" w:pos="5720" w:val="left"/>
        </w:tabs>
        <w:rPr>
          <w:sz w:val="20"/>
          <w:szCs w:val="20"/>
          <w:color w:val="auto"/>
        </w:rPr>
      </w:pPr>
      <w:r>
        <w:rPr>
          <w:rFonts w:ascii="Arial" w:cs="Arial" w:eastAsia="Arial" w:hAnsi="Arial"/>
          <w:sz w:val="17"/>
          <w:szCs w:val="17"/>
          <w:b w:val="1"/>
          <w:bCs w:val="1"/>
          <w:i w:val="1"/>
          <w:iCs w:val="1"/>
          <w:color w:val="FFFFFF"/>
        </w:rPr>
        <w:t>Key Audit Matters</w:t>
      </w:r>
      <w:r>
        <w:rPr>
          <w:sz w:val="20"/>
          <w:szCs w:val="20"/>
          <w:color w:val="auto"/>
        </w:rPr>
        <w:tab/>
      </w:r>
      <w:r>
        <w:rPr>
          <w:rFonts w:ascii="Arial" w:cs="Arial" w:eastAsia="Arial" w:hAnsi="Arial"/>
          <w:sz w:val="17"/>
          <w:szCs w:val="17"/>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7138035" cy="139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Considering the above, this is a key audit matter.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319" w:right="720" w:hanging="319"/>
        <w:spacing w:after="0" w:line="238"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Evaluation of the reasonableness of the models and main assumptions used to calculate expected credit losses;</w:t>
      </w:r>
    </w:p>
    <w:p>
      <w:pPr>
        <w:ind w:left="319" w:right="420" w:hanging="319"/>
        <w:spacing w:after="0" w:line="238"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Review of the completeness and accuracy of the data used to estimate the provision;</w:t>
      </w:r>
    </w:p>
    <w:p>
      <w:pPr>
        <w:ind w:left="319" w:right="860" w:hanging="319"/>
        <w:spacing w:after="0" w:line="238"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Evaluation of the reasonableness of the fair value of the guarantees;</w:t>
      </w:r>
    </w:p>
    <w:p>
      <w:pPr>
        <w:ind w:left="319" w:right="680" w:hanging="319"/>
        <w:spacing w:after="0" w:line="238"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Evaluation of the reasonableness of the rating assigned to Wholesale banking portfolio;</w:t>
      </w:r>
    </w:p>
    <w:p>
      <w:pPr>
        <w:ind w:left="319" w:right="280" w:hanging="319"/>
        <w:spacing w:after="0" w:line="238"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Independent review and reprocessing of the calculation of the provision for the expected credit loss as of December 31, 2022;</w:t>
      </w:r>
    </w:p>
    <w:p>
      <w:pPr>
        <w:ind w:left="319" w:right="480" w:hanging="319"/>
        <w:spacing w:after="0" w:line="238"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Evaluation of the disclosures in the notes to the consolidated financial statements;</w:t>
      </w:r>
    </w:p>
    <w:p>
      <w:pPr>
        <w:ind w:left="319" w:hanging="319"/>
        <w:spacing w:after="0" w:line="246"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Review of prospective information, including the reasonableness of the macroeconomic projections by scenario, as well as the assigned weights.</w:t>
      </w:r>
    </w:p>
    <w:p>
      <w:pPr>
        <w:spacing w:after="0" w:line="169" w:lineRule="exact"/>
        <w:rPr>
          <w:sz w:val="20"/>
          <w:szCs w:val="20"/>
          <w:color w:val="auto"/>
        </w:rPr>
      </w:pPr>
    </w:p>
    <w:p>
      <w:pPr>
        <w:sectPr>
          <w:pgSz w:w="11900" w:h="16838" w:orient="portrait"/>
          <w:cols w:equalWidth="0" w:num="2">
            <w:col w:w="5021" w:space="720"/>
            <w:col w:w="5419"/>
          </w:cols>
          <w:pgMar w:left="320" w:top="1440" w:right="419" w:bottom="1440" w:gutter="0" w:footer="0" w:header="0"/>
          <w:type w:val="continuous"/>
        </w:sectPr>
      </w:pPr>
    </w:p>
    <w:p>
      <w:pPr>
        <w:spacing w:after="0"/>
        <w:tabs>
          <w:tab w:leader="none" w:pos="5720" w:val="left"/>
        </w:tabs>
        <w:rPr>
          <w:sz w:val="20"/>
          <w:szCs w:val="20"/>
          <w:color w:val="auto"/>
        </w:rPr>
      </w:pPr>
      <w:r>
        <w:rPr>
          <w:rFonts w:ascii="Arial" w:cs="Arial" w:eastAsia="Arial" w:hAnsi="Arial"/>
          <w:sz w:val="17"/>
          <w:szCs w:val="17"/>
          <w:b w:val="1"/>
          <w:bCs w:val="1"/>
          <w:i w:val="1"/>
          <w:iCs w:val="1"/>
          <w:color w:val="FFFFFF"/>
        </w:rPr>
        <w:t>Key Audit Matters</w:t>
      </w:r>
      <w:r>
        <w:rPr>
          <w:sz w:val="20"/>
          <w:szCs w:val="20"/>
          <w:color w:val="auto"/>
        </w:rPr>
        <w:tab/>
      </w:r>
      <w:r>
        <w:rPr>
          <w:rFonts w:ascii="Arial" w:cs="Arial" w:eastAsia="Arial" w:hAnsi="Arial"/>
          <w:sz w:val="17"/>
          <w:szCs w:val="17"/>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7138035" cy="139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of the mathematical reserves for annuities (Notes 3 e, 16 and 34.6 to the consolidated financial statements)</w:t>
      </w:r>
    </w:p>
    <w:p>
      <w:pPr>
        <w:sectPr>
          <w:pgSz w:w="11900" w:h="16838" w:orient="portrait"/>
          <w:cols w:equalWidth="0" w:num="1">
            <w:col w:w="11160"/>
          </w:cols>
          <w:pgMar w:left="320" w:top="1440" w:right="419" w:bottom="1440" w:gutter="0" w:footer="0" w:header="0"/>
          <w:type w:val="continuous"/>
        </w:sectPr>
      </w:pPr>
    </w:p>
    <w:p>
      <w:pPr>
        <w:spacing w:after="0" w:line="215" w:lineRule="exact"/>
        <w:rPr>
          <w:sz w:val="20"/>
          <w:szCs w:val="20"/>
          <w:color w:val="auto"/>
        </w:rPr>
      </w:pPr>
    </w:p>
    <w:p>
      <w:pPr>
        <w:ind w:right="420" w:hanging="1"/>
        <w:spacing w:after="0" w:line="254" w:lineRule="auto"/>
        <w:rPr>
          <w:sz w:val="20"/>
          <w:szCs w:val="20"/>
          <w:color w:val="auto"/>
        </w:rPr>
      </w:pPr>
      <w:r>
        <w:rPr>
          <w:rFonts w:ascii="Arial" w:cs="Arial" w:eastAsia="Arial" w:hAnsi="Arial"/>
          <w:sz w:val="17"/>
          <w:szCs w:val="17"/>
          <w:color w:val="auto"/>
        </w:rPr>
        <w:t>The amount recognized as mathematical reserves for annuities is S/6,254 million as of December 31, 2022.</w:t>
      </w:r>
    </w:p>
    <w:p>
      <w:pPr>
        <w:spacing w:after="0" w:line="169" w:lineRule="exact"/>
        <w:rPr>
          <w:sz w:val="20"/>
          <w:szCs w:val="20"/>
          <w:color w:val="auto"/>
        </w:rPr>
      </w:pPr>
    </w:p>
    <w:p>
      <w:pPr>
        <w:ind w:right="40" w:hanging="1"/>
        <w:spacing w:after="0" w:line="243" w:lineRule="auto"/>
        <w:rPr>
          <w:sz w:val="20"/>
          <w:szCs w:val="20"/>
          <w:color w:val="auto"/>
        </w:rPr>
      </w:pPr>
      <w:r>
        <w:rPr>
          <w:rFonts w:ascii="Arial" w:cs="Arial" w:eastAsia="Arial" w:hAnsi="Arial"/>
          <w:sz w:val="17"/>
          <w:szCs w:val="17"/>
          <w:color w:val="auto"/>
        </w:rPr>
        <w:t>The valuation of the Group’s mathematical reserves depends on some key subjective assumptions regarding future events. The valuation of the liabilities generated by insurance contracts is made based on the actuarial assumptions and data used in the calculation.</w:t>
      </w:r>
    </w:p>
    <w:p>
      <w:pPr>
        <w:spacing w:after="0" w:line="180" w:lineRule="exact"/>
        <w:rPr>
          <w:sz w:val="20"/>
          <w:szCs w:val="20"/>
          <w:color w:val="auto"/>
        </w:rPr>
      </w:pPr>
    </w:p>
    <w:p>
      <w:pPr>
        <w:ind w:right="40" w:hanging="1"/>
        <w:spacing w:after="0" w:line="243" w:lineRule="auto"/>
        <w:rPr>
          <w:sz w:val="20"/>
          <w:szCs w:val="20"/>
          <w:color w:val="auto"/>
        </w:rPr>
      </w:pPr>
      <w:r>
        <w:rPr>
          <w:rFonts w:ascii="Arial" w:cs="Arial" w:eastAsia="Arial" w:hAnsi="Arial"/>
          <w:sz w:val="17"/>
          <w:szCs w:val="17"/>
          <w:color w:val="auto"/>
        </w:rPr>
        <w:t>Some of the key actuarial economic assumptions used in the valuation of the mathematical reserves for annuities are critical and include, among others, the discount rate, and the life expectancy of the population.</w:t>
      </w:r>
    </w:p>
    <w:p>
      <w:pPr>
        <w:spacing w:after="0" w:line="180" w:lineRule="exact"/>
        <w:rPr>
          <w:sz w:val="20"/>
          <w:szCs w:val="20"/>
          <w:color w:val="auto"/>
        </w:rPr>
      </w:pPr>
    </w:p>
    <w:p>
      <w:pPr>
        <w:ind w:hanging="1"/>
        <w:spacing w:after="0" w:line="243" w:lineRule="auto"/>
        <w:rPr>
          <w:sz w:val="20"/>
          <w:szCs w:val="20"/>
          <w:color w:val="auto"/>
        </w:rPr>
      </w:pPr>
      <w:r>
        <w:rPr>
          <w:rFonts w:ascii="Arial" w:cs="Arial" w:eastAsia="Arial" w:hAnsi="Arial"/>
          <w:sz w:val="17"/>
          <w:szCs w:val="17"/>
          <w:color w:val="auto"/>
        </w:rPr>
        <w:t>Changes in each of these key assumptions could result in significant impacts in the valuation of the obligations for those insurance contracts and the respective impacts presented in the consolidated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35032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03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60" w:hanging="1"/>
        <w:spacing w:after="0" w:line="238" w:lineRule="auto"/>
        <w:rPr>
          <w:sz w:val="20"/>
          <w:szCs w:val="20"/>
          <w:color w:val="auto"/>
        </w:rPr>
      </w:pPr>
      <w:r>
        <w:rPr>
          <w:rFonts w:ascii="Arial" w:cs="Arial" w:eastAsia="Arial" w:hAnsi="Arial"/>
          <w:sz w:val="17"/>
          <w:szCs w:val="17"/>
          <w:color w:val="auto"/>
        </w:rPr>
        <w:t>With the participation of systems audit specialists, we obtained an understanding and tested key controls in the processes of determining mathematical reserves for annuities and the related processes, to analyze the data used in the calculations.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With the involvement of our actuarial experts we:</w:t>
      </w:r>
    </w:p>
    <w:p>
      <w:pPr>
        <w:spacing w:after="0" w:line="193" w:lineRule="exact"/>
        <w:rPr>
          <w:sz w:val="20"/>
          <w:szCs w:val="20"/>
          <w:color w:val="auto"/>
        </w:rPr>
      </w:pPr>
    </w:p>
    <w:p>
      <w:pPr>
        <w:ind w:left="320" w:right="20" w:hanging="319"/>
        <w:spacing w:after="0" w:line="238" w:lineRule="auto"/>
        <w:tabs>
          <w:tab w:leader="none" w:pos="305" w:val="left"/>
        </w:tabs>
        <w:numPr>
          <w:ilvl w:val="0"/>
          <w:numId w:val="7"/>
        </w:numPr>
        <w:rPr>
          <w:rFonts w:ascii="Arial" w:cs="Arial" w:eastAsia="Arial" w:hAnsi="Arial"/>
          <w:sz w:val="17"/>
          <w:szCs w:val="17"/>
          <w:color w:val="auto"/>
        </w:rPr>
      </w:pPr>
      <w:r>
        <w:rPr>
          <w:rFonts w:ascii="Arial" w:cs="Arial" w:eastAsia="Arial" w:hAnsi="Arial"/>
          <w:sz w:val="17"/>
          <w:szCs w:val="17"/>
          <w:color w:val="auto"/>
        </w:rPr>
        <w:t>Obtained an understanding of the judgments and criteria applied in determining the key actuarial and economic assumptions used in the calculation of the mathematical reserves for annuities, through inquiries with Management.</w:t>
      </w:r>
    </w:p>
    <w:p>
      <w:pPr>
        <w:spacing w:after="0" w:line="1" w:lineRule="exact"/>
        <w:rPr>
          <w:rFonts w:ascii="Arial" w:cs="Arial" w:eastAsia="Arial" w:hAnsi="Arial"/>
          <w:sz w:val="17"/>
          <w:szCs w:val="17"/>
          <w:color w:val="auto"/>
        </w:rPr>
      </w:pPr>
    </w:p>
    <w:p>
      <w:pPr>
        <w:ind w:left="320" w:right="920" w:hanging="319"/>
        <w:spacing w:after="0" w:line="238" w:lineRule="auto"/>
        <w:tabs>
          <w:tab w:leader="none" w:pos="302" w:val="left"/>
        </w:tabs>
        <w:numPr>
          <w:ilvl w:val="0"/>
          <w:numId w:val="7"/>
        </w:numPr>
        <w:rPr>
          <w:rFonts w:ascii="Arial" w:cs="Arial" w:eastAsia="Arial" w:hAnsi="Arial"/>
          <w:sz w:val="17"/>
          <w:szCs w:val="17"/>
          <w:color w:val="auto"/>
        </w:rPr>
      </w:pPr>
      <w:r>
        <w:rPr>
          <w:rFonts w:ascii="Arial" w:cs="Arial" w:eastAsia="Arial" w:hAnsi="Arial"/>
          <w:sz w:val="17"/>
          <w:szCs w:val="17"/>
          <w:color w:val="auto"/>
        </w:rPr>
        <w:t>Test the key controls related to the determination of the assumptions and the methodology of the calculation.</w:t>
      </w:r>
    </w:p>
    <w:p>
      <w:pPr>
        <w:ind w:left="320" w:right="160" w:hanging="319"/>
        <w:spacing w:after="0" w:line="246" w:lineRule="auto"/>
        <w:tabs>
          <w:tab w:leader="none" w:pos="305" w:val="left"/>
        </w:tabs>
        <w:numPr>
          <w:ilvl w:val="0"/>
          <w:numId w:val="7"/>
        </w:numPr>
        <w:rPr>
          <w:rFonts w:ascii="Arial" w:cs="Arial" w:eastAsia="Arial" w:hAnsi="Arial"/>
          <w:sz w:val="17"/>
          <w:szCs w:val="17"/>
          <w:color w:val="auto"/>
        </w:rPr>
      </w:pPr>
      <w:r>
        <w:rPr>
          <w:rFonts w:ascii="Arial" w:cs="Arial" w:eastAsia="Arial" w:hAnsi="Arial"/>
          <w:sz w:val="17"/>
          <w:szCs w:val="17"/>
          <w:color w:val="auto"/>
        </w:rPr>
        <w:t>Sensitize the key actuarial and economic assumptions, to assess the possible impact of changes in these assumptions on the calculation of the mathematical reserves for 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358775</wp:posOffset>
            </wp:positionV>
            <wp:extent cx="36347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84" w:lineRule="exact"/>
        <w:rPr>
          <w:sz w:val="20"/>
          <w:szCs w:val="20"/>
          <w:color w:val="auto"/>
        </w:rPr>
      </w:pPr>
    </w:p>
    <w:p>
      <w:pPr>
        <w:sectPr>
          <w:pgSz w:w="11900" w:h="16838" w:orient="portrait"/>
          <w:cols w:equalWidth="0" w:num="2">
            <w:col w:w="5420" w:space="320"/>
            <w:col w:w="5420"/>
          </w:cols>
          <w:pgMar w:left="320" w:top="1440" w:right="419" w:bottom="1440" w:gutter="0" w:footer="0" w:header="0"/>
          <w:type w:val="continuous"/>
        </w:sectPr>
      </w:pP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13803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0" w:name="page11"/>
    <w:bookmarkEnd w:id="10"/>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052830" cy="830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52830" cy="830580"/>
                    </a:xfrm>
                    <a:prstGeom prst="rect">
                      <a:avLst/>
                    </a:prstGeom>
                    <a:noFill/>
                  </pic:spPr>
                </pic:pic>
              </a:graphicData>
            </a:graphic>
          </wp:anchor>
        </w:drawing>
      </w:r>
    </w:p>
    <w:p>
      <w:pPr>
        <w:spacing w:after="0"/>
        <w:tabs>
          <w:tab w:leader="none" w:pos="5720" w:val="left"/>
        </w:tabs>
        <w:rPr>
          <w:sz w:val="20"/>
          <w:szCs w:val="20"/>
          <w:color w:val="auto"/>
        </w:rPr>
      </w:pPr>
      <w:r>
        <w:rPr>
          <w:rFonts w:ascii="Arial" w:cs="Arial" w:eastAsia="Arial" w:hAnsi="Arial"/>
          <w:sz w:val="17"/>
          <w:szCs w:val="17"/>
          <w:b w:val="1"/>
          <w:bCs w:val="1"/>
          <w:i w:val="1"/>
          <w:iCs w:val="1"/>
          <w:color w:val="FFFFFF"/>
        </w:rPr>
        <w:t>Key Audit Matters</w:t>
      </w:r>
      <w:r>
        <w:rPr>
          <w:sz w:val="20"/>
          <w:szCs w:val="20"/>
          <w:color w:val="auto"/>
        </w:rPr>
        <w:tab/>
      </w:r>
      <w:r>
        <w:rPr>
          <w:rFonts w:ascii="Arial" w:cs="Arial" w:eastAsia="Arial" w:hAnsi="Arial"/>
          <w:sz w:val="17"/>
          <w:szCs w:val="17"/>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7138035" cy="139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Considering the above, this is a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369570</wp:posOffset>
            </wp:positionV>
            <wp:extent cx="35032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03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319" w:right="260" w:hanging="319"/>
        <w:spacing w:after="0" w:line="246" w:lineRule="auto"/>
        <w:tabs>
          <w:tab w:leader="none" w:pos="30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Independently review the reasonableness and consistency of the main actuarial and economic assumptions, through comparable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112395</wp:posOffset>
            </wp:positionV>
            <wp:extent cx="36347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1" w:space="720"/>
            <w:col w:w="5499"/>
          </w:cols>
          <w:pgMar w:left="320" w:top="1440" w:right="3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15" w:lineRule="exact"/>
        <w:rPr>
          <w:sz w:val="20"/>
          <w:szCs w:val="20"/>
          <w:color w:val="auto"/>
        </w:rPr>
      </w:pPr>
    </w:p>
    <w:p>
      <w:pPr>
        <w:jc w:val="both"/>
        <w:ind w:hanging="1"/>
        <w:spacing w:after="0" w:line="246" w:lineRule="auto"/>
        <w:rPr>
          <w:sz w:val="20"/>
          <w:szCs w:val="20"/>
          <w:color w:val="auto"/>
        </w:rPr>
      </w:pPr>
      <w:r>
        <w:rPr>
          <w:rFonts w:ascii="Arial" w:cs="Arial" w:eastAsia="Arial" w:hAnsi="Arial"/>
          <w:sz w:val="17"/>
          <w:szCs w:val="17"/>
          <w:color w:val="auto"/>
        </w:rPr>
        <w:t>Management is responsible for the other information. The other information comprises the Annual report required by the Peruvian Superintendencia del Mercado de Valores - ‘SMV’ for its Spanish acronym, but does not include the financial statements and our auditor opinion thereon, which is expected to be made available to us after the date of the audit opinion.</w:t>
      </w:r>
    </w:p>
    <w:p>
      <w:pPr>
        <w:spacing w:after="0" w:line="176" w:lineRule="exact"/>
        <w:rPr>
          <w:sz w:val="20"/>
          <w:szCs w:val="20"/>
          <w:color w:val="auto"/>
        </w:rPr>
      </w:pPr>
    </w:p>
    <w:p>
      <w:pPr>
        <w:jc w:val="both"/>
        <w:ind w:hanging="1"/>
        <w:spacing w:after="0" w:line="254" w:lineRule="auto"/>
        <w:rPr>
          <w:sz w:val="20"/>
          <w:szCs w:val="20"/>
          <w:color w:val="auto"/>
        </w:rPr>
      </w:pPr>
      <w:r>
        <w:rPr>
          <w:rFonts w:ascii="Arial" w:cs="Arial" w:eastAsia="Arial" w:hAnsi="Arial"/>
          <w:sz w:val="17"/>
          <w:szCs w:val="17"/>
          <w:color w:val="auto"/>
        </w:rPr>
        <w:t>Our opinion on the consolidated financial statements does not cover the other information and we do not and will not express any form of assurance conclusion thereon.</w:t>
      </w:r>
    </w:p>
    <w:p>
      <w:pPr>
        <w:spacing w:after="0" w:line="169" w:lineRule="exact"/>
        <w:rPr>
          <w:sz w:val="20"/>
          <w:szCs w:val="20"/>
          <w:color w:val="auto"/>
        </w:rPr>
      </w:pPr>
    </w:p>
    <w:p>
      <w:pPr>
        <w:jc w:val="both"/>
        <w:ind w:hanging="1"/>
        <w:spacing w:after="0" w:line="246" w:lineRule="auto"/>
        <w:rPr>
          <w:sz w:val="20"/>
          <w:szCs w:val="20"/>
          <w:color w:val="auto"/>
        </w:rPr>
      </w:pPr>
      <w:r>
        <w:rPr>
          <w:rFonts w:ascii="Arial" w:cs="Arial" w:eastAsia="Arial" w:hAnsi="Arial"/>
          <w:sz w:val="17"/>
          <w:szCs w:val="17"/>
          <w:color w:val="auto"/>
        </w:rPr>
        <w:t>In connection with our audit of the financial statements, our responsibility is to read the other information identified above and, in doing so, consider whether the other information is materially inconsistent with the financial statements, or our knowledge obtained in the audit, or otherwise appears to be materially misstated.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If, based on the work we have performed, we conclude that there is a material misstatement therein, we are required to communicate the matter to those charged with governance of the Group.</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 of management and those charged with corporate governance for the consolidated financial statements</w:t>
      </w:r>
    </w:p>
    <w:p>
      <w:pPr>
        <w:spacing w:after="0" w:line="215" w:lineRule="exact"/>
        <w:rPr>
          <w:sz w:val="20"/>
          <w:szCs w:val="20"/>
          <w:color w:val="auto"/>
        </w:rPr>
      </w:pPr>
    </w:p>
    <w:p>
      <w:pPr>
        <w:jc w:val="both"/>
        <w:ind w:hanging="1"/>
        <w:spacing w:after="0" w:line="243"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the International Financial Reporting Standards (IFRS) issued by the International Accounting Standards Board (IASB), and for such internal control as management determines is necessary to enable the preparation of consolidated financial statements that are free from material misstatement, whether due to fraud or error.</w:t>
      </w:r>
    </w:p>
    <w:p>
      <w:pPr>
        <w:spacing w:after="0" w:line="180" w:lineRule="exact"/>
        <w:rPr>
          <w:sz w:val="20"/>
          <w:szCs w:val="20"/>
          <w:color w:val="auto"/>
        </w:rPr>
      </w:pPr>
    </w:p>
    <w:p>
      <w:pPr>
        <w:jc w:val="both"/>
        <w:ind w:hanging="1"/>
        <w:spacing w:after="0" w:line="246" w:lineRule="auto"/>
        <w:rPr>
          <w:sz w:val="20"/>
          <w:szCs w:val="20"/>
          <w:color w:val="auto"/>
        </w:rPr>
      </w:pPr>
      <w:r>
        <w:rPr>
          <w:rFonts w:ascii="Arial" w:cs="Arial" w:eastAsia="Arial" w:hAnsi="Arial"/>
          <w:sz w:val="17"/>
          <w:szCs w:val="17"/>
          <w:color w:val="auto"/>
        </w:rPr>
        <w:t>In preparing the consolidated financial statements, Management is responsible for assessing the Group’s ability to continue as a going concern, disclosing, as applicable, the matters related to going concern and using the going concern basis of accounting unless management either intends to liquidate the Group or cease operations, or has no realistic alternative but to do so.</w:t>
      </w:r>
    </w:p>
    <w:p>
      <w:pPr>
        <w:spacing w:after="0" w:line="176" w:lineRule="exact"/>
        <w:rPr>
          <w:sz w:val="20"/>
          <w:szCs w:val="20"/>
          <w:color w:val="auto"/>
        </w:rPr>
      </w:pPr>
    </w:p>
    <w:p>
      <w:pPr>
        <w:ind w:right="660"/>
        <w:spacing w:after="0" w:line="477" w:lineRule="auto"/>
        <w:rPr>
          <w:sz w:val="20"/>
          <w:szCs w:val="20"/>
          <w:color w:val="auto"/>
        </w:rPr>
      </w:pPr>
      <w:r>
        <w:rPr>
          <w:rFonts w:ascii="Arial" w:cs="Arial" w:eastAsia="Arial" w:hAnsi="Arial"/>
          <w:sz w:val="17"/>
          <w:szCs w:val="17"/>
          <w:color w:val="auto"/>
        </w:rPr>
        <w:t xml:space="preserve">Those charged with corporate governance of the Group are responsible for overseeing the Group’s financial reporting preparation process. </w:t>
      </w:r>
      <w:r>
        <w:rPr>
          <w:rFonts w:ascii="Arial" w:cs="Arial" w:eastAsia="Arial" w:hAnsi="Arial"/>
          <w:sz w:val="17"/>
          <w:szCs w:val="17"/>
          <w:b w:val="1"/>
          <w:bCs w:val="1"/>
          <w:color w:val="auto"/>
        </w:rPr>
        <w:t>Auditor’s responsibilities for the audit of the consolidated financial statements</w:t>
      </w:r>
    </w:p>
    <w:p>
      <w:pPr>
        <w:jc w:val="both"/>
        <w:ind w:hanging="1"/>
        <w:spacing w:after="0" w:line="242" w:lineRule="auto"/>
        <w:rPr>
          <w:sz w:val="20"/>
          <w:szCs w:val="20"/>
          <w:color w:val="auto"/>
        </w:rPr>
      </w:pPr>
      <w:r>
        <w:rPr>
          <w:rFonts w:ascii="Arial" w:cs="Arial" w:eastAsia="Arial" w:hAnsi="Arial"/>
          <w:sz w:val="17"/>
          <w:szCs w:val="17"/>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ISAs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052830" cy="830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052830" cy="830580"/>
                    </a:xfrm>
                    <a:prstGeom prst="rect">
                      <a:avLst/>
                    </a:prstGeom>
                    <a:noFill/>
                  </pic:spPr>
                </pic:pic>
              </a:graphicData>
            </a:graphic>
          </wp:anchor>
        </w:drawing>
      </w:r>
    </w:p>
    <w:p>
      <w:pPr>
        <w:ind w:hanging="1"/>
        <w:spacing w:after="0" w:line="247" w:lineRule="auto"/>
        <w:rPr>
          <w:sz w:val="20"/>
          <w:szCs w:val="20"/>
          <w:color w:val="auto"/>
        </w:rPr>
      </w:pPr>
      <w:r>
        <w:rPr>
          <w:rFonts w:ascii="Arial" w:cs="Arial" w:eastAsia="Arial" w:hAnsi="Arial"/>
          <w:sz w:val="17"/>
          <w:szCs w:val="17"/>
          <w:color w:val="auto"/>
        </w:rPr>
        <w:t>As part of an audit in accordance with ISAs, we exercise professional judgment and maintain professional scepticism throughout the audit. We also:</w:t>
      </w:r>
    </w:p>
    <w:p>
      <w:pPr>
        <w:spacing w:after="0" w:line="382" w:lineRule="exact"/>
        <w:rPr>
          <w:sz w:val="20"/>
          <w:szCs w:val="20"/>
          <w:color w:val="auto"/>
        </w:rPr>
      </w:pPr>
    </w:p>
    <w:p>
      <w:pPr>
        <w:ind w:left="320" w:right="180" w:hanging="316"/>
        <w:spacing w:after="0" w:line="238"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Identify and assess the risks of material misstatement of the consolidated financial statements, whether due to fraud or error; and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 w:lineRule="exact"/>
        <w:rPr>
          <w:rFonts w:ascii="Arial" w:cs="Arial" w:eastAsia="Arial" w:hAnsi="Arial"/>
          <w:sz w:val="17"/>
          <w:szCs w:val="17"/>
          <w:color w:val="auto"/>
        </w:rPr>
      </w:pPr>
    </w:p>
    <w:p>
      <w:pPr>
        <w:ind w:left="320" w:right="160" w:hanging="316"/>
        <w:spacing w:after="0" w:line="238"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 an understanding of internal control relevant to the audit in order to design audit procedures that are appropriate in the circumstances, but not for the purpose of expressing an opinion on the effectiveness of the Group´s internal control.</w:t>
      </w:r>
    </w:p>
    <w:p>
      <w:pPr>
        <w:ind w:left="320" w:right="280" w:hanging="316"/>
        <w:spacing w:after="0" w:line="238"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Evaluate the appropriateness of accounting policies used and the reasonableness of accounting estimates and related disclosures made by management.</w:t>
      </w:r>
    </w:p>
    <w:p>
      <w:pPr>
        <w:ind w:left="320" w:right="100" w:hanging="316"/>
        <w:spacing w:after="0" w:line="238"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Concluded on the appropriateness of management’s use of the going concern basis of accounting and, based on the audit evidence obtained, whether a material uncertainty exists related to events or conditions that may cast significant doubt on the Group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Group to cease to continue as a going concern.</w:t>
      </w:r>
    </w:p>
    <w:p>
      <w:pPr>
        <w:spacing w:after="0" w:line="2" w:lineRule="exact"/>
        <w:rPr>
          <w:rFonts w:ascii="Arial" w:cs="Arial" w:eastAsia="Arial" w:hAnsi="Arial"/>
          <w:sz w:val="17"/>
          <w:szCs w:val="17"/>
          <w:color w:val="auto"/>
        </w:rPr>
      </w:pPr>
    </w:p>
    <w:p>
      <w:pPr>
        <w:ind w:left="320" w:right="100" w:hanging="316"/>
        <w:spacing w:after="0" w:line="246"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 sufficient appropriate audit evidence regarding the financial information of the entities or business activities within the Group to express an opinion on the consolidated financial statements. We were responsible for the direction, supervision, and performance of the Group audit. We remain solely responsible for our audit opinion.</w:t>
      </w:r>
    </w:p>
    <w:p>
      <w:pPr>
        <w:spacing w:after="0" w:line="176" w:lineRule="exact"/>
        <w:rPr>
          <w:sz w:val="20"/>
          <w:szCs w:val="20"/>
          <w:color w:val="auto"/>
        </w:rPr>
      </w:pPr>
    </w:p>
    <w:p>
      <w:pPr>
        <w:jc w:val="both"/>
        <w:ind w:hanging="1"/>
        <w:spacing w:after="0" w:line="254" w:lineRule="auto"/>
        <w:rPr>
          <w:sz w:val="20"/>
          <w:szCs w:val="20"/>
          <w:color w:val="auto"/>
        </w:rPr>
      </w:pPr>
      <w:r>
        <w:rPr>
          <w:rFonts w:ascii="Arial" w:cs="Arial" w:eastAsia="Arial" w:hAnsi="Arial"/>
          <w:sz w:val="17"/>
          <w:szCs w:val="17"/>
          <w:color w:val="auto"/>
        </w:rPr>
        <w:t>We communicated with those charged with corporate governance regarding, among other matters, the planned scope and timing of the audit and significant audit findings, including any significant deficiencies in internal control that we identified during our audit.</w:t>
      </w:r>
    </w:p>
    <w:p>
      <w:pPr>
        <w:spacing w:after="0" w:line="169" w:lineRule="exact"/>
        <w:rPr>
          <w:sz w:val="20"/>
          <w:szCs w:val="20"/>
          <w:color w:val="auto"/>
        </w:rPr>
      </w:pPr>
    </w:p>
    <w:p>
      <w:pPr>
        <w:jc w:val="both"/>
        <w:ind w:hanging="1"/>
        <w:spacing w:after="0" w:line="246" w:lineRule="auto"/>
        <w:rPr>
          <w:sz w:val="20"/>
          <w:szCs w:val="20"/>
          <w:color w:val="auto"/>
        </w:rPr>
      </w:pPr>
      <w:r>
        <w:rPr>
          <w:rFonts w:ascii="Arial" w:cs="Arial" w:eastAsia="Arial" w:hAnsi="Arial"/>
          <w:sz w:val="17"/>
          <w:szCs w:val="17"/>
          <w:color w:val="auto"/>
        </w:rPr>
        <w:t>We also provided those charged with corporate governance with a statement that we have complied with relevant ethical requirements regarding independence, and to communicate with them all relationships and other matters that may reasonably be thought to bear on our independence, and where applicable, including the respective safeguards.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052830" cy="830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052830" cy="830580"/>
                    </a:xfrm>
                    <a:prstGeom prst="rect">
                      <a:avLst/>
                    </a:prstGeom>
                    <a:noFill/>
                  </pic:spPr>
                </pic:pic>
              </a:graphicData>
            </a:graphic>
          </wp:anchor>
        </w:drawing>
      </w:r>
    </w:p>
    <w:p>
      <w:pPr>
        <w:jc w:val="both"/>
        <w:spacing w:after="0" w:line="242" w:lineRule="auto"/>
        <w:rPr>
          <w:sz w:val="20"/>
          <w:szCs w:val="20"/>
          <w:color w:val="auto"/>
        </w:rPr>
      </w:pPr>
      <w:r>
        <w:rPr>
          <w:rFonts w:ascii="Arial" w:cs="Arial" w:eastAsia="Arial" w:hAnsi="Arial"/>
          <w:sz w:val="17"/>
          <w:szCs w:val="17"/>
          <w:color w:val="auto"/>
        </w:rPr>
        <w:t>From the matters communicated with those charged with corporate governance, we determined those matters that were of most significance in the audit of the consolidated financial statements of the current period and are therefore the key audit matters. We have described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Lima, February 23, 2023</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 Gaveglio, Aparicio y Asociados S.C.R.L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Countersigned by</w:t>
      </w:r>
    </w:p>
    <w:p>
      <w:pPr>
        <w:spacing w:after="0" w:line="193"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color w:val="auto"/>
        </w:rPr>
        <w:t>/s/ Gustavo Villafana</w:t>
      </w:r>
      <w:r>
        <w:rPr>
          <w:sz w:val="20"/>
          <w:szCs w:val="20"/>
          <w:color w:val="auto"/>
        </w:rPr>
        <w:tab/>
      </w:r>
      <w:r>
        <w:rPr>
          <w:rFonts w:ascii="Arial" w:cs="Arial" w:eastAsia="Arial" w:hAnsi="Arial"/>
          <w:sz w:val="17"/>
          <w:szCs w:val="17"/>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43065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30655" cy="165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Gustavo Villafana</w:t>
      </w:r>
    </w:p>
    <w:p>
      <w:pPr>
        <w:spacing w:after="0" w:line="238" w:lineRule="auto"/>
        <w:rPr>
          <w:sz w:val="20"/>
          <w:szCs w:val="20"/>
          <w:color w:val="auto"/>
        </w:rPr>
      </w:pPr>
      <w:r>
        <w:rPr>
          <w:rFonts w:ascii="Arial" w:cs="Arial" w:eastAsia="Arial" w:hAnsi="Arial"/>
          <w:sz w:val="17"/>
          <w:szCs w:val="17"/>
          <w:color w:val="auto"/>
        </w:rPr>
        <w:t>Peruvian Public Accountant</w:t>
      </w:r>
    </w:p>
    <w:p>
      <w:pPr>
        <w:spacing w:after="0"/>
        <w:rPr>
          <w:sz w:val="20"/>
          <w:szCs w:val="20"/>
          <w:color w:val="auto"/>
        </w:rPr>
      </w:pPr>
      <w:r>
        <w:rPr>
          <w:rFonts w:ascii="Arial" w:cs="Arial" w:eastAsia="Arial" w:hAnsi="Arial"/>
          <w:sz w:val="17"/>
          <w:szCs w:val="17"/>
          <w:color w:val="auto"/>
        </w:rPr>
        <w:t>Registration No.46192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(Free translation from the original in Spanish)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215" w:lineRule="exact"/>
        <w:rPr>
          <w:sz w:val="20"/>
          <w:szCs w:val="20"/>
          <w:color w:val="auto"/>
        </w:rPr>
      </w:pPr>
    </w:p>
    <w:p>
      <w:pPr>
        <w:ind w:right="860"/>
        <w:spacing w:after="0" w:line="254" w:lineRule="auto"/>
        <w:rPr>
          <w:sz w:val="20"/>
          <w:szCs w:val="20"/>
          <w:color w:val="auto"/>
        </w:rPr>
      </w:pPr>
      <w:r>
        <w:rPr>
          <w:rFonts w:ascii="Arial" w:cs="Arial" w:eastAsia="Arial" w:hAnsi="Arial"/>
          <w:sz w:val="17"/>
          <w:szCs w:val="17"/>
          <w:color w:val="auto"/>
        </w:rPr>
        <w:t>CONSOLIDATED STATEMENT OF FINANCIAL POSITION AS OF DECEMBER 31, 2022 AND 2021</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1080" w:type="dxa"/>
            <w:vAlign w:val="bottom"/>
          </w:tcPr>
          <w:p>
            <w:pPr>
              <w:ind w:left="340"/>
              <w:spacing w:after="0"/>
              <w:rPr>
                <w:sz w:val="20"/>
                <w:szCs w:val="20"/>
                <w:color w:val="auto"/>
              </w:rPr>
            </w:pPr>
            <w:r>
              <w:rPr>
                <w:rFonts w:ascii="Arial" w:cs="Arial" w:eastAsia="Arial" w:hAnsi="Arial"/>
                <w:sz w:val="17"/>
                <w:szCs w:val="17"/>
                <w:b w:val="1"/>
                <w:bCs w:val="1"/>
                <w:color w:val="auto"/>
              </w:rPr>
              <w:t>Note</w:t>
            </w: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60" w:type="dxa"/>
            <w:vAlign w:val="bottom"/>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3"/>
        </w:trPr>
        <w:tc>
          <w:tcPr>
            <w:tcW w:w="204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08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6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71"/>
        </w:trPr>
        <w:tc>
          <w:tcPr>
            <w:tcW w:w="20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040" w:type="dxa"/>
            <w:vAlign w:val="bottom"/>
          </w:tcPr>
          <w:p>
            <w:pPr>
              <w:spacing w:after="0"/>
              <w:rPr>
                <w:sz w:val="20"/>
                <w:szCs w:val="20"/>
                <w:color w:val="auto"/>
              </w:rPr>
            </w:pPr>
            <w:r>
              <w:rPr>
                <w:rFonts w:ascii="Arial" w:cs="Arial" w:eastAsia="Arial" w:hAnsi="Arial"/>
                <w:sz w:val="17"/>
                <w:szCs w:val="17"/>
                <w:color w:val="auto"/>
              </w:rPr>
              <w:t>Cash and due from</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banks:</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Non-interest-bearing</w:t>
            </w:r>
          </w:p>
        </w:tc>
        <w:tc>
          <w:tcPr>
            <w:tcW w:w="10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7,286,624</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6,925,332</w:t>
            </w: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Arial" w:cs="Arial" w:eastAsia="Arial" w:hAnsi="Arial"/>
                <w:sz w:val="17"/>
                <w:szCs w:val="17"/>
                <w:color w:val="auto"/>
              </w:rPr>
              <w:t>Interest-bearing</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rPr>
              <w:t>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26,897,216</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32,395,408</w:t>
            </w: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34,183,840</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39,320,740</w:t>
            </w:r>
          </w:p>
        </w:tc>
        <w:tc>
          <w:tcPr>
            <w:tcW w:w="0" w:type="dxa"/>
            <w:vAlign w:val="bottom"/>
          </w:tcPr>
          <w:p>
            <w:pPr>
              <w:spacing w:after="0"/>
              <w:rPr>
                <w:sz w:val="1"/>
                <w:szCs w:val="1"/>
                <w:color w:val="auto"/>
              </w:rPr>
            </w:pPr>
          </w:p>
        </w:tc>
      </w:tr>
      <w:tr>
        <w:trPr>
          <w:trHeight w:val="374"/>
        </w:trPr>
        <w:tc>
          <w:tcPr>
            <w:tcW w:w="2040" w:type="dxa"/>
            <w:vAlign w:val="bottom"/>
          </w:tcPr>
          <w:p>
            <w:pPr>
              <w:spacing w:after="0"/>
              <w:rPr>
                <w:sz w:val="20"/>
                <w:szCs w:val="20"/>
                <w:color w:val="auto"/>
              </w:rPr>
            </w:pPr>
            <w:r>
              <w:rPr>
                <w:rFonts w:ascii="Arial" w:cs="Arial" w:eastAsia="Arial" w:hAnsi="Arial"/>
                <w:sz w:val="17"/>
                <w:szCs w:val="17"/>
                <w:color w:val="auto"/>
              </w:rPr>
              <w:t>Cash collateral, reverse</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repurchase agreements</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Arial" w:cs="Arial" w:eastAsia="Arial" w:hAnsi="Arial"/>
                <w:sz w:val="17"/>
                <w:szCs w:val="17"/>
                <w:color w:val="auto"/>
              </w:rPr>
              <w:t>and securities borrowing</w:t>
            </w: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5(a)</w:t>
            </w:r>
          </w:p>
        </w:tc>
        <w:tc>
          <w:tcPr>
            <w:tcW w:w="1080" w:type="dxa"/>
            <w:vAlign w:val="bottom"/>
          </w:tcPr>
          <w:p>
            <w:pPr>
              <w:jc w:val="right"/>
              <w:spacing w:after="0"/>
              <w:rPr>
                <w:sz w:val="20"/>
                <w:szCs w:val="20"/>
                <w:color w:val="auto"/>
              </w:rPr>
            </w:pPr>
            <w:r>
              <w:rPr>
                <w:rFonts w:ascii="Arial" w:cs="Arial" w:eastAsia="Arial" w:hAnsi="Arial"/>
                <w:sz w:val="17"/>
                <w:szCs w:val="17"/>
                <w:color w:val="auto"/>
              </w:rPr>
              <w:t>1,101,856</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1,766,948</w:t>
            </w:r>
          </w:p>
        </w:tc>
        <w:tc>
          <w:tcPr>
            <w:tcW w:w="0" w:type="dxa"/>
            <w:vAlign w:val="bottom"/>
          </w:tcPr>
          <w:p>
            <w:pPr>
              <w:spacing w:after="0"/>
              <w:rPr>
                <w:sz w:val="1"/>
                <w:szCs w:val="1"/>
                <w:color w:val="auto"/>
              </w:rPr>
            </w:pPr>
          </w:p>
        </w:tc>
      </w:tr>
      <w:tr>
        <w:trPr>
          <w:trHeight w:val="375"/>
        </w:trPr>
        <w:tc>
          <w:tcPr>
            <w:tcW w:w="2040" w:type="dxa"/>
            <w:vAlign w:val="bottom"/>
          </w:tcPr>
          <w:p>
            <w:pPr>
              <w:spacing w:after="0"/>
              <w:rPr>
                <w:sz w:val="20"/>
                <w:szCs w:val="20"/>
                <w:color w:val="auto"/>
              </w:rPr>
            </w:pPr>
            <w:r>
              <w:rPr>
                <w:rFonts w:ascii="Arial" w:cs="Arial" w:eastAsia="Arial" w:hAnsi="Arial"/>
                <w:sz w:val="17"/>
                <w:szCs w:val="17"/>
                <w:color w:val="auto"/>
              </w:rPr>
              <w:t>Investments:</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At fair value through profit</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Arial" w:cs="Arial" w:eastAsia="Arial" w:hAnsi="Arial"/>
                <w:sz w:val="17"/>
                <w:szCs w:val="17"/>
                <w:color w:val="auto"/>
              </w:rPr>
              <w:t>or loss</w:t>
            </w: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6(a)</w:t>
            </w:r>
          </w:p>
        </w:tc>
        <w:tc>
          <w:tcPr>
            <w:tcW w:w="1080" w:type="dxa"/>
            <w:vAlign w:val="bottom"/>
          </w:tcPr>
          <w:p>
            <w:pPr>
              <w:jc w:val="right"/>
              <w:spacing w:after="0"/>
              <w:rPr>
                <w:sz w:val="20"/>
                <w:szCs w:val="20"/>
                <w:color w:val="auto"/>
              </w:rPr>
            </w:pPr>
            <w:r>
              <w:rPr>
                <w:rFonts w:ascii="Arial" w:cs="Arial" w:eastAsia="Arial" w:hAnsi="Arial"/>
                <w:sz w:val="17"/>
                <w:szCs w:val="17"/>
                <w:color w:val="auto"/>
              </w:rPr>
              <w:t>4,199,334</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5,928,538</w:t>
            </w:r>
          </w:p>
        </w:tc>
        <w:tc>
          <w:tcPr>
            <w:tcW w:w="0" w:type="dxa"/>
            <w:vAlign w:val="bottom"/>
          </w:tcPr>
          <w:p>
            <w:pPr>
              <w:spacing w:after="0"/>
              <w:rPr>
                <w:sz w:val="1"/>
                <w:szCs w:val="1"/>
                <w:color w:val="auto"/>
              </w:rPr>
            </w:pPr>
          </w:p>
        </w:tc>
      </w:tr>
      <w:tr>
        <w:trPr>
          <w:trHeight w:val="375"/>
        </w:trPr>
        <w:tc>
          <w:tcPr>
            <w:tcW w:w="2040" w:type="dxa"/>
            <w:vAlign w:val="bottom"/>
          </w:tcPr>
          <w:p>
            <w:pPr>
              <w:spacing w:after="0"/>
              <w:rPr>
                <w:sz w:val="20"/>
                <w:szCs w:val="20"/>
                <w:color w:val="auto"/>
              </w:rPr>
            </w:pPr>
            <w:r>
              <w:rPr>
                <w:rFonts w:ascii="Arial" w:cs="Arial" w:eastAsia="Arial" w:hAnsi="Arial"/>
                <w:sz w:val="17"/>
                <w:szCs w:val="17"/>
                <w:color w:val="auto"/>
              </w:rPr>
              <w:t>At fair value through other</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comprehensive income</w:t>
            </w:r>
          </w:p>
        </w:tc>
        <w:tc>
          <w:tcPr>
            <w:tcW w:w="10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29,678,061</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34,440,091</w:t>
            </w: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At fair value through other</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comprehensive income</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Arial" w:cs="Arial" w:eastAsia="Arial" w:hAnsi="Arial"/>
                <w:sz w:val="17"/>
                <w:szCs w:val="17"/>
                <w:color w:val="auto"/>
              </w:rPr>
              <w:t>pledged as collateral</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9"/>
              </w:rPr>
              <w:t>6(b)</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1,108,100</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318,352</w:t>
            </w: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30,786,161</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34,758,443</w:t>
            </w:r>
          </w:p>
        </w:tc>
        <w:tc>
          <w:tcPr>
            <w:tcW w:w="0" w:type="dxa"/>
            <w:vAlign w:val="bottom"/>
          </w:tcPr>
          <w:p>
            <w:pPr>
              <w:spacing w:after="0"/>
              <w:rPr>
                <w:sz w:val="1"/>
                <w:szCs w:val="1"/>
                <w:color w:val="auto"/>
              </w:rPr>
            </w:pPr>
          </w:p>
        </w:tc>
      </w:tr>
      <w:tr>
        <w:trPr>
          <w:trHeight w:val="374"/>
        </w:trPr>
        <w:tc>
          <w:tcPr>
            <w:tcW w:w="2040" w:type="dxa"/>
            <w:vAlign w:val="bottom"/>
          </w:tcPr>
          <w:p>
            <w:pPr>
              <w:spacing w:after="0"/>
              <w:rPr>
                <w:sz w:val="20"/>
                <w:szCs w:val="20"/>
                <w:color w:val="auto"/>
              </w:rPr>
            </w:pPr>
            <w:r>
              <w:rPr>
                <w:rFonts w:ascii="Arial" w:cs="Arial" w:eastAsia="Arial" w:hAnsi="Arial"/>
                <w:sz w:val="17"/>
                <w:szCs w:val="17"/>
                <w:color w:val="auto"/>
              </w:rPr>
              <w:t>Amortized cost</w:t>
            </w:r>
          </w:p>
        </w:tc>
        <w:tc>
          <w:tcPr>
            <w:tcW w:w="10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6,905,201</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4,411,592</w:t>
            </w: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Amortized cost pledged</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Arial" w:cs="Arial" w:eastAsia="Arial" w:hAnsi="Arial"/>
                <w:sz w:val="17"/>
                <w:szCs w:val="17"/>
                <w:color w:val="auto"/>
              </w:rPr>
              <w:t>as collateral</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rPr>
              <w:t>6(c)</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3,540,528</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3,853,967</w:t>
            </w: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10,445,729</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8,265,559</w:t>
            </w:r>
          </w:p>
        </w:tc>
        <w:tc>
          <w:tcPr>
            <w:tcW w:w="0" w:type="dxa"/>
            <w:vAlign w:val="bottom"/>
          </w:tcPr>
          <w:p>
            <w:pPr>
              <w:spacing w:after="0"/>
              <w:rPr>
                <w:sz w:val="1"/>
                <w:szCs w:val="1"/>
                <w:color w:val="auto"/>
              </w:rPr>
            </w:pPr>
          </w:p>
        </w:tc>
      </w:tr>
      <w:tr>
        <w:trPr>
          <w:trHeight w:val="374"/>
        </w:trPr>
        <w:tc>
          <w:tcPr>
            <w:tcW w:w="2040" w:type="dxa"/>
            <w:vAlign w:val="bottom"/>
          </w:tcPr>
          <w:p>
            <w:pPr>
              <w:spacing w:after="0"/>
              <w:rPr>
                <w:sz w:val="20"/>
                <w:szCs w:val="20"/>
                <w:color w:val="auto"/>
              </w:rPr>
            </w:pPr>
            <w:r>
              <w:rPr>
                <w:rFonts w:ascii="Arial" w:cs="Arial" w:eastAsia="Arial" w:hAnsi="Arial"/>
                <w:sz w:val="17"/>
                <w:szCs w:val="17"/>
                <w:color w:val="auto"/>
              </w:rPr>
              <w:t>Loans, net:</w:t>
            </w:r>
          </w:p>
        </w:tc>
        <w:tc>
          <w:tcPr>
            <w:tcW w:w="1080" w:type="dxa"/>
            <w:vAlign w:val="bottom"/>
          </w:tcPr>
          <w:p>
            <w:pPr>
              <w:jc w:val="center"/>
              <w:spacing w:after="0"/>
              <w:rPr>
                <w:sz w:val="20"/>
                <w:szCs w:val="20"/>
                <w:color w:val="auto"/>
              </w:rPr>
            </w:pPr>
            <w:r>
              <w:rPr>
                <w:rFonts w:ascii="Arial" w:cs="Arial" w:eastAsia="Arial" w:hAnsi="Arial"/>
                <w:sz w:val="17"/>
                <w:szCs w:val="17"/>
                <w:color w:val="auto"/>
              </w:rPr>
              <w:t>7</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Loans, net of unearned</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income</w:t>
            </w:r>
          </w:p>
        </w:tc>
        <w:tc>
          <w:tcPr>
            <w:tcW w:w="10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148,626,374</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147,597,412</w:t>
            </w: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Arial" w:cs="Arial" w:eastAsia="Arial" w:hAnsi="Arial"/>
                <w:sz w:val="17"/>
                <w:szCs w:val="17"/>
                <w:color w:val="auto"/>
              </w:rPr>
              <w:t>Provision for credit losses</w:t>
            </w:r>
          </w:p>
        </w:tc>
        <w:tc>
          <w:tcPr>
            <w:tcW w:w="10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(7,872,402)</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(8,477,308)</w:t>
            </w: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140,753,972</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139,120,104</w:t>
            </w:r>
          </w:p>
        </w:tc>
        <w:tc>
          <w:tcPr>
            <w:tcW w:w="0" w:type="dxa"/>
            <w:vAlign w:val="bottom"/>
          </w:tcPr>
          <w:p>
            <w:pPr>
              <w:spacing w:after="0"/>
              <w:rPr>
                <w:sz w:val="1"/>
                <w:szCs w:val="1"/>
                <w:color w:val="auto"/>
              </w:rPr>
            </w:pPr>
          </w:p>
        </w:tc>
      </w:tr>
      <w:tr>
        <w:trPr>
          <w:trHeight w:val="374"/>
        </w:trPr>
        <w:tc>
          <w:tcPr>
            <w:tcW w:w="2040" w:type="dxa"/>
            <w:vAlign w:val="bottom"/>
          </w:tcPr>
          <w:p>
            <w:pPr>
              <w:spacing w:after="0"/>
              <w:rPr>
                <w:sz w:val="20"/>
                <w:szCs w:val="20"/>
                <w:color w:val="auto"/>
              </w:rPr>
            </w:pPr>
            <w:r>
              <w:rPr>
                <w:rFonts w:ascii="Arial" w:cs="Arial" w:eastAsia="Arial" w:hAnsi="Arial"/>
                <w:sz w:val="17"/>
                <w:szCs w:val="17"/>
                <w:color w:val="auto"/>
              </w:rPr>
              <w:t>Financial assets</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designated at fair value</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through profit or loss</w:t>
            </w:r>
          </w:p>
        </w:tc>
        <w:tc>
          <w:tcPr>
            <w:tcW w:w="1080" w:type="dxa"/>
            <w:vAlign w:val="bottom"/>
          </w:tcPr>
          <w:p>
            <w:pPr>
              <w:jc w:val="center"/>
              <w:spacing w:after="0" w:line="194" w:lineRule="exact"/>
              <w:rPr>
                <w:sz w:val="20"/>
                <w:szCs w:val="20"/>
                <w:color w:val="auto"/>
              </w:rPr>
            </w:pPr>
            <w:r>
              <w:rPr>
                <w:rFonts w:ascii="Arial" w:cs="Arial" w:eastAsia="Arial" w:hAnsi="Arial"/>
                <w:sz w:val="17"/>
                <w:szCs w:val="17"/>
                <w:color w:val="auto"/>
              </w:rPr>
              <w:t>8</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768,801</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987,082</w:t>
            </w: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Premiums and other</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policies receivable</w:t>
            </w:r>
          </w:p>
        </w:tc>
        <w:tc>
          <w:tcPr>
            <w:tcW w:w="1080" w:type="dxa"/>
            <w:vAlign w:val="bottom"/>
          </w:tcPr>
          <w:p>
            <w:pPr>
              <w:jc w:val="center"/>
              <w:spacing w:after="0" w:line="194" w:lineRule="exact"/>
              <w:rPr>
                <w:sz w:val="20"/>
                <w:szCs w:val="20"/>
                <w:color w:val="auto"/>
              </w:rPr>
            </w:pPr>
            <w:r>
              <w:rPr>
                <w:rFonts w:ascii="Arial" w:cs="Arial" w:eastAsia="Arial" w:hAnsi="Arial"/>
                <w:sz w:val="17"/>
                <w:szCs w:val="17"/>
                <w:color w:val="auto"/>
                <w:w w:val="99"/>
              </w:rPr>
              <w:t>9(a)</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913,124</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921,103</w:t>
            </w: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Accounts receivable from</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reinsurers and coinsurers</w:t>
            </w:r>
          </w:p>
        </w:tc>
        <w:tc>
          <w:tcPr>
            <w:tcW w:w="1080" w:type="dxa"/>
            <w:vAlign w:val="bottom"/>
          </w:tcPr>
          <w:p>
            <w:pPr>
              <w:jc w:val="center"/>
              <w:spacing w:after="0" w:line="194" w:lineRule="exact"/>
              <w:rPr>
                <w:sz w:val="20"/>
                <w:szCs w:val="20"/>
                <w:color w:val="auto"/>
              </w:rPr>
            </w:pPr>
            <w:r>
              <w:rPr>
                <w:rFonts w:ascii="Arial" w:cs="Arial" w:eastAsia="Arial" w:hAnsi="Arial"/>
                <w:sz w:val="17"/>
                <w:szCs w:val="17"/>
                <w:color w:val="auto"/>
                <w:w w:val="99"/>
              </w:rPr>
              <w:t>9(b)</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1,106,674</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1,198,379</w:t>
            </w: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Property, furniture and</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equipment, net</w:t>
            </w:r>
          </w:p>
        </w:tc>
        <w:tc>
          <w:tcPr>
            <w:tcW w:w="1080" w:type="dxa"/>
            <w:vAlign w:val="bottom"/>
          </w:tcPr>
          <w:p>
            <w:pPr>
              <w:jc w:val="center"/>
              <w:spacing w:after="0" w:line="194" w:lineRule="exact"/>
              <w:rPr>
                <w:sz w:val="20"/>
                <w:szCs w:val="20"/>
                <w:color w:val="auto"/>
              </w:rPr>
            </w:pPr>
            <w:r>
              <w:rPr>
                <w:rFonts w:ascii="Arial" w:cs="Arial" w:eastAsia="Arial" w:hAnsi="Arial"/>
                <w:sz w:val="17"/>
                <w:szCs w:val="17"/>
                <w:color w:val="auto"/>
                <w:w w:val="94"/>
              </w:rPr>
              <w:t>10</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1,281,098</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1,308,779</w:t>
            </w: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Due from customers on</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banker’s acceptances</w:t>
            </w:r>
          </w:p>
        </w:tc>
        <w:tc>
          <w:tcPr>
            <w:tcW w:w="1080" w:type="dxa"/>
            <w:vAlign w:val="bottom"/>
          </w:tcPr>
          <w:p>
            <w:pPr>
              <w:ind w:left="80"/>
              <w:spacing w:after="0" w:line="194" w:lineRule="exact"/>
              <w:rPr>
                <w:sz w:val="20"/>
                <w:szCs w:val="20"/>
                <w:color w:val="auto"/>
              </w:rPr>
            </w:pPr>
            <w:r>
              <w:rPr>
                <w:rFonts w:ascii="Arial" w:cs="Arial" w:eastAsia="Arial" w:hAnsi="Arial"/>
                <w:sz w:val="17"/>
                <w:szCs w:val="17"/>
                <w:color w:val="auto"/>
              </w:rPr>
              <w:t>3(r) and 7(b)</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699,678</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532,404</w:t>
            </w: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Intangible assets and</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goodwill, net</w:t>
            </w:r>
          </w:p>
        </w:tc>
        <w:tc>
          <w:tcPr>
            <w:tcW w:w="1080" w:type="dxa"/>
            <w:vAlign w:val="bottom"/>
          </w:tcPr>
          <w:p>
            <w:pPr>
              <w:jc w:val="center"/>
              <w:spacing w:after="0" w:line="194" w:lineRule="exact"/>
              <w:rPr>
                <w:sz w:val="20"/>
                <w:szCs w:val="20"/>
                <w:color w:val="auto"/>
              </w:rPr>
            </w:pPr>
            <w:r>
              <w:rPr>
                <w:rFonts w:ascii="Arial" w:cs="Arial" w:eastAsia="Arial" w:hAnsi="Arial"/>
                <w:sz w:val="17"/>
                <w:szCs w:val="17"/>
                <w:color w:val="auto"/>
                <w:w w:val="94"/>
              </w:rPr>
              <w:t>11</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2,899,429</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2,710,080</w:t>
            </w: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Right-of-use assets, net</w:t>
            </w:r>
          </w:p>
        </w:tc>
        <w:tc>
          <w:tcPr>
            <w:tcW w:w="1080" w:type="dxa"/>
            <w:vAlign w:val="bottom"/>
          </w:tcPr>
          <w:p>
            <w:pPr>
              <w:jc w:val="center"/>
              <w:spacing w:after="0" w:line="194" w:lineRule="exact"/>
              <w:rPr>
                <w:sz w:val="20"/>
                <w:szCs w:val="20"/>
                <w:color w:val="auto"/>
              </w:rPr>
            </w:pPr>
            <w:r>
              <w:rPr>
                <w:rFonts w:ascii="Arial" w:cs="Arial" w:eastAsia="Arial" w:hAnsi="Arial"/>
                <w:sz w:val="17"/>
                <w:szCs w:val="17"/>
                <w:color w:val="auto"/>
              </w:rPr>
              <w:t>12(a)</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543,833</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586,417</w:t>
            </w: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Deferred tax assets, net</w:t>
            </w:r>
          </w:p>
        </w:tc>
        <w:tc>
          <w:tcPr>
            <w:tcW w:w="1080" w:type="dxa"/>
            <w:vAlign w:val="bottom"/>
          </w:tcPr>
          <w:p>
            <w:pPr>
              <w:jc w:val="center"/>
              <w:spacing w:after="0" w:line="194" w:lineRule="exact"/>
              <w:rPr>
                <w:sz w:val="20"/>
                <w:szCs w:val="20"/>
                <w:color w:val="auto"/>
              </w:rPr>
            </w:pPr>
            <w:r>
              <w:rPr>
                <w:rFonts w:ascii="Arial" w:cs="Arial" w:eastAsia="Arial" w:hAnsi="Arial"/>
                <w:sz w:val="17"/>
                <w:szCs w:val="17"/>
                <w:color w:val="auto"/>
                <w:w w:val="97"/>
              </w:rPr>
              <w:t>19(c)</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1,131,565</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1,177,359</w:t>
            </w: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Arial" w:cs="Arial" w:eastAsia="Arial" w:hAnsi="Arial"/>
                <w:sz w:val="17"/>
                <w:szCs w:val="17"/>
                <w:color w:val="auto"/>
              </w:rPr>
              <w:t>Other assets</w:t>
            </w:r>
          </w:p>
        </w:tc>
        <w:tc>
          <w:tcPr>
            <w:tcW w:w="1080" w:type="dxa"/>
            <w:vAlign w:val="bottom"/>
          </w:tcPr>
          <w:p>
            <w:pPr>
              <w:jc w:val="center"/>
              <w:spacing w:after="0"/>
              <w:rPr>
                <w:sz w:val="20"/>
                <w:szCs w:val="20"/>
                <w:color w:val="auto"/>
              </w:rPr>
            </w:pPr>
            <w:r>
              <w:rPr>
                <w:rFonts w:ascii="Arial" w:cs="Arial" w:eastAsia="Arial" w:hAnsi="Arial"/>
                <w:sz w:val="17"/>
                <w:szCs w:val="17"/>
                <w:color w:val="auto"/>
                <w:w w:val="94"/>
              </w:rPr>
              <w:t>13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5,938,515</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6,264,805</w:t>
            </w:r>
          </w:p>
        </w:tc>
        <w:tc>
          <w:tcPr>
            <w:tcW w:w="0" w:type="dxa"/>
            <w:vAlign w:val="bottom"/>
          </w:tcPr>
          <w:p>
            <w:pPr>
              <w:spacing w:after="0"/>
              <w:rPr>
                <w:sz w:val="1"/>
                <w:szCs w:val="1"/>
                <w:color w:val="auto"/>
              </w:rPr>
            </w:pPr>
          </w:p>
        </w:tc>
      </w:tr>
      <w:tr>
        <w:trPr>
          <w:trHeight w:val="193"/>
        </w:trPr>
        <w:tc>
          <w:tcPr>
            <w:tcW w:w="2040" w:type="dxa"/>
            <w:vAlign w:val="bottom"/>
          </w:tcPr>
          <w:p>
            <w:pPr>
              <w:spacing w:after="0" w:line="187" w:lineRule="exact"/>
              <w:rPr>
                <w:sz w:val="20"/>
                <w:szCs w:val="20"/>
                <w:color w:val="auto"/>
              </w:rPr>
            </w:pPr>
            <w:r>
              <w:rPr>
                <w:rFonts w:ascii="Arial" w:cs="Arial" w:eastAsia="Arial" w:hAnsi="Arial"/>
                <w:sz w:val="17"/>
                <w:szCs w:val="17"/>
                <w:b w:val="1"/>
                <w:bCs w:val="1"/>
                <w:color w:val="auto"/>
              </w:rPr>
              <w:t>Total assets</w:t>
            </w:r>
          </w:p>
        </w:tc>
        <w:tc>
          <w:tcPr>
            <w:tcW w:w="108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236,753,609</w:t>
            </w:r>
          </w:p>
        </w:tc>
        <w:tc>
          <w:tcPr>
            <w:tcW w:w="6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244,846,740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Pr>
          <w:p>
            <w:pPr>
              <w:spacing w:after="0"/>
              <w:rPr>
                <w:sz w:val="18"/>
                <w:szCs w:val="18"/>
                <w:color w:val="auto"/>
              </w:rPr>
            </w:pPr>
          </w:p>
        </w:tc>
        <w:tc>
          <w:tcPr>
            <w:tcW w:w="1060" w:type="dxa"/>
            <w:vAlign w:val="bottom"/>
          </w:tcPr>
          <w:p>
            <w:pPr>
              <w:ind w:left="320"/>
              <w:spacing w:after="0"/>
              <w:rPr>
                <w:sz w:val="20"/>
                <w:szCs w:val="20"/>
                <w:color w:val="auto"/>
              </w:rPr>
            </w:pPr>
            <w:r>
              <w:rPr>
                <w:rFonts w:ascii="Arial" w:cs="Arial" w:eastAsia="Arial" w:hAnsi="Arial"/>
                <w:sz w:val="17"/>
                <w:szCs w:val="17"/>
                <w:b w:val="1"/>
                <w:bCs w:val="1"/>
                <w:color w:val="auto"/>
              </w:rPr>
              <w:t>Note</w:t>
            </w: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60" w:type="dxa"/>
            <w:vAlign w:val="bottom"/>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3"/>
        </w:trPr>
        <w:tc>
          <w:tcPr>
            <w:tcW w:w="206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106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6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71"/>
        </w:trPr>
        <w:tc>
          <w:tcPr>
            <w:tcW w:w="20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060" w:type="dxa"/>
            <w:vAlign w:val="bottom"/>
          </w:tcPr>
          <w:p>
            <w:pPr>
              <w:spacing w:after="0"/>
              <w:rPr>
                <w:sz w:val="20"/>
                <w:szCs w:val="20"/>
                <w:color w:val="auto"/>
              </w:rPr>
            </w:pPr>
            <w:r>
              <w:rPr>
                <w:rFonts w:ascii="Arial" w:cs="Arial" w:eastAsia="Arial" w:hAnsi="Arial"/>
                <w:sz w:val="17"/>
                <w:szCs w:val="17"/>
                <w:color w:val="auto"/>
              </w:rPr>
              <w:t>Deposits and obligations:</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Non-interest-bearing</w:t>
            </w:r>
          </w:p>
        </w:tc>
        <w:tc>
          <w:tcPr>
            <w:tcW w:w="10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43,346,151</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51,851,206</w:t>
            </w:r>
          </w:p>
        </w:tc>
        <w:tc>
          <w:tcPr>
            <w:tcW w:w="0" w:type="dxa"/>
            <w:vAlign w:val="bottom"/>
          </w:tcPr>
          <w:p>
            <w:pPr>
              <w:spacing w:after="0"/>
              <w:rPr>
                <w:sz w:val="1"/>
                <w:szCs w:val="1"/>
                <w:color w:val="auto"/>
              </w:rPr>
            </w:pPr>
          </w:p>
        </w:tc>
      </w:tr>
      <w:tr>
        <w:trPr>
          <w:trHeight w:val="208"/>
        </w:trPr>
        <w:tc>
          <w:tcPr>
            <w:tcW w:w="2060" w:type="dxa"/>
            <w:vAlign w:val="bottom"/>
          </w:tcPr>
          <w:p>
            <w:pPr>
              <w:spacing w:after="0"/>
              <w:rPr>
                <w:sz w:val="20"/>
                <w:szCs w:val="20"/>
                <w:color w:val="auto"/>
              </w:rPr>
            </w:pPr>
            <w:r>
              <w:rPr>
                <w:rFonts w:ascii="Arial" w:cs="Arial" w:eastAsia="Arial" w:hAnsi="Arial"/>
                <w:sz w:val="17"/>
                <w:szCs w:val="17"/>
                <w:color w:val="auto"/>
              </w:rPr>
              <w:t>Interest-bearing</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14(a)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103,674,636</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97,745,339</w:t>
            </w: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147,020,787</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149,596,545</w:t>
            </w:r>
          </w:p>
        </w:tc>
        <w:tc>
          <w:tcPr>
            <w:tcW w:w="0" w:type="dxa"/>
            <w:vAlign w:val="bottom"/>
          </w:tcPr>
          <w:p>
            <w:pPr>
              <w:spacing w:after="0"/>
              <w:rPr>
                <w:sz w:val="1"/>
                <w:szCs w:val="1"/>
                <w:color w:val="auto"/>
              </w:rPr>
            </w:pPr>
          </w:p>
        </w:tc>
      </w:tr>
      <w:tr>
        <w:trPr>
          <w:trHeight w:val="374"/>
        </w:trPr>
        <w:tc>
          <w:tcPr>
            <w:tcW w:w="2060" w:type="dxa"/>
            <w:vAlign w:val="bottom"/>
          </w:tcPr>
          <w:p>
            <w:pPr>
              <w:spacing w:after="0"/>
              <w:rPr>
                <w:sz w:val="20"/>
                <w:szCs w:val="20"/>
                <w:color w:val="auto"/>
              </w:rPr>
            </w:pPr>
            <w:r>
              <w:rPr>
                <w:rFonts w:ascii="Arial" w:cs="Arial" w:eastAsia="Arial" w:hAnsi="Arial"/>
                <w:sz w:val="17"/>
                <w:szCs w:val="17"/>
                <w:color w:val="auto"/>
              </w:rPr>
              <w:t>Payables from</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repurchase agreements</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and securities lending</w:t>
            </w:r>
          </w:p>
        </w:tc>
        <w:tc>
          <w:tcPr>
            <w:tcW w:w="1060" w:type="dxa"/>
            <w:vAlign w:val="bottom"/>
          </w:tcPr>
          <w:p>
            <w:pPr>
              <w:jc w:val="center"/>
              <w:spacing w:after="0" w:line="194" w:lineRule="exact"/>
              <w:rPr>
                <w:sz w:val="20"/>
                <w:szCs w:val="20"/>
                <w:color w:val="auto"/>
              </w:rPr>
            </w:pPr>
            <w:r>
              <w:rPr>
                <w:rFonts w:ascii="Arial" w:cs="Arial" w:eastAsia="Arial" w:hAnsi="Arial"/>
                <w:sz w:val="17"/>
                <w:szCs w:val="17"/>
                <w:color w:val="auto"/>
              </w:rPr>
              <w:t>5(b)</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12,966,725</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22,013,866</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Due to banks and</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correspondents</w:t>
            </w:r>
          </w:p>
        </w:tc>
        <w:tc>
          <w:tcPr>
            <w:tcW w:w="1060" w:type="dxa"/>
            <w:vAlign w:val="bottom"/>
          </w:tcPr>
          <w:p>
            <w:pPr>
              <w:jc w:val="center"/>
              <w:spacing w:after="0" w:line="194" w:lineRule="exact"/>
              <w:rPr>
                <w:sz w:val="20"/>
                <w:szCs w:val="20"/>
                <w:color w:val="auto"/>
              </w:rPr>
            </w:pPr>
            <w:r>
              <w:rPr>
                <w:rFonts w:ascii="Arial" w:cs="Arial" w:eastAsia="Arial" w:hAnsi="Arial"/>
                <w:sz w:val="17"/>
                <w:szCs w:val="17"/>
                <w:color w:val="auto"/>
              </w:rPr>
              <w:t>15(a)</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8,937,411</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7,212,946</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Due from customers on</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banker’s acceptances</w:t>
            </w:r>
          </w:p>
        </w:tc>
        <w:tc>
          <w:tcPr>
            <w:tcW w:w="1060" w:type="dxa"/>
            <w:vAlign w:val="bottom"/>
          </w:tcPr>
          <w:p>
            <w:pPr>
              <w:ind w:left="60"/>
              <w:spacing w:after="0" w:line="194" w:lineRule="exact"/>
              <w:rPr>
                <w:sz w:val="20"/>
                <w:szCs w:val="20"/>
                <w:color w:val="auto"/>
              </w:rPr>
            </w:pPr>
            <w:r>
              <w:rPr>
                <w:rFonts w:ascii="Arial" w:cs="Arial" w:eastAsia="Arial" w:hAnsi="Arial"/>
                <w:sz w:val="17"/>
                <w:szCs w:val="17"/>
                <w:color w:val="auto"/>
              </w:rPr>
              <w:t>3(r) and 7(b)</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699,678</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532,404</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Accounts payable to</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reinsurers</w:t>
            </w:r>
          </w:p>
        </w:tc>
        <w:tc>
          <w:tcPr>
            <w:tcW w:w="1060" w:type="dxa"/>
            <w:vAlign w:val="bottom"/>
          </w:tcPr>
          <w:p>
            <w:pPr>
              <w:jc w:val="center"/>
              <w:spacing w:after="0" w:line="194" w:lineRule="exact"/>
              <w:rPr>
                <w:sz w:val="20"/>
                <w:szCs w:val="20"/>
                <w:color w:val="auto"/>
              </w:rPr>
            </w:pPr>
            <w:r>
              <w:rPr>
                <w:rFonts w:ascii="Arial" w:cs="Arial" w:eastAsia="Arial" w:hAnsi="Arial"/>
                <w:sz w:val="17"/>
                <w:szCs w:val="17"/>
                <w:color w:val="auto"/>
              </w:rPr>
              <w:t>9(b)</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420,094</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463,825</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Lease liabilities</w:t>
            </w:r>
          </w:p>
        </w:tc>
        <w:tc>
          <w:tcPr>
            <w:tcW w:w="1060" w:type="dxa"/>
            <w:vAlign w:val="bottom"/>
          </w:tcPr>
          <w:p>
            <w:pPr>
              <w:jc w:val="center"/>
              <w:spacing w:after="0" w:line="194" w:lineRule="exact"/>
              <w:rPr>
                <w:sz w:val="20"/>
                <w:szCs w:val="20"/>
                <w:color w:val="auto"/>
              </w:rPr>
            </w:pPr>
            <w:r>
              <w:rPr>
                <w:rFonts w:ascii="Arial" w:cs="Arial" w:eastAsia="Arial" w:hAnsi="Arial"/>
                <w:sz w:val="17"/>
                <w:szCs w:val="17"/>
                <w:color w:val="auto"/>
              </w:rPr>
              <w:t>12(b)</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578,074</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655,294</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Financial liabilities at fair</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value through profit or</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loss</w:t>
            </w:r>
          </w:p>
        </w:tc>
        <w:tc>
          <w:tcPr>
            <w:tcW w:w="1060" w:type="dxa"/>
            <w:vAlign w:val="bottom"/>
          </w:tcPr>
          <w:p>
            <w:pPr>
              <w:jc w:val="center"/>
              <w:spacing w:after="0" w:line="194" w:lineRule="exact"/>
              <w:rPr>
                <w:sz w:val="20"/>
                <w:szCs w:val="20"/>
                <w:color w:val="auto"/>
              </w:rPr>
            </w:pPr>
            <w:r>
              <w:rPr>
                <w:rFonts w:ascii="Arial" w:cs="Arial" w:eastAsia="Arial" w:hAnsi="Arial"/>
                <w:sz w:val="17"/>
                <w:szCs w:val="17"/>
                <w:color w:val="auto"/>
              </w:rPr>
              <w:t>3(ad)</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191,010</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337,909</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Technical reserves for</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insurance claims and</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premiums</w:t>
            </w:r>
          </w:p>
        </w:tc>
        <w:tc>
          <w:tcPr>
            <w:tcW w:w="1060" w:type="dxa"/>
            <w:vAlign w:val="bottom"/>
          </w:tcPr>
          <w:p>
            <w:pPr>
              <w:jc w:val="center"/>
              <w:spacing w:after="0" w:line="194" w:lineRule="exact"/>
              <w:rPr>
                <w:sz w:val="20"/>
                <w:szCs w:val="20"/>
                <w:color w:val="auto"/>
              </w:rPr>
            </w:pPr>
            <w:r>
              <w:rPr>
                <w:rFonts w:ascii="Arial" w:cs="Arial" w:eastAsia="Arial" w:hAnsi="Arial"/>
                <w:sz w:val="17"/>
                <w:szCs w:val="17"/>
                <w:color w:val="auto"/>
              </w:rPr>
              <w:t>16</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11,990,959</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12,534,511</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Bonds and notes issued</w:t>
            </w:r>
          </w:p>
        </w:tc>
        <w:tc>
          <w:tcPr>
            <w:tcW w:w="1060" w:type="dxa"/>
            <w:vAlign w:val="bottom"/>
          </w:tcPr>
          <w:p>
            <w:pPr>
              <w:jc w:val="center"/>
              <w:spacing w:after="0" w:line="194" w:lineRule="exact"/>
              <w:rPr>
                <w:sz w:val="20"/>
                <w:szCs w:val="20"/>
                <w:color w:val="auto"/>
              </w:rPr>
            </w:pPr>
            <w:r>
              <w:rPr>
                <w:rFonts w:ascii="Arial" w:cs="Arial" w:eastAsia="Arial" w:hAnsi="Arial"/>
                <w:sz w:val="17"/>
                <w:szCs w:val="17"/>
                <w:color w:val="auto"/>
              </w:rPr>
              <w:t>17</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17,007,194</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17,823,146</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Deferred tax liabilities, net</w:t>
            </w:r>
          </w:p>
        </w:tc>
        <w:tc>
          <w:tcPr>
            <w:tcW w:w="1060" w:type="dxa"/>
            <w:vAlign w:val="bottom"/>
          </w:tcPr>
          <w:p>
            <w:pPr>
              <w:jc w:val="center"/>
              <w:spacing w:after="0" w:line="194" w:lineRule="exact"/>
              <w:rPr>
                <w:sz w:val="20"/>
                <w:szCs w:val="20"/>
                <w:color w:val="auto"/>
              </w:rPr>
            </w:pPr>
            <w:r>
              <w:rPr>
                <w:rFonts w:ascii="Arial" w:cs="Arial" w:eastAsia="Arial" w:hAnsi="Arial"/>
                <w:sz w:val="17"/>
                <w:szCs w:val="17"/>
                <w:color w:val="auto"/>
              </w:rPr>
              <w:t>19(c)</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71,823</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105,058</w:t>
            </w:r>
          </w:p>
        </w:tc>
        <w:tc>
          <w:tcPr>
            <w:tcW w:w="0" w:type="dxa"/>
            <w:vAlign w:val="bottom"/>
          </w:tcPr>
          <w:p>
            <w:pPr>
              <w:spacing w:after="0"/>
              <w:rPr>
                <w:sz w:val="1"/>
                <w:szCs w:val="1"/>
                <w:color w:val="auto"/>
              </w:rPr>
            </w:pPr>
          </w:p>
        </w:tc>
      </w:tr>
      <w:tr>
        <w:trPr>
          <w:trHeight w:val="185"/>
        </w:trPr>
        <w:tc>
          <w:tcPr>
            <w:tcW w:w="2060" w:type="dxa"/>
            <w:vAlign w:val="bottom"/>
          </w:tcPr>
          <w:p>
            <w:pPr>
              <w:spacing w:after="0" w:line="185" w:lineRule="exact"/>
              <w:rPr>
                <w:sz w:val="20"/>
                <w:szCs w:val="20"/>
                <w:color w:val="auto"/>
              </w:rPr>
            </w:pPr>
            <w:r>
              <w:rPr>
                <w:rFonts w:ascii="Arial" w:cs="Arial" w:eastAsia="Arial" w:hAnsi="Arial"/>
                <w:sz w:val="17"/>
                <w:szCs w:val="17"/>
                <w:color w:val="auto"/>
              </w:rPr>
              <w:t>Other liabilities</w:t>
            </w:r>
          </w:p>
        </w:tc>
        <w:tc>
          <w:tcPr>
            <w:tcW w:w="1060" w:type="dxa"/>
            <w:vAlign w:val="bottom"/>
          </w:tcPr>
          <w:p>
            <w:pPr>
              <w:jc w:val="center"/>
              <w:spacing w:after="0" w:line="185" w:lineRule="exact"/>
              <w:rPr>
                <w:sz w:val="20"/>
                <w:szCs w:val="20"/>
                <w:color w:val="auto"/>
              </w:rPr>
            </w:pPr>
            <w:r>
              <w:rPr>
                <w:rFonts w:ascii="Arial" w:cs="Arial" w:eastAsia="Arial" w:hAnsi="Arial"/>
                <w:sz w:val="17"/>
                <w:szCs w:val="17"/>
                <w:color w:val="auto"/>
              </w:rPr>
              <w:t>13</w:t>
            </w:r>
          </w:p>
        </w:tc>
        <w:tc>
          <w:tcPr>
            <w:tcW w:w="1080" w:type="dxa"/>
            <w:vAlign w:val="bottom"/>
          </w:tcPr>
          <w:p>
            <w:pPr>
              <w:jc w:val="right"/>
              <w:spacing w:after="0" w:line="185" w:lineRule="exact"/>
              <w:rPr>
                <w:sz w:val="20"/>
                <w:szCs w:val="20"/>
                <w:color w:val="auto"/>
              </w:rPr>
            </w:pPr>
            <w:r>
              <w:rPr>
                <w:rFonts w:ascii="Arial" w:cs="Arial" w:eastAsia="Arial" w:hAnsi="Arial"/>
                <w:sz w:val="17"/>
                <w:szCs w:val="17"/>
                <w:color w:val="auto"/>
              </w:rPr>
              <w:t>7,290,145</w:t>
            </w:r>
          </w:p>
        </w:tc>
        <w:tc>
          <w:tcPr>
            <w:tcW w:w="60" w:type="dxa"/>
            <w:vAlign w:val="bottom"/>
          </w:tcPr>
          <w:p>
            <w:pPr>
              <w:spacing w:after="0"/>
              <w:rPr>
                <w:sz w:val="16"/>
                <w:szCs w:val="16"/>
                <w:color w:val="auto"/>
              </w:rPr>
            </w:pPr>
          </w:p>
        </w:tc>
        <w:tc>
          <w:tcPr>
            <w:tcW w:w="1080" w:type="dxa"/>
            <w:vAlign w:val="bottom"/>
          </w:tcPr>
          <w:p>
            <w:pPr>
              <w:jc w:val="right"/>
              <w:spacing w:after="0" w:line="185" w:lineRule="exact"/>
              <w:rPr>
                <w:sz w:val="20"/>
                <w:szCs w:val="20"/>
                <w:color w:val="auto"/>
              </w:rPr>
            </w:pPr>
            <w:r>
              <w:rPr>
                <w:rFonts w:ascii="Arial" w:cs="Arial" w:eastAsia="Arial" w:hAnsi="Arial"/>
                <w:sz w:val="17"/>
                <w:szCs w:val="17"/>
                <w:color w:val="auto"/>
              </w:rPr>
              <w:t>6,533,797</w:t>
            </w:r>
          </w:p>
        </w:tc>
        <w:tc>
          <w:tcPr>
            <w:tcW w:w="0" w:type="dxa"/>
            <w:vAlign w:val="bottom"/>
          </w:tcPr>
          <w:p>
            <w:pPr>
              <w:spacing w:after="0"/>
              <w:rPr>
                <w:sz w:val="1"/>
                <w:szCs w:val="1"/>
                <w:color w:val="auto"/>
              </w:rPr>
            </w:pPr>
          </w:p>
        </w:tc>
      </w:tr>
      <w:tr>
        <w:trPr>
          <w:trHeight w:val="23"/>
        </w:trPr>
        <w:tc>
          <w:tcPr>
            <w:tcW w:w="2060" w:type="dxa"/>
            <w:vAlign w:val="bottom"/>
            <w:vMerge w:val="restart"/>
          </w:tcPr>
          <w:p>
            <w:pPr>
              <w:spacing w:after="0"/>
              <w:rPr>
                <w:sz w:val="20"/>
                <w:szCs w:val="20"/>
                <w:color w:val="auto"/>
              </w:rPr>
            </w:pPr>
            <w:r>
              <w:rPr>
                <w:rFonts w:ascii="Arial" w:cs="Arial" w:eastAsia="Arial" w:hAnsi="Arial"/>
                <w:sz w:val="17"/>
                <w:szCs w:val="17"/>
                <w:b w:val="1"/>
                <w:bCs w:val="1"/>
                <w:color w:val="auto"/>
              </w:rPr>
              <w:t>Total liabilities</w:t>
            </w:r>
          </w:p>
        </w:tc>
        <w:tc>
          <w:tcPr>
            <w:tcW w:w="1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207,173,900</w:t>
            </w:r>
          </w:p>
        </w:tc>
        <w:tc>
          <w:tcPr>
            <w:tcW w:w="6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217,809,301</w:t>
            </w:r>
          </w:p>
        </w:tc>
        <w:tc>
          <w:tcPr>
            <w:tcW w:w="0" w:type="dxa"/>
            <w:vAlign w:val="bottom"/>
          </w:tcPr>
          <w:p>
            <w:pPr>
              <w:spacing w:after="0"/>
              <w:rPr>
                <w:sz w:val="1"/>
                <w:szCs w:val="1"/>
                <w:color w:val="auto"/>
              </w:rPr>
            </w:pPr>
          </w:p>
        </w:tc>
      </w:tr>
      <w:tr>
        <w:trPr>
          <w:trHeight w:val="783"/>
        </w:trPr>
        <w:tc>
          <w:tcPr>
            <w:tcW w:w="2060" w:type="dxa"/>
            <w:vAlign w:val="bottom"/>
          </w:tcPr>
          <w:p>
            <w:pPr>
              <w:spacing w:after="0"/>
              <w:rPr>
                <w:sz w:val="20"/>
                <w:szCs w:val="20"/>
                <w:color w:val="auto"/>
              </w:rPr>
            </w:pPr>
            <w:r>
              <w:rPr>
                <w:rFonts w:ascii="Arial" w:cs="Arial" w:eastAsia="Arial" w:hAnsi="Arial"/>
                <w:sz w:val="17"/>
                <w:szCs w:val="17"/>
                <w:b w:val="1"/>
                <w:bCs w:val="1"/>
                <w:color w:val="auto"/>
              </w:rPr>
              <w:t>Equity, net</w:t>
            </w:r>
          </w:p>
        </w:tc>
        <w:tc>
          <w:tcPr>
            <w:tcW w:w="1060" w:type="dxa"/>
            <w:vAlign w:val="bottom"/>
          </w:tcPr>
          <w:p>
            <w:pPr>
              <w:jc w:val="center"/>
              <w:spacing w:after="0"/>
              <w:rPr>
                <w:sz w:val="20"/>
                <w:szCs w:val="20"/>
                <w:color w:val="auto"/>
              </w:rPr>
            </w:pPr>
            <w:r>
              <w:rPr>
                <w:rFonts w:ascii="Arial" w:cs="Arial" w:eastAsia="Arial" w:hAnsi="Arial"/>
                <w:sz w:val="17"/>
                <w:szCs w:val="17"/>
                <w:color w:val="auto"/>
              </w:rPr>
              <w:t>18</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60" w:type="dxa"/>
            <w:vAlign w:val="bottom"/>
          </w:tcPr>
          <w:p>
            <w:pPr>
              <w:spacing w:after="0"/>
              <w:rPr>
                <w:sz w:val="20"/>
                <w:szCs w:val="20"/>
                <w:color w:val="auto"/>
              </w:rPr>
            </w:pPr>
            <w:r>
              <w:rPr>
                <w:rFonts w:ascii="Arial" w:cs="Arial" w:eastAsia="Arial" w:hAnsi="Arial"/>
                <w:sz w:val="17"/>
                <w:szCs w:val="17"/>
                <w:color w:val="auto"/>
              </w:rPr>
              <w:t>Equity attributable to</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Credicorp's equity</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60" w:type="dxa"/>
            <w:vAlign w:val="bottom"/>
          </w:tcPr>
          <w:p>
            <w:pPr>
              <w:spacing w:after="0"/>
              <w:rPr>
                <w:sz w:val="20"/>
                <w:szCs w:val="20"/>
                <w:color w:val="auto"/>
              </w:rPr>
            </w:pPr>
            <w:r>
              <w:rPr>
                <w:rFonts w:ascii="Arial" w:cs="Arial" w:eastAsia="Arial" w:hAnsi="Arial"/>
                <w:sz w:val="17"/>
                <w:szCs w:val="17"/>
                <w:color w:val="auto"/>
              </w:rPr>
              <w:t>holders: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60" w:type="dxa"/>
            <w:vAlign w:val="bottom"/>
          </w:tcPr>
          <w:p>
            <w:pPr>
              <w:spacing w:after="0"/>
              <w:rPr>
                <w:sz w:val="20"/>
                <w:szCs w:val="20"/>
                <w:color w:val="auto"/>
              </w:rPr>
            </w:pPr>
            <w:r>
              <w:rPr>
                <w:rFonts w:ascii="Arial" w:cs="Arial" w:eastAsia="Arial" w:hAnsi="Arial"/>
                <w:sz w:val="17"/>
                <w:szCs w:val="17"/>
                <w:color w:val="auto"/>
              </w:rPr>
              <w:t>Capital stock</w:t>
            </w:r>
          </w:p>
        </w:tc>
        <w:tc>
          <w:tcPr>
            <w:tcW w:w="10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1,318,993</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1,318,993</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Treasury stock</w:t>
            </w:r>
          </w:p>
        </w:tc>
        <w:tc>
          <w:tcPr>
            <w:tcW w:w="10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(207,518)</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(207,534)</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Capital surplus</w:t>
            </w:r>
          </w:p>
        </w:tc>
        <w:tc>
          <w:tcPr>
            <w:tcW w:w="10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231,556</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228,853</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Reserves</w:t>
            </w:r>
          </w:p>
        </w:tc>
        <w:tc>
          <w:tcPr>
            <w:tcW w:w="10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23,659,626</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21,364,272</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17"/>
                <w:szCs w:val="17"/>
                <w:color w:val="auto"/>
              </w:rPr>
              <w:t>Other reserves</w:t>
            </w:r>
          </w:p>
        </w:tc>
        <w:tc>
          <w:tcPr>
            <w:tcW w:w="10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(650,116)</w:t>
            </w:r>
          </w:p>
        </w:tc>
        <w:tc>
          <w:tcPr>
            <w:tcW w:w="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235,902</w:t>
            </w:r>
          </w:p>
        </w:tc>
        <w:tc>
          <w:tcPr>
            <w:tcW w:w="0" w:type="dxa"/>
            <w:vAlign w:val="bottom"/>
          </w:tcPr>
          <w:p>
            <w:pPr>
              <w:spacing w:after="0"/>
              <w:rPr>
                <w:sz w:val="1"/>
                <w:szCs w:val="1"/>
                <w:color w:val="auto"/>
              </w:rPr>
            </w:pPr>
          </w:p>
        </w:tc>
      </w:tr>
      <w:tr>
        <w:trPr>
          <w:trHeight w:val="208"/>
        </w:trPr>
        <w:tc>
          <w:tcPr>
            <w:tcW w:w="2060" w:type="dxa"/>
            <w:vAlign w:val="bottom"/>
          </w:tcPr>
          <w:p>
            <w:pPr>
              <w:spacing w:after="0"/>
              <w:rPr>
                <w:sz w:val="20"/>
                <w:szCs w:val="20"/>
                <w:color w:val="auto"/>
              </w:rPr>
            </w:pPr>
            <w:r>
              <w:rPr>
                <w:rFonts w:ascii="Arial" w:cs="Arial" w:eastAsia="Arial" w:hAnsi="Arial"/>
                <w:sz w:val="17"/>
                <w:szCs w:val="17"/>
                <w:color w:val="auto"/>
              </w:rPr>
              <w:t>Retained earnings</w:t>
            </w:r>
          </w:p>
        </w:tc>
        <w:tc>
          <w:tcPr>
            <w:tcW w:w="10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4,635,599</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3,556,281</w:t>
            </w: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28,988,140</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26,496,767</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0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591,569</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540,672</w:t>
            </w:r>
          </w:p>
        </w:tc>
        <w:tc>
          <w:tcPr>
            <w:tcW w:w="0" w:type="dxa"/>
            <w:vAlign w:val="bottom"/>
          </w:tcPr>
          <w:p>
            <w:pPr>
              <w:spacing w:after="0"/>
              <w:rPr>
                <w:sz w:val="1"/>
                <w:szCs w:val="1"/>
                <w:color w:val="auto"/>
              </w:rPr>
            </w:pPr>
          </w:p>
        </w:tc>
      </w:tr>
      <w:tr>
        <w:trPr>
          <w:trHeight w:val="23"/>
        </w:trPr>
        <w:tc>
          <w:tcPr>
            <w:tcW w:w="2060" w:type="dxa"/>
            <w:vAlign w:val="bottom"/>
            <w:vMerge w:val="restart"/>
          </w:tcPr>
          <w:p>
            <w:pPr>
              <w:spacing w:after="0"/>
              <w:rPr>
                <w:sz w:val="20"/>
                <w:szCs w:val="20"/>
                <w:color w:val="auto"/>
              </w:rPr>
            </w:pPr>
            <w:r>
              <w:rPr>
                <w:rFonts w:ascii="Arial" w:cs="Arial" w:eastAsia="Arial" w:hAnsi="Arial"/>
                <w:sz w:val="17"/>
                <w:szCs w:val="17"/>
                <w:b w:val="1"/>
                <w:bCs w:val="1"/>
                <w:color w:val="auto"/>
              </w:rPr>
              <w:t>Total equity, net</w:t>
            </w:r>
          </w:p>
        </w:tc>
        <w:tc>
          <w:tcPr>
            <w:tcW w:w="1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29,579,709</w:t>
            </w:r>
          </w:p>
        </w:tc>
        <w:tc>
          <w:tcPr>
            <w:tcW w:w="6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27,037,439</w:t>
            </w:r>
          </w:p>
        </w:tc>
        <w:tc>
          <w:tcPr>
            <w:tcW w:w="0" w:type="dxa"/>
            <w:vAlign w:val="bottom"/>
          </w:tcPr>
          <w:p>
            <w:pPr>
              <w:spacing w:after="0"/>
              <w:rPr>
                <w:sz w:val="1"/>
                <w:szCs w:val="1"/>
                <w:color w:val="auto"/>
              </w:rPr>
            </w:pPr>
          </w:p>
        </w:tc>
      </w:tr>
      <w:tr>
        <w:trPr>
          <w:trHeight w:val="187"/>
        </w:trPr>
        <w:tc>
          <w:tcPr>
            <w:tcW w:w="2060" w:type="dxa"/>
            <w:vAlign w:val="bottom"/>
            <w:vMerge w:val="restart"/>
          </w:tcPr>
          <w:p>
            <w:pPr>
              <w:spacing w:after="0"/>
              <w:rPr>
                <w:sz w:val="20"/>
                <w:szCs w:val="20"/>
                <w:color w:val="auto"/>
              </w:rPr>
            </w:pPr>
            <w:r>
              <w:rPr>
                <w:rFonts w:ascii="Arial" w:cs="Arial" w:eastAsia="Arial" w:hAnsi="Arial"/>
                <w:sz w:val="17"/>
                <w:szCs w:val="17"/>
                <w:b w:val="1"/>
                <w:bCs w:val="1"/>
                <w:color w:val="auto"/>
              </w:rPr>
              <w:t>Total liabilities and net</w:t>
            </w:r>
          </w:p>
        </w:tc>
        <w:tc>
          <w:tcPr>
            <w:tcW w:w="10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10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236,753,609</w:t>
            </w:r>
          </w:p>
        </w:tc>
        <w:tc>
          <w:tcPr>
            <w:tcW w:w="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244,846,740</w:t>
            </w:r>
          </w:p>
        </w:tc>
        <w:tc>
          <w:tcPr>
            <w:tcW w:w="0" w:type="dxa"/>
            <w:vAlign w:val="bottom"/>
          </w:tcPr>
          <w:p>
            <w:pPr>
              <w:spacing w:after="0"/>
              <w:rPr>
                <w:sz w:val="1"/>
                <w:szCs w:val="1"/>
                <w:color w:val="auto"/>
              </w:rPr>
            </w:pPr>
          </w:p>
        </w:tc>
      </w:tr>
    </w:tbl>
    <w:p>
      <w:pPr>
        <w:spacing w:after="0" w:line="555" w:lineRule="exact"/>
        <w:rPr>
          <w:sz w:val="20"/>
          <w:szCs w:val="20"/>
          <w:color w:val="auto"/>
        </w:rPr>
      </w:pPr>
    </w:p>
    <w:p>
      <w:pPr>
        <w:sectPr>
          <w:pgSz w:w="11900" w:h="16838" w:orient="portrait"/>
          <w:cols w:equalWidth="0" w:num="2">
            <w:col w:w="5400" w:space="500"/>
            <w:col w:w="5340"/>
          </w:cols>
          <w:pgMar w:left="320" w:top="140" w:right="339" w:bottom="1440" w:gutter="0" w:footer="0" w:header="0"/>
        </w:sect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7"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20"/>
                <w:szCs w:val="20"/>
                <w:color w:val="auto"/>
              </w:rPr>
            </w:pPr>
            <w:r>
              <w:rPr>
                <w:rFonts w:ascii="Arial" w:cs="Arial" w:eastAsia="Arial" w:hAnsi="Arial"/>
                <w:sz w:val="17"/>
                <w:szCs w:val="17"/>
                <w:color w:val="auto"/>
              </w:rPr>
              <w:t>(Free translation from the original in Spanish)</w:t>
            </w:r>
          </w:p>
        </w:tc>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5260" w:type="dxa"/>
            <w:vAlign w:val="bottom"/>
          </w:tcPr>
          <w:p>
            <w:pPr>
              <w:spacing w:after="0"/>
              <w:rPr>
                <w:sz w:val="20"/>
                <w:szCs w:val="20"/>
                <w:color w:val="auto"/>
              </w:rPr>
            </w:pPr>
            <w:r>
              <w:rPr>
                <w:rFonts w:ascii="Arial" w:cs="Arial" w:eastAsia="Arial" w:hAnsi="Arial"/>
                <w:sz w:val="17"/>
                <w:szCs w:val="17"/>
                <w:b w:val="1"/>
                <w:bCs w:val="1"/>
                <w:color w:val="auto"/>
              </w:rPr>
              <w:t>CREDICORP LTD. AND SUBSIDIARIES</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260" w:type="dxa"/>
            <w:vAlign w:val="bottom"/>
          </w:tcPr>
          <w:p>
            <w:pPr>
              <w:spacing w:after="0"/>
              <w:rPr>
                <w:sz w:val="20"/>
                <w:szCs w:val="20"/>
                <w:color w:val="auto"/>
              </w:rPr>
            </w:pPr>
            <w:r>
              <w:rPr>
                <w:rFonts w:ascii="Arial" w:cs="Arial" w:eastAsia="Arial" w:hAnsi="Arial"/>
                <w:sz w:val="17"/>
                <w:szCs w:val="17"/>
                <w:color w:val="auto"/>
              </w:rPr>
              <w:t>CONSOLIDATED STATEMENT OF INCOME</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260" w:type="dxa"/>
            <w:vAlign w:val="bottom"/>
          </w:tcPr>
          <w:p>
            <w:pPr>
              <w:spacing w:after="0"/>
              <w:rPr>
                <w:sz w:val="20"/>
                <w:szCs w:val="20"/>
                <w:color w:val="auto"/>
              </w:rPr>
            </w:pPr>
            <w:r>
              <w:rPr>
                <w:rFonts w:ascii="Arial" w:cs="Arial" w:eastAsia="Arial" w:hAnsi="Arial"/>
                <w:sz w:val="17"/>
                <w:szCs w:val="17"/>
                <w:color w:val="auto"/>
              </w:rPr>
              <w:t>FOR THE YEARS ENDED DECEMBER 31, 2022, 2021 AND 2020</w:t>
            </w:r>
          </w:p>
        </w:tc>
        <w:tc>
          <w:tcPr>
            <w:tcW w:w="174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Note</w:t>
            </w:r>
          </w:p>
        </w:tc>
        <w:tc>
          <w:tcPr>
            <w:tcW w:w="136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134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9"/>
        </w:trPr>
        <w:tc>
          <w:tcPr>
            <w:tcW w:w="526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60" w:type="dxa"/>
            <w:vAlign w:val="bottom"/>
          </w:tcPr>
          <w:p>
            <w:pPr>
              <w:ind w:left="120"/>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32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352"/>
        </w:trPr>
        <w:tc>
          <w:tcPr>
            <w:tcW w:w="5260" w:type="dxa"/>
            <w:vAlign w:val="bottom"/>
          </w:tcPr>
          <w:p>
            <w:pPr>
              <w:ind w:left="60"/>
              <w:spacing w:after="0"/>
              <w:rPr>
                <w:sz w:val="20"/>
                <w:szCs w:val="20"/>
                <w:color w:val="auto"/>
              </w:rPr>
            </w:pPr>
            <w:r>
              <w:rPr>
                <w:rFonts w:ascii="Arial" w:cs="Arial" w:eastAsia="Arial" w:hAnsi="Arial"/>
                <w:sz w:val="17"/>
                <w:szCs w:val="17"/>
                <w:color w:val="auto"/>
              </w:rPr>
              <w:t>Interest and similar income</w:t>
            </w:r>
          </w:p>
        </w:tc>
        <w:tc>
          <w:tcPr>
            <w:tcW w:w="1740" w:type="dxa"/>
            <w:vAlign w:val="bottom"/>
          </w:tcPr>
          <w:p>
            <w:pPr>
              <w:jc w:val="center"/>
              <w:ind w:left="294"/>
              <w:spacing w:after="0"/>
              <w:rPr>
                <w:sz w:val="20"/>
                <w:szCs w:val="20"/>
                <w:color w:val="auto"/>
              </w:rPr>
            </w:pPr>
            <w:r>
              <w:rPr>
                <w:rFonts w:ascii="Arial" w:cs="Arial" w:eastAsia="Arial" w:hAnsi="Arial"/>
                <w:sz w:val="17"/>
                <w:szCs w:val="17"/>
                <w:color w:val="auto"/>
              </w:rPr>
              <w:t>22</w:t>
            </w: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15,011,282</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11,850,406</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11,547,648</w:t>
            </w:r>
          </w:p>
        </w:tc>
        <w:tc>
          <w:tcPr>
            <w:tcW w:w="0" w:type="dxa"/>
            <w:vAlign w:val="bottom"/>
          </w:tcPr>
          <w:p>
            <w:pPr>
              <w:spacing w:after="0"/>
              <w:rPr>
                <w:sz w:val="1"/>
                <w:szCs w:val="1"/>
                <w:color w:val="auto"/>
              </w:rPr>
            </w:pPr>
          </w:p>
        </w:tc>
      </w:tr>
      <w:tr>
        <w:trPr>
          <w:trHeight w:val="208"/>
        </w:trPr>
        <w:tc>
          <w:tcPr>
            <w:tcW w:w="5260" w:type="dxa"/>
            <w:vAlign w:val="bottom"/>
          </w:tcPr>
          <w:p>
            <w:pPr>
              <w:ind w:left="60"/>
              <w:spacing w:after="0"/>
              <w:rPr>
                <w:sz w:val="20"/>
                <w:szCs w:val="20"/>
                <w:color w:val="auto"/>
              </w:rPr>
            </w:pPr>
            <w:r>
              <w:rPr>
                <w:rFonts w:ascii="Arial" w:cs="Arial" w:eastAsia="Arial" w:hAnsi="Arial"/>
                <w:sz w:val="17"/>
                <w:szCs w:val="17"/>
                <w:color w:val="auto"/>
              </w:rPr>
              <w:t>Interest and similar expenses</w:t>
            </w:r>
          </w:p>
        </w:tc>
        <w:tc>
          <w:tcPr>
            <w:tcW w:w="1740" w:type="dxa"/>
            <w:vAlign w:val="bottom"/>
          </w:tcPr>
          <w:p>
            <w:pPr>
              <w:jc w:val="center"/>
              <w:ind w:left="294"/>
              <w:spacing w:after="0"/>
              <w:rPr>
                <w:sz w:val="20"/>
                <w:szCs w:val="20"/>
                <w:color w:val="auto"/>
              </w:rPr>
            </w:pPr>
            <w:r>
              <w:rPr>
                <w:rFonts w:ascii="Arial" w:cs="Arial" w:eastAsia="Arial" w:hAnsi="Arial"/>
                <w:sz w:val="17"/>
                <w:szCs w:val="17"/>
                <w:color w:val="auto"/>
              </w:rPr>
              <w:t>22</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(3,493,187)</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(2,490,802)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(2,978,696)</w:t>
            </w:r>
          </w:p>
        </w:tc>
        <w:tc>
          <w:tcPr>
            <w:tcW w:w="0" w:type="dxa"/>
            <w:vAlign w:val="bottom"/>
          </w:tcPr>
          <w:p>
            <w:pPr>
              <w:spacing w:after="0"/>
              <w:rPr>
                <w:sz w:val="1"/>
                <w:szCs w:val="1"/>
                <w:color w:val="auto"/>
              </w:rPr>
            </w:pPr>
          </w:p>
        </w:tc>
      </w:tr>
      <w:tr>
        <w:trPr>
          <w:trHeight w:val="210"/>
        </w:trPr>
        <w:tc>
          <w:tcPr>
            <w:tcW w:w="5260" w:type="dxa"/>
            <w:vAlign w:val="bottom"/>
          </w:tcPr>
          <w:p>
            <w:pPr>
              <w:ind w:left="60"/>
              <w:spacing w:after="0"/>
              <w:rPr>
                <w:sz w:val="20"/>
                <w:szCs w:val="20"/>
                <w:color w:val="auto"/>
              </w:rPr>
            </w:pPr>
            <w:r>
              <w:rPr>
                <w:rFonts w:ascii="Arial" w:cs="Arial" w:eastAsia="Arial" w:hAnsi="Arial"/>
                <w:sz w:val="17"/>
                <w:szCs w:val="17"/>
                <w:b w:val="1"/>
                <w:bCs w:val="1"/>
                <w:color w:val="auto"/>
              </w:rPr>
              <w:t>Net interest, similar income and expenses</w:t>
            </w:r>
          </w:p>
        </w:tc>
        <w:tc>
          <w:tcPr>
            <w:tcW w:w="174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11,518,095</w:t>
            </w:r>
          </w:p>
        </w:tc>
        <w:tc>
          <w:tcPr>
            <w:tcW w:w="1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9,359,604</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8,568,952</w:t>
            </w:r>
          </w:p>
        </w:tc>
        <w:tc>
          <w:tcPr>
            <w:tcW w:w="0" w:type="dxa"/>
            <w:vAlign w:val="bottom"/>
          </w:tcPr>
          <w:p>
            <w:pPr>
              <w:spacing w:after="0"/>
              <w:rPr>
                <w:sz w:val="1"/>
                <w:szCs w:val="1"/>
                <w:color w:val="auto"/>
              </w:rPr>
            </w:pPr>
          </w:p>
        </w:tc>
      </w:tr>
      <w:tr>
        <w:trPr>
          <w:trHeight w:val="365"/>
        </w:trPr>
        <w:tc>
          <w:tcPr>
            <w:tcW w:w="5260" w:type="dxa"/>
            <w:vAlign w:val="bottom"/>
          </w:tcPr>
          <w:p>
            <w:pPr>
              <w:ind w:left="60"/>
              <w:spacing w:after="0"/>
              <w:rPr>
                <w:sz w:val="20"/>
                <w:szCs w:val="20"/>
                <w:color w:val="auto"/>
              </w:rPr>
            </w:pPr>
            <w:r>
              <w:rPr>
                <w:rFonts w:ascii="Arial" w:cs="Arial" w:eastAsia="Arial" w:hAnsi="Arial"/>
                <w:sz w:val="17"/>
                <w:szCs w:val="17"/>
                <w:color w:val="auto"/>
              </w:rPr>
              <w:t>Provision for credit losses on loan portfolio</w:t>
            </w:r>
          </w:p>
        </w:tc>
        <w:tc>
          <w:tcPr>
            <w:tcW w:w="1740" w:type="dxa"/>
            <w:vAlign w:val="bottom"/>
          </w:tcPr>
          <w:p>
            <w:pPr>
              <w:jc w:val="center"/>
              <w:ind w:left="274"/>
              <w:spacing w:after="0"/>
              <w:rPr>
                <w:sz w:val="20"/>
                <w:szCs w:val="20"/>
                <w:color w:val="auto"/>
              </w:rPr>
            </w:pPr>
            <w:r>
              <w:rPr>
                <w:rFonts w:ascii="Arial" w:cs="Arial" w:eastAsia="Arial" w:hAnsi="Arial"/>
                <w:sz w:val="17"/>
                <w:szCs w:val="17"/>
                <w:color w:val="auto"/>
              </w:rPr>
              <w:t>7(c)</w:t>
            </w: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(2,158,555)</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(1,558,951)</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(6,080,289)</w:t>
            </w:r>
          </w:p>
        </w:tc>
        <w:tc>
          <w:tcPr>
            <w:tcW w:w="0" w:type="dxa"/>
            <w:vAlign w:val="bottom"/>
          </w:tcPr>
          <w:p>
            <w:pPr>
              <w:spacing w:after="0"/>
              <w:rPr>
                <w:sz w:val="1"/>
                <w:szCs w:val="1"/>
                <w:color w:val="auto"/>
              </w:rPr>
            </w:pPr>
          </w:p>
        </w:tc>
      </w:tr>
      <w:tr>
        <w:trPr>
          <w:trHeight w:val="208"/>
        </w:trPr>
        <w:tc>
          <w:tcPr>
            <w:tcW w:w="5260" w:type="dxa"/>
            <w:vAlign w:val="bottom"/>
          </w:tcPr>
          <w:p>
            <w:pPr>
              <w:ind w:left="60"/>
              <w:spacing w:after="0"/>
              <w:rPr>
                <w:sz w:val="20"/>
                <w:szCs w:val="20"/>
                <w:color w:val="auto"/>
              </w:rPr>
            </w:pPr>
            <w:r>
              <w:rPr>
                <w:rFonts w:ascii="Arial" w:cs="Arial" w:eastAsia="Arial" w:hAnsi="Arial"/>
                <w:sz w:val="17"/>
                <w:szCs w:val="17"/>
                <w:color w:val="auto"/>
              </w:rPr>
              <w:t>Recoveries of written-off loans</w:t>
            </w:r>
          </w:p>
        </w:tc>
        <w:tc>
          <w:tcPr>
            <w:tcW w:w="1740" w:type="dxa"/>
            <w:vAlign w:val="bottom"/>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347,017</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346,728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159,781</w:t>
            </w:r>
          </w:p>
        </w:tc>
        <w:tc>
          <w:tcPr>
            <w:tcW w:w="0" w:type="dxa"/>
            <w:vAlign w:val="bottom"/>
          </w:tcPr>
          <w:p>
            <w:pPr>
              <w:spacing w:after="0"/>
              <w:rPr>
                <w:sz w:val="1"/>
                <w:szCs w:val="1"/>
                <w:color w:val="auto"/>
              </w:rPr>
            </w:pPr>
          </w:p>
        </w:tc>
      </w:tr>
      <w:tr>
        <w:trPr>
          <w:trHeight w:val="210"/>
        </w:trPr>
        <w:tc>
          <w:tcPr>
            <w:tcW w:w="5260" w:type="dxa"/>
            <w:vAlign w:val="bottom"/>
          </w:tcPr>
          <w:p>
            <w:pPr>
              <w:ind w:left="60"/>
              <w:spacing w:after="0"/>
              <w:rPr>
                <w:sz w:val="20"/>
                <w:szCs w:val="20"/>
                <w:color w:val="auto"/>
              </w:rPr>
            </w:pPr>
            <w:r>
              <w:rPr>
                <w:rFonts w:ascii="Arial" w:cs="Arial" w:eastAsia="Arial" w:hAnsi="Arial"/>
                <w:sz w:val="17"/>
                <w:szCs w:val="17"/>
                <w:b w:val="1"/>
                <w:bCs w:val="1"/>
                <w:color w:val="auto"/>
              </w:rPr>
              <w:t>Provision for credit losses on loan portfolio, net of recoveries</w:t>
            </w:r>
          </w:p>
        </w:tc>
        <w:tc>
          <w:tcPr>
            <w:tcW w:w="174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(1,811,538)</w:t>
            </w:r>
          </w:p>
        </w:tc>
        <w:tc>
          <w:tcPr>
            <w:tcW w:w="1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(1,212,223)</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(5,920,508)</w:t>
            </w:r>
          </w:p>
        </w:tc>
        <w:tc>
          <w:tcPr>
            <w:tcW w:w="0" w:type="dxa"/>
            <w:vAlign w:val="bottom"/>
          </w:tcPr>
          <w:p>
            <w:pPr>
              <w:spacing w:after="0"/>
              <w:rPr>
                <w:sz w:val="1"/>
                <w:szCs w:val="1"/>
                <w:color w:val="auto"/>
              </w:rPr>
            </w:pPr>
          </w:p>
        </w:tc>
      </w:tr>
      <w:tr>
        <w:trPr>
          <w:trHeight w:val="343"/>
        </w:trPr>
        <w:tc>
          <w:tcPr>
            <w:tcW w:w="5260" w:type="dxa"/>
            <w:vAlign w:val="bottom"/>
          </w:tcPr>
          <w:p>
            <w:pPr>
              <w:ind w:left="100"/>
              <w:spacing w:after="0"/>
              <w:rPr>
                <w:sz w:val="20"/>
                <w:szCs w:val="20"/>
                <w:color w:val="auto"/>
              </w:rPr>
            </w:pPr>
            <w:r>
              <w:rPr>
                <w:rFonts w:ascii="Arial" w:cs="Arial" w:eastAsia="Arial" w:hAnsi="Arial"/>
                <w:sz w:val="17"/>
                <w:szCs w:val="17"/>
                <w:b w:val="1"/>
                <w:bCs w:val="1"/>
                <w:color w:val="auto"/>
              </w:rPr>
              <w:t>Net interest, similar income and expenses, after provision for</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00"/>
              <w:spacing w:after="0"/>
              <w:rPr>
                <w:sz w:val="20"/>
                <w:szCs w:val="20"/>
                <w:color w:val="auto"/>
              </w:rPr>
            </w:pPr>
            <w:r>
              <w:rPr>
                <w:rFonts w:ascii="Arial" w:cs="Arial" w:eastAsia="Arial" w:hAnsi="Arial"/>
                <w:sz w:val="17"/>
                <w:szCs w:val="17"/>
                <w:b w:val="1"/>
                <w:bCs w:val="1"/>
                <w:color w:val="auto"/>
              </w:rPr>
              <w:t>credit losses on loan portfolio</w:t>
            </w:r>
          </w:p>
        </w:tc>
        <w:tc>
          <w:tcPr>
            <w:tcW w:w="1740" w:type="dxa"/>
            <w:vAlign w:val="bottom"/>
          </w:tcPr>
          <w:p>
            <w:pPr>
              <w:spacing w:after="0"/>
              <w:rPr>
                <w:sz w:val="20"/>
                <w:szCs w:val="20"/>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9,706,557</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8,147,381</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2,648,444</w:t>
            </w:r>
          </w:p>
        </w:tc>
        <w:tc>
          <w:tcPr>
            <w:tcW w:w="0" w:type="dxa"/>
            <w:vAlign w:val="bottom"/>
          </w:tcPr>
          <w:p>
            <w:pPr>
              <w:spacing w:after="0"/>
              <w:rPr>
                <w:sz w:val="1"/>
                <w:szCs w:val="1"/>
                <w:color w:val="auto"/>
              </w:rPr>
            </w:pPr>
          </w:p>
        </w:tc>
      </w:tr>
      <w:tr>
        <w:trPr>
          <w:trHeight w:val="381"/>
        </w:trPr>
        <w:tc>
          <w:tcPr>
            <w:tcW w:w="5260" w:type="dxa"/>
            <w:vAlign w:val="bottom"/>
          </w:tcPr>
          <w:p>
            <w:pPr>
              <w:ind w:left="60"/>
              <w:spacing w:after="0"/>
              <w:rPr>
                <w:sz w:val="20"/>
                <w:szCs w:val="20"/>
                <w:color w:val="auto"/>
              </w:rPr>
            </w:pPr>
            <w:r>
              <w:rPr>
                <w:rFonts w:ascii="Arial" w:cs="Arial" w:eastAsia="Arial" w:hAnsi="Arial"/>
                <w:sz w:val="17"/>
                <w:szCs w:val="17"/>
                <w:b w:val="1"/>
                <w:bCs w:val="1"/>
                <w:color w:val="auto"/>
              </w:rPr>
              <w:t>Other income</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Commissions and fees</w:t>
            </w:r>
          </w:p>
        </w:tc>
        <w:tc>
          <w:tcPr>
            <w:tcW w:w="1740" w:type="dxa"/>
            <w:vAlign w:val="bottom"/>
          </w:tcPr>
          <w:p>
            <w:pPr>
              <w:jc w:val="center"/>
              <w:ind w:left="294"/>
              <w:spacing w:after="0" w:line="194" w:lineRule="exact"/>
              <w:rPr>
                <w:sz w:val="20"/>
                <w:szCs w:val="20"/>
                <w:color w:val="auto"/>
              </w:rPr>
            </w:pPr>
            <w:r>
              <w:rPr>
                <w:rFonts w:ascii="Arial" w:cs="Arial" w:eastAsia="Arial" w:hAnsi="Arial"/>
                <w:sz w:val="17"/>
                <w:szCs w:val="17"/>
                <w:color w:val="auto"/>
              </w:rPr>
              <w:t>23</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3,640,319</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3,493,734</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2,912,778</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Net gain on foreign exchange transactions</w:t>
            </w:r>
          </w:p>
        </w:tc>
        <w:tc>
          <w:tcPr>
            <w:tcW w:w="174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1,084,151</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922,917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676,973</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Net gain on securities</w:t>
            </w:r>
          </w:p>
        </w:tc>
        <w:tc>
          <w:tcPr>
            <w:tcW w:w="1740" w:type="dxa"/>
            <w:vAlign w:val="bottom"/>
          </w:tcPr>
          <w:p>
            <w:pPr>
              <w:jc w:val="center"/>
              <w:ind w:left="294"/>
              <w:spacing w:after="0" w:line="194" w:lineRule="exact"/>
              <w:rPr>
                <w:sz w:val="20"/>
                <w:szCs w:val="20"/>
                <w:color w:val="auto"/>
              </w:rPr>
            </w:pPr>
            <w:r>
              <w:rPr>
                <w:rFonts w:ascii="Arial" w:cs="Arial" w:eastAsia="Arial" w:hAnsi="Arial"/>
                <w:sz w:val="17"/>
                <w:szCs w:val="17"/>
                <w:color w:val="auto"/>
              </w:rPr>
              <w:t>24</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5,468</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28,650</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523,082</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Net gain on derivatives held for trading</w:t>
            </w:r>
          </w:p>
        </w:tc>
        <w:tc>
          <w:tcPr>
            <w:tcW w:w="174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65,187</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221,064</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56,244</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Net loss from exchange differences</w:t>
            </w:r>
          </w:p>
        </w:tc>
        <w:tc>
          <w:tcPr>
            <w:tcW w:w="174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(16,158)</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(3,215)</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(18,932)</w:t>
            </w:r>
          </w:p>
        </w:tc>
        <w:tc>
          <w:tcPr>
            <w:tcW w:w="0" w:type="dxa"/>
            <w:vAlign w:val="bottom"/>
          </w:tcPr>
          <w:p>
            <w:pPr>
              <w:spacing w:after="0"/>
              <w:rPr>
                <w:sz w:val="1"/>
                <w:szCs w:val="1"/>
                <w:color w:val="auto"/>
              </w:rPr>
            </w:pPr>
          </w:p>
        </w:tc>
      </w:tr>
      <w:tr>
        <w:trPr>
          <w:trHeight w:val="185"/>
        </w:trPr>
        <w:tc>
          <w:tcPr>
            <w:tcW w:w="5260" w:type="dxa"/>
            <w:vAlign w:val="bottom"/>
          </w:tcPr>
          <w:p>
            <w:pPr>
              <w:ind w:left="60"/>
              <w:spacing w:after="0" w:line="185" w:lineRule="exact"/>
              <w:rPr>
                <w:sz w:val="20"/>
                <w:szCs w:val="20"/>
                <w:color w:val="auto"/>
              </w:rPr>
            </w:pPr>
            <w:r>
              <w:rPr>
                <w:rFonts w:ascii="Arial" w:cs="Arial" w:eastAsia="Arial" w:hAnsi="Arial"/>
                <w:sz w:val="17"/>
                <w:szCs w:val="17"/>
                <w:color w:val="auto"/>
              </w:rPr>
              <w:t>Others</w:t>
            </w:r>
          </w:p>
        </w:tc>
        <w:tc>
          <w:tcPr>
            <w:tcW w:w="1740" w:type="dxa"/>
            <w:vAlign w:val="bottom"/>
          </w:tcPr>
          <w:p>
            <w:pPr>
              <w:jc w:val="center"/>
              <w:ind w:left="294"/>
              <w:spacing w:after="0" w:line="185" w:lineRule="exact"/>
              <w:rPr>
                <w:sz w:val="20"/>
                <w:szCs w:val="20"/>
                <w:color w:val="auto"/>
              </w:rPr>
            </w:pPr>
            <w:r>
              <w:rPr>
                <w:rFonts w:ascii="Arial" w:cs="Arial" w:eastAsia="Arial" w:hAnsi="Arial"/>
                <w:sz w:val="17"/>
                <w:szCs w:val="17"/>
                <w:color w:val="auto"/>
              </w:rPr>
              <w:t>29</w:t>
            </w:r>
          </w:p>
        </w:tc>
        <w:tc>
          <w:tcPr>
            <w:tcW w:w="1360" w:type="dxa"/>
            <w:vAlign w:val="bottom"/>
          </w:tcPr>
          <w:p>
            <w:pPr>
              <w:jc w:val="right"/>
              <w:ind w:right="34"/>
              <w:spacing w:after="0" w:line="185" w:lineRule="exact"/>
              <w:rPr>
                <w:sz w:val="20"/>
                <w:szCs w:val="20"/>
                <w:color w:val="auto"/>
              </w:rPr>
            </w:pPr>
            <w:r>
              <w:rPr>
                <w:rFonts w:ascii="Arial" w:cs="Arial" w:eastAsia="Arial" w:hAnsi="Arial"/>
                <w:sz w:val="17"/>
                <w:szCs w:val="17"/>
                <w:color w:val="auto"/>
              </w:rPr>
              <w:t>329,382</w:t>
            </w:r>
          </w:p>
        </w:tc>
        <w:tc>
          <w:tcPr>
            <w:tcW w:w="120" w:type="dxa"/>
            <w:vAlign w:val="bottom"/>
          </w:tcPr>
          <w:p>
            <w:pPr>
              <w:spacing w:after="0"/>
              <w:rPr>
                <w:sz w:val="16"/>
                <w:szCs w:val="16"/>
                <w:color w:val="auto"/>
              </w:rPr>
            </w:pP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color w:val="auto"/>
              </w:rPr>
              <w:t>266,567</w:t>
            </w:r>
          </w:p>
        </w:tc>
        <w:tc>
          <w:tcPr>
            <w:tcW w:w="100" w:type="dxa"/>
            <w:vAlign w:val="bottom"/>
          </w:tcPr>
          <w:p>
            <w:pPr>
              <w:spacing w:after="0"/>
              <w:rPr>
                <w:sz w:val="16"/>
                <w:szCs w:val="16"/>
                <w:color w:val="auto"/>
              </w:rPr>
            </w:pPr>
          </w:p>
        </w:tc>
        <w:tc>
          <w:tcPr>
            <w:tcW w:w="1320" w:type="dxa"/>
            <w:vAlign w:val="bottom"/>
          </w:tcPr>
          <w:p>
            <w:pPr>
              <w:jc w:val="right"/>
              <w:ind w:right="14"/>
              <w:spacing w:after="0" w:line="185" w:lineRule="exact"/>
              <w:rPr>
                <w:sz w:val="20"/>
                <w:szCs w:val="20"/>
                <w:color w:val="auto"/>
              </w:rPr>
            </w:pPr>
            <w:r>
              <w:rPr>
                <w:rFonts w:ascii="Arial" w:cs="Arial" w:eastAsia="Arial" w:hAnsi="Arial"/>
                <w:sz w:val="17"/>
                <w:szCs w:val="17"/>
                <w:color w:val="auto"/>
              </w:rPr>
              <w:t>289,037</w:t>
            </w:r>
          </w:p>
        </w:tc>
        <w:tc>
          <w:tcPr>
            <w:tcW w:w="0" w:type="dxa"/>
            <w:vAlign w:val="bottom"/>
          </w:tcPr>
          <w:p>
            <w:pPr>
              <w:spacing w:after="0"/>
              <w:rPr>
                <w:sz w:val="1"/>
                <w:szCs w:val="1"/>
                <w:color w:val="auto"/>
              </w:rPr>
            </w:pPr>
          </w:p>
        </w:tc>
      </w:tr>
      <w:tr>
        <w:trPr>
          <w:trHeight w:val="23"/>
        </w:trPr>
        <w:tc>
          <w:tcPr>
            <w:tcW w:w="526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Total other income</w:t>
            </w:r>
          </w:p>
        </w:tc>
        <w:tc>
          <w:tcPr>
            <w:tcW w:w="1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26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5,108,349</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4,929,717</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4,439,182</w:t>
            </w:r>
          </w:p>
        </w:tc>
        <w:tc>
          <w:tcPr>
            <w:tcW w:w="0" w:type="dxa"/>
            <w:vAlign w:val="bottom"/>
          </w:tcPr>
          <w:p>
            <w:pPr>
              <w:spacing w:after="0"/>
              <w:rPr>
                <w:sz w:val="1"/>
                <w:szCs w:val="1"/>
                <w:color w:val="auto"/>
              </w:rPr>
            </w:pPr>
          </w:p>
        </w:tc>
      </w:tr>
      <w:tr>
        <w:trPr>
          <w:trHeight w:val="381"/>
        </w:trPr>
        <w:tc>
          <w:tcPr>
            <w:tcW w:w="5260" w:type="dxa"/>
            <w:vAlign w:val="bottom"/>
          </w:tcPr>
          <w:p>
            <w:pPr>
              <w:ind w:left="60"/>
              <w:spacing w:after="0"/>
              <w:rPr>
                <w:sz w:val="20"/>
                <w:szCs w:val="20"/>
                <w:color w:val="auto"/>
              </w:rPr>
            </w:pPr>
            <w:r>
              <w:rPr>
                <w:rFonts w:ascii="Arial" w:cs="Arial" w:eastAsia="Arial" w:hAnsi="Arial"/>
                <w:sz w:val="17"/>
                <w:szCs w:val="17"/>
                <w:b w:val="1"/>
                <w:bCs w:val="1"/>
                <w:color w:val="auto"/>
              </w:rPr>
              <w:t>Insurance underwriting result</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Net premiums earned</w:t>
            </w:r>
          </w:p>
        </w:tc>
        <w:tc>
          <w:tcPr>
            <w:tcW w:w="1740" w:type="dxa"/>
            <w:vAlign w:val="bottom"/>
          </w:tcPr>
          <w:p>
            <w:pPr>
              <w:jc w:val="center"/>
              <w:ind w:left="294"/>
              <w:spacing w:after="0" w:line="194" w:lineRule="exact"/>
              <w:rPr>
                <w:sz w:val="20"/>
                <w:szCs w:val="20"/>
                <w:color w:val="auto"/>
              </w:rPr>
            </w:pPr>
            <w:r>
              <w:rPr>
                <w:rFonts w:ascii="Arial" w:cs="Arial" w:eastAsia="Arial" w:hAnsi="Arial"/>
                <w:sz w:val="17"/>
                <w:szCs w:val="17"/>
                <w:color w:val="auto"/>
              </w:rPr>
              <w:t>25</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2,873,295</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2,671,530</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2,428,060</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Net claims incurred for life, general and health</w:t>
            </w: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insurance contracts</w:t>
            </w:r>
          </w:p>
        </w:tc>
        <w:tc>
          <w:tcPr>
            <w:tcW w:w="1740" w:type="dxa"/>
            <w:vAlign w:val="bottom"/>
          </w:tcPr>
          <w:p>
            <w:pPr>
              <w:jc w:val="center"/>
              <w:ind w:left="294"/>
              <w:spacing w:after="0" w:line="194" w:lineRule="exact"/>
              <w:rPr>
                <w:sz w:val="20"/>
                <w:szCs w:val="20"/>
                <w:color w:val="auto"/>
              </w:rPr>
            </w:pPr>
            <w:r>
              <w:rPr>
                <w:rFonts w:ascii="Arial" w:cs="Arial" w:eastAsia="Arial" w:hAnsi="Arial"/>
                <w:sz w:val="17"/>
                <w:szCs w:val="17"/>
                <w:color w:val="auto"/>
              </w:rPr>
              <w:t>26</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(1,929,890)</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(2,341,917)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(1,708,113)</w:t>
            </w:r>
          </w:p>
        </w:tc>
        <w:tc>
          <w:tcPr>
            <w:tcW w:w="0" w:type="dxa"/>
            <w:vAlign w:val="bottom"/>
          </w:tcPr>
          <w:p>
            <w:pPr>
              <w:spacing w:after="0"/>
              <w:rPr>
                <w:sz w:val="1"/>
                <w:szCs w:val="1"/>
                <w:color w:val="auto"/>
              </w:rPr>
            </w:pPr>
          </w:p>
        </w:tc>
      </w:tr>
      <w:tr>
        <w:trPr>
          <w:trHeight w:val="208"/>
        </w:trPr>
        <w:tc>
          <w:tcPr>
            <w:tcW w:w="5260" w:type="dxa"/>
            <w:vAlign w:val="bottom"/>
          </w:tcPr>
          <w:p>
            <w:pPr>
              <w:ind w:left="60"/>
              <w:spacing w:after="0"/>
              <w:rPr>
                <w:sz w:val="20"/>
                <w:szCs w:val="20"/>
                <w:color w:val="auto"/>
              </w:rPr>
            </w:pPr>
            <w:r>
              <w:rPr>
                <w:rFonts w:ascii="Arial" w:cs="Arial" w:eastAsia="Arial" w:hAnsi="Arial"/>
                <w:sz w:val="17"/>
                <w:szCs w:val="17"/>
                <w:color w:val="auto"/>
              </w:rPr>
              <w:t>Acquisition cost</w:t>
            </w:r>
          </w:p>
        </w:tc>
        <w:tc>
          <w:tcPr>
            <w:tcW w:w="1740" w:type="dxa"/>
            <w:vAlign w:val="bottom"/>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(281,807)</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(333,334)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(361,814)</w:t>
            </w:r>
          </w:p>
        </w:tc>
        <w:tc>
          <w:tcPr>
            <w:tcW w:w="0" w:type="dxa"/>
            <w:vAlign w:val="bottom"/>
          </w:tcPr>
          <w:p>
            <w:pPr>
              <w:spacing w:after="0"/>
              <w:rPr>
                <w:sz w:val="1"/>
                <w:szCs w:val="1"/>
                <w:color w:val="auto"/>
              </w:rPr>
            </w:pPr>
          </w:p>
        </w:tc>
      </w:tr>
      <w:tr>
        <w:trPr>
          <w:trHeight w:val="210"/>
        </w:trPr>
        <w:tc>
          <w:tcPr>
            <w:tcW w:w="5260" w:type="dxa"/>
            <w:vAlign w:val="bottom"/>
          </w:tcPr>
          <w:p>
            <w:pPr>
              <w:ind w:left="60"/>
              <w:spacing w:after="0"/>
              <w:rPr>
                <w:sz w:val="20"/>
                <w:szCs w:val="20"/>
                <w:color w:val="auto"/>
              </w:rPr>
            </w:pPr>
            <w:r>
              <w:rPr>
                <w:rFonts w:ascii="Arial" w:cs="Arial" w:eastAsia="Arial" w:hAnsi="Arial"/>
                <w:sz w:val="17"/>
                <w:szCs w:val="17"/>
                <w:b w:val="1"/>
                <w:bCs w:val="1"/>
                <w:color w:val="auto"/>
              </w:rPr>
              <w:t>Total insurance underwriting result</w:t>
            </w:r>
          </w:p>
        </w:tc>
        <w:tc>
          <w:tcPr>
            <w:tcW w:w="174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661,598</w:t>
            </w:r>
          </w:p>
        </w:tc>
        <w:tc>
          <w:tcPr>
            <w:tcW w:w="1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(3,721)</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358,133</w:t>
            </w:r>
          </w:p>
        </w:tc>
        <w:tc>
          <w:tcPr>
            <w:tcW w:w="0" w:type="dxa"/>
            <w:vAlign w:val="bottom"/>
          </w:tcPr>
          <w:p>
            <w:pPr>
              <w:spacing w:after="0"/>
              <w:rPr>
                <w:sz w:val="1"/>
                <w:szCs w:val="1"/>
                <w:color w:val="auto"/>
              </w:rPr>
            </w:pPr>
          </w:p>
        </w:tc>
      </w:tr>
      <w:tr>
        <w:trPr>
          <w:trHeight w:val="365"/>
        </w:trPr>
        <w:tc>
          <w:tcPr>
            <w:tcW w:w="5260" w:type="dxa"/>
            <w:vAlign w:val="bottom"/>
          </w:tcPr>
          <w:p>
            <w:pPr>
              <w:ind w:left="60"/>
              <w:spacing w:after="0"/>
              <w:rPr>
                <w:sz w:val="20"/>
                <w:szCs w:val="20"/>
                <w:color w:val="auto"/>
              </w:rPr>
            </w:pPr>
            <w:r>
              <w:rPr>
                <w:rFonts w:ascii="Arial" w:cs="Arial" w:eastAsia="Arial" w:hAnsi="Arial"/>
                <w:sz w:val="17"/>
                <w:szCs w:val="17"/>
                <w:b w:val="1"/>
                <w:bCs w:val="1"/>
                <w:color w:val="auto"/>
              </w:rPr>
              <w:t>Other expenses</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Salaries and employee benefits</w:t>
            </w:r>
          </w:p>
        </w:tc>
        <w:tc>
          <w:tcPr>
            <w:tcW w:w="1740" w:type="dxa"/>
            <w:vAlign w:val="bottom"/>
          </w:tcPr>
          <w:p>
            <w:pPr>
              <w:jc w:val="center"/>
              <w:ind w:left="294"/>
              <w:spacing w:after="0" w:line="194" w:lineRule="exact"/>
              <w:rPr>
                <w:sz w:val="20"/>
                <w:szCs w:val="20"/>
                <w:color w:val="auto"/>
              </w:rPr>
            </w:pPr>
            <w:r>
              <w:rPr>
                <w:rFonts w:ascii="Arial" w:cs="Arial" w:eastAsia="Arial" w:hAnsi="Arial"/>
                <w:sz w:val="17"/>
                <w:szCs w:val="17"/>
                <w:color w:val="auto"/>
              </w:rPr>
              <w:t>27</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(4,052,780)</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(3,668,476)</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(3,312,954)</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Administrative expenses</w:t>
            </w:r>
          </w:p>
        </w:tc>
        <w:tc>
          <w:tcPr>
            <w:tcW w:w="1740" w:type="dxa"/>
            <w:vAlign w:val="bottom"/>
          </w:tcPr>
          <w:p>
            <w:pPr>
              <w:jc w:val="center"/>
              <w:ind w:left="294"/>
              <w:spacing w:after="0" w:line="194" w:lineRule="exact"/>
              <w:rPr>
                <w:sz w:val="20"/>
                <w:szCs w:val="20"/>
                <w:color w:val="auto"/>
              </w:rPr>
            </w:pPr>
            <w:r>
              <w:rPr>
                <w:rFonts w:ascii="Arial" w:cs="Arial" w:eastAsia="Arial" w:hAnsi="Arial"/>
                <w:sz w:val="17"/>
                <w:szCs w:val="17"/>
                <w:color w:val="auto"/>
              </w:rPr>
              <w:t>28</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(3,505,101)</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(2,953,717)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(2,383,718)</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Depreciation and amortization</w:t>
            </w:r>
          </w:p>
        </w:tc>
        <w:tc>
          <w:tcPr>
            <w:tcW w:w="174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10 and 11(a)</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(532,169)</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(521,967)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(497,910)</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Impairment loss on goodwill</w:t>
            </w:r>
          </w:p>
        </w:tc>
        <w:tc>
          <w:tcPr>
            <w:tcW w:w="1740" w:type="dxa"/>
            <w:vAlign w:val="bottom"/>
          </w:tcPr>
          <w:p>
            <w:pPr>
              <w:jc w:val="center"/>
              <w:ind w:left="294"/>
              <w:spacing w:after="0" w:line="194" w:lineRule="exact"/>
              <w:rPr>
                <w:sz w:val="20"/>
                <w:szCs w:val="20"/>
                <w:color w:val="auto"/>
              </w:rPr>
            </w:pPr>
            <w:r>
              <w:rPr>
                <w:rFonts w:ascii="Arial" w:cs="Arial" w:eastAsia="Arial" w:hAnsi="Arial"/>
                <w:sz w:val="17"/>
                <w:szCs w:val="17"/>
                <w:color w:val="auto"/>
              </w:rPr>
              <w:t>11(b)</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(63,978)</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4" w:lineRule="exact"/>
              <w:rPr>
                <w:sz w:val="20"/>
                <w:szCs w:val="20"/>
                <w:color w:val="auto"/>
              </w:rPr>
            </w:pPr>
            <w:r>
              <w:rPr>
                <w:rFonts w:ascii="Arial" w:cs="Arial" w:eastAsia="Arial" w:hAnsi="Arial"/>
                <w:sz w:val="17"/>
                <w:szCs w:val="17"/>
                <w:color w:val="auto"/>
              </w:rPr>
              <w:t>Depreciation for right-of-use assets</w:t>
            </w:r>
          </w:p>
        </w:tc>
        <w:tc>
          <w:tcPr>
            <w:tcW w:w="1740" w:type="dxa"/>
            <w:vAlign w:val="bottom"/>
          </w:tcPr>
          <w:p>
            <w:pPr>
              <w:jc w:val="center"/>
              <w:ind w:left="294"/>
              <w:spacing w:after="0" w:line="194" w:lineRule="exact"/>
              <w:rPr>
                <w:sz w:val="20"/>
                <w:szCs w:val="20"/>
                <w:color w:val="auto"/>
              </w:rPr>
            </w:pPr>
            <w:r>
              <w:rPr>
                <w:rFonts w:ascii="Arial" w:cs="Arial" w:eastAsia="Arial" w:hAnsi="Arial"/>
                <w:sz w:val="17"/>
                <w:szCs w:val="17"/>
                <w:color w:val="auto"/>
              </w:rPr>
              <w:t>12(a)</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(151,335)</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(161,287)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(172,005)</w:t>
            </w:r>
          </w:p>
        </w:tc>
        <w:tc>
          <w:tcPr>
            <w:tcW w:w="0" w:type="dxa"/>
            <w:vAlign w:val="bottom"/>
          </w:tcPr>
          <w:p>
            <w:pPr>
              <w:spacing w:after="0"/>
              <w:rPr>
                <w:sz w:val="1"/>
                <w:szCs w:val="1"/>
                <w:color w:val="auto"/>
              </w:rPr>
            </w:pPr>
          </w:p>
        </w:tc>
      </w:tr>
      <w:tr>
        <w:trPr>
          <w:trHeight w:val="185"/>
        </w:trPr>
        <w:tc>
          <w:tcPr>
            <w:tcW w:w="5260" w:type="dxa"/>
            <w:vAlign w:val="bottom"/>
          </w:tcPr>
          <w:p>
            <w:pPr>
              <w:ind w:left="60"/>
              <w:spacing w:after="0" w:line="185" w:lineRule="exact"/>
              <w:rPr>
                <w:sz w:val="20"/>
                <w:szCs w:val="20"/>
                <w:color w:val="auto"/>
              </w:rPr>
            </w:pPr>
            <w:r>
              <w:rPr>
                <w:rFonts w:ascii="Arial" w:cs="Arial" w:eastAsia="Arial" w:hAnsi="Arial"/>
                <w:sz w:val="17"/>
                <w:szCs w:val="17"/>
                <w:color w:val="auto"/>
              </w:rPr>
              <w:t>Others</w:t>
            </w:r>
          </w:p>
        </w:tc>
        <w:tc>
          <w:tcPr>
            <w:tcW w:w="1740" w:type="dxa"/>
            <w:vAlign w:val="bottom"/>
          </w:tcPr>
          <w:p>
            <w:pPr>
              <w:jc w:val="center"/>
              <w:ind w:left="294"/>
              <w:spacing w:after="0" w:line="185" w:lineRule="exact"/>
              <w:rPr>
                <w:sz w:val="20"/>
                <w:szCs w:val="20"/>
                <w:color w:val="auto"/>
              </w:rPr>
            </w:pPr>
            <w:r>
              <w:rPr>
                <w:rFonts w:ascii="Arial" w:cs="Arial" w:eastAsia="Arial" w:hAnsi="Arial"/>
                <w:sz w:val="17"/>
                <w:szCs w:val="17"/>
                <w:color w:val="auto"/>
              </w:rPr>
              <w:t>29</w:t>
            </w:r>
          </w:p>
        </w:tc>
        <w:tc>
          <w:tcPr>
            <w:tcW w:w="1360" w:type="dxa"/>
            <w:vAlign w:val="bottom"/>
          </w:tcPr>
          <w:p>
            <w:pPr>
              <w:jc w:val="right"/>
              <w:ind w:right="34"/>
              <w:spacing w:after="0" w:line="185" w:lineRule="exact"/>
              <w:rPr>
                <w:sz w:val="20"/>
                <w:szCs w:val="20"/>
                <w:color w:val="auto"/>
              </w:rPr>
            </w:pPr>
            <w:r>
              <w:rPr>
                <w:rFonts w:ascii="Arial" w:cs="Arial" w:eastAsia="Arial" w:hAnsi="Arial"/>
                <w:sz w:val="17"/>
                <w:szCs w:val="17"/>
                <w:color w:val="auto"/>
              </w:rPr>
              <w:t>(379,230)</w:t>
            </w:r>
          </w:p>
        </w:tc>
        <w:tc>
          <w:tcPr>
            <w:tcW w:w="120" w:type="dxa"/>
            <w:vAlign w:val="bottom"/>
          </w:tcPr>
          <w:p>
            <w:pPr>
              <w:spacing w:after="0"/>
              <w:rPr>
                <w:sz w:val="16"/>
                <w:szCs w:val="16"/>
                <w:color w:val="auto"/>
              </w:rPr>
            </w:pP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color w:val="auto"/>
              </w:rPr>
              <w:t>(435,114)</w:t>
            </w:r>
          </w:p>
        </w:tc>
        <w:tc>
          <w:tcPr>
            <w:tcW w:w="100" w:type="dxa"/>
            <w:vAlign w:val="bottom"/>
          </w:tcPr>
          <w:p>
            <w:pPr>
              <w:spacing w:after="0"/>
              <w:rPr>
                <w:sz w:val="16"/>
                <w:szCs w:val="16"/>
                <w:color w:val="auto"/>
              </w:rPr>
            </w:pPr>
          </w:p>
        </w:tc>
        <w:tc>
          <w:tcPr>
            <w:tcW w:w="1320" w:type="dxa"/>
            <w:vAlign w:val="bottom"/>
          </w:tcPr>
          <w:p>
            <w:pPr>
              <w:jc w:val="right"/>
              <w:ind w:right="14"/>
              <w:spacing w:after="0" w:line="185" w:lineRule="exact"/>
              <w:rPr>
                <w:sz w:val="20"/>
                <w:szCs w:val="20"/>
                <w:color w:val="auto"/>
              </w:rPr>
            </w:pPr>
            <w:r>
              <w:rPr>
                <w:rFonts w:ascii="Arial" w:cs="Arial" w:eastAsia="Arial" w:hAnsi="Arial"/>
                <w:sz w:val="17"/>
                <w:szCs w:val="17"/>
                <w:color w:val="auto"/>
              </w:rPr>
              <w:t>(760,124)</w:t>
            </w:r>
          </w:p>
        </w:tc>
        <w:tc>
          <w:tcPr>
            <w:tcW w:w="0" w:type="dxa"/>
            <w:vAlign w:val="bottom"/>
          </w:tcPr>
          <w:p>
            <w:pPr>
              <w:spacing w:after="0"/>
              <w:rPr>
                <w:sz w:val="1"/>
                <w:szCs w:val="1"/>
                <w:color w:val="auto"/>
              </w:rPr>
            </w:pPr>
          </w:p>
        </w:tc>
      </w:tr>
      <w:tr>
        <w:trPr>
          <w:trHeight w:val="23"/>
        </w:trPr>
        <w:tc>
          <w:tcPr>
            <w:tcW w:w="526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Total other expenses</w:t>
            </w:r>
          </w:p>
        </w:tc>
        <w:tc>
          <w:tcPr>
            <w:tcW w:w="1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26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(8,620,615)</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(7,740,561)</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(7,190,689)</w:t>
            </w:r>
          </w:p>
        </w:tc>
        <w:tc>
          <w:tcPr>
            <w:tcW w:w="0" w:type="dxa"/>
            <w:vAlign w:val="bottom"/>
          </w:tcPr>
          <w:p>
            <w:pPr>
              <w:spacing w:after="0"/>
              <w:rPr>
                <w:sz w:val="1"/>
                <w:szCs w:val="1"/>
                <w:color w:val="auto"/>
              </w:rPr>
            </w:pPr>
          </w:p>
        </w:tc>
      </w:tr>
      <w:tr>
        <w:trPr>
          <w:trHeight w:val="369"/>
        </w:trPr>
        <w:tc>
          <w:tcPr>
            <w:tcW w:w="5260" w:type="dxa"/>
            <w:vAlign w:val="bottom"/>
          </w:tcPr>
          <w:p>
            <w:pPr>
              <w:spacing w:after="0"/>
              <w:rPr>
                <w:sz w:val="24"/>
                <w:szCs w:val="24"/>
                <w:color w:val="auto"/>
              </w:rPr>
            </w:pPr>
          </w:p>
        </w:tc>
        <w:tc>
          <w:tcPr>
            <w:tcW w:w="1740" w:type="dxa"/>
            <w:vAlign w:val="bottom"/>
          </w:tcPr>
          <w:p>
            <w:pPr>
              <w:jc w:val="right"/>
              <w:ind w:right="1094"/>
              <w:spacing w:after="0"/>
              <w:rPr>
                <w:sz w:val="20"/>
                <w:szCs w:val="20"/>
                <w:color w:val="auto"/>
              </w:rPr>
            </w:pPr>
            <w:r>
              <w:rPr>
                <w:rFonts w:ascii="Arial" w:cs="Arial" w:eastAsia="Arial" w:hAnsi="Arial"/>
                <w:sz w:val="17"/>
                <w:szCs w:val="17"/>
                <w:color w:val="auto"/>
              </w:rPr>
              <w:t>- 10 -</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5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20"/>
                <w:szCs w:val="20"/>
                <w:color w:val="auto"/>
              </w:rPr>
            </w:pPr>
            <w:r>
              <w:rPr>
                <w:rFonts w:ascii="Arial" w:cs="Arial" w:eastAsia="Arial" w:hAnsi="Arial"/>
                <w:sz w:val="17"/>
                <w:szCs w:val="17"/>
                <w:color w:val="auto"/>
              </w:rPr>
              <w:t>CONSOLIDATED STATEMENT OF INCOME (continued)</w:t>
            </w:r>
          </w:p>
        </w:tc>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8"/>
        </w:trPr>
        <w:tc>
          <w:tcPr>
            <w:tcW w:w="5220" w:type="dxa"/>
            <w:vAlign w:val="bottom"/>
          </w:tcPr>
          <w:p>
            <w:pPr>
              <w:spacing w:after="0"/>
              <w:rPr>
                <w:sz w:val="24"/>
                <w:szCs w:val="24"/>
                <w:color w:val="auto"/>
              </w:rPr>
            </w:pPr>
          </w:p>
        </w:tc>
        <w:tc>
          <w:tcPr>
            <w:tcW w:w="1780" w:type="dxa"/>
            <w:vAlign w:val="bottom"/>
          </w:tcPr>
          <w:p>
            <w:pPr>
              <w:ind w:left="840"/>
              <w:spacing w:after="0"/>
              <w:rPr>
                <w:sz w:val="20"/>
                <w:szCs w:val="20"/>
                <w:color w:val="auto"/>
              </w:rPr>
            </w:pPr>
            <w:r>
              <w:rPr>
                <w:rFonts w:ascii="Arial" w:cs="Arial" w:eastAsia="Arial" w:hAnsi="Arial"/>
                <w:sz w:val="17"/>
                <w:szCs w:val="17"/>
                <w:b w:val="1"/>
                <w:bCs w:val="1"/>
                <w:color w:val="auto"/>
              </w:rPr>
              <w:t>Note</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24"/>
                <w:szCs w:val="24"/>
                <w:color w:val="auto"/>
              </w:rPr>
            </w:pPr>
          </w:p>
        </w:tc>
      </w:tr>
      <w:tr>
        <w:trPr>
          <w:trHeight w:val="223"/>
        </w:trPr>
        <w:tc>
          <w:tcPr>
            <w:tcW w:w="5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7"/>
                <w:szCs w:val="17"/>
                <w:b w:val="1"/>
                <w:bCs w:val="1"/>
                <w:color w:val="auto"/>
              </w:rPr>
              <w:t>S/(000)</w:t>
            </w:r>
          </w:p>
        </w:tc>
      </w:tr>
      <w:tr>
        <w:trPr>
          <w:trHeight w:val="352"/>
        </w:trPr>
        <w:tc>
          <w:tcPr>
            <w:tcW w:w="5220" w:type="dxa"/>
            <w:vAlign w:val="bottom"/>
          </w:tcPr>
          <w:p>
            <w:pPr>
              <w:spacing w:after="0"/>
              <w:rPr>
                <w:sz w:val="20"/>
                <w:szCs w:val="20"/>
                <w:color w:val="auto"/>
              </w:rPr>
            </w:pPr>
            <w:r>
              <w:rPr>
                <w:rFonts w:ascii="Arial" w:cs="Arial" w:eastAsia="Arial" w:hAnsi="Arial"/>
                <w:sz w:val="17"/>
                <w:szCs w:val="17"/>
                <w:b w:val="1"/>
                <w:bCs w:val="1"/>
                <w:color w:val="auto"/>
              </w:rPr>
              <w:t>Net result before income tax</w:t>
            </w:r>
          </w:p>
        </w:tc>
        <w:tc>
          <w:tcPr>
            <w:tcW w:w="178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6,855,889</w:t>
            </w:r>
          </w:p>
        </w:tc>
        <w:tc>
          <w:tcPr>
            <w:tcW w:w="1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5,332,816</w:t>
            </w:r>
          </w:p>
        </w:tc>
        <w:tc>
          <w:tcPr>
            <w:tcW w:w="10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224,161</w:t>
            </w:r>
          </w:p>
        </w:tc>
      </w:tr>
      <w:tr>
        <w:trPr>
          <w:trHeight w:val="208"/>
        </w:trPr>
        <w:tc>
          <w:tcPr>
            <w:tcW w:w="5220" w:type="dxa"/>
            <w:vAlign w:val="bottom"/>
          </w:tcPr>
          <w:p>
            <w:pPr>
              <w:spacing w:after="0"/>
              <w:rPr>
                <w:sz w:val="20"/>
                <w:szCs w:val="20"/>
                <w:color w:val="auto"/>
              </w:rPr>
            </w:pPr>
            <w:r>
              <w:rPr>
                <w:rFonts w:ascii="Arial" w:cs="Arial" w:eastAsia="Arial" w:hAnsi="Arial"/>
                <w:sz w:val="17"/>
                <w:szCs w:val="17"/>
                <w:color w:val="auto"/>
              </w:rPr>
              <w:t>Income tax</w:t>
            </w:r>
          </w:p>
        </w:tc>
        <w:tc>
          <w:tcPr>
            <w:tcW w:w="1780" w:type="dxa"/>
            <w:vAlign w:val="bottom"/>
          </w:tcPr>
          <w:p>
            <w:pPr>
              <w:jc w:val="center"/>
              <w:ind w:left="334"/>
              <w:spacing w:after="0"/>
              <w:rPr>
                <w:sz w:val="20"/>
                <w:szCs w:val="20"/>
                <w:color w:val="auto"/>
              </w:rPr>
            </w:pPr>
            <w:r>
              <w:rPr>
                <w:rFonts w:ascii="Arial" w:cs="Arial" w:eastAsia="Arial" w:hAnsi="Arial"/>
                <w:sz w:val="17"/>
                <w:szCs w:val="17"/>
                <w:color w:val="auto"/>
              </w:rPr>
              <w:t>19(b)</w:t>
            </w: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(2,110,501)</w:t>
            </w:r>
          </w:p>
        </w:tc>
        <w:tc>
          <w:tcPr>
            <w:tcW w:w="12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(1,660,987)</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109,977</w:t>
            </w:r>
          </w:p>
        </w:tc>
      </w:tr>
      <w:tr>
        <w:trPr>
          <w:trHeight w:val="219"/>
        </w:trPr>
        <w:tc>
          <w:tcPr>
            <w:tcW w:w="5220" w:type="dxa"/>
            <w:vAlign w:val="bottom"/>
          </w:tcPr>
          <w:p>
            <w:pPr>
              <w:spacing w:after="0"/>
              <w:rPr>
                <w:sz w:val="20"/>
                <w:szCs w:val="20"/>
                <w:color w:val="auto"/>
              </w:rPr>
            </w:pPr>
            <w:r>
              <w:rPr>
                <w:rFonts w:ascii="Arial" w:cs="Arial" w:eastAsia="Arial" w:hAnsi="Arial"/>
                <w:sz w:val="17"/>
                <w:szCs w:val="17"/>
                <w:b w:val="1"/>
                <w:bCs w:val="1"/>
                <w:color w:val="auto"/>
              </w:rPr>
              <w:t>Net result after income tax</w:t>
            </w:r>
          </w:p>
        </w:tc>
        <w:tc>
          <w:tcPr>
            <w:tcW w:w="17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4,745,388</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3,671,829</w:t>
            </w: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334,138</w:t>
            </w:r>
          </w:p>
        </w:tc>
      </w:tr>
      <w:tr>
        <w:trPr>
          <w:trHeight w:val="388"/>
        </w:trPr>
        <w:tc>
          <w:tcPr>
            <w:tcW w:w="5220" w:type="dxa"/>
            <w:vAlign w:val="bottom"/>
          </w:tcPr>
          <w:p>
            <w:pPr>
              <w:spacing w:after="0"/>
              <w:rPr>
                <w:sz w:val="20"/>
                <w:szCs w:val="20"/>
                <w:color w:val="auto"/>
              </w:rPr>
            </w:pPr>
            <w:r>
              <w:rPr>
                <w:rFonts w:ascii="Arial" w:cs="Arial" w:eastAsia="Arial" w:hAnsi="Arial"/>
                <w:sz w:val="17"/>
                <w:szCs w:val="17"/>
                <w:b w:val="1"/>
                <w:bCs w:val="1"/>
                <w:color w:val="auto"/>
              </w:rPr>
              <w:t>Attributable to:</w:t>
            </w:r>
          </w:p>
        </w:tc>
        <w:tc>
          <w:tcPr>
            <w:tcW w:w="17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220" w:type="dxa"/>
            <w:vAlign w:val="bottom"/>
          </w:tcPr>
          <w:p>
            <w:pPr>
              <w:spacing w:after="0" w:line="194" w:lineRule="exact"/>
              <w:rPr>
                <w:sz w:val="20"/>
                <w:szCs w:val="20"/>
                <w:color w:val="auto"/>
              </w:rPr>
            </w:pPr>
            <w:r>
              <w:rPr>
                <w:rFonts w:ascii="Arial" w:cs="Arial" w:eastAsia="Arial" w:hAnsi="Arial"/>
                <w:sz w:val="17"/>
                <w:szCs w:val="17"/>
                <w:color w:val="auto"/>
              </w:rPr>
              <w:t>Credicorp’s equity holders</w:t>
            </w:r>
          </w:p>
        </w:tc>
        <w:tc>
          <w:tcPr>
            <w:tcW w:w="1780" w:type="dxa"/>
            <w:vAlign w:val="bottom"/>
          </w:tcPr>
          <w:p>
            <w:pPr>
              <w:spacing w:after="0"/>
              <w:rPr>
                <w:sz w:val="16"/>
                <w:szCs w:val="16"/>
                <w:color w:val="auto"/>
              </w:rPr>
            </w:pPr>
          </w:p>
        </w:tc>
        <w:tc>
          <w:tcPr>
            <w:tcW w:w="13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4,633,096</w:t>
            </w:r>
          </w:p>
        </w:tc>
        <w:tc>
          <w:tcPr>
            <w:tcW w:w="120" w:type="dxa"/>
            <w:vAlign w:val="bottom"/>
          </w:tcPr>
          <w:p>
            <w:pPr>
              <w:spacing w:after="0"/>
              <w:rPr>
                <w:sz w:val="16"/>
                <w:szCs w:val="16"/>
                <w:color w:val="auto"/>
              </w:rPr>
            </w:pPr>
          </w:p>
        </w:tc>
        <w:tc>
          <w:tcPr>
            <w:tcW w:w="13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3,584,582</w:t>
            </w:r>
          </w:p>
        </w:tc>
        <w:tc>
          <w:tcPr>
            <w:tcW w:w="100" w:type="dxa"/>
            <w:vAlign w:val="bottom"/>
          </w:tcPr>
          <w:p>
            <w:pPr>
              <w:spacing w:after="0"/>
              <w:rPr>
                <w:sz w:val="16"/>
                <w:szCs w:val="16"/>
                <w:color w:val="auto"/>
              </w:rPr>
            </w:pPr>
          </w:p>
        </w:tc>
        <w:tc>
          <w:tcPr>
            <w:tcW w:w="13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346,894</w:t>
            </w:r>
          </w:p>
        </w:tc>
      </w:tr>
      <w:tr>
        <w:trPr>
          <w:trHeight w:val="208"/>
        </w:trPr>
        <w:tc>
          <w:tcPr>
            <w:tcW w:w="522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780" w:type="dxa"/>
            <w:vAlign w:val="bottom"/>
          </w:tcPr>
          <w:p>
            <w:pPr>
              <w:spacing w:after="0"/>
              <w:rPr>
                <w:sz w:val="18"/>
                <w:szCs w:val="18"/>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112,292</w:t>
            </w:r>
          </w:p>
        </w:tc>
        <w:tc>
          <w:tcPr>
            <w:tcW w:w="12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87,247</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(12,756)</w:t>
            </w:r>
          </w:p>
        </w:tc>
      </w:tr>
      <w:tr>
        <w:trPr>
          <w:trHeight w:val="193"/>
        </w:trPr>
        <w:tc>
          <w:tcPr>
            <w:tcW w:w="5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20"/>
              <w:spacing w:after="0" w:line="187" w:lineRule="exact"/>
              <w:rPr>
                <w:sz w:val="20"/>
                <w:szCs w:val="20"/>
                <w:color w:val="auto"/>
              </w:rPr>
            </w:pPr>
            <w:r>
              <w:rPr>
                <w:rFonts w:ascii="Arial" w:cs="Arial" w:eastAsia="Arial" w:hAnsi="Arial"/>
                <w:sz w:val="17"/>
                <w:szCs w:val="17"/>
                <w:color w:val="auto"/>
              </w:rPr>
              <w:t>4,745,388</w:t>
            </w:r>
          </w:p>
        </w:tc>
        <w:tc>
          <w:tcPr>
            <w:tcW w:w="12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3,671,829</w:t>
            </w:r>
          </w:p>
        </w:tc>
        <w:tc>
          <w:tcPr>
            <w:tcW w:w="100" w:type="dxa"/>
            <w:vAlign w:val="bottom"/>
          </w:tcPr>
          <w:p>
            <w:pPr>
              <w:spacing w:after="0"/>
              <w:rPr>
                <w:sz w:val="16"/>
                <w:szCs w:val="16"/>
                <w:color w:val="auto"/>
              </w:rPr>
            </w:pPr>
          </w:p>
        </w:tc>
        <w:tc>
          <w:tcPr>
            <w:tcW w:w="1320" w:type="dxa"/>
            <w:vAlign w:val="bottom"/>
            <w:tcBorders>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334,138</w:t>
            </w:r>
          </w:p>
        </w:tc>
      </w:tr>
      <w:tr>
        <w:trPr>
          <w:trHeight w:val="366"/>
        </w:trPr>
        <w:tc>
          <w:tcPr>
            <w:tcW w:w="5220" w:type="dxa"/>
            <w:vAlign w:val="bottom"/>
          </w:tcPr>
          <w:p>
            <w:pPr>
              <w:spacing w:after="0"/>
              <w:rPr>
                <w:sz w:val="20"/>
                <w:szCs w:val="20"/>
                <w:color w:val="auto"/>
              </w:rPr>
            </w:pPr>
            <w:r>
              <w:rPr>
                <w:rFonts w:ascii="Arial" w:cs="Arial" w:eastAsia="Arial" w:hAnsi="Arial"/>
                <w:sz w:val="17"/>
                <w:szCs w:val="17"/>
                <w:b w:val="1"/>
                <w:bCs w:val="1"/>
                <w:color w:val="auto"/>
              </w:rPr>
              <w:t>Net basic and dilutive earnings</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220" w:type="dxa"/>
            <w:vAlign w:val="bottom"/>
          </w:tcPr>
          <w:p>
            <w:pPr>
              <w:spacing w:after="0" w:line="194" w:lineRule="exact"/>
              <w:rPr>
                <w:sz w:val="20"/>
                <w:szCs w:val="20"/>
                <w:color w:val="auto"/>
              </w:rPr>
            </w:pPr>
            <w:r>
              <w:rPr>
                <w:rFonts w:ascii="Arial" w:cs="Arial" w:eastAsia="Arial" w:hAnsi="Arial"/>
                <w:sz w:val="17"/>
                <w:szCs w:val="17"/>
                <w:b w:val="1"/>
                <w:bCs w:val="1"/>
                <w:color w:val="auto"/>
              </w:rPr>
              <w:t>per share attributable to Credicorp's</w:t>
            </w:r>
          </w:p>
        </w:tc>
        <w:tc>
          <w:tcPr>
            <w:tcW w:w="1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7"/>
                <w:szCs w:val="17"/>
                <w:b w:val="1"/>
                <w:bCs w:val="1"/>
                <w:color w:val="auto"/>
              </w:rPr>
              <w:t>equity holders (in soles):</w:t>
            </w:r>
          </w:p>
        </w:tc>
        <w:tc>
          <w:tcPr>
            <w:tcW w:w="1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5"/>
        </w:trPr>
        <w:tc>
          <w:tcPr>
            <w:tcW w:w="5220" w:type="dxa"/>
            <w:vAlign w:val="bottom"/>
          </w:tcPr>
          <w:p>
            <w:pPr>
              <w:spacing w:after="0"/>
              <w:rPr>
                <w:sz w:val="20"/>
                <w:szCs w:val="20"/>
                <w:color w:val="auto"/>
              </w:rPr>
            </w:pPr>
            <w:r>
              <w:rPr>
                <w:rFonts w:ascii="Arial" w:cs="Arial" w:eastAsia="Arial" w:hAnsi="Arial"/>
                <w:sz w:val="17"/>
                <w:szCs w:val="17"/>
                <w:color w:val="auto"/>
              </w:rPr>
              <w:t>Basic</w:t>
            </w:r>
          </w:p>
        </w:tc>
        <w:tc>
          <w:tcPr>
            <w:tcW w:w="1780" w:type="dxa"/>
            <w:vAlign w:val="bottom"/>
          </w:tcPr>
          <w:p>
            <w:pPr>
              <w:jc w:val="center"/>
              <w:ind w:left="334"/>
              <w:spacing w:after="0"/>
              <w:rPr>
                <w:sz w:val="20"/>
                <w:szCs w:val="20"/>
                <w:color w:val="auto"/>
              </w:rPr>
            </w:pPr>
            <w:r>
              <w:rPr>
                <w:rFonts w:ascii="Arial" w:cs="Arial" w:eastAsia="Arial" w:hAnsi="Arial"/>
                <w:sz w:val="17"/>
                <w:szCs w:val="17"/>
                <w:color w:val="auto"/>
              </w:rPr>
              <w:t>30</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58.26</w:t>
            </w:r>
          </w:p>
        </w:tc>
        <w:tc>
          <w:tcPr>
            <w:tcW w:w="1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45.09</w:t>
            </w:r>
          </w:p>
        </w:tc>
        <w:tc>
          <w:tcPr>
            <w:tcW w:w="10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4.37</w:t>
            </w:r>
          </w:p>
        </w:tc>
      </w:tr>
      <w:tr>
        <w:trPr>
          <w:trHeight w:val="208"/>
        </w:trPr>
        <w:tc>
          <w:tcPr>
            <w:tcW w:w="5220" w:type="dxa"/>
            <w:vAlign w:val="bottom"/>
          </w:tcPr>
          <w:p>
            <w:pPr>
              <w:spacing w:after="0"/>
              <w:rPr>
                <w:sz w:val="20"/>
                <w:szCs w:val="20"/>
                <w:color w:val="auto"/>
              </w:rPr>
            </w:pPr>
            <w:r>
              <w:rPr>
                <w:rFonts w:ascii="Arial" w:cs="Arial" w:eastAsia="Arial" w:hAnsi="Arial"/>
                <w:sz w:val="17"/>
                <w:szCs w:val="17"/>
                <w:color w:val="auto"/>
              </w:rPr>
              <w:t>Diluted</w:t>
            </w:r>
          </w:p>
        </w:tc>
        <w:tc>
          <w:tcPr>
            <w:tcW w:w="1780" w:type="dxa"/>
            <w:vAlign w:val="bottom"/>
          </w:tcPr>
          <w:p>
            <w:pPr>
              <w:jc w:val="center"/>
              <w:ind w:left="334"/>
              <w:spacing w:after="0"/>
              <w:rPr>
                <w:sz w:val="20"/>
                <w:szCs w:val="20"/>
                <w:color w:val="auto"/>
              </w:rPr>
            </w:pPr>
            <w:r>
              <w:rPr>
                <w:rFonts w:ascii="Arial" w:cs="Arial" w:eastAsia="Arial" w:hAnsi="Arial"/>
                <w:sz w:val="17"/>
                <w:szCs w:val="17"/>
                <w:color w:val="auto"/>
              </w:rPr>
              <w:t>30</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58.13</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44.99</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4.36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7"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20"/>
                <w:szCs w:val="20"/>
                <w:color w:val="auto"/>
              </w:rPr>
            </w:pPr>
            <w:r>
              <w:rPr>
                <w:rFonts w:ascii="Arial" w:cs="Arial" w:eastAsia="Arial" w:hAnsi="Arial"/>
                <w:sz w:val="17"/>
                <w:szCs w:val="17"/>
                <w:color w:val="auto"/>
              </w:rPr>
              <w:t>(Free translation from the original in Spanish)</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5660" w:type="dxa"/>
            <w:vAlign w:val="bottom"/>
          </w:tcPr>
          <w:p>
            <w:pPr>
              <w:spacing w:after="0"/>
              <w:rPr>
                <w:sz w:val="20"/>
                <w:szCs w:val="20"/>
                <w:color w:val="auto"/>
              </w:rPr>
            </w:pPr>
            <w:r>
              <w:rPr>
                <w:rFonts w:ascii="Arial" w:cs="Arial" w:eastAsia="Arial" w:hAnsi="Arial"/>
                <w:sz w:val="17"/>
                <w:szCs w:val="17"/>
                <w:b w:val="1"/>
                <w:bCs w:val="1"/>
                <w:color w:val="auto"/>
              </w:rPr>
              <w:t>CREDICORP LTD. AND SUBSIDIARIES</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660" w:type="dxa"/>
            <w:vAlign w:val="bottom"/>
          </w:tcPr>
          <w:p>
            <w:pPr>
              <w:spacing w:after="0"/>
              <w:rPr>
                <w:sz w:val="20"/>
                <w:szCs w:val="20"/>
                <w:color w:val="auto"/>
              </w:rPr>
            </w:pPr>
            <w:r>
              <w:rPr>
                <w:rFonts w:ascii="Arial" w:cs="Arial" w:eastAsia="Arial" w:hAnsi="Arial"/>
                <w:sz w:val="17"/>
                <w:szCs w:val="17"/>
                <w:color w:val="auto"/>
              </w:rPr>
              <w:t>CONSOLIDATED STATEMENT OF COMPREHENSIVE INCOME</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7"/>
                <w:szCs w:val="17"/>
                <w:color w:val="auto"/>
              </w:rPr>
              <w:t>FOR THE YEARS ENDED DECEMBER 31, 2022, 2021 AND 2020</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5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4"/>
                <w:szCs w:val="24"/>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ind w:left="120"/>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32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330"/>
        </w:trPr>
        <w:tc>
          <w:tcPr>
            <w:tcW w:w="5660" w:type="dxa"/>
            <w:vAlign w:val="bottom"/>
          </w:tcPr>
          <w:p>
            <w:pPr>
              <w:spacing w:after="0"/>
              <w:rPr>
                <w:sz w:val="20"/>
                <w:szCs w:val="20"/>
                <w:color w:val="auto"/>
              </w:rPr>
            </w:pPr>
            <w:r>
              <w:rPr>
                <w:rFonts w:ascii="Arial" w:cs="Arial" w:eastAsia="Arial" w:hAnsi="Arial"/>
                <w:sz w:val="17"/>
                <w:szCs w:val="17"/>
                <w:b w:val="1"/>
                <w:bCs w:val="1"/>
                <w:color w:val="auto"/>
              </w:rPr>
              <w:t>Net profit for the year</w:t>
            </w:r>
          </w:p>
        </w:tc>
        <w:tc>
          <w:tcPr>
            <w:tcW w:w="1340" w:type="dxa"/>
            <w:vAlign w:val="bottom"/>
          </w:tcPr>
          <w:p>
            <w:pPr>
              <w:spacing w:after="0"/>
              <w:rPr>
                <w:sz w:val="24"/>
                <w:szCs w:val="24"/>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4,745,388</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3,671,829</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334,138</w:t>
            </w:r>
          </w:p>
        </w:tc>
        <w:tc>
          <w:tcPr>
            <w:tcW w:w="0" w:type="dxa"/>
            <w:vAlign w:val="bottom"/>
          </w:tcPr>
          <w:p>
            <w:pPr>
              <w:spacing w:after="0"/>
              <w:rPr>
                <w:sz w:val="1"/>
                <w:szCs w:val="1"/>
                <w:color w:val="auto"/>
              </w:rPr>
            </w:pPr>
          </w:p>
        </w:tc>
      </w:tr>
      <w:tr>
        <w:trPr>
          <w:trHeight w:val="194"/>
        </w:trPr>
        <w:tc>
          <w:tcPr>
            <w:tcW w:w="5660" w:type="dxa"/>
            <w:vAlign w:val="bottom"/>
          </w:tcPr>
          <w:p>
            <w:pPr>
              <w:spacing w:after="0" w:line="194" w:lineRule="exact"/>
              <w:rPr>
                <w:sz w:val="20"/>
                <w:szCs w:val="20"/>
                <w:color w:val="auto"/>
              </w:rPr>
            </w:pPr>
            <w:r>
              <w:rPr>
                <w:rFonts w:ascii="Arial" w:cs="Arial" w:eastAsia="Arial" w:hAnsi="Arial"/>
                <w:sz w:val="17"/>
                <w:szCs w:val="17"/>
                <w:b w:val="1"/>
                <w:bCs w:val="1"/>
                <w:color w:val="auto"/>
              </w:rPr>
              <w:t>Other comprehensive income:</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7"/>
                <w:szCs w:val="17"/>
                <w:b w:val="1"/>
                <w:bCs w:val="1"/>
                <w:color w:val="auto"/>
              </w:rPr>
              <w:t>To be reclassified to profit or loss in subsequent periods:</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5660" w:type="dxa"/>
            <w:vAlign w:val="bottom"/>
          </w:tcPr>
          <w:p>
            <w:pPr>
              <w:spacing w:after="0"/>
              <w:rPr>
                <w:sz w:val="20"/>
                <w:szCs w:val="20"/>
                <w:color w:val="auto"/>
              </w:rPr>
            </w:pPr>
            <w:r>
              <w:rPr>
                <w:rFonts w:ascii="Arial" w:cs="Arial" w:eastAsia="Arial" w:hAnsi="Arial"/>
                <w:sz w:val="17"/>
                <w:szCs w:val="17"/>
                <w:color w:val="auto"/>
              </w:rPr>
              <w:t>Net (loss) gain on investments at fair value through other</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660" w:type="dxa"/>
            <w:vAlign w:val="bottom"/>
          </w:tcPr>
          <w:p>
            <w:pPr>
              <w:spacing w:after="0" w:line="194" w:lineRule="exact"/>
              <w:rPr>
                <w:sz w:val="20"/>
                <w:szCs w:val="20"/>
                <w:color w:val="auto"/>
              </w:rPr>
            </w:pPr>
            <w:r>
              <w:rPr>
                <w:rFonts w:ascii="Arial" w:cs="Arial" w:eastAsia="Arial" w:hAnsi="Arial"/>
                <w:sz w:val="17"/>
                <w:szCs w:val="17"/>
                <w:color w:val="auto"/>
              </w:rPr>
              <w:t>comprehensive income</w:t>
            </w:r>
          </w:p>
        </w:tc>
        <w:tc>
          <w:tcPr>
            <w:tcW w:w="1340" w:type="dxa"/>
            <w:vAlign w:val="bottom"/>
          </w:tcPr>
          <w:p>
            <w:pPr>
              <w:ind w:left="460"/>
              <w:spacing w:after="0" w:line="194" w:lineRule="exact"/>
              <w:rPr>
                <w:sz w:val="20"/>
                <w:szCs w:val="20"/>
                <w:color w:val="auto"/>
              </w:rPr>
            </w:pPr>
            <w:r>
              <w:rPr>
                <w:rFonts w:ascii="Arial" w:cs="Arial" w:eastAsia="Arial" w:hAnsi="Arial"/>
                <w:sz w:val="17"/>
                <w:szCs w:val="17"/>
                <w:color w:val="auto"/>
              </w:rPr>
              <w:t>18(d)</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(1,622,912)</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(2,491,907)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870,218</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7"/>
                <w:szCs w:val="17"/>
                <w:color w:val="auto"/>
              </w:rPr>
              <w:t>Income tax</w:t>
            </w:r>
          </w:p>
        </w:tc>
        <w:tc>
          <w:tcPr>
            <w:tcW w:w="1340" w:type="dxa"/>
            <w:vAlign w:val="bottom"/>
          </w:tcPr>
          <w:p>
            <w:pPr>
              <w:ind w:left="460"/>
              <w:spacing w:after="0"/>
              <w:rPr>
                <w:sz w:val="20"/>
                <w:szCs w:val="20"/>
                <w:color w:val="auto"/>
              </w:rPr>
            </w:pPr>
            <w:r>
              <w:rPr>
                <w:rFonts w:ascii="Arial" w:cs="Arial" w:eastAsia="Arial" w:hAnsi="Arial"/>
                <w:sz w:val="17"/>
                <w:szCs w:val="17"/>
                <w:color w:val="auto"/>
              </w:rPr>
              <w:t>18(d)</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82,459</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52,086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(11,717)</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(1,540,453)</w:t>
            </w:r>
          </w:p>
        </w:tc>
        <w:tc>
          <w:tcPr>
            <w:tcW w:w="120" w:type="dxa"/>
            <w:vAlign w:val="bottom"/>
          </w:tcPr>
          <w:p>
            <w:pPr>
              <w:spacing w:after="0"/>
              <w:rPr>
                <w:sz w:val="17"/>
                <w:szCs w:val="17"/>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(2,439,821)</w:t>
            </w:r>
          </w:p>
        </w:tc>
        <w:tc>
          <w:tcPr>
            <w:tcW w:w="100" w:type="dxa"/>
            <w:vAlign w:val="bottom"/>
          </w:tcPr>
          <w:p>
            <w:pPr>
              <w:spacing w:after="0"/>
              <w:rPr>
                <w:sz w:val="17"/>
                <w:szCs w:val="17"/>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858,501</w:t>
            </w:r>
          </w:p>
        </w:tc>
        <w:tc>
          <w:tcPr>
            <w:tcW w:w="0" w:type="dxa"/>
            <w:vAlign w:val="bottom"/>
          </w:tcPr>
          <w:p>
            <w:pPr>
              <w:spacing w:after="0"/>
              <w:rPr>
                <w:sz w:val="1"/>
                <w:szCs w:val="1"/>
                <w:color w:val="auto"/>
              </w:rPr>
            </w:pPr>
          </w:p>
        </w:tc>
      </w:tr>
      <w:tr>
        <w:trPr>
          <w:trHeight w:val="374"/>
        </w:trPr>
        <w:tc>
          <w:tcPr>
            <w:tcW w:w="5660" w:type="dxa"/>
            <w:vAlign w:val="bottom"/>
          </w:tcPr>
          <w:p>
            <w:pPr>
              <w:spacing w:after="0"/>
              <w:rPr>
                <w:sz w:val="20"/>
                <w:szCs w:val="20"/>
                <w:color w:val="auto"/>
              </w:rPr>
            </w:pPr>
            <w:r>
              <w:rPr>
                <w:rFonts w:ascii="Arial" w:cs="Arial" w:eastAsia="Arial" w:hAnsi="Arial"/>
                <w:sz w:val="17"/>
                <w:szCs w:val="17"/>
                <w:color w:val="auto"/>
              </w:rPr>
              <w:t>Net movement of cash flow hedge reserves</w:t>
            </w:r>
          </w:p>
        </w:tc>
        <w:tc>
          <w:tcPr>
            <w:tcW w:w="1340" w:type="dxa"/>
            <w:vAlign w:val="bottom"/>
          </w:tcPr>
          <w:p>
            <w:pPr>
              <w:ind w:left="460"/>
              <w:spacing w:after="0"/>
              <w:rPr>
                <w:sz w:val="20"/>
                <w:szCs w:val="20"/>
                <w:color w:val="auto"/>
              </w:rPr>
            </w:pPr>
            <w:r>
              <w:rPr>
                <w:rFonts w:ascii="Arial" w:cs="Arial" w:eastAsia="Arial" w:hAnsi="Arial"/>
                <w:sz w:val="17"/>
                <w:szCs w:val="17"/>
                <w:color w:val="auto"/>
              </w:rPr>
              <w:t>18(d)</w:t>
            </w: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1,246</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58,586</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(15,183)</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7"/>
                <w:szCs w:val="17"/>
                <w:color w:val="auto"/>
              </w:rPr>
              <w:t>Income tax</w:t>
            </w:r>
          </w:p>
        </w:tc>
        <w:tc>
          <w:tcPr>
            <w:tcW w:w="1340" w:type="dxa"/>
            <w:vAlign w:val="bottom"/>
          </w:tcPr>
          <w:p>
            <w:pPr>
              <w:ind w:left="460"/>
              <w:spacing w:after="0"/>
              <w:rPr>
                <w:sz w:val="20"/>
                <w:szCs w:val="20"/>
                <w:color w:val="auto"/>
              </w:rPr>
            </w:pPr>
            <w:r>
              <w:rPr>
                <w:rFonts w:ascii="Arial" w:cs="Arial" w:eastAsia="Arial" w:hAnsi="Arial"/>
                <w:sz w:val="17"/>
                <w:szCs w:val="17"/>
                <w:color w:val="auto"/>
              </w:rPr>
              <w:t>18(d)</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(16,834)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3,933</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1,088</w:t>
            </w:r>
          </w:p>
        </w:tc>
        <w:tc>
          <w:tcPr>
            <w:tcW w:w="120" w:type="dxa"/>
            <w:vAlign w:val="bottom"/>
          </w:tcPr>
          <w:p>
            <w:pPr>
              <w:spacing w:after="0"/>
              <w:rPr>
                <w:sz w:val="17"/>
                <w:szCs w:val="17"/>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41,752</w:t>
            </w:r>
          </w:p>
        </w:tc>
        <w:tc>
          <w:tcPr>
            <w:tcW w:w="100" w:type="dxa"/>
            <w:vAlign w:val="bottom"/>
          </w:tcPr>
          <w:p>
            <w:pPr>
              <w:spacing w:after="0"/>
              <w:rPr>
                <w:sz w:val="17"/>
                <w:szCs w:val="17"/>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(11,250)</w:t>
            </w:r>
          </w:p>
        </w:tc>
        <w:tc>
          <w:tcPr>
            <w:tcW w:w="0" w:type="dxa"/>
            <w:vAlign w:val="bottom"/>
          </w:tcPr>
          <w:p>
            <w:pPr>
              <w:spacing w:after="0"/>
              <w:rPr>
                <w:sz w:val="1"/>
                <w:szCs w:val="1"/>
                <w:color w:val="auto"/>
              </w:rPr>
            </w:pPr>
          </w:p>
        </w:tc>
      </w:tr>
      <w:tr>
        <w:trPr>
          <w:trHeight w:val="374"/>
        </w:trPr>
        <w:tc>
          <w:tcPr>
            <w:tcW w:w="5660" w:type="dxa"/>
            <w:vAlign w:val="bottom"/>
          </w:tcPr>
          <w:p>
            <w:pPr>
              <w:spacing w:after="0"/>
              <w:rPr>
                <w:sz w:val="20"/>
                <w:szCs w:val="20"/>
                <w:color w:val="auto"/>
              </w:rPr>
            </w:pPr>
            <w:r>
              <w:rPr>
                <w:rFonts w:ascii="Arial" w:cs="Arial" w:eastAsia="Arial" w:hAnsi="Arial"/>
                <w:sz w:val="17"/>
                <w:szCs w:val="17"/>
                <w:color w:val="auto"/>
              </w:rPr>
              <w:t>Other reserves</w:t>
            </w:r>
          </w:p>
        </w:tc>
        <w:tc>
          <w:tcPr>
            <w:tcW w:w="1340" w:type="dxa"/>
            <w:vAlign w:val="bottom"/>
          </w:tcPr>
          <w:p>
            <w:pPr>
              <w:ind w:left="460"/>
              <w:spacing w:after="0"/>
              <w:rPr>
                <w:sz w:val="20"/>
                <w:szCs w:val="20"/>
                <w:color w:val="auto"/>
              </w:rPr>
            </w:pPr>
            <w:r>
              <w:rPr>
                <w:rFonts w:ascii="Arial" w:cs="Arial" w:eastAsia="Arial" w:hAnsi="Arial"/>
                <w:sz w:val="17"/>
                <w:szCs w:val="17"/>
                <w:color w:val="auto"/>
              </w:rPr>
              <w:t>18(d)</w:t>
            </w: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938,442</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769,291</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(263,820)</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7"/>
                <w:szCs w:val="17"/>
                <w:color w:val="auto"/>
              </w:rPr>
              <w:t>Income tax</w:t>
            </w:r>
          </w:p>
        </w:tc>
        <w:tc>
          <w:tcPr>
            <w:tcW w:w="1340" w:type="dxa"/>
            <w:vAlign w:val="bottom"/>
          </w:tcPr>
          <w:p>
            <w:pPr>
              <w:ind w:left="460"/>
              <w:spacing w:after="0"/>
              <w:rPr>
                <w:sz w:val="20"/>
                <w:szCs w:val="20"/>
                <w:color w:val="auto"/>
              </w:rPr>
            </w:pPr>
            <w:r>
              <w:rPr>
                <w:rFonts w:ascii="Arial" w:cs="Arial" w:eastAsia="Arial" w:hAnsi="Arial"/>
                <w:sz w:val="17"/>
                <w:szCs w:val="17"/>
                <w:color w:val="auto"/>
              </w:rPr>
              <w:t>18(d)</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(26,846)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26,846</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938,442</w:t>
            </w:r>
          </w:p>
        </w:tc>
        <w:tc>
          <w:tcPr>
            <w:tcW w:w="120" w:type="dxa"/>
            <w:vAlign w:val="bottom"/>
          </w:tcPr>
          <w:p>
            <w:pPr>
              <w:spacing w:after="0"/>
              <w:rPr>
                <w:sz w:val="17"/>
                <w:szCs w:val="17"/>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742,445</w:t>
            </w:r>
          </w:p>
        </w:tc>
        <w:tc>
          <w:tcPr>
            <w:tcW w:w="100" w:type="dxa"/>
            <w:vAlign w:val="bottom"/>
          </w:tcPr>
          <w:p>
            <w:pPr>
              <w:spacing w:after="0"/>
              <w:rPr>
                <w:sz w:val="17"/>
                <w:szCs w:val="17"/>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(236,974)</w:t>
            </w:r>
          </w:p>
        </w:tc>
        <w:tc>
          <w:tcPr>
            <w:tcW w:w="0" w:type="dxa"/>
            <w:vAlign w:val="bottom"/>
          </w:tcPr>
          <w:p>
            <w:pPr>
              <w:spacing w:after="0"/>
              <w:rPr>
                <w:sz w:val="1"/>
                <w:szCs w:val="1"/>
                <w:color w:val="auto"/>
              </w:rPr>
            </w:pPr>
          </w:p>
        </w:tc>
      </w:tr>
      <w:tr>
        <w:trPr>
          <w:trHeight w:val="374"/>
        </w:trPr>
        <w:tc>
          <w:tcPr>
            <w:tcW w:w="5660" w:type="dxa"/>
            <w:vAlign w:val="bottom"/>
          </w:tcPr>
          <w:p>
            <w:pPr>
              <w:spacing w:after="0"/>
              <w:rPr>
                <w:sz w:val="20"/>
                <w:szCs w:val="20"/>
                <w:color w:val="auto"/>
              </w:rPr>
            </w:pPr>
            <w:r>
              <w:rPr>
                <w:rFonts w:ascii="Arial" w:cs="Arial" w:eastAsia="Arial" w:hAnsi="Arial"/>
                <w:sz w:val="17"/>
                <w:szCs w:val="17"/>
                <w:color w:val="auto"/>
              </w:rPr>
              <w:t>Exchange differences on translation of foreign operations</w:t>
            </w:r>
          </w:p>
        </w:tc>
        <w:tc>
          <w:tcPr>
            <w:tcW w:w="1340" w:type="dxa"/>
            <w:vAlign w:val="bottom"/>
          </w:tcPr>
          <w:p>
            <w:pPr>
              <w:ind w:left="460"/>
              <w:spacing w:after="0"/>
              <w:rPr>
                <w:sz w:val="20"/>
                <w:szCs w:val="20"/>
                <w:color w:val="auto"/>
              </w:rPr>
            </w:pPr>
            <w:r>
              <w:rPr>
                <w:rFonts w:ascii="Arial" w:cs="Arial" w:eastAsia="Arial" w:hAnsi="Arial"/>
                <w:sz w:val="17"/>
                <w:szCs w:val="17"/>
                <w:color w:val="auto"/>
              </w:rPr>
              <w:t>18(d)</w:t>
            </w: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(296,402)</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161,168</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257,052</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7"/>
                <w:szCs w:val="17"/>
                <w:color w:val="auto"/>
              </w:rPr>
              <w:t>Net movement in hedges of net investments in foreign businesses</w:t>
            </w:r>
          </w:p>
        </w:tc>
        <w:tc>
          <w:tcPr>
            <w:tcW w:w="1340" w:type="dxa"/>
            <w:vAlign w:val="bottom"/>
          </w:tcPr>
          <w:p>
            <w:pPr>
              <w:ind w:left="460"/>
              <w:spacing w:after="0"/>
              <w:rPr>
                <w:sz w:val="20"/>
                <w:szCs w:val="20"/>
                <w:color w:val="auto"/>
              </w:rPr>
            </w:pPr>
            <w:r>
              <w:rPr>
                <w:rFonts w:ascii="Arial" w:cs="Arial" w:eastAsia="Arial" w:hAnsi="Arial"/>
                <w:sz w:val="17"/>
                <w:szCs w:val="17"/>
                <w:color w:val="auto"/>
              </w:rPr>
              <w:t>18(d)</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39,587</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(57,319)</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(256,815)</w:t>
            </w:r>
          </w:p>
        </w:tc>
        <w:tc>
          <w:tcPr>
            <w:tcW w:w="120" w:type="dxa"/>
            <w:vAlign w:val="bottom"/>
          </w:tcPr>
          <w:p>
            <w:pPr>
              <w:spacing w:after="0"/>
              <w:rPr>
                <w:sz w:val="17"/>
                <w:szCs w:val="17"/>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103,849</w:t>
            </w:r>
          </w:p>
        </w:tc>
        <w:tc>
          <w:tcPr>
            <w:tcW w:w="100" w:type="dxa"/>
            <w:vAlign w:val="bottom"/>
          </w:tcPr>
          <w:p>
            <w:pPr>
              <w:spacing w:after="0"/>
              <w:rPr>
                <w:sz w:val="17"/>
                <w:szCs w:val="17"/>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255,833</w:t>
            </w:r>
          </w:p>
        </w:tc>
        <w:tc>
          <w:tcPr>
            <w:tcW w:w="0" w:type="dxa"/>
            <w:vAlign w:val="bottom"/>
          </w:tcPr>
          <w:p>
            <w:pPr>
              <w:spacing w:after="0"/>
              <w:rPr>
                <w:sz w:val="1"/>
                <w:szCs w:val="1"/>
                <w:color w:val="auto"/>
              </w:rPr>
            </w:pPr>
          </w:p>
        </w:tc>
      </w:tr>
      <w:tr>
        <w:trPr>
          <w:trHeight w:val="193"/>
        </w:trPr>
        <w:tc>
          <w:tcPr>
            <w:tcW w:w="566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13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6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(857,738)</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(1,551,775)</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866,110</w:t>
            </w:r>
          </w:p>
        </w:tc>
        <w:tc>
          <w:tcPr>
            <w:tcW w:w="0" w:type="dxa"/>
            <w:vAlign w:val="bottom"/>
          </w:tcPr>
          <w:p>
            <w:pPr>
              <w:spacing w:after="0"/>
              <w:rPr>
                <w:sz w:val="1"/>
                <w:szCs w:val="1"/>
                <w:color w:val="auto"/>
              </w:rPr>
            </w:pPr>
          </w:p>
        </w:tc>
      </w:tr>
      <w:tr>
        <w:trPr>
          <w:trHeight w:val="395"/>
        </w:trPr>
        <w:tc>
          <w:tcPr>
            <w:tcW w:w="5660" w:type="dxa"/>
            <w:vAlign w:val="bottom"/>
          </w:tcPr>
          <w:p>
            <w:pPr>
              <w:spacing w:after="0"/>
              <w:rPr>
                <w:sz w:val="20"/>
                <w:szCs w:val="20"/>
                <w:color w:val="auto"/>
              </w:rPr>
            </w:pPr>
            <w:r>
              <w:rPr>
                <w:rFonts w:ascii="Arial" w:cs="Arial" w:eastAsia="Arial" w:hAnsi="Arial"/>
                <w:sz w:val="17"/>
                <w:szCs w:val="17"/>
                <w:b w:val="1"/>
                <w:bCs w:val="1"/>
                <w:color w:val="auto"/>
              </w:rPr>
              <w:t>Not to be reclassified to profit or loss in subsequent periods:</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660" w:type="dxa"/>
            <w:vAlign w:val="bottom"/>
          </w:tcPr>
          <w:p>
            <w:pPr>
              <w:spacing w:after="0"/>
              <w:rPr>
                <w:sz w:val="20"/>
                <w:szCs w:val="20"/>
                <w:color w:val="auto"/>
              </w:rPr>
            </w:pPr>
            <w:r>
              <w:rPr>
                <w:rFonts w:ascii="Arial" w:cs="Arial" w:eastAsia="Arial" w:hAnsi="Arial"/>
                <w:sz w:val="17"/>
                <w:szCs w:val="17"/>
                <w:color w:val="auto"/>
              </w:rPr>
              <w:t>Net loss on equity instruments designated at fair value through other</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660" w:type="dxa"/>
            <w:vAlign w:val="bottom"/>
          </w:tcPr>
          <w:p>
            <w:pPr>
              <w:spacing w:after="0" w:line="194" w:lineRule="exact"/>
              <w:rPr>
                <w:sz w:val="20"/>
                <w:szCs w:val="20"/>
                <w:color w:val="auto"/>
              </w:rPr>
            </w:pPr>
            <w:r>
              <w:rPr>
                <w:rFonts w:ascii="Arial" w:cs="Arial" w:eastAsia="Arial" w:hAnsi="Arial"/>
                <w:sz w:val="17"/>
                <w:szCs w:val="17"/>
                <w:color w:val="auto"/>
              </w:rPr>
              <w:t>comprehensive income</w:t>
            </w:r>
          </w:p>
        </w:tc>
        <w:tc>
          <w:tcPr>
            <w:tcW w:w="1340" w:type="dxa"/>
            <w:vAlign w:val="bottom"/>
          </w:tcPr>
          <w:p>
            <w:pPr>
              <w:ind w:left="460"/>
              <w:spacing w:after="0" w:line="194" w:lineRule="exact"/>
              <w:rPr>
                <w:sz w:val="20"/>
                <w:szCs w:val="20"/>
                <w:color w:val="auto"/>
              </w:rPr>
            </w:pPr>
            <w:r>
              <w:rPr>
                <w:rFonts w:ascii="Arial" w:cs="Arial" w:eastAsia="Arial" w:hAnsi="Arial"/>
                <w:sz w:val="17"/>
                <w:szCs w:val="17"/>
                <w:color w:val="auto"/>
              </w:rPr>
              <w:t>18(d)</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(35,384)</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(113,686)</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(82,586)</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7"/>
                <w:szCs w:val="17"/>
                <w:color w:val="auto"/>
              </w:rPr>
              <w:t>Income tax</w:t>
            </w:r>
          </w:p>
        </w:tc>
        <w:tc>
          <w:tcPr>
            <w:tcW w:w="1340" w:type="dxa"/>
            <w:vAlign w:val="bottom"/>
          </w:tcPr>
          <w:p>
            <w:pPr>
              <w:ind w:left="460"/>
              <w:spacing w:after="0"/>
              <w:rPr>
                <w:sz w:val="20"/>
                <w:szCs w:val="20"/>
                <w:color w:val="auto"/>
              </w:rPr>
            </w:pPr>
            <w:r>
              <w:rPr>
                <w:rFonts w:ascii="Arial" w:cs="Arial" w:eastAsia="Arial" w:hAnsi="Arial"/>
                <w:sz w:val="17"/>
                <w:szCs w:val="17"/>
                <w:color w:val="auto"/>
              </w:rPr>
              <w:t>18(d)</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2,109</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5,402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3,414</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(33,275)</w:t>
            </w:r>
          </w:p>
        </w:tc>
        <w:tc>
          <w:tcPr>
            <w:tcW w:w="120" w:type="dxa"/>
            <w:vAlign w:val="bottom"/>
          </w:tcPr>
          <w:p>
            <w:pPr>
              <w:spacing w:after="0"/>
              <w:rPr>
                <w:sz w:val="17"/>
                <w:szCs w:val="17"/>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(108,284)</w:t>
            </w:r>
          </w:p>
        </w:tc>
        <w:tc>
          <w:tcPr>
            <w:tcW w:w="100" w:type="dxa"/>
            <w:vAlign w:val="bottom"/>
          </w:tcPr>
          <w:p>
            <w:pPr>
              <w:spacing w:after="0"/>
              <w:rPr>
                <w:sz w:val="17"/>
                <w:szCs w:val="17"/>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(79,172)</w:t>
            </w:r>
          </w:p>
        </w:tc>
        <w:tc>
          <w:tcPr>
            <w:tcW w:w="0" w:type="dxa"/>
            <w:vAlign w:val="bottom"/>
          </w:tcPr>
          <w:p>
            <w:pPr>
              <w:spacing w:after="0"/>
              <w:rPr>
                <w:sz w:val="1"/>
                <w:szCs w:val="1"/>
                <w:color w:val="auto"/>
              </w:rPr>
            </w:pPr>
          </w:p>
        </w:tc>
      </w:tr>
      <w:tr>
        <w:trPr>
          <w:trHeight w:val="193"/>
        </w:trPr>
        <w:tc>
          <w:tcPr>
            <w:tcW w:w="566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13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6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(33,275)</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(108,284)</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(79,172)</w:t>
            </w:r>
          </w:p>
        </w:tc>
        <w:tc>
          <w:tcPr>
            <w:tcW w:w="0" w:type="dxa"/>
            <w:vAlign w:val="bottom"/>
          </w:tcPr>
          <w:p>
            <w:pPr>
              <w:spacing w:after="0"/>
              <w:rPr>
                <w:sz w:val="1"/>
                <w:szCs w:val="1"/>
                <w:color w:val="auto"/>
              </w:rPr>
            </w:pPr>
          </w:p>
        </w:tc>
      </w:tr>
      <w:tr>
        <w:trPr>
          <w:trHeight w:val="187"/>
        </w:trPr>
        <w:tc>
          <w:tcPr>
            <w:tcW w:w="5660" w:type="dxa"/>
            <w:vAlign w:val="bottom"/>
            <w:vMerge w:val="restart"/>
          </w:tcPr>
          <w:p>
            <w:pPr>
              <w:spacing w:after="0"/>
              <w:rPr>
                <w:sz w:val="20"/>
                <w:szCs w:val="20"/>
                <w:color w:val="auto"/>
              </w:rPr>
            </w:pPr>
            <w:r>
              <w:rPr>
                <w:rFonts w:ascii="Arial" w:cs="Arial" w:eastAsia="Arial" w:hAnsi="Arial"/>
                <w:sz w:val="17"/>
                <w:szCs w:val="17"/>
                <w:b w:val="1"/>
                <w:bCs w:val="1"/>
                <w:color w:val="auto"/>
              </w:rPr>
              <w:t>Total other comprehensive income</w:t>
            </w:r>
          </w:p>
        </w:tc>
        <w:tc>
          <w:tcPr>
            <w:tcW w:w="13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60" w:type="dxa"/>
            <w:vAlign w:val="bottom"/>
            <w:vMerge w:val="continue"/>
          </w:tcPr>
          <w:p>
            <w:pPr>
              <w:spacing w:after="0"/>
              <w:rPr>
                <w:sz w:val="16"/>
                <w:szCs w:val="16"/>
                <w:color w:val="auto"/>
              </w:rPr>
            </w:pPr>
          </w:p>
        </w:tc>
        <w:tc>
          <w:tcPr>
            <w:tcW w:w="1340" w:type="dxa"/>
            <w:vAlign w:val="bottom"/>
          </w:tcPr>
          <w:p>
            <w:pPr>
              <w:ind w:left="460"/>
              <w:spacing w:after="0" w:line="187" w:lineRule="exact"/>
              <w:rPr>
                <w:sz w:val="20"/>
                <w:szCs w:val="20"/>
                <w:color w:val="auto"/>
              </w:rPr>
            </w:pPr>
            <w:r>
              <w:rPr>
                <w:rFonts w:ascii="Arial" w:cs="Arial" w:eastAsia="Arial" w:hAnsi="Arial"/>
                <w:sz w:val="17"/>
                <w:szCs w:val="17"/>
                <w:color w:val="auto"/>
              </w:rPr>
              <w:t>18(d)</w:t>
            </w:r>
          </w:p>
        </w:tc>
        <w:tc>
          <w:tcPr>
            <w:tcW w:w="136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(891,013)</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(1,660,059)</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786,938</w:t>
            </w:r>
          </w:p>
        </w:tc>
        <w:tc>
          <w:tcPr>
            <w:tcW w:w="0" w:type="dxa"/>
            <w:vAlign w:val="bottom"/>
          </w:tcPr>
          <w:p>
            <w:pPr>
              <w:spacing w:after="0"/>
              <w:rPr>
                <w:sz w:val="1"/>
                <w:szCs w:val="1"/>
                <w:color w:val="auto"/>
              </w:rPr>
            </w:pPr>
          </w:p>
        </w:tc>
      </w:tr>
      <w:tr>
        <w:trPr>
          <w:trHeight w:val="402"/>
        </w:trPr>
        <w:tc>
          <w:tcPr>
            <w:tcW w:w="5660" w:type="dxa"/>
            <w:vAlign w:val="bottom"/>
          </w:tcPr>
          <w:p>
            <w:pPr>
              <w:spacing w:after="0"/>
              <w:rPr>
                <w:sz w:val="20"/>
                <w:szCs w:val="20"/>
                <w:color w:val="auto"/>
              </w:rPr>
            </w:pPr>
            <w:r>
              <w:rPr>
                <w:rFonts w:ascii="Arial" w:cs="Arial" w:eastAsia="Arial" w:hAnsi="Arial"/>
                <w:sz w:val="17"/>
                <w:szCs w:val="17"/>
                <w:b w:val="1"/>
                <w:bCs w:val="1"/>
                <w:color w:val="auto"/>
              </w:rPr>
              <w:t>Total comprehensive income for the year, net of income tax</w:t>
            </w:r>
          </w:p>
        </w:tc>
        <w:tc>
          <w:tcPr>
            <w:tcW w:w="1340" w:type="dxa"/>
            <w:vAlign w:val="bottom"/>
          </w:tcPr>
          <w:p>
            <w:pPr>
              <w:spacing w:after="0"/>
              <w:rPr>
                <w:sz w:val="24"/>
                <w:szCs w:val="24"/>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3,854,375</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2,011,770</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1,121,076</w:t>
            </w:r>
          </w:p>
        </w:tc>
        <w:tc>
          <w:tcPr>
            <w:tcW w:w="0" w:type="dxa"/>
            <w:vAlign w:val="bottom"/>
          </w:tcPr>
          <w:p>
            <w:pPr>
              <w:spacing w:after="0"/>
              <w:rPr>
                <w:sz w:val="1"/>
                <w:szCs w:val="1"/>
                <w:color w:val="auto"/>
              </w:rPr>
            </w:pPr>
          </w:p>
        </w:tc>
      </w:tr>
      <w:tr>
        <w:trPr>
          <w:trHeight w:val="375"/>
        </w:trPr>
        <w:tc>
          <w:tcPr>
            <w:tcW w:w="5660" w:type="dxa"/>
            <w:vAlign w:val="bottom"/>
          </w:tcPr>
          <w:p>
            <w:pPr>
              <w:spacing w:after="0"/>
              <w:rPr>
                <w:sz w:val="20"/>
                <w:szCs w:val="20"/>
                <w:color w:val="auto"/>
              </w:rPr>
            </w:pPr>
            <w:r>
              <w:rPr>
                <w:rFonts w:ascii="Arial" w:cs="Arial" w:eastAsia="Arial" w:hAnsi="Arial"/>
                <w:sz w:val="17"/>
                <w:szCs w:val="17"/>
                <w:b w:val="1"/>
                <w:bCs w:val="1"/>
                <w:color w:val="auto"/>
              </w:rPr>
              <w:t>Attributable to:</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660" w:type="dxa"/>
            <w:vAlign w:val="bottom"/>
          </w:tcPr>
          <w:p>
            <w:pPr>
              <w:spacing w:after="0" w:line="194" w:lineRule="exact"/>
              <w:rPr>
                <w:sz w:val="20"/>
                <w:szCs w:val="20"/>
                <w:color w:val="auto"/>
              </w:rPr>
            </w:pPr>
            <w:r>
              <w:rPr>
                <w:rFonts w:ascii="Arial" w:cs="Arial" w:eastAsia="Arial" w:hAnsi="Arial"/>
                <w:sz w:val="17"/>
                <w:szCs w:val="17"/>
                <w:color w:val="auto"/>
              </w:rPr>
              <w:t>Credicorp's equity holders</w:t>
            </w:r>
          </w:p>
        </w:tc>
        <w:tc>
          <w:tcPr>
            <w:tcW w:w="134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3,747,078</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1,954,586</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1,124,603</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340" w:type="dxa"/>
            <w:vAlign w:val="bottom"/>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107,297</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57,184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(3,527)</w:t>
            </w: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3,854,375</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2,011,770</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1,121,076</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7"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(Free translation from the original in Spanish)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 OF CHANGES IN NET EQUITY</w:t>
      </w:r>
    </w:p>
    <w:p>
      <w:pPr>
        <w:spacing w:after="0"/>
        <w:rPr>
          <w:sz w:val="20"/>
          <w:szCs w:val="20"/>
          <w:color w:val="auto"/>
        </w:rPr>
      </w:pPr>
      <w:r>
        <w:rPr>
          <w:rFonts w:ascii="Arial" w:cs="Arial" w:eastAsia="Arial" w:hAnsi="Arial"/>
          <w:sz w:val="17"/>
          <w:szCs w:val="17"/>
          <w:color w:val="auto"/>
        </w:rPr>
        <w:t>FOR THE YEARS ENDED DECEMBER 31, 2022, 2021 AND 2020</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Attributable to Credicorp's equity holders.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tcPr>
          <w:p>
            <w:pPr>
              <w:spacing w:after="0" w:line="149" w:lineRule="exact"/>
              <w:rPr>
                <w:sz w:val="20"/>
                <w:szCs w:val="20"/>
                <w:color w:val="auto"/>
              </w:rPr>
            </w:pPr>
            <w:r>
              <w:rPr>
                <w:rFonts w:ascii="Arial" w:cs="Arial" w:eastAsia="Arial" w:hAnsi="Arial"/>
                <w:sz w:val="14"/>
                <w:szCs w:val="14"/>
                <w:b w:val="1"/>
                <w:bCs w:val="1"/>
                <w:color w:val="auto"/>
              </w:rPr>
              <w:t>Other reserves</w:t>
            </w:r>
          </w:p>
        </w:tc>
        <w:tc>
          <w:tcPr>
            <w:tcW w:w="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5"/>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that will not</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be</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reclassified</w:t>
            </w:r>
          </w:p>
        </w:tc>
        <w:tc>
          <w:tcPr>
            <w:tcW w:w="2980" w:type="dxa"/>
            <w:vAlign w:val="bottom"/>
            <w:gridSpan w:val="9"/>
          </w:tcPr>
          <w:p>
            <w:pPr>
              <w:spacing w:after="0" w:line="155" w:lineRule="exact"/>
              <w:rPr>
                <w:sz w:val="20"/>
                <w:szCs w:val="20"/>
                <w:color w:val="auto"/>
              </w:rPr>
            </w:pPr>
            <w:r>
              <w:rPr>
                <w:rFonts w:ascii="Arial" w:cs="Arial" w:eastAsia="Arial" w:hAnsi="Arial"/>
                <w:sz w:val="14"/>
                <w:szCs w:val="14"/>
                <w:b w:val="1"/>
                <w:bCs w:val="1"/>
                <w:color w:val="auto"/>
              </w:rPr>
              <w:t>Instruments that will be reclassified to the</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 income</w:t>
            </w:r>
          </w:p>
        </w:tc>
        <w:tc>
          <w:tcPr>
            <w:tcW w:w="29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consolidated statement of income</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6"/>
        </w:trPr>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Foreign</w:t>
            </w: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5"/>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Share-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Reserves</w:t>
            </w:r>
          </w:p>
        </w:tc>
        <w:tc>
          <w:tcPr>
            <w:tcW w:w="2340" w:type="dxa"/>
            <w:vAlign w:val="bottom"/>
            <w:gridSpan w:val="7"/>
          </w:tcPr>
          <w:p>
            <w:pPr>
              <w:spacing w:after="0" w:line="155" w:lineRule="exact"/>
              <w:rPr>
                <w:sz w:val="20"/>
                <w:szCs w:val="20"/>
                <w:color w:val="auto"/>
              </w:rPr>
            </w:pPr>
            <w:r>
              <w:rPr>
                <w:rFonts w:ascii="Arial" w:cs="Arial" w:eastAsia="Arial" w:hAnsi="Arial"/>
                <w:sz w:val="14"/>
                <w:szCs w:val="14"/>
                <w:b w:val="1"/>
                <w:bCs w:val="1"/>
                <w:color w:val="auto"/>
              </w:rPr>
              <w:t>Investments Investments flow</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currency</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Non-</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w:t>
            </w:r>
          </w:p>
        </w:tc>
        <w:tc>
          <w:tcPr>
            <w:tcW w:w="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of the</w:t>
            </w:r>
          </w:p>
        </w:tc>
        <w:tc>
          <w:tcPr>
            <w:tcW w:w="6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based</w:t>
            </w:r>
          </w:p>
        </w:tc>
        <w:tc>
          <w:tcPr>
            <w:tcW w:w="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w:t>
            </w:r>
          </w:p>
        </w:tc>
        <w:tc>
          <w:tcPr>
            <w:tcW w:w="7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and</w:t>
            </w:r>
          </w:p>
        </w:tc>
        <w:tc>
          <w:tcPr>
            <w:tcW w:w="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equity</w:t>
            </w:r>
          </w:p>
        </w:tc>
        <w:tc>
          <w:tcPr>
            <w:tcW w:w="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debt</w:t>
            </w:r>
          </w:p>
        </w:tc>
        <w:tc>
          <w:tcPr>
            <w:tcW w:w="6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hedge</w:t>
            </w: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translation</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Retained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controlling</w:t>
            </w:r>
          </w:p>
        </w:tc>
        <w:tc>
          <w:tcPr>
            <w:tcW w:w="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net</w:t>
            </w:r>
          </w:p>
        </w:tc>
      </w:tr>
      <w:tr>
        <w:trPr>
          <w:trHeight w:val="167"/>
        </w:trPr>
        <w:tc>
          <w:tcPr>
            <w:tcW w:w="10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Group</w:t>
            </w: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payment surplus</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reserve</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reserves</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reserve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r>
      <w:tr>
        <w:trPr>
          <w:trHeight w:val="174"/>
        </w:trPr>
        <w:tc>
          <w:tcPr>
            <w:tcW w:w="100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5"/>
                <w:szCs w:val="15"/>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4"/>
                <w:szCs w:val="14"/>
                <w:b w:val="1"/>
                <w:bCs w:val="1"/>
                <w:color w:val="auto"/>
                <w:w w:val="99"/>
              </w:rPr>
              <w:t>Balances as of</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b w:val="1"/>
                <w:bCs w:val="1"/>
                <w:color w:val="auto"/>
              </w:rPr>
              <w:t>January 1,</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00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1,318,993</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(204,388)</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(3,451)</w:t>
            </w:r>
          </w:p>
        </w:tc>
        <w:tc>
          <w:tcPr>
            <w:tcW w:w="600" w:type="dxa"/>
            <w:vAlign w:val="bottom"/>
          </w:tcPr>
          <w:p>
            <w:pPr>
              <w:jc w:val="right"/>
              <w:spacing w:after="0"/>
              <w:rPr>
                <w:sz w:val="20"/>
                <w:szCs w:val="20"/>
                <w:color w:val="auto"/>
              </w:rPr>
            </w:pPr>
            <w:r>
              <w:rPr>
                <w:rFonts w:ascii="Arial" w:cs="Arial" w:eastAsia="Arial" w:hAnsi="Arial"/>
                <w:sz w:val="14"/>
                <w:szCs w:val="14"/>
                <w:color w:val="auto"/>
              </w:rPr>
              <w:t>226,037</w:t>
            </w:r>
          </w:p>
        </w:tc>
        <w:tc>
          <w:tcPr>
            <w:tcW w:w="2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19,437,645</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394,209</w:t>
            </w:r>
          </w:p>
        </w:tc>
        <w:tc>
          <w:tcPr>
            <w:tcW w:w="820" w:type="dxa"/>
            <w:vAlign w:val="bottom"/>
          </w:tcPr>
          <w:p>
            <w:pPr>
              <w:jc w:val="right"/>
              <w:spacing w:after="0"/>
              <w:rPr>
                <w:sz w:val="20"/>
                <w:szCs w:val="20"/>
                <w:color w:val="auto"/>
              </w:rPr>
            </w:pPr>
            <w:r>
              <w:rPr>
                <w:rFonts w:ascii="Arial" w:cs="Arial" w:eastAsia="Arial" w:hAnsi="Arial"/>
                <w:sz w:val="14"/>
                <w:szCs w:val="14"/>
                <w:color w:val="auto"/>
              </w:rPr>
              <w:t>1,411,844</w:t>
            </w:r>
          </w:p>
        </w:tc>
        <w:tc>
          <w:tcPr>
            <w:tcW w:w="4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4"/>
                <w:szCs w:val="14"/>
                <w:color w:val="auto"/>
              </w:rPr>
              <w:t>(30,104)</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(658,491)</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(29,269)</w:t>
            </w:r>
          </w:p>
        </w:tc>
        <w:tc>
          <w:tcPr>
            <w:tcW w:w="720" w:type="dxa"/>
            <w:vAlign w:val="bottom"/>
          </w:tcPr>
          <w:p>
            <w:pPr>
              <w:jc w:val="right"/>
              <w:spacing w:after="0"/>
              <w:rPr>
                <w:sz w:val="20"/>
                <w:szCs w:val="20"/>
                <w:color w:val="auto"/>
              </w:rPr>
            </w:pPr>
            <w:r>
              <w:rPr>
                <w:rFonts w:ascii="Arial" w:cs="Arial" w:eastAsia="Arial" w:hAnsi="Arial"/>
                <w:sz w:val="14"/>
                <w:szCs w:val="14"/>
                <w:color w:val="auto"/>
              </w:rPr>
              <w:t>4,374,935</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26,237,960</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508,350</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26,746,310</w:t>
            </w:r>
          </w:p>
        </w:tc>
        <w:tc>
          <w:tcPr>
            <w:tcW w:w="20" w:type="dxa"/>
            <w:vAlign w:val="bottom"/>
          </w:tcPr>
          <w:p>
            <w:pPr>
              <w:spacing w:after="0"/>
              <w:rPr>
                <w:sz w:val="14"/>
                <w:szCs w:val="14"/>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equity in 2020 -</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w w:val="97"/>
              </w:rPr>
              <w:t>Net profit for the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year</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346,894</w:t>
            </w: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346,894</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(12,756)</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334,138</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Other</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comprehensive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income, Note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00" w:type="dxa"/>
            <w:vAlign w:val="bottom"/>
          </w:tcPr>
          <w:p>
            <w:pPr>
              <w:spacing w:after="0" w:line="151" w:lineRule="exact"/>
              <w:rPr>
                <w:sz w:val="20"/>
                <w:szCs w:val="20"/>
                <w:color w:val="auto"/>
              </w:rPr>
            </w:pPr>
            <w:r>
              <w:rPr>
                <w:rFonts w:ascii="Arial" w:cs="Arial" w:eastAsia="Arial" w:hAnsi="Arial"/>
                <w:sz w:val="14"/>
                <w:szCs w:val="14"/>
                <w:color w:val="auto"/>
              </w:rPr>
              <w:t>18(d)</w:t>
            </w:r>
          </w:p>
        </w:tc>
        <w:tc>
          <w:tcPr>
            <w:tcW w:w="6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(79,007)</w:t>
            </w:r>
          </w:p>
        </w:tc>
        <w:tc>
          <w:tcPr>
            <w:tcW w:w="8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844,687</w:t>
            </w:r>
          </w:p>
        </w:tc>
        <w:tc>
          <w:tcPr>
            <w:tcW w:w="620" w:type="dxa"/>
            <w:vAlign w:val="bottom"/>
            <w:gridSpan w:val="3"/>
          </w:tcPr>
          <w:p>
            <w:pPr>
              <w:jc w:val="right"/>
              <w:ind w:right="40"/>
              <w:spacing w:after="0" w:line="151" w:lineRule="exact"/>
              <w:rPr>
                <w:sz w:val="20"/>
                <w:szCs w:val="20"/>
                <w:color w:val="auto"/>
              </w:rPr>
            </w:pPr>
            <w:r>
              <w:rPr>
                <w:rFonts w:ascii="Arial" w:cs="Arial" w:eastAsia="Arial" w:hAnsi="Arial"/>
                <w:sz w:val="14"/>
                <w:szCs w:val="14"/>
                <w:color w:val="auto"/>
              </w:rPr>
              <w:t>(10,998)</w:t>
            </w:r>
          </w:p>
        </w:tc>
        <w:tc>
          <w:tcPr>
            <w:tcW w:w="74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(234,107)</w:t>
            </w:r>
          </w:p>
        </w:tc>
        <w:tc>
          <w:tcPr>
            <w:tcW w:w="7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257,134</w:t>
            </w:r>
          </w:p>
        </w:tc>
        <w:tc>
          <w:tcPr>
            <w:tcW w:w="7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777,709</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9,229</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786,938</w:t>
            </w:r>
          </w:p>
        </w:tc>
        <w:tc>
          <w:tcPr>
            <w:tcW w:w="20" w:type="dxa"/>
            <w:vAlign w:val="bottom"/>
          </w:tcPr>
          <w:p>
            <w:pPr>
              <w:spacing w:after="0"/>
              <w:rPr>
                <w:sz w:val="13"/>
                <w:szCs w:val="13"/>
                <w:color w:val="auto"/>
              </w:rPr>
            </w:pPr>
          </w:p>
        </w:tc>
      </w:tr>
      <w:tr>
        <w:trPr>
          <w:trHeight w:val="140"/>
        </w:trPr>
        <w:tc>
          <w:tcPr>
            <w:tcW w:w="1000" w:type="dxa"/>
            <w:vAlign w:val="bottom"/>
          </w:tcPr>
          <w:p>
            <w:pPr>
              <w:spacing w:after="0" w:line="140" w:lineRule="exact"/>
              <w:rPr>
                <w:sz w:val="20"/>
                <w:szCs w:val="20"/>
                <w:color w:val="auto"/>
              </w:rPr>
            </w:pPr>
            <w:r>
              <w:rPr>
                <w:rFonts w:ascii="Arial" w:cs="Arial" w:eastAsia="Arial" w:hAnsi="Arial"/>
                <w:sz w:val="14"/>
                <w:szCs w:val="14"/>
                <w:color w:val="auto"/>
              </w:rPr>
              <w:t>Total</w:t>
            </w: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comprehensive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income</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(79,007)</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844,687</w:t>
            </w:r>
          </w:p>
        </w:tc>
        <w:tc>
          <w:tcPr>
            <w:tcW w:w="6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(10,998)</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(234,107)</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257,134</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346,894</w:t>
            </w: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1,124,603</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(3,527)</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1,121,076</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Transfer of</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retained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earnings to</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reserves, Note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18(c)</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1,977,091</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540" w:type="dxa"/>
            <w:vAlign w:val="bottom"/>
            <w:gridSpan w:val="4"/>
          </w:tcPr>
          <w:p>
            <w:pPr>
              <w:jc w:val="right"/>
              <w:ind w:right="60"/>
              <w:spacing w:after="0" w:line="155" w:lineRule="exact"/>
              <w:rPr>
                <w:sz w:val="20"/>
                <w:szCs w:val="20"/>
                <w:color w:val="auto"/>
              </w:rPr>
            </w:pPr>
            <w:r>
              <w:rPr>
                <w:rFonts w:ascii="Arial" w:cs="Arial" w:eastAsia="Arial" w:hAnsi="Arial"/>
                <w:sz w:val="14"/>
                <w:szCs w:val="14"/>
                <w:color w:val="auto"/>
              </w:rPr>
              <w:t>− (1,977,091)</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distribution,</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Note 18(e)</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320" w:type="dxa"/>
            <w:vAlign w:val="bottom"/>
            <w:gridSpan w:val="6"/>
          </w:tcPr>
          <w:p>
            <w:pPr>
              <w:jc w:val="right"/>
              <w:ind w:right="60"/>
              <w:spacing w:after="0" w:line="155" w:lineRule="exact"/>
              <w:rPr>
                <w:sz w:val="20"/>
                <w:szCs w:val="20"/>
                <w:color w:val="auto"/>
              </w:rPr>
            </w:pPr>
            <w:r>
              <w:rPr>
                <w:rFonts w:ascii="Arial" w:cs="Arial" w:eastAsia="Arial" w:hAnsi="Arial"/>
                <w:sz w:val="14"/>
                <w:szCs w:val="14"/>
                <w:color w:val="auto"/>
              </w:rPr>
              <w:t>− (2,392,844) (2,392,844)</w:t>
            </w:r>
          </w:p>
        </w:tc>
        <w:tc>
          <w:tcPr>
            <w:tcW w:w="152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 (2,392,844)</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Dividends paid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to interest non-</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controlling</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of subsidiaries</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(32,273)</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(32,273)</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Additional</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dividends</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Purchase of</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treasury 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Note 18(b)</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(3,418)</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6"/>
              </w:rPr>
              <w:t>(148,543)</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(151,961)</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(151,961)</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w w:val="99"/>
              </w:rPr>
              <w:t>Sale of treasury</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stocks</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62</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62</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Share-based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payment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transactions</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2,762</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115,131</w:t>
            </w:r>
          </w:p>
        </w:tc>
        <w:tc>
          <w:tcPr>
            <w:tcW w:w="20" w:type="dxa"/>
            <w:vAlign w:val="bottom"/>
          </w:tcPr>
          <w:p>
            <w:pPr>
              <w:spacing w:after="0"/>
              <w:rPr>
                <w:sz w:val="13"/>
                <w:szCs w:val="13"/>
                <w:color w:val="auto"/>
              </w:rPr>
            </w:pPr>
          </w:p>
        </w:tc>
        <w:tc>
          <w:tcPr>
            <w:tcW w:w="7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14,899</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132,792</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132,792</w:t>
            </w:r>
          </w:p>
        </w:tc>
        <w:tc>
          <w:tcPr>
            <w:tcW w:w="20" w:type="dxa"/>
            <w:vAlign w:val="bottom"/>
          </w:tcPr>
          <w:p>
            <w:pPr>
              <w:spacing w:after="0"/>
              <w:rPr>
                <w:sz w:val="13"/>
                <w:szCs w:val="13"/>
                <w:color w:val="auto"/>
              </w:rPr>
            </w:pPr>
          </w:p>
        </w:tc>
      </w:tr>
      <w:tr>
        <w:trPr>
          <w:trHeight w:val="151"/>
        </w:trPr>
        <w:tc>
          <w:tcPr>
            <w:tcW w:w="1000" w:type="dxa"/>
            <w:vAlign w:val="bottom"/>
          </w:tcPr>
          <w:p>
            <w:pPr>
              <w:spacing w:after="0" w:line="151" w:lineRule="exact"/>
              <w:rPr>
                <w:sz w:val="20"/>
                <w:szCs w:val="20"/>
                <w:color w:val="auto"/>
              </w:rPr>
            </w:pPr>
            <w:r>
              <w:rPr>
                <w:rFonts w:ascii="Arial" w:cs="Arial" w:eastAsia="Arial" w:hAnsi="Arial"/>
                <w:sz w:val="14"/>
                <w:szCs w:val="14"/>
                <w:color w:val="auto"/>
              </w:rPr>
              <w:t>Others</w:t>
            </w:r>
          </w:p>
        </w:tc>
        <w:tc>
          <w:tcPr>
            <w:tcW w:w="6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(4,742)</w:t>
            </w:r>
          </w:p>
        </w:tc>
        <w:tc>
          <w:tcPr>
            <w:tcW w:w="7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(4,742)</w:t>
            </w:r>
          </w:p>
        </w:tc>
        <w:tc>
          <w:tcPr>
            <w:tcW w:w="80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27,227</w:t>
            </w:r>
          </w:p>
        </w:tc>
        <w:tc>
          <w:tcPr>
            <w:tcW w:w="7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22,485</w:t>
            </w:r>
          </w:p>
        </w:tc>
      </w:tr>
      <w:tr>
        <w:trPr>
          <w:trHeight w:val="124"/>
        </w:trPr>
        <w:tc>
          <w:tcPr>
            <w:tcW w:w="1000" w:type="dxa"/>
            <w:vAlign w:val="bottom"/>
          </w:tcPr>
          <w:p>
            <w:pPr>
              <w:spacing w:after="0" w:line="124" w:lineRule="exact"/>
              <w:rPr>
                <w:sz w:val="20"/>
                <w:szCs w:val="20"/>
                <w:color w:val="auto"/>
              </w:rPr>
            </w:pPr>
            <w:r>
              <w:rPr>
                <w:rFonts w:ascii="Arial" w:cs="Arial" w:eastAsia="Arial" w:hAnsi="Arial"/>
                <w:sz w:val="14"/>
                <w:szCs w:val="14"/>
                <w:b w:val="1"/>
                <w:bCs w:val="1"/>
                <w:color w:val="auto"/>
                <w:w w:val="99"/>
              </w:rPr>
              <w:t>Balances as of</w:t>
            </w: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1,318,993</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(204,326)</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(4,107)</w:t>
            </w:r>
          </w:p>
        </w:tc>
        <w:tc>
          <w:tcPr>
            <w:tcW w:w="600" w:type="dxa"/>
            <w:vAlign w:val="bottom"/>
          </w:tcPr>
          <w:p>
            <w:pPr>
              <w:jc w:val="right"/>
              <w:spacing w:after="0"/>
              <w:rPr>
                <w:sz w:val="20"/>
                <w:szCs w:val="20"/>
                <w:color w:val="auto"/>
              </w:rPr>
            </w:pPr>
            <w:r>
              <w:rPr>
                <w:rFonts w:ascii="Arial" w:cs="Arial" w:eastAsia="Arial" w:hAnsi="Arial"/>
                <w:sz w:val="14"/>
                <w:szCs w:val="14"/>
                <w:color w:val="auto"/>
              </w:rPr>
              <w:t>192,625</w:t>
            </w:r>
          </w:p>
        </w:tc>
        <w:tc>
          <w:tcPr>
            <w:tcW w:w="2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21,429,635</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315,202</w:t>
            </w:r>
          </w:p>
        </w:tc>
        <w:tc>
          <w:tcPr>
            <w:tcW w:w="820" w:type="dxa"/>
            <w:vAlign w:val="bottom"/>
          </w:tcPr>
          <w:p>
            <w:pPr>
              <w:jc w:val="right"/>
              <w:spacing w:after="0"/>
              <w:rPr>
                <w:sz w:val="20"/>
                <w:szCs w:val="20"/>
                <w:color w:val="auto"/>
              </w:rPr>
            </w:pPr>
            <w:r>
              <w:rPr>
                <w:rFonts w:ascii="Arial" w:cs="Arial" w:eastAsia="Arial" w:hAnsi="Arial"/>
                <w:sz w:val="14"/>
                <w:szCs w:val="14"/>
                <w:color w:val="auto"/>
              </w:rPr>
              <w:t>2,256,531</w:t>
            </w:r>
          </w:p>
        </w:tc>
        <w:tc>
          <w:tcPr>
            <w:tcW w:w="4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4"/>
                <w:szCs w:val="14"/>
                <w:color w:val="auto"/>
              </w:rPr>
              <w:t>(41,102)</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(892,598)</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227,865</w:t>
            </w:r>
          </w:p>
        </w:tc>
        <w:tc>
          <w:tcPr>
            <w:tcW w:w="720" w:type="dxa"/>
            <w:vAlign w:val="bottom"/>
          </w:tcPr>
          <w:p>
            <w:pPr>
              <w:jc w:val="right"/>
              <w:spacing w:after="0"/>
              <w:rPr>
                <w:sz w:val="20"/>
                <w:szCs w:val="20"/>
                <w:color w:val="auto"/>
              </w:rPr>
            </w:pPr>
            <w:r>
              <w:rPr>
                <w:rFonts w:ascii="Arial" w:cs="Arial" w:eastAsia="Arial" w:hAnsi="Arial"/>
                <w:sz w:val="14"/>
                <w:szCs w:val="14"/>
                <w:color w:val="auto"/>
              </w:rPr>
              <w:t>347,152</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24,945,870</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499,777</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25,445,647</w:t>
            </w:r>
          </w:p>
        </w:tc>
        <w:tc>
          <w:tcPr>
            <w:tcW w:w="20" w:type="dxa"/>
            <w:vAlign w:val="bottom"/>
          </w:tcPr>
          <w:p>
            <w:pPr>
              <w:spacing w:after="0"/>
              <w:rPr>
                <w:sz w:val="14"/>
                <w:szCs w:val="14"/>
                <w:color w:val="auto"/>
              </w:rPr>
            </w:pPr>
          </w:p>
        </w:tc>
      </w:tr>
      <w:tr>
        <w:trPr>
          <w:trHeight w:val="308"/>
        </w:trPr>
        <w:tc>
          <w:tcPr>
            <w:tcW w:w="1000" w:type="dxa"/>
            <w:vAlign w:val="bottom"/>
          </w:tcPr>
          <w:p>
            <w:pPr>
              <w:spacing w:after="0"/>
              <w:rPr>
                <w:sz w:val="20"/>
                <w:szCs w:val="20"/>
                <w:color w:val="auto"/>
              </w:rPr>
            </w:pPr>
            <w:r>
              <w:rPr>
                <w:rFonts w:ascii="Arial" w:cs="Arial" w:eastAsia="Arial" w:hAnsi="Arial"/>
                <w:sz w:val="14"/>
                <w:szCs w:val="14"/>
                <w:color w:val="auto"/>
              </w:rPr>
              <w:t>Changes in</w:t>
            </w: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equity in 2021 -</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w w:val="97"/>
              </w:rPr>
              <w:t>Net profit for the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year</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3,584,582</w:t>
            </w: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3,584,582</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87,247</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3,671,829</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Other</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comprehensive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income, Note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00" w:type="dxa"/>
            <w:vAlign w:val="bottom"/>
          </w:tcPr>
          <w:p>
            <w:pPr>
              <w:spacing w:after="0" w:line="151" w:lineRule="exact"/>
              <w:rPr>
                <w:sz w:val="20"/>
                <w:szCs w:val="20"/>
                <w:color w:val="auto"/>
              </w:rPr>
            </w:pPr>
            <w:r>
              <w:rPr>
                <w:rFonts w:ascii="Arial" w:cs="Arial" w:eastAsia="Arial" w:hAnsi="Arial"/>
                <w:sz w:val="14"/>
                <w:szCs w:val="14"/>
                <w:color w:val="auto"/>
              </w:rPr>
              <w:t>18(d)</w:t>
            </w:r>
          </w:p>
        </w:tc>
        <w:tc>
          <w:tcPr>
            <w:tcW w:w="6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(108,317)</w:t>
            </w:r>
          </w:p>
        </w:tc>
        <w:tc>
          <w:tcPr>
            <w:tcW w:w="8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(2,399,931)</w:t>
            </w:r>
          </w:p>
        </w:tc>
        <w:tc>
          <w:tcPr>
            <w:tcW w:w="620" w:type="dxa"/>
            <w:vAlign w:val="bottom"/>
            <w:gridSpan w:val="3"/>
          </w:tcPr>
          <w:p>
            <w:pPr>
              <w:jc w:val="right"/>
              <w:ind w:right="40"/>
              <w:spacing w:after="0" w:line="151" w:lineRule="exact"/>
              <w:rPr>
                <w:sz w:val="20"/>
                <w:szCs w:val="20"/>
                <w:color w:val="auto"/>
              </w:rPr>
            </w:pPr>
            <w:r>
              <w:rPr>
                <w:rFonts w:ascii="Arial" w:cs="Arial" w:eastAsia="Arial" w:hAnsi="Arial"/>
                <w:sz w:val="14"/>
                <w:szCs w:val="14"/>
                <w:color w:val="auto"/>
              </w:rPr>
              <w:t>40,829</w:t>
            </w:r>
          </w:p>
        </w:tc>
        <w:tc>
          <w:tcPr>
            <w:tcW w:w="74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733,932</w:t>
            </w:r>
          </w:p>
        </w:tc>
        <w:tc>
          <w:tcPr>
            <w:tcW w:w="7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103,491</w:t>
            </w:r>
          </w:p>
        </w:tc>
        <w:tc>
          <w:tcPr>
            <w:tcW w:w="1560" w:type="dxa"/>
            <w:vAlign w:val="bottom"/>
            <w:gridSpan w:val="4"/>
          </w:tcPr>
          <w:p>
            <w:pPr>
              <w:jc w:val="right"/>
              <w:ind w:right="60"/>
              <w:spacing w:after="0" w:line="151" w:lineRule="exact"/>
              <w:rPr>
                <w:sz w:val="20"/>
                <w:szCs w:val="20"/>
                <w:color w:val="auto"/>
              </w:rPr>
            </w:pPr>
            <w:r>
              <w:rPr>
                <w:rFonts w:ascii="Arial" w:cs="Arial" w:eastAsia="Arial" w:hAnsi="Arial"/>
                <w:sz w:val="14"/>
                <w:szCs w:val="14"/>
                <w:color w:val="auto"/>
              </w:rPr>
              <w:t>− (1,629,996)</w:t>
            </w:r>
          </w:p>
        </w:tc>
        <w:tc>
          <w:tcPr>
            <w:tcW w:w="80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(30,063)</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w w:val="94"/>
              </w:rPr>
              <w:t>(1,660,059)</w:t>
            </w:r>
          </w:p>
        </w:tc>
        <w:tc>
          <w:tcPr>
            <w:tcW w:w="20" w:type="dxa"/>
            <w:vAlign w:val="bottom"/>
          </w:tcPr>
          <w:p>
            <w:pPr>
              <w:spacing w:after="0"/>
              <w:rPr>
                <w:sz w:val="13"/>
                <w:szCs w:val="13"/>
                <w:color w:val="auto"/>
              </w:rPr>
            </w:pPr>
          </w:p>
        </w:tc>
      </w:tr>
      <w:tr>
        <w:trPr>
          <w:trHeight w:val="140"/>
        </w:trPr>
        <w:tc>
          <w:tcPr>
            <w:tcW w:w="1000" w:type="dxa"/>
            <w:vAlign w:val="bottom"/>
          </w:tcPr>
          <w:p>
            <w:pPr>
              <w:spacing w:after="0" w:line="140" w:lineRule="exact"/>
              <w:rPr>
                <w:sz w:val="20"/>
                <w:szCs w:val="20"/>
                <w:color w:val="auto"/>
              </w:rPr>
            </w:pPr>
            <w:r>
              <w:rPr>
                <w:rFonts w:ascii="Arial" w:cs="Arial" w:eastAsia="Arial" w:hAnsi="Arial"/>
                <w:sz w:val="14"/>
                <w:szCs w:val="14"/>
                <w:color w:val="auto"/>
              </w:rPr>
              <w:t>Total</w:t>
            </w: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comprehensive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income</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(108,317)</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(2,399,931)</w:t>
            </w:r>
          </w:p>
        </w:tc>
        <w:tc>
          <w:tcPr>
            <w:tcW w:w="6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40,829</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733,932</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103,491</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3,584,582</w:t>
            </w: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1,954,586</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57,184</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2,011,770</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Transfer of</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retained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earnings to</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reserves, Note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18(c)</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346,994</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(346,994)</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distribution,</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Note 18(e)</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(398,808)</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(398,808)</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(398,808)</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Dividends paid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to interest non-</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controlling</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of subsidiaries</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(4,156)</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(4,156)</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Minority</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purchase</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(7,822)</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(7,822)</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Purchase of</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treasury 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Note 18(b)</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(1,369)</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(57,538)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(58,907)</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(58,907)</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w w:val="99"/>
              </w:rPr>
              <w:t>Sale of treasury</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stocks</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84</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3,668</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3,752</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3,752</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Share-based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payment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transactions</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2,184</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90,098</w:t>
            </w:r>
          </w:p>
        </w:tc>
        <w:tc>
          <w:tcPr>
            <w:tcW w:w="7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(13,549)</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78,733</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78,733</w:t>
            </w:r>
          </w:p>
        </w:tc>
      </w:tr>
      <w:tr>
        <w:trPr>
          <w:trHeight w:val="151"/>
        </w:trPr>
        <w:tc>
          <w:tcPr>
            <w:tcW w:w="1000" w:type="dxa"/>
            <w:vAlign w:val="bottom"/>
          </w:tcPr>
          <w:p>
            <w:pPr>
              <w:spacing w:after="0" w:line="151" w:lineRule="exact"/>
              <w:rPr>
                <w:sz w:val="20"/>
                <w:szCs w:val="20"/>
                <w:color w:val="auto"/>
              </w:rPr>
            </w:pPr>
            <w:r>
              <w:rPr>
                <w:rFonts w:ascii="Arial" w:cs="Arial" w:eastAsia="Arial" w:hAnsi="Arial"/>
                <w:sz w:val="14"/>
                <w:szCs w:val="14"/>
                <w:color w:val="auto"/>
              </w:rPr>
              <w:t>Others</w:t>
            </w:r>
          </w:p>
        </w:tc>
        <w:tc>
          <w:tcPr>
            <w:tcW w:w="6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(28,459)</w:t>
            </w:r>
          </w:p>
        </w:tc>
        <w:tc>
          <w:tcPr>
            <w:tcW w:w="6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(28,459)</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(4,311)</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(32,770)</w:t>
            </w:r>
          </w:p>
        </w:tc>
        <w:tc>
          <w:tcPr>
            <w:tcW w:w="20" w:type="dxa"/>
            <w:vAlign w:val="bottom"/>
          </w:tcPr>
          <w:p>
            <w:pPr>
              <w:spacing w:after="0"/>
              <w:rPr>
                <w:sz w:val="13"/>
                <w:szCs w:val="13"/>
                <w:color w:val="auto"/>
              </w:rPr>
            </w:pPr>
          </w:p>
        </w:tc>
      </w:tr>
      <w:tr>
        <w:trPr>
          <w:trHeight w:val="124"/>
        </w:trPr>
        <w:tc>
          <w:tcPr>
            <w:tcW w:w="1000" w:type="dxa"/>
            <w:vAlign w:val="bottom"/>
          </w:tcPr>
          <w:p>
            <w:pPr>
              <w:spacing w:after="0" w:line="124" w:lineRule="exact"/>
              <w:rPr>
                <w:sz w:val="20"/>
                <w:szCs w:val="20"/>
                <w:color w:val="auto"/>
              </w:rPr>
            </w:pPr>
            <w:r>
              <w:rPr>
                <w:rFonts w:ascii="Arial" w:cs="Arial" w:eastAsia="Arial" w:hAnsi="Arial"/>
                <w:sz w:val="14"/>
                <w:szCs w:val="14"/>
                <w:b w:val="1"/>
                <w:bCs w:val="1"/>
                <w:color w:val="auto"/>
                <w:w w:val="99"/>
              </w:rPr>
              <w:t>Balances as of</w:t>
            </w: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00" w:type="dxa"/>
            <w:vAlign w:val="bottom"/>
          </w:tcPr>
          <w:p>
            <w:pPr>
              <w:spacing w:after="0" w:line="154" w:lineRule="exact"/>
              <w:rPr>
                <w:sz w:val="20"/>
                <w:szCs w:val="20"/>
                <w:color w:val="auto"/>
              </w:rPr>
            </w:pPr>
            <w:r>
              <w:rPr>
                <w:rFonts w:ascii="Arial" w:cs="Arial" w:eastAsia="Arial" w:hAnsi="Arial"/>
                <w:sz w:val="14"/>
                <w:szCs w:val="14"/>
                <w:b w:val="1"/>
                <w:bCs w:val="1"/>
                <w:color w:val="auto"/>
              </w:rPr>
              <w:t>2021</w:t>
            </w:r>
          </w:p>
        </w:tc>
        <w:tc>
          <w:tcPr>
            <w:tcW w:w="68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w w:val="96"/>
              </w:rPr>
              <w:t>1,318,993</w:t>
            </w:r>
          </w:p>
        </w:tc>
        <w:tc>
          <w:tcPr>
            <w:tcW w:w="620" w:type="dxa"/>
            <w:vAlign w:val="bottom"/>
            <w:gridSpan w:val="2"/>
          </w:tcPr>
          <w:p>
            <w:pPr>
              <w:jc w:val="right"/>
              <w:ind w:right="20"/>
              <w:spacing w:after="0" w:line="154" w:lineRule="exact"/>
              <w:rPr>
                <w:sz w:val="20"/>
                <w:szCs w:val="20"/>
                <w:color w:val="auto"/>
              </w:rPr>
            </w:pPr>
            <w:r>
              <w:rPr>
                <w:rFonts w:ascii="Arial" w:cs="Arial" w:eastAsia="Arial" w:hAnsi="Arial"/>
                <w:sz w:val="14"/>
                <w:szCs w:val="14"/>
                <w:color w:val="auto"/>
                <w:w w:val="96"/>
              </w:rPr>
              <w:t>(204,326)</w:t>
            </w:r>
          </w:p>
        </w:tc>
        <w:tc>
          <w:tcPr>
            <w:tcW w:w="640" w:type="dxa"/>
            <w:vAlign w:val="bottom"/>
            <w:gridSpan w:val="3"/>
          </w:tcPr>
          <w:p>
            <w:pPr>
              <w:jc w:val="right"/>
              <w:ind w:right="40"/>
              <w:spacing w:after="0" w:line="154" w:lineRule="exact"/>
              <w:rPr>
                <w:sz w:val="20"/>
                <w:szCs w:val="20"/>
                <w:color w:val="auto"/>
              </w:rPr>
            </w:pPr>
            <w:r>
              <w:rPr>
                <w:rFonts w:ascii="Arial" w:cs="Arial" w:eastAsia="Arial" w:hAnsi="Arial"/>
                <w:sz w:val="14"/>
                <w:szCs w:val="14"/>
                <w:color w:val="auto"/>
              </w:rPr>
              <w:t>(3,208)</w:t>
            </w:r>
          </w:p>
        </w:tc>
        <w:tc>
          <w:tcPr>
            <w:tcW w:w="600" w:type="dxa"/>
            <w:vAlign w:val="bottom"/>
          </w:tcPr>
          <w:p>
            <w:pPr>
              <w:jc w:val="right"/>
              <w:spacing w:after="0" w:line="154" w:lineRule="exact"/>
              <w:rPr>
                <w:sz w:val="20"/>
                <w:szCs w:val="20"/>
                <w:color w:val="auto"/>
              </w:rPr>
            </w:pPr>
            <w:r>
              <w:rPr>
                <w:rFonts w:ascii="Arial" w:cs="Arial" w:eastAsia="Arial" w:hAnsi="Arial"/>
                <w:sz w:val="14"/>
                <w:szCs w:val="14"/>
                <w:color w:val="auto"/>
              </w:rPr>
              <w:t>228,853</w:t>
            </w:r>
          </w:p>
        </w:tc>
        <w:tc>
          <w:tcPr>
            <w:tcW w:w="20" w:type="dxa"/>
            <w:vAlign w:val="bottom"/>
          </w:tcPr>
          <w:p>
            <w:pPr>
              <w:spacing w:after="0"/>
              <w:rPr>
                <w:sz w:val="13"/>
                <w:szCs w:val="13"/>
                <w:color w:val="auto"/>
              </w:rPr>
            </w:pPr>
          </w:p>
        </w:tc>
        <w:tc>
          <w:tcPr>
            <w:tcW w:w="780" w:type="dxa"/>
            <w:vAlign w:val="bottom"/>
            <w:gridSpan w:val="3"/>
          </w:tcPr>
          <w:p>
            <w:pPr>
              <w:jc w:val="right"/>
              <w:ind w:right="40"/>
              <w:spacing w:after="0" w:line="154" w:lineRule="exact"/>
              <w:rPr>
                <w:sz w:val="20"/>
                <w:szCs w:val="20"/>
                <w:color w:val="auto"/>
              </w:rPr>
            </w:pPr>
            <w:r>
              <w:rPr>
                <w:rFonts w:ascii="Arial" w:cs="Arial" w:eastAsia="Arial" w:hAnsi="Arial"/>
                <w:sz w:val="14"/>
                <w:szCs w:val="14"/>
                <w:color w:val="auto"/>
              </w:rPr>
              <w:t>21,364,272</w:t>
            </w:r>
          </w:p>
        </w:tc>
        <w:tc>
          <w:tcPr>
            <w:tcW w:w="86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206,885</w:t>
            </w:r>
          </w:p>
        </w:tc>
        <w:tc>
          <w:tcPr>
            <w:tcW w:w="86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(143,400)</w:t>
            </w:r>
          </w:p>
        </w:tc>
        <w:tc>
          <w:tcPr>
            <w:tcW w:w="620" w:type="dxa"/>
            <w:vAlign w:val="bottom"/>
            <w:gridSpan w:val="3"/>
          </w:tcPr>
          <w:p>
            <w:pPr>
              <w:jc w:val="right"/>
              <w:ind w:right="40"/>
              <w:spacing w:after="0" w:line="154" w:lineRule="exact"/>
              <w:rPr>
                <w:sz w:val="20"/>
                <w:szCs w:val="20"/>
                <w:color w:val="auto"/>
              </w:rPr>
            </w:pPr>
            <w:r>
              <w:rPr>
                <w:rFonts w:ascii="Arial" w:cs="Arial" w:eastAsia="Arial" w:hAnsi="Arial"/>
                <w:sz w:val="14"/>
                <w:szCs w:val="14"/>
                <w:color w:val="auto"/>
              </w:rPr>
              <w:t>(273)</w:t>
            </w:r>
          </w:p>
        </w:tc>
        <w:tc>
          <w:tcPr>
            <w:tcW w:w="74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(158,666)</w:t>
            </w:r>
          </w:p>
        </w:tc>
        <w:tc>
          <w:tcPr>
            <w:tcW w:w="76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331,356</w:t>
            </w:r>
          </w:p>
        </w:tc>
        <w:tc>
          <w:tcPr>
            <w:tcW w:w="720" w:type="dxa"/>
            <w:vAlign w:val="bottom"/>
          </w:tcPr>
          <w:p>
            <w:pPr>
              <w:jc w:val="right"/>
              <w:spacing w:after="0" w:line="154" w:lineRule="exact"/>
              <w:rPr>
                <w:sz w:val="20"/>
                <w:szCs w:val="20"/>
                <w:color w:val="auto"/>
              </w:rPr>
            </w:pPr>
            <w:r>
              <w:rPr>
                <w:rFonts w:ascii="Arial" w:cs="Arial" w:eastAsia="Arial" w:hAnsi="Arial"/>
                <w:sz w:val="14"/>
                <w:szCs w:val="14"/>
                <w:color w:val="auto"/>
              </w:rPr>
              <w:t>3,556,281</w:t>
            </w:r>
          </w:p>
        </w:tc>
        <w:tc>
          <w:tcPr>
            <w:tcW w:w="60" w:type="dxa"/>
            <w:vAlign w:val="bottom"/>
          </w:tcPr>
          <w:p>
            <w:pPr>
              <w:spacing w:after="0"/>
              <w:rPr>
                <w:sz w:val="13"/>
                <w:szCs w:val="13"/>
                <w:color w:val="auto"/>
              </w:rPr>
            </w:pPr>
          </w:p>
        </w:tc>
        <w:tc>
          <w:tcPr>
            <w:tcW w:w="720" w:type="dxa"/>
            <w:vAlign w:val="bottom"/>
          </w:tcPr>
          <w:p>
            <w:pPr>
              <w:jc w:val="right"/>
              <w:spacing w:after="0" w:line="154" w:lineRule="exact"/>
              <w:rPr>
                <w:sz w:val="20"/>
                <w:szCs w:val="20"/>
                <w:color w:val="auto"/>
              </w:rPr>
            </w:pPr>
            <w:r>
              <w:rPr>
                <w:rFonts w:ascii="Arial" w:cs="Arial" w:eastAsia="Arial" w:hAnsi="Arial"/>
                <w:sz w:val="14"/>
                <w:szCs w:val="14"/>
                <w:color w:val="auto"/>
                <w:w w:val="99"/>
              </w:rPr>
              <w:t>26,496,767</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540,672</w:t>
            </w:r>
          </w:p>
        </w:tc>
        <w:tc>
          <w:tcPr>
            <w:tcW w:w="700" w:type="dxa"/>
            <w:vAlign w:val="bottom"/>
          </w:tcPr>
          <w:p>
            <w:pPr>
              <w:jc w:val="right"/>
              <w:spacing w:after="0" w:line="154" w:lineRule="exact"/>
              <w:rPr>
                <w:sz w:val="20"/>
                <w:szCs w:val="20"/>
                <w:color w:val="auto"/>
              </w:rPr>
            </w:pPr>
            <w:r>
              <w:rPr>
                <w:rFonts w:ascii="Arial" w:cs="Arial" w:eastAsia="Arial" w:hAnsi="Arial"/>
                <w:sz w:val="14"/>
                <w:szCs w:val="14"/>
                <w:color w:val="auto"/>
                <w:w w:val="96"/>
              </w:rPr>
              <w:t>27,037,439</w:t>
            </w:r>
          </w:p>
        </w:tc>
        <w:tc>
          <w:tcPr>
            <w:tcW w:w="20" w:type="dxa"/>
            <w:vAlign w:val="bottom"/>
          </w:tcPr>
          <w:p>
            <w:pPr>
              <w:spacing w:after="0"/>
              <w:rPr>
                <w:sz w:val="13"/>
                <w:szCs w:val="13"/>
                <w:color w:val="auto"/>
              </w:rPr>
            </w:pPr>
          </w:p>
        </w:tc>
      </w:tr>
      <w:tr>
        <w:trPr>
          <w:trHeight w:val="26"/>
        </w:trPr>
        <w:tc>
          <w:tcPr>
            <w:tcW w:w="1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168" w:lineRule="exact"/>
        <w:rPr>
          <w:sz w:val="20"/>
          <w:szCs w:val="20"/>
          <w:color w:val="auto"/>
        </w:rPr>
      </w:pPr>
    </w:p>
    <w:p>
      <w:pPr>
        <w:sectPr>
          <w:pgSz w:w="11900" w:h="16838" w:orient="portrait"/>
          <w:cols w:equalWidth="0" w:num="1">
            <w:col w:w="11240"/>
          </w:cols>
          <w:pgMar w:left="320" w:top="140" w:right="339" w:bottom="0" w:gutter="0" w:footer="0" w:header="0"/>
        </w:sect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color w:val="auto"/>
        </w:rPr>
        <w:t>CONSOLIDATED STATEMENT OF CHANGES IN NET EQUITY (continued)</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Attributable to Credicorp's equity holders.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6"/>
          </w:tcPr>
          <w:p>
            <w:pPr>
              <w:spacing w:after="0" w:line="149" w:lineRule="exact"/>
              <w:rPr>
                <w:sz w:val="20"/>
                <w:szCs w:val="20"/>
                <w:color w:val="auto"/>
              </w:rPr>
            </w:pPr>
            <w:r>
              <w:rPr>
                <w:rFonts w:ascii="Arial" w:cs="Arial" w:eastAsia="Arial" w:hAnsi="Arial"/>
                <w:sz w:val="14"/>
                <w:szCs w:val="14"/>
                <w:b w:val="1"/>
                <w:bCs w:val="1"/>
                <w:color w:val="auto"/>
              </w:rPr>
              <w:t>Other reserves</w:t>
            </w: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5"/>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that will not</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be</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reclassified</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to income</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6"/>
        </w:trPr>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Cash</w:t>
            </w:r>
          </w:p>
        </w:tc>
        <w:tc>
          <w:tcPr>
            <w:tcW w:w="6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Foreign</w:t>
            </w: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5"/>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Reserves</w:t>
            </w: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w:t>
            </w:r>
          </w:p>
        </w:tc>
        <w:tc>
          <w:tcPr>
            <w:tcW w:w="9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Investments</w:t>
            </w:r>
          </w:p>
        </w:tc>
        <w:tc>
          <w:tcPr>
            <w:tcW w:w="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flow</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currency</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Non-</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5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of the</w:t>
            </w:r>
          </w:p>
        </w:tc>
        <w:tc>
          <w:tcPr>
            <w:tcW w:w="6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based</w:t>
            </w:r>
          </w:p>
        </w:tc>
        <w:tc>
          <w:tcPr>
            <w:tcW w:w="5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7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and</w:t>
            </w: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 equity</w:t>
            </w:r>
          </w:p>
        </w:tc>
        <w:tc>
          <w:tcPr>
            <w:tcW w:w="9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in debt</w:t>
            </w:r>
          </w:p>
        </w:tc>
        <w:tc>
          <w:tcPr>
            <w:tcW w:w="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hedge</w:t>
            </w: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translation</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Retained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controlling</w:t>
            </w:r>
          </w:p>
        </w:tc>
        <w:tc>
          <w:tcPr>
            <w:tcW w:w="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net</w:t>
            </w:r>
          </w:p>
        </w:tc>
      </w:tr>
      <w:tr>
        <w:trPr>
          <w:trHeight w:val="167"/>
        </w:trPr>
        <w:tc>
          <w:tcPr>
            <w:tcW w:w="100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Group</w:t>
            </w:r>
          </w:p>
        </w:tc>
        <w:tc>
          <w:tcPr>
            <w:tcW w:w="1960" w:type="dxa"/>
            <w:vAlign w:val="bottom"/>
            <w:gridSpan w:val="8"/>
          </w:tcPr>
          <w:p>
            <w:pPr>
              <w:spacing w:after="0"/>
              <w:rPr>
                <w:sz w:val="20"/>
                <w:szCs w:val="20"/>
                <w:color w:val="auto"/>
              </w:rPr>
            </w:pPr>
            <w:r>
              <w:rPr>
                <w:rFonts w:ascii="Arial" w:cs="Arial" w:eastAsia="Arial" w:hAnsi="Arial"/>
                <w:sz w:val="14"/>
                <w:szCs w:val="14"/>
                <w:b w:val="1"/>
                <w:bCs w:val="1"/>
                <w:color w:val="auto"/>
              </w:rPr>
              <w:t>payment surplus others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instruments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reserve</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reserves</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reserve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r>
      <w:tr>
        <w:trPr>
          <w:trHeight w:val="174"/>
        </w:trPr>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5"/>
                <w:szCs w:val="15"/>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4"/>
                <w:szCs w:val="14"/>
                <w:b w:val="1"/>
                <w:bCs w:val="1"/>
                <w:color w:val="auto"/>
                <w:w w:val="99"/>
              </w:rPr>
              <w:t>Balances as of</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0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w w:val="99"/>
              </w:rPr>
              <w:t>1,318,993</w:t>
            </w:r>
          </w:p>
        </w:tc>
        <w:tc>
          <w:tcPr>
            <w:tcW w:w="4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(204,326)</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(3,208)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228,853</w:t>
            </w:r>
          </w:p>
        </w:tc>
        <w:tc>
          <w:tcPr>
            <w:tcW w:w="4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21,364,272</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206,885</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(143,400)</w:t>
            </w:r>
          </w:p>
        </w:tc>
        <w:tc>
          <w:tcPr>
            <w:tcW w:w="540" w:type="dxa"/>
            <w:vAlign w:val="bottom"/>
          </w:tcPr>
          <w:p>
            <w:pPr>
              <w:ind w:left="220"/>
              <w:spacing w:after="0"/>
              <w:rPr>
                <w:sz w:val="20"/>
                <w:szCs w:val="20"/>
                <w:color w:val="auto"/>
              </w:rPr>
            </w:pPr>
            <w:r>
              <w:rPr>
                <w:rFonts w:ascii="Arial" w:cs="Arial" w:eastAsia="Arial" w:hAnsi="Arial"/>
                <w:sz w:val="14"/>
                <w:szCs w:val="14"/>
                <w:color w:val="auto"/>
                <w:w w:val="91"/>
              </w:rPr>
              <w:t>(273)</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(158,666)</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331,356</w:t>
            </w:r>
          </w:p>
        </w:tc>
        <w:tc>
          <w:tcPr>
            <w:tcW w:w="720" w:type="dxa"/>
            <w:vAlign w:val="bottom"/>
          </w:tcPr>
          <w:p>
            <w:pPr>
              <w:jc w:val="right"/>
              <w:spacing w:after="0"/>
              <w:rPr>
                <w:sz w:val="20"/>
                <w:szCs w:val="20"/>
                <w:color w:val="auto"/>
              </w:rPr>
            </w:pPr>
            <w:r>
              <w:rPr>
                <w:rFonts w:ascii="Arial" w:cs="Arial" w:eastAsia="Arial" w:hAnsi="Arial"/>
                <w:sz w:val="14"/>
                <w:szCs w:val="14"/>
                <w:color w:val="auto"/>
              </w:rPr>
              <w:t>3,556,281</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26,496,767</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540,672</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27,037,439</w:t>
            </w:r>
          </w:p>
        </w:tc>
        <w:tc>
          <w:tcPr>
            <w:tcW w:w="20" w:type="dxa"/>
            <w:vAlign w:val="bottom"/>
          </w:tcPr>
          <w:p>
            <w:pPr>
              <w:spacing w:after="0"/>
              <w:rPr>
                <w:sz w:val="14"/>
                <w:szCs w:val="14"/>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equity in 2022 -</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w w:val="97"/>
              </w:rPr>
              <w:t>Net profit for the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year</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4,633,096</w:t>
            </w: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4,633,096</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112,292</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4,745,388</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income, Note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00" w:type="dxa"/>
            <w:vAlign w:val="bottom"/>
          </w:tcPr>
          <w:p>
            <w:pPr>
              <w:spacing w:after="0" w:line="151" w:lineRule="exact"/>
              <w:rPr>
                <w:sz w:val="20"/>
                <w:szCs w:val="20"/>
                <w:color w:val="auto"/>
              </w:rPr>
            </w:pPr>
            <w:r>
              <w:rPr>
                <w:rFonts w:ascii="Arial" w:cs="Arial" w:eastAsia="Arial" w:hAnsi="Arial"/>
                <w:sz w:val="14"/>
                <w:szCs w:val="14"/>
                <w:color w:val="auto"/>
              </w:rPr>
              <w:t>18(d)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line="151" w:lineRule="exact"/>
              <w:rPr>
                <w:sz w:val="20"/>
                <w:szCs w:val="20"/>
                <w:color w:val="auto"/>
              </w:rPr>
            </w:pPr>
            <w:r>
              <w:rPr>
                <w:rFonts w:ascii="Arial" w:cs="Arial" w:eastAsia="Arial" w:hAnsi="Arial"/>
                <w:sz w:val="14"/>
                <w:szCs w:val="14"/>
                <w:color w:val="auto"/>
              </w:rPr>
              <w:t>(33,298)</w:t>
            </w:r>
          </w:p>
        </w:tc>
        <w:tc>
          <w:tcPr>
            <w:tcW w:w="900" w:type="dxa"/>
            <w:vAlign w:val="bottom"/>
            <w:gridSpan w:val="3"/>
          </w:tcPr>
          <w:p>
            <w:pPr>
              <w:jc w:val="right"/>
              <w:ind w:right="60"/>
              <w:spacing w:after="0" w:line="151" w:lineRule="exact"/>
              <w:rPr>
                <w:sz w:val="20"/>
                <w:szCs w:val="20"/>
                <w:color w:val="auto"/>
              </w:rPr>
            </w:pPr>
            <w:r>
              <w:rPr>
                <w:rFonts w:ascii="Arial" w:cs="Arial" w:eastAsia="Arial" w:hAnsi="Arial"/>
                <w:sz w:val="14"/>
                <w:szCs w:val="14"/>
                <w:color w:val="auto"/>
              </w:rPr>
              <w:t>(1,524,918)</w:t>
            </w:r>
          </w:p>
        </w:tc>
        <w:tc>
          <w:tcPr>
            <w:tcW w:w="62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1,061</w:t>
            </w:r>
          </w:p>
        </w:tc>
        <w:tc>
          <w:tcPr>
            <w:tcW w:w="74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927,838</w:t>
            </w:r>
          </w:p>
        </w:tc>
        <w:tc>
          <w:tcPr>
            <w:tcW w:w="7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(256,701)</w:t>
            </w:r>
          </w:p>
        </w:tc>
        <w:tc>
          <w:tcPr>
            <w:tcW w:w="7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(886,018)</w:t>
            </w:r>
          </w:p>
        </w:tc>
        <w:tc>
          <w:tcPr>
            <w:tcW w:w="80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(4,995)</w:t>
            </w:r>
          </w:p>
        </w:tc>
        <w:tc>
          <w:tcPr>
            <w:tcW w:w="7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(891,013)</w:t>
            </w:r>
          </w:p>
        </w:tc>
      </w:tr>
      <w:tr>
        <w:trPr>
          <w:trHeight w:val="140"/>
        </w:trPr>
        <w:tc>
          <w:tcPr>
            <w:tcW w:w="1000" w:type="dxa"/>
            <w:vAlign w:val="bottom"/>
          </w:tcPr>
          <w:p>
            <w:pPr>
              <w:spacing w:after="0" w:line="140"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income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(33,298)</w:t>
            </w:r>
          </w:p>
        </w:tc>
        <w:tc>
          <w:tcPr>
            <w:tcW w:w="90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(1,524,918)</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1,061</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927,838</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(256,701)</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4,633,096</w:t>
            </w: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3,747,078</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107,297</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3,854,375</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Transfer of</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retained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earnings to</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reserves, Note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18(c)</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2,354,859</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540" w:type="dxa"/>
            <w:vAlign w:val="bottom"/>
            <w:gridSpan w:val="4"/>
          </w:tcPr>
          <w:p>
            <w:pPr>
              <w:jc w:val="right"/>
              <w:ind w:right="60"/>
              <w:spacing w:after="0" w:line="155" w:lineRule="exact"/>
              <w:rPr>
                <w:sz w:val="20"/>
                <w:szCs w:val="20"/>
                <w:color w:val="auto"/>
              </w:rPr>
            </w:pPr>
            <w:r>
              <w:rPr>
                <w:rFonts w:ascii="Arial" w:cs="Arial" w:eastAsia="Arial" w:hAnsi="Arial"/>
                <w:sz w:val="14"/>
                <w:szCs w:val="14"/>
                <w:color w:val="auto"/>
              </w:rPr>
              <w:t>− (2,354,859)</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Dividend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distribution,</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Note 18(e)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2320" w:type="dxa"/>
            <w:vAlign w:val="bottom"/>
            <w:gridSpan w:val="6"/>
          </w:tcPr>
          <w:p>
            <w:pPr>
              <w:jc w:val="right"/>
              <w:ind w:right="60"/>
              <w:spacing w:after="0" w:line="155" w:lineRule="exact"/>
              <w:rPr>
                <w:sz w:val="20"/>
                <w:szCs w:val="20"/>
                <w:color w:val="auto"/>
              </w:rPr>
            </w:pPr>
            <w:r>
              <w:rPr>
                <w:rFonts w:ascii="Arial" w:cs="Arial" w:eastAsia="Arial" w:hAnsi="Arial"/>
                <w:sz w:val="14"/>
                <w:szCs w:val="14"/>
                <w:color w:val="auto"/>
              </w:rPr>
              <w:t>− (1,196,422) (1,196,422)</w:t>
            </w:r>
          </w:p>
        </w:tc>
        <w:tc>
          <w:tcPr>
            <w:tcW w:w="152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 (1,196,422)</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Dividends paid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to interest non-</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controlling</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of subsidiaries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(48,577)</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(48,577)</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Non-controlling</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interest stock</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w w:val="99"/>
              </w:rPr>
              <w:t>put option, Note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3(n)</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(42,964)</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(42,964)</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(42,964)</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Minority</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purchase, Note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3(n)</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(5,877)</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(5,877)</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Purchase of</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treasury stock,</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Note 18(b)</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(1,923)</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9"/>
              </w:rPr>
              <w:t>(81,682)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(83,605)</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(83,605)</w:t>
            </w: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w w:val="99"/>
              </w:rPr>
              <w:t>Sale of treasury</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stocks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231</w:t>
            </w:r>
          </w:p>
        </w:tc>
        <w:tc>
          <w:tcPr>
            <w:tcW w:w="5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9,718</w:t>
            </w:r>
          </w:p>
        </w:tc>
        <w:tc>
          <w:tcPr>
            <w:tcW w:w="2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9,949</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9,949</w:t>
            </w: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Share-based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payment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color w:val="auto"/>
              </w:rPr>
              <w:t>transactions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1,708</w:t>
            </w:r>
          </w:p>
        </w:tc>
        <w:tc>
          <w:tcPr>
            <w:tcW w:w="5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74,667</w:t>
            </w:r>
          </w:p>
        </w:tc>
        <w:tc>
          <w:tcPr>
            <w:tcW w:w="7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(16,541)</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59,834</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59,834</w:t>
            </w:r>
          </w:p>
        </w:tc>
      </w:tr>
      <w:tr>
        <w:trPr>
          <w:trHeight w:val="151"/>
        </w:trPr>
        <w:tc>
          <w:tcPr>
            <w:tcW w:w="1000" w:type="dxa"/>
            <w:vAlign w:val="bottom"/>
          </w:tcPr>
          <w:p>
            <w:pPr>
              <w:spacing w:after="0" w:line="151" w:lineRule="exact"/>
              <w:rPr>
                <w:sz w:val="20"/>
                <w:szCs w:val="20"/>
                <w:color w:val="auto"/>
              </w:rPr>
            </w:pPr>
            <w:r>
              <w:rPr>
                <w:rFonts w:ascii="Arial" w:cs="Arial" w:eastAsia="Arial" w:hAnsi="Arial"/>
                <w:sz w:val="14"/>
                <w:szCs w:val="14"/>
                <w:color w:val="auto"/>
              </w:rPr>
              <w:t>Others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(2,497)</w:t>
            </w:r>
          </w:p>
        </w:tc>
        <w:tc>
          <w:tcPr>
            <w:tcW w:w="78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(2,497)</w:t>
            </w:r>
          </w:p>
        </w:tc>
        <w:tc>
          <w:tcPr>
            <w:tcW w:w="80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(1,946)</w:t>
            </w:r>
          </w:p>
        </w:tc>
        <w:tc>
          <w:tcPr>
            <w:tcW w:w="7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(4,443)</w:t>
            </w:r>
          </w:p>
        </w:tc>
      </w:tr>
      <w:tr>
        <w:trPr>
          <w:trHeight w:val="124"/>
        </w:trPr>
        <w:tc>
          <w:tcPr>
            <w:tcW w:w="1000" w:type="dxa"/>
            <w:vAlign w:val="bottom"/>
          </w:tcPr>
          <w:p>
            <w:pPr>
              <w:spacing w:after="0" w:line="124" w:lineRule="exact"/>
              <w:rPr>
                <w:sz w:val="20"/>
                <w:szCs w:val="20"/>
                <w:color w:val="auto"/>
              </w:rPr>
            </w:pPr>
            <w:r>
              <w:rPr>
                <w:rFonts w:ascii="Arial" w:cs="Arial" w:eastAsia="Arial" w:hAnsi="Arial"/>
                <w:sz w:val="14"/>
                <w:szCs w:val="14"/>
                <w:b w:val="1"/>
                <w:bCs w:val="1"/>
                <w:color w:val="auto"/>
                <w:w w:val="99"/>
              </w:rPr>
              <w:t>Balances as of</w:t>
            </w:r>
          </w:p>
        </w:tc>
        <w:tc>
          <w:tcPr>
            <w:tcW w:w="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1000" w:type="dxa"/>
            <w:vAlign w:val="bottom"/>
          </w:tcPr>
          <w:p>
            <w:pPr>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00" w:type="dxa"/>
            <w:vAlign w:val="bottom"/>
          </w:tcPr>
          <w:p>
            <w:pPr>
              <w:spacing w:after="0" w:line="154"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620" w:type="dxa"/>
            <w:vAlign w:val="bottom"/>
            <w:gridSpan w:val="2"/>
          </w:tcPr>
          <w:p>
            <w:pPr>
              <w:jc w:val="right"/>
              <w:spacing w:after="0" w:line="154" w:lineRule="exact"/>
              <w:rPr>
                <w:sz w:val="20"/>
                <w:szCs w:val="20"/>
                <w:color w:val="auto"/>
              </w:rPr>
            </w:pPr>
            <w:r>
              <w:rPr>
                <w:rFonts w:ascii="Arial" w:cs="Arial" w:eastAsia="Arial" w:hAnsi="Arial"/>
                <w:sz w:val="14"/>
                <w:szCs w:val="14"/>
                <w:color w:val="auto"/>
                <w:w w:val="96"/>
              </w:rPr>
              <w:t>1,318,993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line="154" w:lineRule="exact"/>
              <w:rPr>
                <w:sz w:val="20"/>
                <w:szCs w:val="20"/>
                <w:color w:val="auto"/>
              </w:rPr>
            </w:pPr>
            <w:r>
              <w:rPr>
                <w:rFonts w:ascii="Arial" w:cs="Arial" w:eastAsia="Arial" w:hAnsi="Arial"/>
                <w:sz w:val="14"/>
                <w:szCs w:val="14"/>
                <w:color w:val="auto"/>
                <w:w w:val="96"/>
              </w:rPr>
              <w:t>(204,326)</w:t>
            </w:r>
          </w:p>
        </w:tc>
        <w:tc>
          <w:tcPr>
            <w:tcW w:w="40" w:type="dxa"/>
            <w:vAlign w:val="bottom"/>
          </w:tcPr>
          <w:p>
            <w:pPr>
              <w:spacing w:after="0"/>
              <w:rPr>
                <w:sz w:val="13"/>
                <w:szCs w:val="13"/>
                <w:color w:val="auto"/>
              </w:rPr>
            </w:pPr>
          </w:p>
        </w:tc>
        <w:tc>
          <w:tcPr>
            <w:tcW w:w="580" w:type="dxa"/>
            <w:vAlign w:val="bottom"/>
          </w:tcPr>
          <w:p>
            <w:pPr>
              <w:jc w:val="right"/>
              <w:spacing w:after="0" w:line="154" w:lineRule="exact"/>
              <w:rPr>
                <w:sz w:val="20"/>
                <w:szCs w:val="20"/>
                <w:color w:val="auto"/>
              </w:rPr>
            </w:pPr>
            <w:r>
              <w:rPr>
                <w:rFonts w:ascii="Arial" w:cs="Arial" w:eastAsia="Arial" w:hAnsi="Arial"/>
                <w:sz w:val="14"/>
                <w:szCs w:val="14"/>
                <w:color w:val="auto"/>
              </w:rPr>
              <w:t>(3,192)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jc w:val="right"/>
              <w:spacing w:after="0" w:line="154" w:lineRule="exact"/>
              <w:rPr>
                <w:sz w:val="20"/>
                <w:szCs w:val="20"/>
                <w:color w:val="auto"/>
              </w:rPr>
            </w:pPr>
            <w:r>
              <w:rPr>
                <w:rFonts w:ascii="Arial" w:cs="Arial" w:eastAsia="Arial" w:hAnsi="Arial"/>
                <w:sz w:val="14"/>
                <w:szCs w:val="14"/>
                <w:color w:val="auto"/>
                <w:w w:val="98"/>
              </w:rPr>
              <w:t>231,556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Arial" w:cs="Arial" w:eastAsia="Arial" w:hAnsi="Arial"/>
                <w:sz w:val="14"/>
                <w:szCs w:val="14"/>
                <w:color w:val="auto"/>
                <w:w w:val="96"/>
              </w:rPr>
              <w:t>23,659,626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jc w:val="right"/>
              <w:spacing w:after="0" w:line="154" w:lineRule="exact"/>
              <w:rPr>
                <w:sz w:val="20"/>
                <w:szCs w:val="20"/>
                <w:color w:val="auto"/>
              </w:rPr>
            </w:pPr>
            <w:r>
              <w:rPr>
                <w:rFonts w:ascii="Arial" w:cs="Arial" w:eastAsia="Arial" w:hAnsi="Arial"/>
                <w:sz w:val="14"/>
                <w:szCs w:val="14"/>
                <w:color w:val="auto"/>
              </w:rPr>
              <w:t>173,587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spacing w:after="0" w:line="154" w:lineRule="exact"/>
              <w:rPr>
                <w:sz w:val="20"/>
                <w:szCs w:val="20"/>
                <w:color w:val="auto"/>
              </w:rPr>
            </w:pPr>
            <w:r>
              <w:rPr>
                <w:rFonts w:ascii="Arial" w:cs="Arial" w:eastAsia="Arial" w:hAnsi="Arial"/>
                <w:sz w:val="14"/>
                <w:szCs w:val="14"/>
                <w:color w:val="auto"/>
              </w:rPr>
              <w:t>(1,668,318)</w:t>
            </w:r>
          </w:p>
        </w:tc>
        <w:tc>
          <w:tcPr>
            <w:tcW w:w="60" w:type="dxa"/>
            <w:vAlign w:val="bottom"/>
          </w:tcPr>
          <w:p>
            <w:pPr>
              <w:spacing w:after="0"/>
              <w:rPr>
                <w:sz w:val="13"/>
                <w:szCs w:val="13"/>
                <w:color w:val="auto"/>
              </w:rPr>
            </w:pPr>
          </w:p>
        </w:tc>
        <w:tc>
          <w:tcPr>
            <w:tcW w:w="62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788</w:t>
            </w:r>
          </w:p>
        </w:tc>
        <w:tc>
          <w:tcPr>
            <w:tcW w:w="74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769,172</w:t>
            </w:r>
          </w:p>
        </w:tc>
        <w:tc>
          <w:tcPr>
            <w:tcW w:w="76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74,655</w:t>
            </w:r>
          </w:p>
        </w:tc>
        <w:tc>
          <w:tcPr>
            <w:tcW w:w="720" w:type="dxa"/>
            <w:vAlign w:val="bottom"/>
          </w:tcPr>
          <w:p>
            <w:pPr>
              <w:jc w:val="right"/>
              <w:spacing w:after="0" w:line="154" w:lineRule="exact"/>
              <w:rPr>
                <w:sz w:val="20"/>
                <w:szCs w:val="20"/>
                <w:color w:val="auto"/>
              </w:rPr>
            </w:pPr>
            <w:r>
              <w:rPr>
                <w:rFonts w:ascii="Arial" w:cs="Arial" w:eastAsia="Arial" w:hAnsi="Arial"/>
                <w:sz w:val="14"/>
                <w:szCs w:val="14"/>
                <w:color w:val="auto"/>
              </w:rPr>
              <w:t>4,635,599</w:t>
            </w:r>
          </w:p>
        </w:tc>
        <w:tc>
          <w:tcPr>
            <w:tcW w:w="60" w:type="dxa"/>
            <w:vAlign w:val="bottom"/>
          </w:tcPr>
          <w:p>
            <w:pPr>
              <w:spacing w:after="0"/>
              <w:rPr>
                <w:sz w:val="13"/>
                <w:szCs w:val="13"/>
                <w:color w:val="auto"/>
              </w:rPr>
            </w:pPr>
          </w:p>
        </w:tc>
        <w:tc>
          <w:tcPr>
            <w:tcW w:w="720" w:type="dxa"/>
            <w:vAlign w:val="bottom"/>
          </w:tcPr>
          <w:p>
            <w:pPr>
              <w:jc w:val="right"/>
              <w:spacing w:after="0" w:line="154" w:lineRule="exact"/>
              <w:rPr>
                <w:sz w:val="20"/>
                <w:szCs w:val="20"/>
                <w:color w:val="auto"/>
              </w:rPr>
            </w:pPr>
            <w:r>
              <w:rPr>
                <w:rFonts w:ascii="Arial" w:cs="Arial" w:eastAsia="Arial" w:hAnsi="Arial"/>
                <w:sz w:val="14"/>
                <w:szCs w:val="14"/>
                <w:color w:val="auto"/>
                <w:w w:val="99"/>
              </w:rPr>
              <w:t>28,988,140</w:t>
            </w: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591,569</w:t>
            </w:r>
          </w:p>
        </w:tc>
        <w:tc>
          <w:tcPr>
            <w:tcW w:w="700" w:type="dxa"/>
            <w:vAlign w:val="bottom"/>
          </w:tcPr>
          <w:p>
            <w:pPr>
              <w:jc w:val="right"/>
              <w:spacing w:after="0" w:line="154" w:lineRule="exact"/>
              <w:rPr>
                <w:sz w:val="20"/>
                <w:szCs w:val="20"/>
                <w:color w:val="auto"/>
              </w:rPr>
            </w:pPr>
            <w:r>
              <w:rPr>
                <w:rFonts w:ascii="Arial" w:cs="Arial" w:eastAsia="Arial" w:hAnsi="Arial"/>
                <w:sz w:val="14"/>
                <w:szCs w:val="14"/>
                <w:color w:val="auto"/>
                <w:w w:val="96"/>
              </w:rPr>
              <w:t>29,579,709</w:t>
            </w:r>
          </w:p>
        </w:tc>
        <w:tc>
          <w:tcPr>
            <w:tcW w:w="20" w:type="dxa"/>
            <w:vAlign w:val="bottom"/>
          </w:tcPr>
          <w:p>
            <w:pPr>
              <w:spacing w:after="0"/>
              <w:rPr>
                <w:sz w:val="13"/>
                <w:szCs w:val="13"/>
                <w:color w:val="auto"/>
              </w:rPr>
            </w:pPr>
          </w:p>
        </w:tc>
      </w:tr>
      <w:tr>
        <w:trPr>
          <w:trHeight w:val="26"/>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7"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(Free translation from the original in Spanish)</w:t>
      </w:r>
    </w:p>
    <w:p>
      <w:pPr>
        <w:sectPr>
          <w:pgSz w:w="11900" w:h="16838" w:orient="portrait"/>
          <w:cols w:equalWidth="0" w:num="1">
            <w:col w:w="11240"/>
          </w:cols>
          <w:pgMar w:left="320" w:top="140"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0"/>
        <w:spacing w:after="0" w:line="281" w:lineRule="auto"/>
        <w:rPr>
          <w:sz w:val="20"/>
          <w:szCs w:val="20"/>
          <w:color w:val="auto"/>
        </w:rPr>
      </w:pPr>
      <w:r>
        <w:rPr>
          <w:rFonts w:ascii="Arial" w:cs="Arial" w:eastAsia="Arial" w:hAnsi="Arial"/>
          <w:sz w:val="17"/>
          <w:szCs w:val="17"/>
          <w:b w:val="1"/>
          <w:bCs w:val="1"/>
          <w:color w:val="auto"/>
        </w:rPr>
        <w:t xml:space="preserve">CASH AND CASH EQUIVALENTS FROM OPERATING ACTIVITIES </w:t>
      </w:r>
      <w:r>
        <w:rPr>
          <w:rFonts w:ascii="Arial" w:cs="Arial" w:eastAsia="Arial" w:hAnsi="Arial"/>
          <w:sz w:val="17"/>
          <w:szCs w:val="17"/>
          <w:color w:val="auto"/>
        </w:rPr>
        <w:t>Net profit for the year</w:t>
      </w:r>
    </w:p>
    <w:p>
      <w:pPr>
        <w:spacing w:after="0" w:line="125" w:lineRule="exact"/>
        <w:rPr>
          <w:sz w:val="20"/>
          <w:szCs w:val="20"/>
          <w:color w:val="auto"/>
        </w:rPr>
      </w:pPr>
    </w:p>
    <w:p>
      <w:pPr>
        <w:ind w:right="1060"/>
        <w:spacing w:after="0" w:line="252" w:lineRule="auto"/>
        <w:rPr>
          <w:sz w:val="20"/>
          <w:szCs w:val="20"/>
          <w:color w:val="auto"/>
        </w:rPr>
      </w:pPr>
      <w:r>
        <w:rPr>
          <w:rFonts w:ascii="Arial" w:cs="Arial" w:eastAsia="Arial" w:hAnsi="Arial"/>
          <w:sz w:val="17"/>
          <w:szCs w:val="17"/>
          <w:b w:val="1"/>
          <w:bCs w:val="1"/>
          <w:color w:val="auto"/>
        </w:rPr>
        <w:t>Adjustment to reconcile net profit to net cash arising from operating activities:</w:t>
      </w:r>
    </w:p>
    <w:p>
      <w:pPr>
        <w:spacing w:after="0" w:line="238" w:lineRule="auto"/>
        <w:rPr>
          <w:sz w:val="20"/>
          <w:szCs w:val="20"/>
          <w:color w:val="auto"/>
        </w:rPr>
      </w:pPr>
      <w:r>
        <w:rPr>
          <w:rFonts w:ascii="Arial" w:cs="Arial" w:eastAsia="Arial" w:hAnsi="Arial"/>
          <w:sz w:val="17"/>
          <w:szCs w:val="17"/>
          <w:color w:val="auto"/>
        </w:rPr>
        <w:t>Provision for credit losses on loan portfolio</w:t>
      </w:r>
    </w:p>
    <w:p>
      <w:pPr>
        <w:spacing w:after="0"/>
        <w:rPr>
          <w:sz w:val="20"/>
          <w:szCs w:val="20"/>
          <w:color w:val="auto"/>
        </w:rPr>
      </w:pPr>
      <w:r>
        <w:rPr>
          <w:rFonts w:ascii="Arial" w:cs="Arial" w:eastAsia="Arial" w:hAnsi="Arial"/>
          <w:sz w:val="17"/>
          <w:szCs w:val="17"/>
          <w:color w:val="auto"/>
        </w:rPr>
        <w:t>Impact of fair value of portfolio with change in effective rate</w:t>
      </w:r>
    </w:p>
    <w:p>
      <w:pPr>
        <w:spacing w:after="0" w:line="238" w:lineRule="auto"/>
        <w:rPr>
          <w:sz w:val="20"/>
          <w:szCs w:val="20"/>
          <w:color w:val="auto"/>
        </w:rPr>
      </w:pPr>
      <w:r>
        <w:rPr>
          <w:rFonts w:ascii="Arial" w:cs="Arial" w:eastAsia="Arial" w:hAnsi="Arial"/>
          <w:sz w:val="17"/>
          <w:szCs w:val="17"/>
          <w:color w:val="auto"/>
        </w:rPr>
        <w:t>Depreciation and amortization</w:t>
      </w:r>
    </w:p>
    <w:p>
      <w:pPr>
        <w:spacing w:after="0"/>
        <w:rPr>
          <w:sz w:val="20"/>
          <w:szCs w:val="20"/>
          <w:color w:val="auto"/>
        </w:rPr>
      </w:pPr>
      <w:r>
        <w:rPr>
          <w:rFonts w:ascii="Arial" w:cs="Arial" w:eastAsia="Arial" w:hAnsi="Arial"/>
          <w:sz w:val="17"/>
          <w:szCs w:val="17"/>
          <w:color w:val="auto"/>
        </w:rPr>
        <w:t>Depreciation of right-of-use assets</w:t>
      </w:r>
    </w:p>
    <w:p>
      <w:pPr>
        <w:spacing w:after="0" w:line="238" w:lineRule="auto"/>
        <w:rPr>
          <w:sz w:val="20"/>
          <w:szCs w:val="20"/>
          <w:color w:val="auto"/>
        </w:rPr>
      </w:pPr>
      <w:r>
        <w:rPr>
          <w:rFonts w:ascii="Arial" w:cs="Arial" w:eastAsia="Arial" w:hAnsi="Arial"/>
          <w:sz w:val="17"/>
          <w:szCs w:val="17"/>
          <w:color w:val="auto"/>
        </w:rPr>
        <w:t>Depreciation of investment properties</w:t>
      </w:r>
    </w:p>
    <w:p>
      <w:pPr>
        <w:spacing w:after="0"/>
        <w:rPr>
          <w:sz w:val="20"/>
          <w:szCs w:val="20"/>
          <w:color w:val="auto"/>
        </w:rPr>
      </w:pPr>
      <w:r>
        <w:rPr>
          <w:rFonts w:ascii="Arial" w:cs="Arial" w:eastAsia="Arial" w:hAnsi="Arial"/>
          <w:sz w:val="17"/>
          <w:szCs w:val="17"/>
          <w:color w:val="auto"/>
        </w:rPr>
        <w:t>Provision for sundry risks</w:t>
      </w:r>
    </w:p>
    <w:p>
      <w:pPr>
        <w:spacing w:after="0" w:line="238" w:lineRule="auto"/>
        <w:rPr>
          <w:sz w:val="20"/>
          <w:szCs w:val="20"/>
          <w:color w:val="auto"/>
        </w:rPr>
      </w:pPr>
      <w:r>
        <w:rPr>
          <w:rFonts w:ascii="Arial" w:cs="Arial" w:eastAsia="Arial" w:hAnsi="Arial"/>
          <w:sz w:val="17"/>
          <w:szCs w:val="17"/>
          <w:color w:val="auto"/>
        </w:rPr>
        <w:t>Deferred (income) tax expense</w:t>
      </w:r>
    </w:p>
    <w:p>
      <w:pPr>
        <w:spacing w:after="0"/>
        <w:rPr>
          <w:sz w:val="20"/>
          <w:szCs w:val="20"/>
          <w:color w:val="auto"/>
        </w:rPr>
      </w:pPr>
      <w:r>
        <w:rPr>
          <w:rFonts w:ascii="Arial" w:cs="Arial" w:eastAsia="Arial" w:hAnsi="Arial"/>
          <w:sz w:val="17"/>
          <w:szCs w:val="17"/>
          <w:color w:val="auto"/>
        </w:rPr>
        <w:t>Adjustment of technical reserves</w:t>
      </w:r>
    </w:p>
    <w:p>
      <w:pPr>
        <w:spacing w:after="0" w:line="238" w:lineRule="auto"/>
        <w:rPr>
          <w:sz w:val="20"/>
          <w:szCs w:val="20"/>
          <w:color w:val="auto"/>
        </w:rPr>
      </w:pPr>
      <w:r>
        <w:rPr>
          <w:rFonts w:ascii="Arial" w:cs="Arial" w:eastAsia="Arial" w:hAnsi="Arial"/>
          <w:sz w:val="17"/>
          <w:szCs w:val="17"/>
          <w:color w:val="auto"/>
        </w:rPr>
        <w:t>Net gain on securities</w:t>
      </w:r>
    </w:p>
    <w:p>
      <w:pPr>
        <w:spacing w:after="0"/>
        <w:rPr>
          <w:sz w:val="20"/>
          <w:szCs w:val="20"/>
          <w:color w:val="auto"/>
        </w:rPr>
      </w:pPr>
      <w:r>
        <w:rPr>
          <w:rFonts w:ascii="Arial" w:cs="Arial" w:eastAsia="Arial" w:hAnsi="Arial"/>
          <w:sz w:val="17"/>
          <w:szCs w:val="17"/>
          <w:color w:val="auto"/>
        </w:rPr>
        <w:t>Impairment loss on goodwill</w:t>
      </w:r>
    </w:p>
    <w:p>
      <w:pPr>
        <w:ind w:right="2080"/>
        <w:spacing w:after="0" w:line="238" w:lineRule="auto"/>
        <w:rPr>
          <w:sz w:val="20"/>
          <w:szCs w:val="20"/>
          <w:color w:val="auto"/>
        </w:rPr>
      </w:pPr>
      <w:r>
        <w:rPr>
          <w:rFonts w:ascii="Arial" w:cs="Arial" w:eastAsia="Arial" w:hAnsi="Arial"/>
          <w:sz w:val="17"/>
          <w:szCs w:val="17"/>
          <w:color w:val="auto"/>
        </w:rPr>
        <w:t>Loss (Gain) on financial assets designated at fair value through profit and loss Net gain of trading derivatives</w:t>
      </w:r>
    </w:p>
    <w:p>
      <w:pPr>
        <w:spacing w:after="0"/>
        <w:rPr>
          <w:sz w:val="20"/>
          <w:szCs w:val="20"/>
          <w:color w:val="auto"/>
        </w:rPr>
      </w:pPr>
      <w:r>
        <w:rPr>
          <w:rFonts w:ascii="Arial" w:cs="Arial" w:eastAsia="Arial" w:hAnsi="Arial"/>
          <w:sz w:val="17"/>
          <w:szCs w:val="17"/>
          <w:color w:val="auto"/>
        </w:rPr>
        <w:t>Net Income from sale of property, furniture and equipment</w:t>
      </w:r>
    </w:p>
    <w:p>
      <w:pPr>
        <w:spacing w:after="0" w:line="238" w:lineRule="auto"/>
        <w:rPr>
          <w:sz w:val="20"/>
          <w:szCs w:val="20"/>
          <w:color w:val="auto"/>
        </w:rPr>
      </w:pPr>
      <w:r>
        <w:rPr>
          <w:rFonts w:ascii="Arial" w:cs="Arial" w:eastAsia="Arial" w:hAnsi="Arial"/>
          <w:sz w:val="17"/>
          <w:szCs w:val="17"/>
          <w:color w:val="auto"/>
        </w:rPr>
        <w:t>Gain net from sale of seized and recovered assets</w:t>
      </w:r>
    </w:p>
    <w:p>
      <w:pPr>
        <w:spacing w:after="0"/>
        <w:rPr>
          <w:sz w:val="20"/>
          <w:szCs w:val="20"/>
          <w:color w:val="auto"/>
        </w:rPr>
      </w:pPr>
      <w:r>
        <w:rPr>
          <w:rFonts w:ascii="Arial" w:cs="Arial" w:eastAsia="Arial" w:hAnsi="Arial"/>
          <w:sz w:val="17"/>
          <w:szCs w:val="17"/>
          <w:color w:val="auto"/>
        </w:rPr>
        <w:t>Expense for share-based payment transactions</w:t>
      </w:r>
    </w:p>
    <w:p>
      <w:pPr>
        <w:spacing w:after="0" w:line="238" w:lineRule="auto"/>
        <w:rPr>
          <w:sz w:val="20"/>
          <w:szCs w:val="20"/>
          <w:color w:val="auto"/>
        </w:rPr>
      </w:pPr>
      <w:r>
        <w:rPr>
          <w:rFonts w:ascii="Arial" w:cs="Arial" w:eastAsia="Arial" w:hAnsi="Arial"/>
          <w:sz w:val="17"/>
          <w:szCs w:val="17"/>
          <w:color w:val="auto"/>
        </w:rPr>
        <w:t>Net gain from sale of written-off portfolio</w:t>
      </w:r>
    </w:p>
    <w:p>
      <w:pPr>
        <w:ind w:right="1240"/>
        <w:spacing w:after="0" w:line="238" w:lineRule="auto"/>
        <w:rPr>
          <w:sz w:val="20"/>
          <w:szCs w:val="20"/>
          <w:color w:val="auto"/>
        </w:rPr>
      </w:pPr>
      <w:r>
        <w:rPr>
          <w:rFonts w:ascii="Arial" w:cs="Arial" w:eastAsia="Arial" w:hAnsi="Arial"/>
          <w:sz w:val="17"/>
          <w:szCs w:val="17"/>
          <w:color w:val="auto"/>
        </w:rPr>
        <w:t>Intangible losses due to withdrawals and dismissed projects Others</w:t>
      </w:r>
    </w:p>
    <w:p>
      <w:pPr>
        <w:spacing w:after="0" w:line="1" w:lineRule="exact"/>
        <w:rPr>
          <w:sz w:val="20"/>
          <w:szCs w:val="20"/>
          <w:color w:val="auto"/>
        </w:rPr>
      </w:pPr>
    </w:p>
    <w:p>
      <w:pPr>
        <w:ind w:right="2860"/>
        <w:spacing w:after="0" w:line="238" w:lineRule="auto"/>
        <w:rPr>
          <w:sz w:val="20"/>
          <w:szCs w:val="20"/>
          <w:color w:val="auto"/>
        </w:rPr>
      </w:pPr>
      <w:r>
        <w:rPr>
          <w:rFonts w:ascii="Arial" w:cs="Arial" w:eastAsia="Arial" w:hAnsi="Arial"/>
          <w:sz w:val="17"/>
          <w:szCs w:val="17"/>
          <w:b w:val="1"/>
          <w:bCs w:val="1"/>
          <w:color w:val="auto"/>
        </w:rPr>
        <w:t xml:space="preserve">Net changes in assets and liabilities Net (increase) decrease in assets: </w:t>
      </w:r>
      <w:r>
        <w:rPr>
          <w:rFonts w:ascii="Arial" w:cs="Arial" w:eastAsia="Arial" w:hAnsi="Arial"/>
          <w:sz w:val="17"/>
          <w:szCs w:val="17"/>
          <w:color w:val="auto"/>
        </w:rPr>
        <w:t>Loans</w:t>
      </w:r>
    </w:p>
    <w:p>
      <w:pPr>
        <w:spacing w:after="0" w:line="1" w:lineRule="exact"/>
        <w:rPr>
          <w:sz w:val="20"/>
          <w:szCs w:val="20"/>
          <w:color w:val="auto"/>
        </w:rPr>
      </w:pPr>
    </w:p>
    <w:p>
      <w:pPr>
        <w:ind w:right="1660"/>
        <w:spacing w:after="0" w:line="238" w:lineRule="auto"/>
        <w:rPr>
          <w:sz w:val="20"/>
          <w:szCs w:val="20"/>
          <w:color w:val="auto"/>
        </w:rPr>
      </w:pPr>
      <w:r>
        <w:rPr>
          <w:rFonts w:ascii="Arial" w:cs="Arial" w:eastAsia="Arial" w:hAnsi="Arial"/>
          <w:sz w:val="17"/>
          <w:szCs w:val="17"/>
          <w:color w:val="auto"/>
        </w:rPr>
        <w:t>Investments at fair value through profit or loss Investments at fair value through other comprehensive income</w:t>
      </w:r>
    </w:p>
    <w:p>
      <w:pPr>
        <w:spacing w:after="0"/>
        <w:rPr>
          <w:sz w:val="20"/>
          <w:szCs w:val="20"/>
          <w:color w:val="auto"/>
        </w:rPr>
      </w:pPr>
      <w:r>
        <w:rPr>
          <w:rFonts w:ascii="Arial" w:cs="Arial" w:eastAsia="Arial" w:hAnsi="Arial"/>
          <w:sz w:val="17"/>
          <w:szCs w:val="17"/>
          <w:color w:val="auto"/>
        </w:rPr>
        <w:t>Cash collateral, reverse repurchase agreements and</w:t>
      </w:r>
    </w:p>
    <w:p>
      <w:pPr>
        <w:spacing w:after="0" w:line="238" w:lineRule="auto"/>
        <w:rPr>
          <w:sz w:val="20"/>
          <w:szCs w:val="20"/>
          <w:color w:val="auto"/>
        </w:rPr>
      </w:pPr>
      <w:r>
        <w:rPr>
          <w:rFonts w:ascii="Arial" w:cs="Arial" w:eastAsia="Arial" w:hAnsi="Arial"/>
          <w:sz w:val="17"/>
          <w:szCs w:val="17"/>
          <w:color w:val="auto"/>
        </w:rPr>
        <w:t>securities borrowings</w:t>
      </w:r>
    </w:p>
    <w:p>
      <w:pPr>
        <w:spacing w:after="0"/>
        <w:rPr>
          <w:sz w:val="20"/>
          <w:szCs w:val="20"/>
          <w:color w:val="auto"/>
        </w:rPr>
      </w:pPr>
      <w:r>
        <w:rPr>
          <w:rFonts w:ascii="Arial" w:cs="Arial" w:eastAsia="Arial" w:hAnsi="Arial"/>
          <w:sz w:val="17"/>
          <w:szCs w:val="17"/>
          <w:color w:val="auto"/>
        </w:rPr>
        <w:t>Sale of written off portfolio</w:t>
      </w:r>
    </w:p>
    <w:p>
      <w:pPr>
        <w:spacing w:after="0"/>
        <w:rPr>
          <w:sz w:val="20"/>
          <w:szCs w:val="20"/>
          <w:color w:val="auto"/>
        </w:rPr>
      </w:pPr>
      <w:r>
        <w:rPr>
          <w:rFonts w:ascii="Arial" w:cs="Arial" w:eastAsia="Arial" w:hAnsi="Arial"/>
          <w:sz w:val="17"/>
          <w:szCs w:val="17"/>
          <w:color w:val="auto"/>
        </w:rPr>
        <w:t>Other assets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80" w:type="dxa"/>
            <w:vAlign w:val="bottom"/>
          </w:tcPr>
          <w:p>
            <w:pPr>
              <w:ind w:left="240"/>
              <w:spacing w:after="0"/>
              <w:rPr>
                <w:sz w:val="20"/>
                <w:szCs w:val="20"/>
                <w:color w:val="auto"/>
              </w:rPr>
            </w:pPr>
            <w:r>
              <w:rPr>
                <w:rFonts w:ascii="Arial" w:cs="Arial" w:eastAsia="Arial" w:hAnsi="Arial"/>
                <w:sz w:val="17"/>
                <w:szCs w:val="17"/>
                <w:b w:val="1"/>
                <w:bCs w:val="1"/>
                <w:color w:val="auto"/>
              </w:rPr>
              <w:t>Note</w:t>
            </w: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2020</w:t>
            </w:r>
          </w:p>
        </w:tc>
      </w:tr>
      <w:tr>
        <w:trPr>
          <w:trHeight w:val="223"/>
        </w:trPr>
        <w:tc>
          <w:tcPr>
            <w:tcW w:w="1180" w:type="dxa"/>
            <w:vAlign w:val="bottom"/>
          </w:tcPr>
          <w:p>
            <w:pPr>
              <w:spacing w:after="0"/>
              <w:rPr>
                <w:sz w:val="19"/>
                <w:szCs w:val="19"/>
                <w:color w:val="auto"/>
              </w:rPr>
            </w:pPr>
          </w:p>
        </w:tc>
        <w:tc>
          <w:tcPr>
            <w:tcW w:w="1360" w:type="dxa"/>
            <w:vAlign w:val="bottom"/>
          </w:tcPr>
          <w:p>
            <w:pPr>
              <w:ind w:left="120"/>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32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r>
      <w:tr>
        <w:trPr>
          <w:trHeight w:val="560"/>
        </w:trPr>
        <w:tc>
          <w:tcPr>
            <w:tcW w:w="1180" w:type="dxa"/>
            <w:vAlign w:val="bottom"/>
          </w:tcPr>
          <w:p>
            <w:pPr>
              <w:spacing w:after="0"/>
              <w:rPr>
                <w:sz w:val="24"/>
                <w:szCs w:val="24"/>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4,745,388</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3,671,829</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334,138</w:t>
            </w:r>
          </w:p>
        </w:tc>
      </w:tr>
      <w:tr>
        <w:trPr>
          <w:trHeight w:val="763"/>
        </w:trPr>
        <w:tc>
          <w:tcPr>
            <w:tcW w:w="1180" w:type="dxa"/>
            <w:vAlign w:val="bottom"/>
          </w:tcPr>
          <w:p>
            <w:pPr>
              <w:jc w:val="center"/>
              <w:ind w:right="114"/>
              <w:spacing w:after="0"/>
              <w:rPr>
                <w:sz w:val="20"/>
                <w:szCs w:val="20"/>
                <w:color w:val="auto"/>
              </w:rPr>
            </w:pPr>
            <w:r>
              <w:rPr>
                <w:rFonts w:ascii="Arial" w:cs="Arial" w:eastAsia="Arial" w:hAnsi="Arial"/>
                <w:sz w:val="17"/>
                <w:szCs w:val="17"/>
                <w:color w:val="auto"/>
              </w:rPr>
              <w:t>7(c)</w:t>
            </w: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2,158,555</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1,558,951</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6,080,289</w:t>
            </w:r>
          </w:p>
        </w:tc>
      </w:tr>
      <w:tr>
        <w:trPr>
          <w:trHeight w:val="194"/>
        </w:trPr>
        <w:tc>
          <w:tcPr>
            <w:tcW w:w="11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326,691</w:t>
            </w:r>
          </w:p>
        </w:tc>
      </w:tr>
      <w:tr>
        <w:trPr>
          <w:trHeight w:val="194"/>
        </w:trPr>
        <w:tc>
          <w:tcPr>
            <w:tcW w:w="1180" w:type="dxa"/>
            <w:vAlign w:val="bottom"/>
          </w:tcPr>
          <w:p>
            <w:pPr>
              <w:spacing w:after="0" w:line="194" w:lineRule="exact"/>
              <w:rPr>
                <w:sz w:val="20"/>
                <w:szCs w:val="20"/>
                <w:color w:val="auto"/>
              </w:rPr>
            </w:pPr>
            <w:r>
              <w:rPr>
                <w:rFonts w:ascii="Arial" w:cs="Arial" w:eastAsia="Arial" w:hAnsi="Arial"/>
                <w:sz w:val="17"/>
                <w:szCs w:val="17"/>
                <w:color w:val="auto"/>
              </w:rPr>
              <w:t>10 and 11(a)</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532,169</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521,967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497,910</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12(a)</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151,335</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161,287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172,005</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13(h)</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7,107</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7,302</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7,018</w:t>
            </w:r>
          </w:p>
        </w:tc>
      </w:tr>
      <w:tr>
        <w:trPr>
          <w:trHeight w:val="194"/>
        </w:trPr>
        <w:tc>
          <w:tcPr>
            <w:tcW w:w="1180" w:type="dxa"/>
            <w:vAlign w:val="bottom"/>
          </w:tcPr>
          <w:p>
            <w:pPr>
              <w:jc w:val="center"/>
              <w:ind w:right="114"/>
              <w:spacing w:after="0" w:line="194" w:lineRule="exact"/>
              <w:rPr>
                <w:sz w:val="20"/>
                <w:szCs w:val="20"/>
                <w:color w:val="auto"/>
              </w:rPr>
            </w:pPr>
            <w:r>
              <w:rPr>
                <w:rFonts w:ascii="Arial" w:cs="Arial" w:eastAsia="Arial" w:hAnsi="Arial"/>
                <w:sz w:val="17"/>
                <w:szCs w:val="17"/>
                <w:color w:val="auto"/>
                <w:w w:val="99"/>
              </w:rPr>
              <w:t>13(j)</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43,846</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70,824</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140,897</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19(b)</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113,063</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547,393</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(1,147,311)</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25(a)</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642,427</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914,852</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758,274</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24</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(5,468)</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(28,650)</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(523,082)</w:t>
            </w:r>
          </w:p>
        </w:tc>
      </w:tr>
      <w:tr>
        <w:trPr>
          <w:trHeight w:val="208"/>
        </w:trPr>
        <w:tc>
          <w:tcPr>
            <w:tcW w:w="1180" w:type="dxa"/>
            <w:vAlign w:val="bottom"/>
          </w:tcPr>
          <w:p>
            <w:pPr>
              <w:jc w:val="center"/>
              <w:ind w:right="94"/>
              <w:spacing w:after="0"/>
              <w:rPr>
                <w:sz w:val="20"/>
                <w:szCs w:val="20"/>
                <w:color w:val="auto"/>
              </w:rPr>
            </w:pPr>
            <w:r>
              <w:rPr>
                <w:rFonts w:ascii="Arial" w:cs="Arial" w:eastAsia="Arial" w:hAnsi="Arial"/>
                <w:sz w:val="17"/>
                <w:szCs w:val="17"/>
                <w:color w:val="auto"/>
              </w:rPr>
              <w:t>11(b)</w:t>
            </w: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63,978</w:t>
            </w:r>
          </w:p>
        </w:tc>
      </w:tr>
      <w:tr>
        <w:trPr>
          <w:trHeight w:val="375"/>
        </w:trPr>
        <w:tc>
          <w:tcPr>
            <w:tcW w:w="1180" w:type="dxa"/>
            <w:vAlign w:val="bottom"/>
          </w:tcPr>
          <w:p>
            <w:pPr>
              <w:jc w:val="center"/>
              <w:ind w:right="94"/>
              <w:spacing w:after="0"/>
              <w:rPr>
                <w:sz w:val="20"/>
                <w:szCs w:val="20"/>
                <w:color w:val="auto"/>
              </w:rPr>
            </w:pPr>
            <w:r>
              <w:rPr>
                <w:rFonts w:ascii="Arial" w:cs="Arial" w:eastAsia="Arial" w:hAnsi="Arial"/>
                <w:sz w:val="17"/>
                <w:szCs w:val="17"/>
                <w:color w:val="auto"/>
              </w:rPr>
              <w:t>25(a)</w:t>
            </w: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175,873</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(54,663)</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(115,627)</w:t>
            </w:r>
          </w:p>
        </w:tc>
      </w:tr>
      <w:tr>
        <w:trPr>
          <w:trHeight w:val="194"/>
        </w:trPr>
        <w:tc>
          <w:tcPr>
            <w:tcW w:w="11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(65,187)</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(221,064)</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(56,244)</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29</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(14,178)</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(16,083)</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(12,163)</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29</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(11,355)</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(10,684)</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(3,685)</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27</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88,721</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73,997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104,499</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29</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(18,712)</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(15,700)</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(28,728)</w:t>
            </w:r>
          </w:p>
        </w:tc>
      </w:tr>
      <w:tr>
        <w:trPr>
          <w:trHeight w:val="194"/>
        </w:trPr>
        <w:tc>
          <w:tcPr>
            <w:tcW w:w="118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29</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19,432</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17,630</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40,342</w:t>
            </w:r>
          </w:p>
        </w:tc>
      </w:tr>
      <w:tr>
        <w:trPr>
          <w:trHeight w:val="208"/>
        </w:trPr>
        <w:tc>
          <w:tcPr>
            <w:tcW w:w="118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45,385</w:t>
            </w:r>
          </w:p>
        </w:tc>
        <w:tc>
          <w:tcPr>
            <w:tcW w:w="1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(5,538)</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33,827</w:t>
            </w:r>
          </w:p>
        </w:tc>
      </w:tr>
      <w:tr>
        <w:trPr>
          <w:trHeight w:val="569"/>
        </w:trPr>
        <w:tc>
          <w:tcPr>
            <w:tcW w:w="1180" w:type="dxa"/>
            <w:vAlign w:val="bottom"/>
          </w:tcPr>
          <w:p>
            <w:pPr>
              <w:spacing w:after="0"/>
              <w:rPr>
                <w:sz w:val="24"/>
                <w:szCs w:val="24"/>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(5,385,064)</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(9,636,648)</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(20,600,458)</w:t>
            </w:r>
          </w:p>
        </w:tc>
      </w:tr>
      <w:tr>
        <w:trPr>
          <w:trHeight w:val="208"/>
        </w:trPr>
        <w:tc>
          <w:tcPr>
            <w:tcW w:w="118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1,575,498</w:t>
            </w:r>
          </w:p>
        </w:tc>
        <w:tc>
          <w:tcPr>
            <w:tcW w:w="1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745,156</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(2,197,109)</w:t>
            </w:r>
          </w:p>
        </w:tc>
      </w:tr>
      <w:tr>
        <w:trPr>
          <w:trHeight w:val="389"/>
        </w:trPr>
        <w:tc>
          <w:tcPr>
            <w:tcW w:w="1180" w:type="dxa"/>
            <w:vAlign w:val="bottom"/>
          </w:tcPr>
          <w:p>
            <w:pPr>
              <w:spacing w:after="0"/>
              <w:rPr>
                <w:sz w:val="24"/>
                <w:szCs w:val="24"/>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(465,482)</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7,508,131</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(15,904,097)</w:t>
            </w:r>
          </w:p>
        </w:tc>
      </w:tr>
      <w:tr>
        <w:trPr>
          <w:trHeight w:val="375"/>
        </w:trPr>
        <w:tc>
          <w:tcPr>
            <w:tcW w:w="1180" w:type="dxa"/>
            <w:vAlign w:val="bottom"/>
          </w:tcPr>
          <w:p>
            <w:pPr>
              <w:spacing w:after="0"/>
              <w:rPr>
                <w:sz w:val="24"/>
                <w:szCs w:val="24"/>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622,589</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783,010</w:t>
            </w:r>
          </w:p>
        </w:tc>
        <w:tc>
          <w:tcPr>
            <w:tcW w:w="10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2,137,262</w:t>
            </w:r>
          </w:p>
        </w:tc>
      </w:tr>
      <w:tr>
        <w:trPr>
          <w:trHeight w:val="194"/>
        </w:trPr>
        <w:tc>
          <w:tcPr>
            <w:tcW w:w="11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24,543</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24,477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36,921</w:t>
            </w:r>
          </w:p>
        </w:tc>
      </w:tr>
      <w:tr>
        <w:trPr>
          <w:trHeight w:val="208"/>
        </w:trPr>
        <w:tc>
          <w:tcPr>
            <w:tcW w:w="118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300,745</w:t>
            </w:r>
          </w:p>
        </w:tc>
        <w:tc>
          <w:tcPr>
            <w:tcW w:w="1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(294,130)</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(314,427)</w:t>
            </w:r>
          </w:p>
        </w:tc>
      </w:tr>
    </w:tbl>
    <w:p>
      <w:pPr>
        <w:sectPr>
          <w:pgSz w:w="11900" w:h="16838" w:orient="portrait"/>
          <w:cols w:equalWidth="0" w:num="2">
            <w:col w:w="5820" w:space="0"/>
            <w:col w:w="5420"/>
          </w:cols>
          <w:pgMar w:left="320" w:top="140" w:right="339" w:bottom="144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20"/>
                <w:szCs w:val="20"/>
                <w:color w:val="auto"/>
              </w:rPr>
            </w:pPr>
            <w:r>
              <w:rPr>
                <w:rFonts w:ascii="Arial" w:cs="Arial" w:eastAsia="Arial" w:hAnsi="Arial"/>
                <w:sz w:val="17"/>
                <w:szCs w:val="17"/>
                <w:color w:val="auto"/>
              </w:rPr>
              <w:t>CONSOLIDATED STATEMENT OF CASH FLOWS (continued)</w:t>
            </w: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5120" w:type="dxa"/>
            <w:vAlign w:val="bottom"/>
          </w:tcPr>
          <w:p>
            <w:pPr>
              <w:spacing w:after="0"/>
              <w:rPr>
                <w:sz w:val="24"/>
                <w:szCs w:val="24"/>
                <w:color w:val="auto"/>
              </w:rPr>
            </w:pPr>
          </w:p>
        </w:tc>
        <w:tc>
          <w:tcPr>
            <w:tcW w:w="1880" w:type="dxa"/>
            <w:vAlign w:val="bottom"/>
          </w:tcPr>
          <w:p>
            <w:pPr>
              <w:jc w:val="right"/>
              <w:ind w:right="414"/>
              <w:spacing w:after="0"/>
              <w:rPr>
                <w:sz w:val="20"/>
                <w:szCs w:val="20"/>
                <w:color w:val="auto"/>
              </w:rPr>
            </w:pPr>
            <w:r>
              <w:rPr>
                <w:rFonts w:ascii="Arial" w:cs="Arial" w:eastAsia="Arial" w:hAnsi="Arial"/>
                <w:sz w:val="17"/>
                <w:szCs w:val="17"/>
                <w:b w:val="1"/>
                <w:bCs w:val="1"/>
                <w:color w:val="auto"/>
              </w:rPr>
              <w:t>Note</w:t>
            </w: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4"/>
                <w:szCs w:val="24"/>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60" w:type="dxa"/>
            <w:vAlign w:val="bottom"/>
          </w:tcPr>
          <w:p>
            <w:pPr>
              <w:ind w:left="120"/>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32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352"/>
        </w:trPr>
        <w:tc>
          <w:tcPr>
            <w:tcW w:w="5120" w:type="dxa"/>
            <w:vAlign w:val="bottom"/>
          </w:tcPr>
          <w:p>
            <w:pPr>
              <w:spacing w:after="0"/>
              <w:rPr>
                <w:sz w:val="20"/>
                <w:szCs w:val="20"/>
                <w:color w:val="auto"/>
              </w:rPr>
            </w:pPr>
            <w:r>
              <w:rPr>
                <w:rFonts w:ascii="Arial" w:cs="Arial" w:eastAsia="Arial" w:hAnsi="Arial"/>
                <w:sz w:val="17"/>
                <w:szCs w:val="17"/>
                <w:b w:val="1"/>
                <w:bCs w:val="1"/>
                <w:color w:val="auto"/>
              </w:rPr>
              <w:t>Net increase (decrease) in liabilities</w:t>
            </w: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Deposits and obligations</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(46,199)</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2,485,794</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25,856,151</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Due to Banks and correspondents</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1,804,784</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1,103,063</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(3,143,279)</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Payables from repurchase agreements and securities</w:t>
            </w:r>
          </w:p>
        </w:tc>
        <w:tc>
          <w:tcPr>
            <w:tcW w:w="1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lending</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(9,034,940)</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(5,935,578)</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20,200,747</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Bonds and notes issued</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(298,572)</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(90,217)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(96,199)</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Short-term and low-value lease payments</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(106,356)</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(86,417)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(74,016)</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Other liabilities</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2,371,748</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1,303,118</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1,273,892</w:t>
            </w:r>
          </w:p>
        </w:tc>
        <w:tc>
          <w:tcPr>
            <w:tcW w:w="0" w:type="dxa"/>
            <w:vAlign w:val="bottom"/>
          </w:tcPr>
          <w:p>
            <w:pPr>
              <w:spacing w:after="0"/>
              <w:rPr>
                <w:sz w:val="1"/>
                <w:szCs w:val="1"/>
                <w:color w:val="auto"/>
              </w:rPr>
            </w:pPr>
          </w:p>
        </w:tc>
      </w:tr>
      <w:tr>
        <w:trPr>
          <w:trHeight w:val="185"/>
        </w:trPr>
        <w:tc>
          <w:tcPr>
            <w:tcW w:w="5120" w:type="dxa"/>
            <w:vAlign w:val="bottom"/>
          </w:tcPr>
          <w:p>
            <w:pPr>
              <w:spacing w:after="0" w:line="185" w:lineRule="exact"/>
              <w:rPr>
                <w:sz w:val="20"/>
                <w:szCs w:val="20"/>
                <w:color w:val="auto"/>
              </w:rPr>
            </w:pPr>
            <w:r>
              <w:rPr>
                <w:rFonts w:ascii="Arial" w:cs="Arial" w:eastAsia="Arial" w:hAnsi="Arial"/>
                <w:sz w:val="17"/>
                <w:szCs w:val="17"/>
                <w:color w:val="auto"/>
              </w:rPr>
              <w:t>Income tax paid</w:t>
            </w:r>
          </w:p>
        </w:tc>
        <w:tc>
          <w:tcPr>
            <w:tcW w:w="1880" w:type="dxa"/>
            <w:vAlign w:val="bottom"/>
          </w:tcPr>
          <w:p>
            <w:pPr>
              <w:spacing w:after="0"/>
              <w:rPr>
                <w:sz w:val="16"/>
                <w:szCs w:val="16"/>
                <w:color w:val="auto"/>
              </w:rPr>
            </w:pPr>
          </w:p>
        </w:tc>
        <w:tc>
          <w:tcPr>
            <w:tcW w:w="1360" w:type="dxa"/>
            <w:vAlign w:val="bottom"/>
          </w:tcPr>
          <w:p>
            <w:pPr>
              <w:jc w:val="right"/>
              <w:ind w:right="34"/>
              <w:spacing w:after="0" w:line="185" w:lineRule="exact"/>
              <w:rPr>
                <w:sz w:val="20"/>
                <w:szCs w:val="20"/>
                <w:color w:val="auto"/>
              </w:rPr>
            </w:pPr>
            <w:r>
              <w:rPr>
                <w:rFonts w:ascii="Arial" w:cs="Arial" w:eastAsia="Arial" w:hAnsi="Arial"/>
                <w:sz w:val="17"/>
                <w:szCs w:val="17"/>
                <w:color w:val="auto"/>
              </w:rPr>
              <w:t>(1,106,572)</w:t>
            </w:r>
          </w:p>
        </w:tc>
        <w:tc>
          <w:tcPr>
            <w:tcW w:w="120" w:type="dxa"/>
            <w:vAlign w:val="bottom"/>
          </w:tcPr>
          <w:p>
            <w:pPr>
              <w:spacing w:after="0"/>
              <w:rPr>
                <w:sz w:val="16"/>
                <w:szCs w:val="16"/>
                <w:color w:val="auto"/>
              </w:rPr>
            </w:pP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color w:val="auto"/>
              </w:rPr>
              <w:t>(1,130,415)</w:t>
            </w:r>
          </w:p>
        </w:tc>
        <w:tc>
          <w:tcPr>
            <w:tcW w:w="100" w:type="dxa"/>
            <w:vAlign w:val="bottom"/>
          </w:tcPr>
          <w:p>
            <w:pPr>
              <w:spacing w:after="0"/>
              <w:rPr>
                <w:sz w:val="16"/>
                <w:szCs w:val="16"/>
                <w:color w:val="auto"/>
              </w:rPr>
            </w:pPr>
          </w:p>
        </w:tc>
        <w:tc>
          <w:tcPr>
            <w:tcW w:w="1320" w:type="dxa"/>
            <w:vAlign w:val="bottom"/>
          </w:tcPr>
          <w:p>
            <w:pPr>
              <w:jc w:val="right"/>
              <w:ind w:right="14"/>
              <w:spacing w:after="0" w:line="185" w:lineRule="exact"/>
              <w:rPr>
                <w:sz w:val="20"/>
                <w:szCs w:val="20"/>
                <w:color w:val="auto"/>
              </w:rPr>
            </w:pPr>
            <w:r>
              <w:rPr>
                <w:rFonts w:ascii="Arial" w:cs="Arial" w:eastAsia="Arial" w:hAnsi="Arial"/>
                <w:sz w:val="17"/>
                <w:szCs w:val="17"/>
                <w:color w:val="auto"/>
              </w:rPr>
              <w:t>(1,162,843)</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Arial" w:cs="Arial" w:eastAsia="Arial" w:hAnsi="Arial"/>
                <w:sz w:val="17"/>
                <w:szCs w:val="17"/>
                <w:b w:val="1"/>
                <w:bCs w:val="1"/>
                <w:color w:val="auto"/>
              </w:rPr>
              <w:t>Net cash flow from operating activities</w:t>
            </w:r>
          </w:p>
        </w:tc>
        <w:tc>
          <w:tcPr>
            <w:tcW w:w="1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12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(1,134,877)</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3,972,994</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12,685,573</w:t>
            </w:r>
          </w:p>
        </w:tc>
        <w:tc>
          <w:tcPr>
            <w:tcW w:w="0" w:type="dxa"/>
            <w:vAlign w:val="bottom"/>
          </w:tcPr>
          <w:p>
            <w:pPr>
              <w:spacing w:after="0"/>
              <w:rPr>
                <w:sz w:val="1"/>
                <w:szCs w:val="1"/>
                <w:color w:val="auto"/>
              </w:rPr>
            </w:pPr>
          </w:p>
        </w:tc>
      </w:tr>
      <w:tr>
        <w:trPr>
          <w:trHeight w:val="381"/>
        </w:trPr>
        <w:tc>
          <w:tcPr>
            <w:tcW w:w="5120" w:type="dxa"/>
            <w:vAlign w:val="bottom"/>
          </w:tcPr>
          <w:p>
            <w:pPr>
              <w:spacing w:after="0"/>
              <w:rPr>
                <w:sz w:val="20"/>
                <w:szCs w:val="20"/>
                <w:color w:val="auto"/>
              </w:rPr>
            </w:pPr>
            <w:r>
              <w:rPr>
                <w:rFonts w:ascii="Arial" w:cs="Arial" w:eastAsia="Arial" w:hAnsi="Arial"/>
                <w:sz w:val="17"/>
                <w:szCs w:val="17"/>
                <w:b w:val="1"/>
                <w:bCs w:val="1"/>
                <w:color w:val="auto"/>
              </w:rPr>
              <w:t>NET CASH FLOWS FROM INVESTING ACTIVITIES</w:t>
            </w: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Revenue from sale of property, furniture and equipment</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5,373</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11,457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22,956</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Revenue from sale of investment property</w:t>
            </w:r>
          </w:p>
        </w:tc>
        <w:tc>
          <w:tcPr>
            <w:tcW w:w="1880" w:type="dxa"/>
            <w:vAlign w:val="bottom"/>
          </w:tcPr>
          <w:p>
            <w:pPr>
              <w:jc w:val="center"/>
              <w:ind w:left="434"/>
              <w:spacing w:after="0" w:line="194" w:lineRule="exact"/>
              <w:rPr>
                <w:sz w:val="20"/>
                <w:szCs w:val="20"/>
                <w:color w:val="auto"/>
              </w:rPr>
            </w:pPr>
            <w:r>
              <w:rPr>
                <w:rFonts w:ascii="Arial" w:cs="Arial" w:eastAsia="Arial" w:hAnsi="Arial"/>
                <w:sz w:val="17"/>
                <w:szCs w:val="17"/>
                <w:color w:val="auto"/>
              </w:rPr>
              <w:t>29</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(359)</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Revenue from sales and reimbursement of</w:t>
            </w:r>
          </w:p>
        </w:tc>
        <w:tc>
          <w:tcPr>
            <w:tcW w:w="1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investment to amortized cost</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1,006,325</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590,605</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1,600,519</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Purchase of property, furniture and equipment</w:t>
            </w:r>
          </w:p>
        </w:tc>
        <w:tc>
          <w:tcPr>
            <w:tcW w:w="1880" w:type="dxa"/>
            <w:vAlign w:val="bottom"/>
          </w:tcPr>
          <w:p>
            <w:pPr>
              <w:jc w:val="center"/>
              <w:ind w:left="434"/>
              <w:spacing w:after="0" w:line="194" w:lineRule="exact"/>
              <w:rPr>
                <w:sz w:val="20"/>
                <w:szCs w:val="20"/>
                <w:color w:val="auto"/>
              </w:rPr>
            </w:pPr>
            <w:r>
              <w:rPr>
                <w:rFonts w:ascii="Arial" w:cs="Arial" w:eastAsia="Arial" w:hAnsi="Arial"/>
                <w:sz w:val="17"/>
                <w:szCs w:val="17"/>
                <w:color w:val="auto"/>
              </w:rPr>
              <w:t>10</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(192,700)</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(107,790)</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(98,120)</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Purchase of investment property</w:t>
            </w:r>
          </w:p>
        </w:tc>
        <w:tc>
          <w:tcPr>
            <w:tcW w:w="1880" w:type="dxa"/>
            <w:vAlign w:val="bottom"/>
          </w:tcPr>
          <w:p>
            <w:pPr>
              <w:jc w:val="center"/>
              <w:ind w:left="434"/>
              <w:spacing w:after="0" w:line="194" w:lineRule="exact"/>
              <w:rPr>
                <w:sz w:val="20"/>
                <w:szCs w:val="20"/>
                <w:color w:val="auto"/>
              </w:rPr>
            </w:pPr>
            <w:r>
              <w:rPr>
                <w:rFonts w:ascii="Arial" w:cs="Arial" w:eastAsia="Arial" w:hAnsi="Arial"/>
                <w:sz w:val="17"/>
                <w:szCs w:val="17"/>
                <w:color w:val="auto"/>
              </w:rPr>
              <w:t>13(h)</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(87,132)</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(12,068)</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(26,533)</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Purchase of intangible assets</w:t>
            </w:r>
          </w:p>
        </w:tc>
        <w:tc>
          <w:tcPr>
            <w:tcW w:w="1880" w:type="dxa"/>
            <w:vAlign w:val="bottom"/>
          </w:tcPr>
          <w:p>
            <w:pPr>
              <w:jc w:val="center"/>
              <w:ind w:left="434"/>
              <w:spacing w:after="0" w:line="194" w:lineRule="exact"/>
              <w:rPr>
                <w:sz w:val="20"/>
                <w:szCs w:val="20"/>
                <w:color w:val="auto"/>
              </w:rPr>
            </w:pPr>
            <w:r>
              <w:rPr>
                <w:rFonts w:ascii="Arial" w:cs="Arial" w:eastAsia="Arial" w:hAnsi="Arial"/>
                <w:sz w:val="17"/>
                <w:szCs w:val="17"/>
                <w:color w:val="auto"/>
              </w:rPr>
              <w:t>11(a)</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(703,670)</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(532,244)</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(535,241)</w:t>
            </w:r>
          </w:p>
        </w:tc>
        <w:tc>
          <w:tcPr>
            <w:tcW w:w="0" w:type="dxa"/>
            <w:vAlign w:val="bottom"/>
          </w:tcPr>
          <w:p>
            <w:pPr>
              <w:spacing w:after="0"/>
              <w:rPr>
                <w:sz w:val="1"/>
                <w:szCs w:val="1"/>
                <w:color w:val="auto"/>
              </w:rPr>
            </w:pPr>
          </w:p>
        </w:tc>
      </w:tr>
      <w:tr>
        <w:trPr>
          <w:trHeight w:val="185"/>
        </w:trPr>
        <w:tc>
          <w:tcPr>
            <w:tcW w:w="5120" w:type="dxa"/>
            <w:vAlign w:val="bottom"/>
          </w:tcPr>
          <w:p>
            <w:pPr>
              <w:spacing w:after="0" w:line="185" w:lineRule="exact"/>
              <w:rPr>
                <w:sz w:val="20"/>
                <w:szCs w:val="20"/>
                <w:color w:val="auto"/>
              </w:rPr>
            </w:pPr>
            <w:r>
              <w:rPr>
                <w:rFonts w:ascii="Arial" w:cs="Arial" w:eastAsia="Arial" w:hAnsi="Arial"/>
                <w:sz w:val="17"/>
                <w:szCs w:val="17"/>
                <w:color w:val="auto"/>
              </w:rPr>
              <w:t>Purchase of investment at amortized cost</w:t>
            </w:r>
          </w:p>
        </w:tc>
        <w:tc>
          <w:tcPr>
            <w:tcW w:w="1880" w:type="dxa"/>
            <w:vAlign w:val="bottom"/>
          </w:tcPr>
          <w:p>
            <w:pPr>
              <w:spacing w:after="0"/>
              <w:rPr>
                <w:sz w:val="16"/>
                <w:szCs w:val="16"/>
                <w:color w:val="auto"/>
              </w:rPr>
            </w:pPr>
          </w:p>
        </w:tc>
        <w:tc>
          <w:tcPr>
            <w:tcW w:w="1360" w:type="dxa"/>
            <w:vAlign w:val="bottom"/>
          </w:tcPr>
          <w:p>
            <w:pPr>
              <w:jc w:val="right"/>
              <w:ind w:right="34"/>
              <w:spacing w:after="0" w:line="185" w:lineRule="exact"/>
              <w:rPr>
                <w:sz w:val="20"/>
                <w:szCs w:val="20"/>
                <w:color w:val="auto"/>
              </w:rPr>
            </w:pPr>
            <w:r>
              <w:rPr>
                <w:rFonts w:ascii="Arial" w:cs="Arial" w:eastAsia="Arial" w:hAnsi="Arial"/>
                <w:sz w:val="17"/>
                <w:szCs w:val="17"/>
                <w:color w:val="auto"/>
              </w:rPr>
              <w:t>(1,122,802)</w:t>
            </w:r>
          </w:p>
        </w:tc>
        <w:tc>
          <w:tcPr>
            <w:tcW w:w="120" w:type="dxa"/>
            <w:vAlign w:val="bottom"/>
          </w:tcPr>
          <w:p>
            <w:pPr>
              <w:spacing w:after="0"/>
              <w:rPr>
                <w:sz w:val="16"/>
                <w:szCs w:val="16"/>
                <w:color w:val="auto"/>
              </w:rPr>
            </w:pP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color w:val="auto"/>
              </w:rPr>
              <w:t>(3,677,671)</w:t>
            </w:r>
          </w:p>
        </w:tc>
        <w:tc>
          <w:tcPr>
            <w:tcW w:w="100" w:type="dxa"/>
            <w:vAlign w:val="bottom"/>
          </w:tcPr>
          <w:p>
            <w:pPr>
              <w:spacing w:after="0"/>
              <w:rPr>
                <w:sz w:val="16"/>
                <w:szCs w:val="16"/>
                <w:color w:val="auto"/>
              </w:rPr>
            </w:pPr>
          </w:p>
        </w:tc>
        <w:tc>
          <w:tcPr>
            <w:tcW w:w="1320" w:type="dxa"/>
            <w:vAlign w:val="bottom"/>
          </w:tcPr>
          <w:p>
            <w:pPr>
              <w:jc w:val="right"/>
              <w:ind w:right="14"/>
              <w:spacing w:after="0" w:line="185" w:lineRule="exact"/>
              <w:rPr>
                <w:sz w:val="20"/>
                <w:szCs w:val="20"/>
                <w:color w:val="auto"/>
              </w:rPr>
            </w:pPr>
            <w:r>
              <w:rPr>
                <w:rFonts w:ascii="Arial" w:cs="Arial" w:eastAsia="Arial" w:hAnsi="Arial"/>
                <w:sz w:val="17"/>
                <w:szCs w:val="17"/>
                <w:color w:val="auto"/>
              </w:rPr>
              <w:t>(2,837,015)</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Arial" w:cs="Arial" w:eastAsia="Arial" w:hAnsi="Arial"/>
                <w:sz w:val="17"/>
                <w:szCs w:val="17"/>
                <w:b w:val="1"/>
                <w:bCs w:val="1"/>
                <w:color w:val="auto"/>
              </w:rPr>
              <w:t>Net cash flows from investing activities</w:t>
            </w:r>
          </w:p>
        </w:tc>
        <w:tc>
          <w:tcPr>
            <w:tcW w:w="1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12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(1,094,965)</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(3,727,711)</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(1,872,106)</w:t>
            </w:r>
          </w:p>
        </w:tc>
        <w:tc>
          <w:tcPr>
            <w:tcW w:w="0" w:type="dxa"/>
            <w:vAlign w:val="bottom"/>
          </w:tcPr>
          <w:p>
            <w:pPr>
              <w:spacing w:after="0"/>
              <w:rPr>
                <w:sz w:val="1"/>
                <w:szCs w:val="1"/>
                <w:color w:val="auto"/>
              </w:rPr>
            </w:pPr>
          </w:p>
        </w:tc>
      </w:tr>
      <w:tr>
        <w:trPr>
          <w:trHeight w:val="381"/>
        </w:trPr>
        <w:tc>
          <w:tcPr>
            <w:tcW w:w="5120" w:type="dxa"/>
            <w:vAlign w:val="bottom"/>
          </w:tcPr>
          <w:p>
            <w:pPr>
              <w:spacing w:after="0"/>
              <w:rPr>
                <w:sz w:val="20"/>
                <w:szCs w:val="20"/>
                <w:color w:val="auto"/>
              </w:rPr>
            </w:pPr>
            <w:r>
              <w:rPr>
                <w:rFonts w:ascii="Arial" w:cs="Arial" w:eastAsia="Arial" w:hAnsi="Arial"/>
                <w:sz w:val="17"/>
                <w:szCs w:val="17"/>
                <w:b w:val="1"/>
                <w:bCs w:val="1"/>
                <w:color w:val="auto"/>
              </w:rPr>
              <w:t>NET CASH FLOWS FROM FINANCING ACTIVITIES</w:t>
            </w: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Dividends paid</w:t>
            </w:r>
          </w:p>
        </w:tc>
        <w:tc>
          <w:tcPr>
            <w:tcW w:w="1880" w:type="dxa"/>
            <w:vAlign w:val="bottom"/>
          </w:tcPr>
          <w:p>
            <w:pPr>
              <w:jc w:val="center"/>
              <w:ind w:left="434"/>
              <w:spacing w:after="0" w:line="194" w:lineRule="exact"/>
              <w:rPr>
                <w:sz w:val="20"/>
                <w:szCs w:val="20"/>
                <w:color w:val="auto"/>
              </w:rPr>
            </w:pPr>
            <w:r>
              <w:rPr>
                <w:rFonts w:ascii="Arial" w:cs="Arial" w:eastAsia="Arial" w:hAnsi="Arial"/>
                <w:sz w:val="17"/>
                <w:szCs w:val="17"/>
                <w:color w:val="auto"/>
              </w:rPr>
              <w:t>18(e)</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(1,196,422)</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(398,808)</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(2,392,844)</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Dividends paid to non-controlling interest of subsidiaries</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(48,577)</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(4,156)</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(32,273)</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Principal payments of leasing contracts</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(156,529)</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(155,141)</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(163,392)</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Interest payments of leasing contracts</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(25,054)</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(27,374)</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(32,295)</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Purchase of treasury stock</w:t>
            </w:r>
          </w:p>
        </w:tc>
        <w:tc>
          <w:tcPr>
            <w:tcW w:w="1880" w:type="dxa"/>
            <w:vAlign w:val="bottom"/>
          </w:tcPr>
          <w:p>
            <w:pPr>
              <w:jc w:val="center"/>
              <w:ind w:left="434"/>
              <w:spacing w:after="0" w:line="194" w:lineRule="exact"/>
              <w:rPr>
                <w:sz w:val="20"/>
                <w:szCs w:val="20"/>
                <w:color w:val="auto"/>
              </w:rPr>
            </w:pPr>
            <w:r>
              <w:rPr>
                <w:rFonts w:ascii="Arial" w:cs="Arial" w:eastAsia="Arial" w:hAnsi="Arial"/>
                <w:sz w:val="17"/>
                <w:szCs w:val="17"/>
                <w:color w:val="auto"/>
              </w:rPr>
              <w:t>18(b)</w:t>
            </w: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(83,605)</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(58,907)</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(151,961)</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Sale of treasury stock</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9,949</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3,752</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94"/>
        </w:trPr>
        <w:tc>
          <w:tcPr>
            <w:tcW w:w="5120" w:type="dxa"/>
            <w:vAlign w:val="bottom"/>
          </w:tcPr>
          <w:p>
            <w:pPr>
              <w:spacing w:after="0" w:line="194" w:lineRule="exact"/>
              <w:rPr>
                <w:sz w:val="20"/>
                <w:szCs w:val="20"/>
                <w:color w:val="auto"/>
              </w:rPr>
            </w:pPr>
            <w:r>
              <w:rPr>
                <w:rFonts w:ascii="Arial" w:cs="Arial" w:eastAsia="Arial" w:hAnsi="Arial"/>
                <w:sz w:val="17"/>
                <w:szCs w:val="17"/>
                <w:color w:val="auto"/>
              </w:rPr>
              <w:t>Acquisition of non-controlling interest</w:t>
            </w:r>
          </w:p>
        </w:tc>
        <w:tc>
          <w:tcPr>
            <w:tcW w:w="188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(5,877)</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(7,822)</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5120" w:type="dxa"/>
            <w:vAlign w:val="bottom"/>
          </w:tcPr>
          <w:p>
            <w:pPr>
              <w:spacing w:after="0" w:line="185" w:lineRule="exact"/>
              <w:rPr>
                <w:sz w:val="20"/>
                <w:szCs w:val="20"/>
                <w:color w:val="auto"/>
              </w:rPr>
            </w:pPr>
            <w:r>
              <w:rPr>
                <w:rFonts w:ascii="Arial" w:cs="Arial" w:eastAsia="Arial" w:hAnsi="Arial"/>
                <w:sz w:val="17"/>
                <w:szCs w:val="17"/>
                <w:color w:val="auto"/>
              </w:rPr>
              <w:t>Subordinated bonds</w:t>
            </w:r>
          </w:p>
        </w:tc>
        <w:tc>
          <w:tcPr>
            <w:tcW w:w="1880" w:type="dxa"/>
            <w:vAlign w:val="bottom"/>
          </w:tcPr>
          <w:p>
            <w:pPr>
              <w:spacing w:after="0"/>
              <w:rPr>
                <w:sz w:val="16"/>
                <w:szCs w:val="16"/>
                <w:color w:val="auto"/>
              </w:rPr>
            </w:pPr>
          </w:p>
        </w:tc>
        <w:tc>
          <w:tcPr>
            <w:tcW w:w="1360" w:type="dxa"/>
            <w:vAlign w:val="bottom"/>
          </w:tcPr>
          <w:p>
            <w:pPr>
              <w:jc w:val="right"/>
              <w:ind w:right="34"/>
              <w:spacing w:after="0" w:line="185" w:lineRule="exact"/>
              <w:rPr>
                <w:sz w:val="20"/>
                <w:szCs w:val="20"/>
                <w:color w:val="auto"/>
              </w:rPr>
            </w:pPr>
            <w:r>
              <w:rPr>
                <w:rFonts w:ascii="Arial" w:cs="Arial" w:eastAsia="Arial" w:hAnsi="Arial"/>
                <w:sz w:val="17"/>
                <w:szCs w:val="17"/>
                <w:color w:val="auto"/>
              </w:rPr>
              <w:t>(94,700)</w:t>
            </w:r>
          </w:p>
        </w:tc>
        <w:tc>
          <w:tcPr>
            <w:tcW w:w="120" w:type="dxa"/>
            <w:vAlign w:val="bottom"/>
          </w:tcPr>
          <w:p>
            <w:pPr>
              <w:spacing w:after="0"/>
              <w:rPr>
                <w:sz w:val="16"/>
                <w:szCs w:val="16"/>
                <w:color w:val="auto"/>
              </w:rPr>
            </w:pP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color w:val="auto"/>
              </w:rPr>
              <w:t>183,160</w:t>
            </w:r>
          </w:p>
        </w:tc>
        <w:tc>
          <w:tcPr>
            <w:tcW w:w="100" w:type="dxa"/>
            <w:vAlign w:val="bottom"/>
          </w:tcPr>
          <w:p>
            <w:pPr>
              <w:spacing w:after="0"/>
              <w:rPr>
                <w:sz w:val="16"/>
                <w:szCs w:val="16"/>
                <w:color w:val="auto"/>
              </w:rPr>
            </w:pPr>
          </w:p>
        </w:tc>
        <w:tc>
          <w:tcPr>
            <w:tcW w:w="1320" w:type="dxa"/>
            <w:vAlign w:val="bottom"/>
          </w:tcPr>
          <w:p>
            <w:pPr>
              <w:jc w:val="right"/>
              <w:ind w:right="14"/>
              <w:spacing w:after="0" w:line="185" w:lineRule="exact"/>
              <w:rPr>
                <w:sz w:val="20"/>
                <w:szCs w:val="20"/>
                <w:color w:val="auto"/>
              </w:rPr>
            </w:pPr>
            <w:r>
              <w:rPr>
                <w:rFonts w:ascii="Arial" w:cs="Arial" w:eastAsia="Arial" w:hAnsi="Arial"/>
                <w:sz w:val="17"/>
                <w:szCs w:val="17"/>
                <w:color w:val="auto"/>
              </w:rPr>
              <w:t>684,243</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Arial" w:cs="Arial" w:eastAsia="Arial" w:hAnsi="Arial"/>
                <w:sz w:val="17"/>
                <w:szCs w:val="17"/>
                <w:b w:val="1"/>
                <w:bCs w:val="1"/>
                <w:color w:val="auto"/>
              </w:rPr>
              <w:t>Net cash flows from financing activities</w:t>
            </w:r>
          </w:p>
        </w:tc>
        <w:tc>
          <w:tcPr>
            <w:tcW w:w="1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12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(1,600,815)</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(465,296)</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(2,088,460)</w:t>
            </w:r>
          </w:p>
        </w:tc>
        <w:tc>
          <w:tcPr>
            <w:tcW w:w="0" w:type="dxa"/>
            <w:vAlign w:val="bottom"/>
          </w:tcPr>
          <w:p>
            <w:pPr>
              <w:spacing w:after="0"/>
              <w:rPr>
                <w:sz w:val="1"/>
                <w:szCs w:val="1"/>
                <w:color w:val="auto"/>
              </w:rPr>
            </w:pPr>
          </w:p>
        </w:tc>
      </w:tr>
      <w:tr>
        <w:trPr>
          <w:trHeight w:val="369"/>
        </w:trPr>
        <w:tc>
          <w:tcPr>
            <w:tcW w:w="5120" w:type="dxa"/>
            <w:vAlign w:val="bottom"/>
          </w:tcPr>
          <w:p>
            <w:pPr>
              <w:spacing w:after="0"/>
              <w:rPr>
                <w:sz w:val="24"/>
                <w:szCs w:val="24"/>
                <w:color w:val="auto"/>
              </w:rPr>
            </w:pPr>
          </w:p>
        </w:tc>
        <w:tc>
          <w:tcPr>
            <w:tcW w:w="1880" w:type="dxa"/>
            <w:vAlign w:val="bottom"/>
          </w:tcPr>
          <w:p>
            <w:pPr>
              <w:jc w:val="right"/>
              <w:ind w:right="1094"/>
              <w:spacing w:after="0"/>
              <w:rPr>
                <w:sz w:val="20"/>
                <w:szCs w:val="20"/>
                <w:color w:val="auto"/>
              </w:rPr>
            </w:pPr>
            <w:r>
              <w:rPr>
                <w:rFonts w:ascii="Arial" w:cs="Arial" w:eastAsia="Arial" w:hAnsi="Arial"/>
                <w:sz w:val="17"/>
                <w:szCs w:val="17"/>
                <w:color w:val="auto"/>
              </w:rPr>
              <w:t>- 16 -</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5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20"/>
                <w:szCs w:val="20"/>
                <w:color w:val="auto"/>
              </w:rPr>
            </w:pPr>
            <w:r>
              <w:rPr>
                <w:rFonts w:ascii="Arial" w:cs="Arial" w:eastAsia="Arial" w:hAnsi="Arial"/>
                <w:sz w:val="17"/>
                <w:szCs w:val="17"/>
                <w:color w:val="auto"/>
              </w:rPr>
              <w:t>CONSOLIDATED STATEMENT OF CASH FLOWS (continued)</w:t>
            </w: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88"/>
        </w:trPr>
        <w:tc>
          <w:tcPr>
            <w:tcW w:w="5980" w:type="dxa"/>
            <w:vAlign w:val="bottom"/>
          </w:tcPr>
          <w:p>
            <w:pPr>
              <w:spacing w:after="0"/>
              <w:rPr>
                <w:sz w:val="24"/>
                <w:szCs w:val="24"/>
                <w:color w:val="auto"/>
              </w:rPr>
            </w:pPr>
          </w:p>
        </w:tc>
        <w:tc>
          <w:tcPr>
            <w:tcW w:w="1020" w:type="dxa"/>
            <w:vAlign w:val="bottom"/>
          </w:tcPr>
          <w:p>
            <w:pPr>
              <w:jc w:val="center"/>
              <w:ind w:right="274"/>
              <w:spacing w:after="0"/>
              <w:rPr>
                <w:sz w:val="20"/>
                <w:szCs w:val="20"/>
                <w:color w:val="auto"/>
              </w:rPr>
            </w:pPr>
            <w:r>
              <w:rPr>
                <w:rFonts w:ascii="Arial" w:cs="Arial" w:eastAsia="Arial" w:hAnsi="Arial"/>
                <w:sz w:val="17"/>
                <w:szCs w:val="17"/>
                <w:b w:val="1"/>
                <w:bCs w:val="1"/>
                <w:color w:val="auto"/>
              </w:rPr>
              <w:t>Note</w:t>
            </w: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4"/>
                <w:szCs w:val="24"/>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2020</w:t>
            </w:r>
          </w:p>
        </w:tc>
      </w:tr>
      <w:tr>
        <w:trPr>
          <w:trHeight w:val="223"/>
        </w:trPr>
        <w:tc>
          <w:tcPr>
            <w:tcW w:w="5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ind w:left="120"/>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32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r>
      <w:tr>
        <w:trPr>
          <w:trHeight w:val="330"/>
        </w:trPr>
        <w:tc>
          <w:tcPr>
            <w:tcW w:w="5980" w:type="dxa"/>
            <w:vAlign w:val="bottom"/>
          </w:tcPr>
          <w:p>
            <w:pPr>
              <w:spacing w:after="0"/>
              <w:rPr>
                <w:sz w:val="20"/>
                <w:szCs w:val="20"/>
                <w:color w:val="auto"/>
              </w:rPr>
            </w:pPr>
            <w:r>
              <w:rPr>
                <w:rFonts w:ascii="Arial" w:cs="Arial" w:eastAsia="Arial" w:hAnsi="Arial"/>
                <w:sz w:val="17"/>
                <w:szCs w:val="17"/>
                <w:b w:val="1"/>
                <w:bCs w:val="1"/>
                <w:color w:val="auto"/>
              </w:rPr>
              <w:t>Net (decrease) increase of cash and cash equivalents before effect</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7"/>
                <w:szCs w:val="17"/>
                <w:b w:val="1"/>
                <w:bCs w:val="1"/>
                <w:color w:val="auto"/>
              </w:rPr>
              <w:t>of changes in exchange rate</w:t>
            </w:r>
          </w:p>
        </w:tc>
        <w:tc>
          <w:tcPr>
            <w:tcW w:w="1020" w:type="dxa"/>
            <w:vAlign w:val="bottom"/>
          </w:tcPr>
          <w:p>
            <w:pPr>
              <w:spacing w:after="0"/>
              <w:rPr>
                <w:sz w:val="19"/>
                <w:szCs w:val="19"/>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(3,830,657)</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(220,013)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8,725,007</w:t>
            </w:r>
          </w:p>
        </w:tc>
      </w:tr>
      <w:tr>
        <w:trPr>
          <w:trHeight w:val="174"/>
        </w:trPr>
        <w:tc>
          <w:tcPr>
            <w:tcW w:w="5980" w:type="dxa"/>
            <w:vAlign w:val="bottom"/>
          </w:tcPr>
          <w:p>
            <w:pPr>
              <w:spacing w:after="0" w:line="174" w:lineRule="exact"/>
              <w:rPr>
                <w:sz w:val="20"/>
                <w:szCs w:val="20"/>
                <w:color w:val="auto"/>
              </w:rPr>
            </w:pPr>
            <w:r>
              <w:rPr>
                <w:rFonts w:ascii="Arial" w:cs="Arial" w:eastAsia="Arial" w:hAnsi="Arial"/>
                <w:sz w:val="17"/>
                <w:szCs w:val="17"/>
                <w:color w:val="auto"/>
              </w:rPr>
              <w:t>Effect of changes in exchange rate of cash and</w:t>
            </w: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2"/>
        </w:trPr>
        <w:tc>
          <w:tcPr>
            <w:tcW w:w="5980" w:type="dxa"/>
            <w:vAlign w:val="bottom"/>
          </w:tcPr>
          <w:p>
            <w:pPr>
              <w:spacing w:after="0" w:line="172" w:lineRule="exact"/>
              <w:rPr>
                <w:sz w:val="20"/>
                <w:szCs w:val="20"/>
                <w:color w:val="auto"/>
              </w:rPr>
            </w:pPr>
            <w:r>
              <w:rPr>
                <w:rFonts w:ascii="Arial" w:cs="Arial" w:eastAsia="Arial" w:hAnsi="Arial"/>
                <w:sz w:val="17"/>
                <w:szCs w:val="17"/>
                <w:color w:val="auto"/>
              </w:rPr>
              <w:t>cash equivalents</w:t>
            </w:r>
          </w:p>
        </w:tc>
        <w:tc>
          <w:tcPr>
            <w:tcW w:w="1020" w:type="dxa"/>
            <w:vAlign w:val="bottom"/>
          </w:tcPr>
          <w:p>
            <w:pPr>
              <w:spacing w:after="0"/>
              <w:rPr>
                <w:sz w:val="14"/>
                <w:szCs w:val="14"/>
                <w:color w:val="auto"/>
              </w:rPr>
            </w:pPr>
          </w:p>
        </w:tc>
        <w:tc>
          <w:tcPr>
            <w:tcW w:w="1360" w:type="dxa"/>
            <w:vAlign w:val="bottom"/>
          </w:tcPr>
          <w:p>
            <w:pPr>
              <w:jc w:val="right"/>
              <w:ind w:right="34"/>
              <w:spacing w:after="0" w:line="172" w:lineRule="exact"/>
              <w:rPr>
                <w:sz w:val="20"/>
                <w:szCs w:val="20"/>
                <w:color w:val="auto"/>
              </w:rPr>
            </w:pPr>
            <w:r>
              <w:rPr>
                <w:rFonts w:ascii="Arial" w:cs="Arial" w:eastAsia="Arial" w:hAnsi="Arial"/>
                <w:sz w:val="17"/>
                <w:szCs w:val="17"/>
                <w:color w:val="auto"/>
              </w:rPr>
              <w:t>(1,341,926)</w:t>
            </w:r>
          </w:p>
        </w:tc>
        <w:tc>
          <w:tcPr>
            <w:tcW w:w="120" w:type="dxa"/>
            <w:vAlign w:val="bottom"/>
          </w:tcPr>
          <w:p>
            <w:pPr>
              <w:spacing w:after="0"/>
              <w:rPr>
                <w:sz w:val="14"/>
                <w:szCs w:val="14"/>
                <w:color w:val="auto"/>
              </w:rPr>
            </w:pPr>
          </w:p>
        </w:tc>
        <w:tc>
          <w:tcPr>
            <w:tcW w:w="1340" w:type="dxa"/>
            <w:vAlign w:val="bottom"/>
          </w:tcPr>
          <w:p>
            <w:pPr>
              <w:jc w:val="right"/>
              <w:ind w:right="14"/>
              <w:spacing w:after="0" w:line="172" w:lineRule="exact"/>
              <w:rPr>
                <w:sz w:val="20"/>
                <w:szCs w:val="20"/>
                <w:color w:val="auto"/>
              </w:rPr>
            </w:pPr>
            <w:r>
              <w:rPr>
                <w:rFonts w:ascii="Arial" w:cs="Arial" w:eastAsia="Arial" w:hAnsi="Arial"/>
                <w:sz w:val="17"/>
                <w:szCs w:val="17"/>
                <w:color w:val="auto"/>
              </w:rPr>
              <w:t>2,779,791</w:t>
            </w:r>
          </w:p>
        </w:tc>
        <w:tc>
          <w:tcPr>
            <w:tcW w:w="100" w:type="dxa"/>
            <w:vAlign w:val="bottom"/>
          </w:tcPr>
          <w:p>
            <w:pPr>
              <w:spacing w:after="0"/>
              <w:rPr>
                <w:sz w:val="14"/>
                <w:szCs w:val="14"/>
                <w:color w:val="auto"/>
              </w:rPr>
            </w:pPr>
          </w:p>
        </w:tc>
        <w:tc>
          <w:tcPr>
            <w:tcW w:w="1320" w:type="dxa"/>
            <w:vAlign w:val="bottom"/>
          </w:tcPr>
          <w:p>
            <w:pPr>
              <w:jc w:val="right"/>
              <w:ind w:right="14"/>
              <w:spacing w:after="0" w:line="172" w:lineRule="exact"/>
              <w:rPr>
                <w:sz w:val="20"/>
                <w:szCs w:val="20"/>
                <w:color w:val="auto"/>
              </w:rPr>
            </w:pPr>
            <w:r>
              <w:rPr>
                <w:rFonts w:ascii="Arial" w:cs="Arial" w:eastAsia="Arial" w:hAnsi="Arial"/>
                <w:sz w:val="17"/>
                <w:szCs w:val="17"/>
                <w:color w:val="auto"/>
              </w:rPr>
              <w:t>2,034,718</w:t>
            </w:r>
          </w:p>
        </w:tc>
      </w:tr>
      <w:tr>
        <w:trPr>
          <w:trHeight w:val="230"/>
        </w:trPr>
        <w:tc>
          <w:tcPr>
            <w:tcW w:w="5980" w:type="dxa"/>
            <w:vAlign w:val="bottom"/>
          </w:tcPr>
          <w:p>
            <w:pPr>
              <w:spacing w:after="0"/>
              <w:rPr>
                <w:sz w:val="20"/>
                <w:szCs w:val="20"/>
                <w:color w:val="auto"/>
              </w:rPr>
            </w:pPr>
            <w:r>
              <w:rPr>
                <w:rFonts w:ascii="Arial" w:cs="Arial" w:eastAsia="Arial" w:hAnsi="Arial"/>
                <w:sz w:val="17"/>
                <w:szCs w:val="17"/>
                <w:b w:val="1"/>
                <w:bCs w:val="1"/>
                <w:color w:val="auto"/>
              </w:rPr>
              <w:t>Cash and cash equivalents at the beginning of the period</w:t>
            </w:r>
          </w:p>
        </w:tc>
        <w:tc>
          <w:tcPr>
            <w:tcW w:w="1020" w:type="dxa"/>
            <w:vAlign w:val="bottom"/>
          </w:tcPr>
          <w:p>
            <w:pPr>
              <w:jc w:val="center"/>
              <w:ind w:right="254"/>
              <w:spacing w:after="0"/>
              <w:rPr>
                <w:sz w:val="20"/>
                <w:szCs w:val="20"/>
                <w:color w:val="auto"/>
              </w:rPr>
            </w:pPr>
            <w:r>
              <w:rPr>
                <w:rFonts w:ascii="Arial" w:cs="Arial" w:eastAsia="Arial" w:hAnsi="Arial"/>
                <w:sz w:val="17"/>
                <w:szCs w:val="17"/>
                <w:color w:val="auto"/>
              </w:rPr>
              <w:t>4(a)</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39,293,545</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36,733,767</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25,974,042</w:t>
            </w:r>
          </w:p>
        </w:tc>
      </w:tr>
      <w:tr>
        <w:trPr>
          <w:trHeight w:val="387"/>
        </w:trPr>
        <w:tc>
          <w:tcPr>
            <w:tcW w:w="5980" w:type="dxa"/>
            <w:vAlign w:val="bottom"/>
          </w:tcPr>
          <w:p>
            <w:pPr>
              <w:spacing w:after="0"/>
              <w:rPr>
                <w:sz w:val="20"/>
                <w:szCs w:val="20"/>
                <w:color w:val="auto"/>
              </w:rPr>
            </w:pPr>
            <w:r>
              <w:rPr>
                <w:rFonts w:ascii="Arial" w:cs="Arial" w:eastAsia="Arial" w:hAnsi="Arial"/>
                <w:sz w:val="17"/>
                <w:szCs w:val="17"/>
                <w:b w:val="1"/>
                <w:bCs w:val="1"/>
                <w:color w:val="auto"/>
              </w:rPr>
              <w:t>Cash and cash equivalents at the end of the period</w:t>
            </w:r>
          </w:p>
        </w:tc>
        <w:tc>
          <w:tcPr>
            <w:tcW w:w="1020" w:type="dxa"/>
            <w:vAlign w:val="bottom"/>
          </w:tcPr>
          <w:p>
            <w:pPr>
              <w:jc w:val="center"/>
              <w:ind w:right="254"/>
              <w:spacing w:after="0"/>
              <w:rPr>
                <w:sz w:val="20"/>
                <w:szCs w:val="20"/>
                <w:color w:val="auto"/>
              </w:rPr>
            </w:pPr>
            <w:r>
              <w:rPr>
                <w:rFonts w:ascii="Arial" w:cs="Arial" w:eastAsia="Arial" w:hAnsi="Arial"/>
                <w:sz w:val="17"/>
                <w:szCs w:val="17"/>
                <w:color w:val="auto"/>
              </w:rPr>
              <w:t>4(a)</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34,120,962</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39,293,545</w:t>
            </w:r>
          </w:p>
        </w:tc>
        <w:tc>
          <w:tcPr>
            <w:tcW w:w="100" w:type="dxa"/>
            <w:vAlign w:val="bottom"/>
          </w:tcPr>
          <w:p>
            <w:pPr>
              <w:spacing w:after="0"/>
              <w:rPr>
                <w:sz w:val="24"/>
                <w:szCs w:val="24"/>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36,733,767</w:t>
            </w:r>
          </w:p>
        </w:tc>
      </w:tr>
      <w:tr>
        <w:trPr>
          <w:trHeight w:val="388"/>
        </w:trPr>
        <w:tc>
          <w:tcPr>
            <w:tcW w:w="5980" w:type="dxa"/>
            <w:vAlign w:val="bottom"/>
          </w:tcPr>
          <w:p>
            <w:pPr>
              <w:spacing w:after="0"/>
              <w:rPr>
                <w:sz w:val="20"/>
                <w:szCs w:val="20"/>
                <w:color w:val="auto"/>
              </w:rPr>
            </w:pPr>
            <w:r>
              <w:rPr>
                <w:rFonts w:ascii="Arial" w:cs="Arial" w:eastAsia="Arial" w:hAnsi="Arial"/>
                <w:sz w:val="17"/>
                <w:szCs w:val="17"/>
                <w:b w:val="1"/>
                <w:bCs w:val="1"/>
                <w:color w:val="auto"/>
              </w:rPr>
              <w:t>Additional information from cash flows</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980" w:type="dxa"/>
            <w:vAlign w:val="bottom"/>
          </w:tcPr>
          <w:p>
            <w:pPr>
              <w:spacing w:after="0" w:line="194" w:lineRule="exact"/>
              <w:rPr>
                <w:sz w:val="20"/>
                <w:szCs w:val="20"/>
                <w:color w:val="auto"/>
              </w:rPr>
            </w:pPr>
            <w:r>
              <w:rPr>
                <w:rFonts w:ascii="Arial" w:cs="Arial" w:eastAsia="Arial" w:hAnsi="Arial"/>
                <w:sz w:val="17"/>
                <w:szCs w:val="17"/>
                <w:color w:val="auto"/>
              </w:rPr>
              <w:t>Interest received</w:t>
            </w:r>
          </w:p>
        </w:tc>
        <w:tc>
          <w:tcPr>
            <w:tcW w:w="102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14,717,523</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11,615,448</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11,161,316</w:t>
            </w:r>
          </w:p>
        </w:tc>
      </w:tr>
      <w:tr>
        <w:trPr>
          <w:trHeight w:val="208"/>
        </w:trPr>
        <w:tc>
          <w:tcPr>
            <w:tcW w:w="5980" w:type="dxa"/>
            <w:vAlign w:val="bottom"/>
          </w:tcPr>
          <w:p>
            <w:pPr>
              <w:spacing w:after="0"/>
              <w:rPr>
                <w:sz w:val="20"/>
                <w:szCs w:val="20"/>
                <w:color w:val="auto"/>
              </w:rPr>
            </w:pPr>
            <w:r>
              <w:rPr>
                <w:rFonts w:ascii="Arial" w:cs="Arial" w:eastAsia="Arial" w:hAnsi="Arial"/>
                <w:sz w:val="17"/>
                <w:szCs w:val="17"/>
                <w:color w:val="auto"/>
              </w:rPr>
              <w:t>Interest paid</w:t>
            </w:r>
          </w:p>
        </w:tc>
        <w:tc>
          <w:tcPr>
            <w:tcW w:w="102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(2,847,538)</w:t>
            </w:r>
          </w:p>
        </w:tc>
        <w:tc>
          <w:tcPr>
            <w:tcW w:w="1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(2,230,990)</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(2,959,525)</w:t>
            </w:r>
          </w:p>
        </w:tc>
      </w:tr>
      <w:tr>
        <w:trPr>
          <w:trHeight w:val="375"/>
        </w:trPr>
        <w:tc>
          <w:tcPr>
            <w:tcW w:w="5980" w:type="dxa"/>
            <w:vAlign w:val="bottom"/>
          </w:tcPr>
          <w:p>
            <w:pPr>
              <w:spacing w:after="0"/>
              <w:rPr>
                <w:sz w:val="20"/>
                <w:szCs w:val="20"/>
                <w:color w:val="auto"/>
              </w:rPr>
            </w:pPr>
            <w:r>
              <w:rPr>
                <w:rFonts w:ascii="Arial" w:cs="Arial" w:eastAsia="Arial" w:hAnsi="Arial"/>
                <w:sz w:val="17"/>
                <w:szCs w:val="17"/>
                <w:b w:val="1"/>
                <w:bCs w:val="1"/>
                <w:color w:val="auto"/>
              </w:rPr>
              <w:t>Transactions that do not represent cash flow</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980" w:type="dxa"/>
            <w:vAlign w:val="bottom"/>
          </w:tcPr>
          <w:p>
            <w:pPr>
              <w:spacing w:after="0" w:line="194" w:lineRule="exact"/>
              <w:rPr>
                <w:sz w:val="20"/>
                <w:szCs w:val="20"/>
                <w:color w:val="auto"/>
              </w:rPr>
            </w:pPr>
            <w:r>
              <w:rPr>
                <w:rFonts w:ascii="Arial" w:cs="Arial" w:eastAsia="Arial" w:hAnsi="Arial"/>
                <w:sz w:val="17"/>
                <w:szCs w:val="17"/>
                <w:color w:val="auto"/>
              </w:rPr>
              <w:t>Reclassification from fair value with changes in equity to investments at</w:t>
            </w: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4"/>
        </w:trPr>
        <w:tc>
          <w:tcPr>
            <w:tcW w:w="5980" w:type="dxa"/>
            <w:vAlign w:val="bottom"/>
          </w:tcPr>
          <w:p>
            <w:pPr>
              <w:spacing w:after="0" w:line="194" w:lineRule="exact"/>
              <w:rPr>
                <w:sz w:val="20"/>
                <w:szCs w:val="20"/>
                <w:color w:val="auto"/>
              </w:rPr>
            </w:pPr>
            <w:r>
              <w:rPr>
                <w:rFonts w:ascii="Arial" w:cs="Arial" w:eastAsia="Arial" w:hAnsi="Arial"/>
                <w:sz w:val="17"/>
                <w:szCs w:val="17"/>
                <w:color w:val="auto"/>
              </w:rPr>
              <w:t>amortized cost</w:t>
            </w:r>
          </w:p>
        </w:tc>
        <w:tc>
          <w:tcPr>
            <w:tcW w:w="102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2,232,663</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r>
      <w:tr>
        <w:trPr>
          <w:trHeight w:val="194"/>
        </w:trPr>
        <w:tc>
          <w:tcPr>
            <w:tcW w:w="5980" w:type="dxa"/>
            <w:vAlign w:val="bottom"/>
          </w:tcPr>
          <w:p>
            <w:pPr>
              <w:spacing w:after="0" w:line="194" w:lineRule="exact"/>
              <w:rPr>
                <w:sz w:val="20"/>
                <w:szCs w:val="20"/>
                <w:color w:val="auto"/>
              </w:rPr>
            </w:pPr>
            <w:r>
              <w:rPr>
                <w:rFonts w:ascii="Arial" w:cs="Arial" w:eastAsia="Arial" w:hAnsi="Arial"/>
                <w:sz w:val="17"/>
                <w:szCs w:val="17"/>
                <w:color w:val="auto"/>
              </w:rPr>
              <w:t>Recognition of lease operations</w:t>
            </w:r>
          </w:p>
        </w:tc>
        <w:tc>
          <w:tcPr>
            <w:tcW w:w="1020" w:type="dxa"/>
            <w:vAlign w:val="bottom"/>
          </w:tcPr>
          <w:p>
            <w:pPr>
              <w:spacing w:after="0"/>
              <w:rPr>
                <w:sz w:val="16"/>
                <w:szCs w:val="16"/>
                <w:color w:val="auto"/>
              </w:rPr>
            </w:pPr>
          </w:p>
        </w:tc>
        <w:tc>
          <w:tcPr>
            <w:tcW w:w="13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108,751</w:t>
            </w:r>
          </w:p>
        </w:tc>
        <w:tc>
          <w:tcPr>
            <w:tcW w:w="12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(116,511)</w:t>
            </w:r>
          </w:p>
        </w:tc>
        <w:tc>
          <w:tcPr>
            <w:tcW w:w="10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(118,912)</w:t>
            </w:r>
          </w:p>
        </w:tc>
      </w:tr>
      <w:tr>
        <w:trPr>
          <w:trHeight w:val="208"/>
        </w:trPr>
        <w:tc>
          <w:tcPr>
            <w:tcW w:w="5980" w:type="dxa"/>
            <w:vAlign w:val="bottom"/>
          </w:tcPr>
          <w:p>
            <w:pPr>
              <w:spacing w:after="0"/>
              <w:rPr>
                <w:sz w:val="20"/>
                <w:szCs w:val="20"/>
                <w:color w:val="auto"/>
              </w:rPr>
            </w:pPr>
            <w:r>
              <w:rPr>
                <w:rFonts w:ascii="Arial" w:cs="Arial" w:eastAsia="Arial" w:hAnsi="Arial"/>
                <w:sz w:val="17"/>
                <w:szCs w:val="17"/>
                <w:color w:val="auto"/>
              </w:rPr>
              <w:t>Sale option of minor shares of MiBanco Colombia</w:t>
            </w:r>
          </w:p>
        </w:tc>
        <w:tc>
          <w:tcPr>
            <w:tcW w:w="102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7"/>
                <w:szCs w:val="17"/>
                <w:color w:val="auto"/>
              </w:rPr>
              <w:t>(42,964)</w:t>
            </w:r>
          </w:p>
        </w:tc>
        <w:tc>
          <w:tcPr>
            <w:tcW w:w="1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63"/>
        </w:trPr>
        <w:tc>
          <w:tcPr>
            <w:tcW w:w="5980" w:type="dxa"/>
            <w:vAlign w:val="bottom"/>
          </w:tcPr>
          <w:p>
            <w:pPr>
              <w:ind w:left="5420"/>
              <w:spacing w:after="0"/>
              <w:rPr>
                <w:sz w:val="20"/>
                <w:szCs w:val="20"/>
                <w:color w:val="auto"/>
              </w:rPr>
            </w:pPr>
            <w:r>
              <w:rPr>
                <w:rFonts w:ascii="Arial" w:cs="Arial" w:eastAsia="Arial" w:hAnsi="Arial"/>
                <w:sz w:val="17"/>
                <w:szCs w:val="17"/>
                <w:color w:val="auto"/>
              </w:rPr>
              <w:t>- 17 -</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
        </w:trPr>
        <w:tc>
          <w:tcPr>
            <w:tcW w:w="59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4"/>
          </w:tcPr>
          <w:p>
            <w:pPr>
              <w:spacing w:after="0"/>
              <w:rPr>
                <w:sz w:val="20"/>
                <w:szCs w:val="20"/>
                <w:color w:val="auto"/>
              </w:rPr>
            </w:pPr>
            <w:r>
              <w:rPr>
                <w:rFonts w:ascii="Arial" w:cs="Arial" w:eastAsia="Arial" w:hAnsi="Arial"/>
                <w:sz w:val="17"/>
                <w:szCs w:val="17"/>
                <w:color w:val="auto"/>
              </w:rPr>
              <w:t>CONSOLIDATED STATEMENT OF CASH FLOWS (continued)</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4940" w:type="dxa"/>
            <w:vAlign w:val="bottom"/>
            <w:gridSpan w:val="4"/>
          </w:tcPr>
          <w:p>
            <w:pPr>
              <w:spacing w:after="0"/>
              <w:rPr>
                <w:sz w:val="20"/>
                <w:szCs w:val="20"/>
                <w:color w:val="auto"/>
              </w:rPr>
            </w:pPr>
            <w:r>
              <w:rPr>
                <w:rFonts w:ascii="Arial" w:cs="Arial" w:eastAsia="Arial" w:hAnsi="Arial"/>
                <w:sz w:val="17"/>
                <w:szCs w:val="17"/>
                <w:b w:val="1"/>
                <w:bCs w:val="1"/>
                <w:color w:val="auto"/>
              </w:rPr>
              <w:t>Reconciliation of liabilities arising from financing activities:</w:t>
            </w: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spacing w:after="0"/>
              <w:rPr>
                <w:sz w:val="20"/>
                <w:szCs w:val="20"/>
                <w:color w:val="auto"/>
              </w:rPr>
            </w:pPr>
            <w:r>
              <w:rPr>
                <w:rFonts w:ascii="Arial" w:cs="Arial" w:eastAsia="Arial" w:hAnsi="Arial"/>
                <w:sz w:val="17"/>
                <w:szCs w:val="17"/>
                <w:b w:val="1"/>
                <w:bCs w:val="1"/>
                <w:color w:val="auto"/>
              </w:rPr>
              <w:t>Changes that do not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ind w:left="40"/>
              <w:spacing w:after="0" w:line="194" w:lineRule="exact"/>
              <w:rPr>
                <w:sz w:val="20"/>
                <w:szCs w:val="20"/>
                <w:color w:val="auto"/>
              </w:rPr>
            </w:pPr>
            <w:r>
              <w:rPr>
                <w:rFonts w:ascii="Arial" w:cs="Arial" w:eastAsia="Arial" w:hAnsi="Arial"/>
                <w:sz w:val="17"/>
                <w:szCs w:val="17"/>
                <w:b w:val="1"/>
                <w:bCs w:val="1"/>
                <w:color w:val="auto"/>
              </w:rPr>
              <w:t>Changes that generate</w:t>
            </w:r>
          </w:p>
        </w:tc>
        <w:tc>
          <w:tcPr>
            <w:tcW w:w="120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generate cash</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 of January</w:t>
            </w: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rPr>
              <w:t>cash flows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flows</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 of December</w:t>
            </w: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7"/>
                <w:szCs w:val="17"/>
                <w:b w:val="1"/>
                <w:bCs w:val="1"/>
                <w:color w:val="auto"/>
              </w:rPr>
              <w:t>Exchange</w:t>
            </w:r>
          </w:p>
        </w:tc>
        <w:tc>
          <w:tcPr>
            <w:tcW w:w="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7"/>
                <w:szCs w:val="17"/>
                <w:b w:val="1"/>
                <w:bCs w:val="1"/>
                <w:color w:val="auto"/>
              </w:rPr>
              <w:t>1, 2022</w:t>
            </w:r>
          </w:p>
        </w:tc>
        <w:tc>
          <w:tcPr>
            <w:tcW w:w="8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rPr>
              <w:t>Received</w:t>
            </w:r>
          </w:p>
        </w:tc>
        <w:tc>
          <w:tcPr>
            <w:tcW w:w="1240" w:type="dxa"/>
            <w:vAlign w:val="bottom"/>
            <w:gridSpan w:val="2"/>
          </w:tcPr>
          <w:p>
            <w:pPr>
              <w:spacing w:after="0"/>
              <w:rPr>
                <w:sz w:val="20"/>
                <w:szCs w:val="20"/>
                <w:color w:val="auto"/>
              </w:rPr>
            </w:pPr>
            <w:r>
              <w:rPr>
                <w:rFonts w:ascii="Arial" w:cs="Arial" w:eastAsia="Arial" w:hAnsi="Arial"/>
                <w:sz w:val="17"/>
                <w:szCs w:val="17"/>
                <w:b w:val="1"/>
                <w:bCs w:val="1"/>
                <w:color w:val="auto"/>
              </w:rPr>
              <w:t>Paid</w:t>
            </w: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difference</w:t>
            </w: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Others</w:t>
            </w:r>
          </w:p>
        </w:tc>
        <w:tc>
          <w:tcPr>
            <w:tcW w:w="1340" w:type="dxa"/>
            <w:vAlign w:val="bottom"/>
          </w:tcPr>
          <w:p>
            <w:pPr>
              <w:spacing w:after="0"/>
              <w:rPr>
                <w:sz w:val="20"/>
                <w:szCs w:val="20"/>
                <w:color w:val="auto"/>
              </w:rPr>
            </w:pPr>
            <w:r>
              <w:rPr>
                <w:rFonts w:ascii="Arial" w:cs="Arial" w:eastAsia="Arial" w:hAnsi="Arial"/>
                <w:sz w:val="17"/>
                <w:szCs w:val="17"/>
                <w:b w:val="1"/>
                <w:bCs w:val="1"/>
                <w:color w:val="auto"/>
              </w:rPr>
              <w:t>31, 2022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3620" w:type="dxa"/>
            <w:vAlign w:val="bottom"/>
            <w:gridSpan w:val="2"/>
          </w:tcPr>
          <w:p>
            <w:pPr>
              <w:spacing w:after="0"/>
              <w:rPr>
                <w:sz w:val="20"/>
                <w:szCs w:val="20"/>
                <w:color w:val="auto"/>
              </w:rPr>
            </w:pPr>
            <w:r>
              <w:rPr>
                <w:rFonts w:ascii="Arial" w:cs="Arial" w:eastAsia="Arial" w:hAnsi="Arial"/>
                <w:sz w:val="17"/>
                <w:szCs w:val="17"/>
                <w:color w:val="auto"/>
              </w:rPr>
              <w:t>Subordinated bonds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6,061,301</w:t>
            </w:r>
          </w:p>
        </w:tc>
        <w:tc>
          <w:tcPr>
            <w:tcW w:w="4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(94,700)</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(253,293)</w:t>
            </w: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25,106</w:t>
            </w: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5,738,414</w:t>
            </w:r>
          </w:p>
        </w:tc>
        <w:tc>
          <w:tcPr>
            <w:tcW w:w="0" w:type="dxa"/>
            <w:vAlign w:val="bottom"/>
          </w:tcPr>
          <w:p>
            <w:pPr>
              <w:spacing w:after="0"/>
              <w:rPr>
                <w:sz w:val="1"/>
                <w:szCs w:val="1"/>
                <w:color w:val="auto"/>
              </w:rPr>
            </w:pPr>
          </w:p>
        </w:tc>
      </w:tr>
      <w:tr>
        <w:trPr>
          <w:trHeight w:val="195"/>
        </w:trPr>
        <w:tc>
          <w:tcPr>
            <w:tcW w:w="3620" w:type="dxa"/>
            <w:vAlign w:val="bottom"/>
            <w:gridSpan w:val="2"/>
          </w:tcPr>
          <w:p>
            <w:pPr>
              <w:spacing w:after="0"/>
              <w:rPr>
                <w:sz w:val="20"/>
                <w:szCs w:val="20"/>
                <w:color w:val="auto"/>
              </w:rPr>
            </w:pPr>
            <w:r>
              <w:rPr>
                <w:rFonts w:ascii="Arial" w:cs="Arial" w:eastAsia="Arial" w:hAnsi="Arial"/>
                <w:sz w:val="17"/>
                <w:szCs w:val="17"/>
                <w:color w:val="auto"/>
              </w:rPr>
              <w:t>Lease liabilities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655,294</w:t>
            </w:r>
          </w:p>
        </w:tc>
        <w:tc>
          <w:tcPr>
            <w:tcW w:w="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(181,583)</w:t>
            </w:r>
          </w:p>
        </w:tc>
        <w:tc>
          <w:tcPr>
            <w:tcW w:w="1120" w:type="dxa"/>
            <w:vAlign w:val="bottom"/>
          </w:tcPr>
          <w:p>
            <w:pPr>
              <w:jc w:val="right"/>
              <w:spacing w:after="0"/>
              <w:rPr>
                <w:sz w:val="20"/>
                <w:szCs w:val="20"/>
                <w:color w:val="auto"/>
              </w:rPr>
            </w:pPr>
            <w:r>
              <w:rPr>
                <w:rFonts w:ascii="Arial" w:cs="Arial" w:eastAsia="Arial" w:hAnsi="Arial"/>
                <w:sz w:val="17"/>
                <w:szCs w:val="17"/>
                <w:color w:val="auto"/>
              </w:rPr>
              <w:t>(14,782)</w:t>
            </w:r>
          </w:p>
        </w:tc>
        <w:tc>
          <w:tcPr>
            <w:tcW w:w="80" w:type="dxa"/>
            <w:vAlign w:val="bottom"/>
          </w:tcPr>
          <w:p>
            <w:pPr>
              <w:spacing w:after="0"/>
              <w:rPr>
                <w:sz w:val="16"/>
                <w:szCs w:val="16"/>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118,644</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577,573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6,716,595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(276,283)</w:t>
            </w: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(268,075)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143,750</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6,315,987</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spacing w:after="0"/>
              <w:rPr>
                <w:sz w:val="20"/>
                <w:szCs w:val="20"/>
                <w:color w:val="auto"/>
              </w:rPr>
            </w:pPr>
            <w:r>
              <w:rPr>
                <w:rFonts w:ascii="Arial" w:cs="Arial" w:eastAsia="Arial" w:hAnsi="Arial"/>
                <w:sz w:val="17"/>
                <w:szCs w:val="17"/>
                <w:b w:val="1"/>
                <w:bCs w:val="1"/>
                <w:color w:val="auto"/>
              </w:rPr>
              <w:t>Changes that do not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ind w:left="40"/>
              <w:spacing w:after="0" w:line="194" w:lineRule="exact"/>
              <w:rPr>
                <w:sz w:val="20"/>
                <w:szCs w:val="20"/>
                <w:color w:val="auto"/>
              </w:rPr>
            </w:pPr>
            <w:r>
              <w:rPr>
                <w:rFonts w:ascii="Arial" w:cs="Arial" w:eastAsia="Arial" w:hAnsi="Arial"/>
                <w:sz w:val="17"/>
                <w:szCs w:val="17"/>
                <w:b w:val="1"/>
                <w:bCs w:val="1"/>
                <w:color w:val="auto"/>
              </w:rPr>
              <w:t>Changes that generate</w:t>
            </w:r>
          </w:p>
        </w:tc>
        <w:tc>
          <w:tcPr>
            <w:tcW w:w="120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generate cash</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 of January</w:t>
            </w: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rPr>
              <w:t>cash flows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flows</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 of December</w:t>
            </w: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7"/>
                <w:szCs w:val="17"/>
                <w:b w:val="1"/>
                <w:bCs w:val="1"/>
                <w:color w:val="auto"/>
              </w:rPr>
              <w:t>Exchange</w:t>
            </w:r>
          </w:p>
        </w:tc>
        <w:tc>
          <w:tcPr>
            <w:tcW w:w="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7"/>
                <w:szCs w:val="17"/>
                <w:b w:val="1"/>
                <w:bCs w:val="1"/>
                <w:color w:val="auto"/>
              </w:rPr>
              <w:t>1, 2021</w:t>
            </w:r>
          </w:p>
        </w:tc>
        <w:tc>
          <w:tcPr>
            <w:tcW w:w="8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rPr>
              <w:t>Received</w:t>
            </w:r>
          </w:p>
        </w:tc>
        <w:tc>
          <w:tcPr>
            <w:tcW w:w="1240" w:type="dxa"/>
            <w:vAlign w:val="bottom"/>
            <w:gridSpan w:val="2"/>
          </w:tcPr>
          <w:p>
            <w:pPr>
              <w:spacing w:after="0"/>
              <w:rPr>
                <w:sz w:val="20"/>
                <w:szCs w:val="20"/>
                <w:color w:val="auto"/>
              </w:rPr>
            </w:pPr>
            <w:r>
              <w:rPr>
                <w:rFonts w:ascii="Arial" w:cs="Arial" w:eastAsia="Arial" w:hAnsi="Arial"/>
                <w:sz w:val="17"/>
                <w:szCs w:val="17"/>
                <w:b w:val="1"/>
                <w:bCs w:val="1"/>
                <w:color w:val="auto"/>
              </w:rPr>
              <w:t>Paid</w:t>
            </w: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difference</w:t>
            </w: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Others</w:t>
            </w:r>
          </w:p>
        </w:tc>
        <w:tc>
          <w:tcPr>
            <w:tcW w:w="1340" w:type="dxa"/>
            <w:vAlign w:val="bottom"/>
          </w:tcPr>
          <w:p>
            <w:pPr>
              <w:spacing w:after="0"/>
              <w:rPr>
                <w:sz w:val="20"/>
                <w:szCs w:val="20"/>
                <w:color w:val="auto"/>
              </w:rPr>
            </w:pPr>
            <w:r>
              <w:rPr>
                <w:rFonts w:ascii="Arial" w:cs="Arial" w:eastAsia="Arial" w:hAnsi="Arial"/>
                <w:sz w:val="17"/>
                <w:szCs w:val="17"/>
                <w:b w:val="1"/>
                <w:bCs w:val="1"/>
                <w:color w:val="auto"/>
              </w:rPr>
              <w:t>31, 2021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546"/>
        </w:trPr>
        <w:tc>
          <w:tcPr>
            <w:tcW w:w="3620" w:type="dxa"/>
            <w:vAlign w:val="bottom"/>
            <w:gridSpan w:val="2"/>
          </w:tcPr>
          <w:p>
            <w:pPr>
              <w:spacing w:after="0"/>
              <w:rPr>
                <w:sz w:val="20"/>
                <w:szCs w:val="20"/>
                <w:color w:val="auto"/>
              </w:rPr>
            </w:pPr>
            <w:r>
              <w:rPr>
                <w:rFonts w:ascii="Arial" w:cs="Arial" w:eastAsia="Arial" w:hAnsi="Arial"/>
                <w:sz w:val="17"/>
                <w:szCs w:val="17"/>
                <w:color w:val="auto"/>
              </w:rPr>
              <w:t>Subordinated bonds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5,381,323</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2,018,216</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(1,835,056)</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475,132</w:t>
            </w: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21,686</w:t>
            </w: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6,061,301</w:t>
            </w:r>
          </w:p>
        </w:tc>
        <w:tc>
          <w:tcPr>
            <w:tcW w:w="0" w:type="dxa"/>
            <w:vAlign w:val="bottom"/>
          </w:tcPr>
          <w:p>
            <w:pPr>
              <w:spacing w:after="0"/>
              <w:rPr>
                <w:sz w:val="1"/>
                <w:szCs w:val="1"/>
                <w:color w:val="auto"/>
              </w:rPr>
            </w:pPr>
          </w:p>
        </w:tc>
      </w:tr>
      <w:tr>
        <w:trPr>
          <w:trHeight w:val="195"/>
        </w:trPr>
        <w:tc>
          <w:tcPr>
            <w:tcW w:w="3620" w:type="dxa"/>
            <w:vAlign w:val="bottom"/>
            <w:gridSpan w:val="2"/>
          </w:tcPr>
          <w:p>
            <w:pPr>
              <w:spacing w:after="0"/>
              <w:rPr>
                <w:sz w:val="20"/>
                <w:szCs w:val="20"/>
                <w:color w:val="auto"/>
              </w:rPr>
            </w:pPr>
            <w:r>
              <w:rPr>
                <w:rFonts w:ascii="Arial" w:cs="Arial" w:eastAsia="Arial" w:hAnsi="Arial"/>
                <w:sz w:val="17"/>
                <w:szCs w:val="17"/>
                <w:color w:val="auto"/>
              </w:rPr>
              <w:t>Lease liabilities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750,578</w:t>
            </w:r>
          </w:p>
        </w:tc>
        <w:tc>
          <w:tcPr>
            <w:tcW w:w="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(182,515)</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36,866</w:t>
            </w: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50,365</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655,294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6,131,901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2,018,216</w:t>
            </w: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(2,017,571)</w:t>
            </w: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511,998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72,051</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6,716,595</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spacing w:after="0"/>
              <w:rPr>
                <w:sz w:val="20"/>
                <w:szCs w:val="20"/>
                <w:color w:val="auto"/>
              </w:rPr>
            </w:pPr>
            <w:r>
              <w:rPr>
                <w:rFonts w:ascii="Arial" w:cs="Arial" w:eastAsia="Arial" w:hAnsi="Arial"/>
                <w:sz w:val="17"/>
                <w:szCs w:val="17"/>
                <w:b w:val="1"/>
                <w:bCs w:val="1"/>
                <w:color w:val="auto"/>
              </w:rPr>
              <w:t>Changes that do not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ind w:left="40"/>
              <w:spacing w:after="0" w:line="194" w:lineRule="exact"/>
              <w:rPr>
                <w:sz w:val="20"/>
                <w:szCs w:val="20"/>
                <w:color w:val="auto"/>
              </w:rPr>
            </w:pPr>
            <w:r>
              <w:rPr>
                <w:rFonts w:ascii="Arial" w:cs="Arial" w:eastAsia="Arial" w:hAnsi="Arial"/>
                <w:sz w:val="17"/>
                <w:szCs w:val="17"/>
                <w:b w:val="1"/>
                <w:bCs w:val="1"/>
                <w:color w:val="auto"/>
              </w:rPr>
              <w:t>Changes that generate</w:t>
            </w:r>
          </w:p>
        </w:tc>
        <w:tc>
          <w:tcPr>
            <w:tcW w:w="120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generate cash</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 of January</w:t>
            </w: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rPr>
              <w:t>cash flows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flows</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 of December</w:t>
            </w: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7"/>
                <w:szCs w:val="17"/>
                <w:b w:val="1"/>
                <w:bCs w:val="1"/>
                <w:color w:val="auto"/>
              </w:rPr>
              <w:t>Exchange</w:t>
            </w:r>
          </w:p>
        </w:tc>
        <w:tc>
          <w:tcPr>
            <w:tcW w:w="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7"/>
                <w:szCs w:val="17"/>
                <w:b w:val="1"/>
                <w:bCs w:val="1"/>
                <w:color w:val="auto"/>
              </w:rPr>
              <w:t>1, 2020</w:t>
            </w:r>
          </w:p>
        </w:tc>
        <w:tc>
          <w:tcPr>
            <w:tcW w:w="8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rPr>
              <w:t>Received</w:t>
            </w:r>
          </w:p>
        </w:tc>
        <w:tc>
          <w:tcPr>
            <w:tcW w:w="1240" w:type="dxa"/>
            <w:vAlign w:val="bottom"/>
            <w:gridSpan w:val="2"/>
          </w:tcPr>
          <w:p>
            <w:pPr>
              <w:spacing w:after="0"/>
              <w:rPr>
                <w:sz w:val="20"/>
                <w:szCs w:val="20"/>
                <w:color w:val="auto"/>
              </w:rPr>
            </w:pPr>
            <w:r>
              <w:rPr>
                <w:rFonts w:ascii="Arial" w:cs="Arial" w:eastAsia="Arial" w:hAnsi="Arial"/>
                <w:sz w:val="17"/>
                <w:szCs w:val="17"/>
                <w:b w:val="1"/>
                <w:bCs w:val="1"/>
                <w:color w:val="auto"/>
              </w:rPr>
              <w:t>Paid</w:t>
            </w: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difference</w:t>
            </w: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Others</w:t>
            </w:r>
          </w:p>
        </w:tc>
        <w:tc>
          <w:tcPr>
            <w:tcW w:w="1340" w:type="dxa"/>
            <w:vAlign w:val="bottom"/>
          </w:tcPr>
          <w:p>
            <w:pPr>
              <w:spacing w:after="0"/>
              <w:rPr>
                <w:sz w:val="20"/>
                <w:szCs w:val="20"/>
                <w:color w:val="auto"/>
              </w:rPr>
            </w:pPr>
            <w:r>
              <w:rPr>
                <w:rFonts w:ascii="Arial" w:cs="Arial" w:eastAsia="Arial" w:hAnsi="Arial"/>
                <w:sz w:val="17"/>
                <w:szCs w:val="17"/>
                <w:b w:val="1"/>
                <w:bCs w:val="1"/>
                <w:color w:val="auto"/>
              </w:rPr>
              <w:t>31, 2020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546"/>
        </w:trPr>
        <w:tc>
          <w:tcPr>
            <w:tcW w:w="3620" w:type="dxa"/>
            <w:vAlign w:val="bottom"/>
            <w:gridSpan w:val="2"/>
          </w:tcPr>
          <w:p>
            <w:pPr>
              <w:spacing w:after="0"/>
              <w:rPr>
                <w:sz w:val="20"/>
                <w:szCs w:val="20"/>
                <w:color w:val="auto"/>
              </w:rPr>
            </w:pPr>
            <w:r>
              <w:rPr>
                <w:rFonts w:ascii="Arial" w:cs="Arial" w:eastAsia="Arial" w:hAnsi="Arial"/>
                <w:sz w:val="17"/>
                <w:szCs w:val="17"/>
                <w:color w:val="auto"/>
              </w:rPr>
              <w:t>Subordinated bonds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4,387,743</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3,004,601</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(2,538,420)</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361,317</w:t>
            </w: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(93,720)</w:t>
            </w: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5,121,521</w:t>
            </w:r>
          </w:p>
        </w:tc>
        <w:tc>
          <w:tcPr>
            <w:tcW w:w="0" w:type="dxa"/>
            <w:vAlign w:val="bottom"/>
          </w:tcPr>
          <w:p>
            <w:pPr>
              <w:spacing w:after="0"/>
              <w:rPr>
                <w:sz w:val="1"/>
                <w:szCs w:val="1"/>
                <w:color w:val="auto"/>
              </w:rPr>
            </w:pPr>
          </w:p>
        </w:tc>
      </w:tr>
      <w:tr>
        <w:trPr>
          <w:trHeight w:val="195"/>
        </w:trPr>
        <w:tc>
          <w:tcPr>
            <w:tcW w:w="3620" w:type="dxa"/>
            <w:vAlign w:val="bottom"/>
            <w:gridSpan w:val="2"/>
          </w:tcPr>
          <w:p>
            <w:pPr>
              <w:spacing w:after="0"/>
              <w:rPr>
                <w:sz w:val="20"/>
                <w:szCs w:val="20"/>
                <w:color w:val="auto"/>
              </w:rPr>
            </w:pPr>
            <w:r>
              <w:rPr>
                <w:rFonts w:ascii="Arial" w:cs="Arial" w:eastAsia="Arial" w:hAnsi="Arial"/>
                <w:sz w:val="17"/>
                <w:szCs w:val="17"/>
                <w:color w:val="auto"/>
              </w:rPr>
              <w:t>Lease liabilities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830,153</w:t>
            </w:r>
          </w:p>
        </w:tc>
        <w:tc>
          <w:tcPr>
            <w:tcW w:w="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(81,637)</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25,198</w:t>
            </w: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(23,136)</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750,578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5,217,896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3,004,601</w:t>
            </w: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(2,620,057)</w:t>
            </w: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386,515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(116,856)</w:t>
            </w:r>
          </w:p>
        </w:tc>
        <w:tc>
          <w:tcPr>
            <w:tcW w:w="100" w:type="dxa"/>
            <w:vAlign w:val="bottom"/>
          </w:tcPr>
          <w:p>
            <w:pPr>
              <w:spacing w:after="0"/>
              <w:rPr>
                <w:sz w:val="16"/>
                <w:szCs w:val="16"/>
                <w:color w:val="auto"/>
              </w:rPr>
            </w:pPr>
          </w:p>
        </w:tc>
        <w:tc>
          <w:tcPr>
            <w:tcW w:w="1360" w:type="dxa"/>
            <w:vAlign w:val="bottom"/>
            <w:tcBorders>
              <w:top w:val="single" w:sz="8" w:color="auto"/>
              <w:bottom w:val="single" w:sz="8" w:color="auto"/>
            </w:tcBorders>
            <w:gridSpan w:val="2"/>
          </w:tcPr>
          <w:p>
            <w:pPr>
              <w:jc w:val="right"/>
              <w:ind w:right="20"/>
              <w:spacing w:after="0" w:line="187" w:lineRule="exact"/>
              <w:rPr>
                <w:sz w:val="20"/>
                <w:szCs w:val="20"/>
                <w:color w:val="auto"/>
              </w:rPr>
            </w:pPr>
            <w:r>
              <w:rPr>
                <w:rFonts w:ascii="Arial" w:cs="Arial" w:eastAsia="Arial" w:hAnsi="Arial"/>
                <w:sz w:val="17"/>
                <w:szCs w:val="17"/>
                <w:color w:val="auto"/>
              </w:rPr>
              <w:t>5,872,099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7"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(Free translation from the original in Spanish)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NOTES TO THE CONSOLIDATED FINANCIAL STATEMENTS</w:t>
      </w:r>
    </w:p>
    <w:p>
      <w:pPr>
        <w:spacing w:after="0"/>
        <w:rPr>
          <w:sz w:val="20"/>
          <w:szCs w:val="20"/>
          <w:color w:val="auto"/>
        </w:rPr>
      </w:pPr>
      <w:r>
        <w:rPr>
          <w:rFonts w:ascii="Arial" w:cs="Arial" w:eastAsia="Arial" w:hAnsi="Arial"/>
          <w:sz w:val="17"/>
          <w:szCs w:val="17"/>
          <w:color w:val="auto"/>
        </w:rPr>
        <w:t>AS OF DECEMBER 31, 2022 AND 2021</w:t>
      </w:r>
    </w:p>
    <w:p>
      <w:pPr>
        <w:spacing w:after="0" w:line="171" w:lineRule="exact"/>
        <w:rPr>
          <w:sz w:val="20"/>
          <w:szCs w:val="20"/>
          <w:color w:val="auto"/>
        </w:rPr>
      </w:pPr>
    </w:p>
    <w:p>
      <w:pPr>
        <w:ind w:left="620" w:hanging="616"/>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OPERATIONS</w:t>
      </w:r>
    </w:p>
    <w:p>
      <w:pPr>
        <w:spacing w:after="0" w:line="215" w:lineRule="exact"/>
        <w:rPr>
          <w:rFonts w:ascii="Arial" w:cs="Arial" w:eastAsia="Arial" w:hAnsi="Arial"/>
          <w:sz w:val="17"/>
          <w:szCs w:val="17"/>
          <w:b w:val="1"/>
          <w:bCs w:val="1"/>
          <w:color w:val="auto"/>
        </w:rPr>
      </w:pPr>
    </w:p>
    <w:p>
      <w:pPr>
        <w:ind w:left="620" w:right="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Credicorp Ltd. (hereinafter “Credicorp”) is a limited liability company incorporated in Bermuda in 1995 to act as a holding company and according to Bermuda’s economic substance regulation, Credicorp Ltd. as an independent legal entity, is considered a “Pure Equity Holding Entity” (PEHE). Credicorp’s activity is to maintain equity interests and receive passive income such as dividends, capital gains and other income from investments in securities.</w:t>
      </w:r>
    </w:p>
    <w:p>
      <w:pPr>
        <w:spacing w:after="0" w:line="179" w:lineRule="exact"/>
        <w:rPr>
          <w:rFonts w:ascii="Arial" w:cs="Arial" w:eastAsia="Arial" w:hAnsi="Arial"/>
          <w:sz w:val="17"/>
          <w:szCs w:val="17"/>
          <w:b w:val="1"/>
          <w:bCs w:val="1"/>
          <w:color w:val="auto"/>
        </w:rPr>
      </w:pPr>
    </w:p>
    <w:p>
      <w:pPr>
        <w:ind w:left="620"/>
        <w:spacing w:after="0" w:line="241" w:lineRule="auto"/>
        <w:rPr>
          <w:rFonts w:ascii="Arial" w:cs="Arial" w:eastAsia="Arial" w:hAnsi="Arial"/>
          <w:sz w:val="17"/>
          <w:szCs w:val="17"/>
          <w:b w:val="1"/>
          <w:bCs w:val="1"/>
          <w:color w:val="auto"/>
        </w:rPr>
      </w:pPr>
      <w:r>
        <w:rPr>
          <w:rFonts w:ascii="Arial" w:cs="Arial" w:eastAsia="Arial" w:hAnsi="Arial"/>
          <w:sz w:val="17"/>
          <w:szCs w:val="17"/>
          <w:color w:val="auto"/>
        </w:rPr>
        <w:t>In order to keep Credicorp’s structure and organization fully aligned with the new legislation on economic substance approved by the Government of Bermuda on January 11, 2019, as of October 29, 2020, the decisions of the Credicorp Board of Directors will be limited to issues related to Credicorp’s strategy, objectives and goals, main action plans and policies, risk control and management, annual budgets, business plans and control of their implementation, supervision of the main expenses, investments, acquisitions and disposals, among other “passive” decisions related to Credicorp. The authority to make decisions applicable to Credicorp’s subsidiaries, such as the adoption of relevant strategic or management decisions, the assumption of expenses for the benefit of its affiliates, the coordination of group activities, and the granting of credit facilities in favor of its affiliates, it has been transferred to Grupo Crédito SA, a subsidiary of Credicorp.</w:t>
      </w:r>
    </w:p>
    <w:p>
      <w:pPr>
        <w:spacing w:after="0" w:line="180" w:lineRule="exact"/>
        <w:rPr>
          <w:rFonts w:ascii="Arial" w:cs="Arial" w:eastAsia="Arial" w:hAnsi="Arial"/>
          <w:sz w:val="17"/>
          <w:szCs w:val="17"/>
          <w:b w:val="1"/>
          <w:bCs w:val="1"/>
          <w:color w:val="auto"/>
        </w:rPr>
      </w:pPr>
    </w:p>
    <w:p>
      <w:pPr>
        <w:ind w:left="620" w:right="40"/>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Credicorp, through its banking and non-banking subsidiaries and its associate Entidad Prestadora de Salud, offers a wide range of financial, insurance and health services and products, mainly throughout Peru and in other countries (see Note 3(b)). Its main subsidiary is Banco de Crédito del Perú (hereinafter “BCP” or the “Bank”), a multiple bank incorporated in Peru.</w:t>
      </w:r>
    </w:p>
    <w:p>
      <w:pPr>
        <w:spacing w:after="0" w:line="175" w:lineRule="exact"/>
        <w:rPr>
          <w:rFonts w:ascii="Arial" w:cs="Arial" w:eastAsia="Arial" w:hAnsi="Arial"/>
          <w:sz w:val="17"/>
          <w:szCs w:val="17"/>
          <w:b w:val="1"/>
          <w:bCs w:val="1"/>
          <w:color w:val="auto"/>
        </w:rPr>
      </w:pPr>
    </w:p>
    <w:p>
      <w:pPr>
        <w:ind w:left="620" w:right="48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Credicorp’s legal address is Clarendon House 2 Church Street Hamilton, Bermuda; likewise, the main offices from where Credicorp’s businesses are managed are located at Calle Centenario N° 156, La Molina, Lima, Peru.</w:t>
      </w:r>
    </w:p>
    <w:p>
      <w:pPr>
        <w:spacing w:after="0" w:line="169" w:lineRule="exact"/>
        <w:rPr>
          <w:rFonts w:ascii="Arial" w:cs="Arial" w:eastAsia="Arial" w:hAnsi="Arial"/>
          <w:sz w:val="17"/>
          <w:szCs w:val="17"/>
          <w:b w:val="1"/>
          <w:bCs w:val="1"/>
          <w:color w:val="auto"/>
        </w:rPr>
      </w:pPr>
    </w:p>
    <w:p>
      <w:pPr>
        <w:ind w:left="620" w:right="60"/>
        <w:spacing w:after="0" w:line="241"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presented comprise the financial statement of Credicorp and subsidiaries (hereinafter “the Group”). The consolidated financial statements as of December 31, 2021, and for the year then ended were approved by the Board of Directors on February 24, 2022 and presented to the General Shareholders’ Meeting on March 29, 2022. The consolidated financial statements as of December 31, 2022, and for the year ended on that date were approved and authorized for issuance by the Board of Directors and Management on February 23, 2023 and will be presented for final approval in the General Shareholders’ Meeting, which will be held within the deadlines established by law. Management considers that these consolidated financial statements will be approved without amendments.</w:t>
      </w:r>
    </w:p>
    <w:p>
      <w:pPr>
        <w:spacing w:after="0" w:line="180"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Credicorp is listed on the Lima and New York Stock Exchanges.</w:t>
      </w:r>
    </w:p>
    <w:p>
      <w:pPr>
        <w:spacing w:after="0" w:line="167" w:lineRule="exact"/>
        <w:rPr>
          <w:rFonts w:ascii="Arial" w:cs="Arial" w:eastAsia="Arial" w:hAnsi="Arial"/>
          <w:sz w:val="17"/>
          <w:szCs w:val="17"/>
          <w:b w:val="1"/>
          <w:bCs w:val="1"/>
          <w:color w:val="auto"/>
        </w:rPr>
      </w:pPr>
    </w:p>
    <w:p>
      <w:pPr>
        <w:ind w:left="5520" w:hanging="97"/>
        <w:spacing w:after="0"/>
        <w:tabs>
          <w:tab w:leader="none" w:pos="5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4" w:name="page25"/>
    <w:bookmarkEnd w:id="24"/>
    <w:p>
      <w:pPr>
        <w:ind w:left="616" w:hanging="616"/>
        <w:spacing w:after="0"/>
        <w:tabs>
          <w:tab w:leader="none" w:pos="61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TRANSACTIONS</w:t>
      </w:r>
    </w:p>
    <w:p>
      <w:pPr>
        <w:spacing w:after="0" w:line="214" w:lineRule="exact"/>
        <w:rPr>
          <w:rFonts w:ascii="Arial" w:cs="Arial" w:eastAsia="Arial" w:hAnsi="Arial"/>
          <w:sz w:val="17"/>
          <w:szCs w:val="17"/>
          <w:b w:val="1"/>
          <w:bCs w:val="1"/>
          <w:color w:val="auto"/>
        </w:rPr>
      </w:pPr>
    </w:p>
    <w:p>
      <w:pPr>
        <w:ind w:left="936" w:hanging="315"/>
        <w:spacing w:after="0"/>
        <w:tabs>
          <w:tab w:leader="none" w:pos="936" w:val="left"/>
        </w:tabs>
        <w:numPr>
          <w:ilvl w:val="1"/>
          <w:numId w:val="11"/>
        </w:numPr>
        <w:rPr>
          <w:rFonts w:ascii="Arial" w:cs="Arial" w:eastAsia="Arial" w:hAnsi="Arial"/>
          <w:sz w:val="17"/>
          <w:szCs w:val="17"/>
          <w:color w:val="auto"/>
        </w:rPr>
      </w:pPr>
      <w:r>
        <w:rPr>
          <w:rFonts w:ascii="Arial" w:cs="Arial" w:eastAsia="Arial" w:hAnsi="Arial"/>
          <w:sz w:val="17"/>
          <w:szCs w:val="17"/>
          <w:color w:val="auto"/>
        </w:rPr>
        <w:t>Main acquisitions, incorporations and mergers -</w:t>
      </w:r>
    </w:p>
    <w:p>
      <w:pPr>
        <w:spacing w:after="0" w:line="193" w:lineRule="exact"/>
        <w:rPr>
          <w:rFonts w:ascii="Arial" w:cs="Arial" w:eastAsia="Arial" w:hAnsi="Arial"/>
          <w:sz w:val="17"/>
          <w:szCs w:val="17"/>
          <w:color w:val="auto"/>
        </w:rPr>
      </w:pPr>
    </w:p>
    <w:p>
      <w:pPr>
        <w:ind w:left="936" w:right="300"/>
        <w:spacing w:after="0" w:line="254" w:lineRule="auto"/>
        <w:rPr>
          <w:rFonts w:ascii="Arial" w:cs="Arial" w:eastAsia="Arial" w:hAnsi="Arial"/>
          <w:sz w:val="17"/>
          <w:szCs w:val="17"/>
          <w:color w:val="auto"/>
        </w:rPr>
      </w:pPr>
      <w:r>
        <w:rPr>
          <w:rFonts w:ascii="Arial" w:cs="Arial" w:eastAsia="Arial" w:hAnsi="Arial"/>
          <w:sz w:val="17"/>
          <w:szCs w:val="17"/>
          <w:color w:val="auto"/>
        </w:rPr>
        <w:t>In 2022, the Group has not carried out significant transaction of acquisitions, incorporations, or mergers of companies. In 2021, the Group has carried out the following transactions under common control:</w:t>
      </w:r>
    </w:p>
    <w:p>
      <w:pPr>
        <w:spacing w:after="0" w:line="169" w:lineRule="exact"/>
        <w:rPr>
          <w:rFonts w:ascii="Arial" w:cs="Arial" w:eastAsia="Arial" w:hAnsi="Arial"/>
          <w:sz w:val="17"/>
          <w:szCs w:val="17"/>
          <w:color w:val="auto"/>
        </w:rPr>
      </w:pPr>
    </w:p>
    <w:p>
      <w:pPr>
        <w:ind w:left="1236" w:hanging="304"/>
        <w:spacing w:after="0"/>
        <w:tabs>
          <w:tab w:leader="none" w:pos="1236" w:val="left"/>
        </w:tabs>
        <w:numPr>
          <w:ilvl w:val="2"/>
          <w:numId w:val="11"/>
        </w:numPr>
        <w:rPr>
          <w:rFonts w:ascii="Arial" w:cs="Arial" w:eastAsia="Arial" w:hAnsi="Arial"/>
          <w:sz w:val="17"/>
          <w:szCs w:val="17"/>
          <w:color w:val="auto"/>
        </w:rPr>
      </w:pPr>
      <w:r>
        <w:rPr>
          <w:rFonts w:ascii="Arial" w:cs="Arial" w:eastAsia="Arial" w:hAnsi="Arial"/>
          <w:sz w:val="17"/>
          <w:szCs w:val="17"/>
          <w:color w:val="auto"/>
        </w:rPr>
        <w:t>Merger by absorption between ASB Bank Corp. and Atlantic Security Bank -</w:t>
      </w:r>
    </w:p>
    <w:p>
      <w:pPr>
        <w:spacing w:after="0" w:line="193" w:lineRule="exact"/>
        <w:rPr>
          <w:rFonts w:ascii="Arial" w:cs="Arial" w:eastAsia="Arial" w:hAnsi="Arial"/>
          <w:sz w:val="17"/>
          <w:szCs w:val="17"/>
          <w:color w:val="auto"/>
        </w:rPr>
      </w:pPr>
    </w:p>
    <w:p>
      <w:pPr>
        <w:ind w:left="1236" w:right="160"/>
        <w:spacing w:after="0" w:line="243" w:lineRule="auto"/>
        <w:rPr>
          <w:rFonts w:ascii="Arial" w:cs="Arial" w:eastAsia="Arial" w:hAnsi="Arial"/>
          <w:sz w:val="17"/>
          <w:szCs w:val="17"/>
          <w:color w:val="auto"/>
        </w:rPr>
      </w:pPr>
      <w:r>
        <w:rPr>
          <w:rFonts w:ascii="Arial" w:cs="Arial" w:eastAsia="Arial" w:hAnsi="Arial"/>
          <w:sz w:val="17"/>
          <w:szCs w:val="17"/>
          <w:color w:val="auto"/>
        </w:rPr>
        <w:t>At the General Shareholders’ Meeting - Extraordinary Meeting held on November 27, 2020, the shareholders of ASB Bank Corp. approved the merger by absorption of Atlantic Security Bank. This operation was authorized by the Superintendency of Banks of Panama through Resolution SBP-033-2021 held on April 9, 2021. Also, on August 2, 2021, ASB Bank Corp. (absorbing entity) acquired all the assets, liabilities, rights and obligations of Atlantic Security Bank (absorbed entity).</w:t>
      </w:r>
    </w:p>
    <w:p>
      <w:pPr>
        <w:spacing w:after="0" w:line="179" w:lineRule="exact"/>
        <w:rPr>
          <w:rFonts w:ascii="Arial" w:cs="Arial" w:eastAsia="Arial" w:hAnsi="Arial"/>
          <w:sz w:val="17"/>
          <w:szCs w:val="17"/>
          <w:color w:val="auto"/>
        </w:rPr>
      </w:pPr>
    </w:p>
    <w:p>
      <w:pPr>
        <w:ind w:left="1236"/>
        <w:spacing w:after="0"/>
        <w:rPr>
          <w:rFonts w:ascii="Arial" w:cs="Arial" w:eastAsia="Arial" w:hAnsi="Arial"/>
          <w:sz w:val="17"/>
          <w:szCs w:val="17"/>
          <w:color w:val="auto"/>
        </w:rPr>
      </w:pPr>
      <w:r>
        <w:rPr>
          <w:rFonts w:ascii="Arial" w:cs="Arial" w:eastAsia="Arial" w:hAnsi="Arial"/>
          <w:sz w:val="17"/>
          <w:szCs w:val="17"/>
          <w:color w:val="auto"/>
        </w:rPr>
        <w:t>This transaction has not generated a significant impact on the Group’s consolidated financial statements.</w:t>
      </w:r>
    </w:p>
    <w:p>
      <w:pPr>
        <w:spacing w:after="0" w:line="193" w:lineRule="exact"/>
        <w:rPr>
          <w:rFonts w:ascii="Arial" w:cs="Arial" w:eastAsia="Arial" w:hAnsi="Arial"/>
          <w:sz w:val="17"/>
          <w:szCs w:val="17"/>
          <w:color w:val="auto"/>
        </w:rPr>
      </w:pPr>
    </w:p>
    <w:p>
      <w:pPr>
        <w:ind w:left="1236" w:hanging="304"/>
        <w:spacing w:after="0"/>
        <w:tabs>
          <w:tab w:leader="none" w:pos="1236" w:val="left"/>
        </w:tabs>
        <w:numPr>
          <w:ilvl w:val="2"/>
          <w:numId w:val="11"/>
        </w:numPr>
        <w:rPr>
          <w:rFonts w:ascii="Arial" w:cs="Arial" w:eastAsia="Arial" w:hAnsi="Arial"/>
          <w:sz w:val="17"/>
          <w:szCs w:val="17"/>
          <w:color w:val="auto"/>
        </w:rPr>
      </w:pPr>
      <w:r>
        <w:rPr>
          <w:rFonts w:ascii="Arial" w:cs="Arial" w:eastAsia="Arial" w:hAnsi="Arial"/>
          <w:sz w:val="17"/>
          <w:szCs w:val="17"/>
          <w:color w:val="auto"/>
        </w:rPr>
        <w:t>Merger by absorption between Ultralat Capital Markets, LLC and Credicorp Capital Securities, Inc. -</w:t>
      </w:r>
    </w:p>
    <w:p>
      <w:pPr>
        <w:spacing w:after="0" w:line="193" w:lineRule="exact"/>
        <w:rPr>
          <w:rFonts w:ascii="Arial" w:cs="Arial" w:eastAsia="Arial" w:hAnsi="Arial"/>
          <w:sz w:val="17"/>
          <w:szCs w:val="17"/>
          <w:color w:val="auto"/>
        </w:rPr>
      </w:pPr>
    </w:p>
    <w:p>
      <w:pPr>
        <w:ind w:left="1236"/>
        <w:spacing w:after="0" w:line="241" w:lineRule="auto"/>
        <w:rPr>
          <w:rFonts w:ascii="Arial" w:cs="Arial" w:eastAsia="Arial" w:hAnsi="Arial"/>
          <w:sz w:val="17"/>
          <w:szCs w:val="17"/>
          <w:color w:val="auto"/>
        </w:rPr>
      </w:pPr>
      <w:r>
        <w:rPr>
          <w:rFonts w:ascii="Arial" w:cs="Arial" w:eastAsia="Arial" w:hAnsi="Arial"/>
          <w:sz w:val="17"/>
          <w:szCs w:val="17"/>
          <w:color w:val="auto"/>
        </w:rPr>
        <w:t>On February 28, 2020 the Board of Directors of Ultralat Group Inc., parent company and sole shareholder of Ultralat Capital Markets, LLC and of Credicorp Capital Securities, Inc. approved the merger by absorption process between Ultralat Capital Markets, LLC and Credicorp Capital Securities, Inc. It also agreed that, at the date of the merger, the legal name of the new merged entity will be “Credicorp Capital LLC.” This operation was authorized by the Financial Industry Regulatory Authority (FINRA) of the United States on December 4, 2020. Likewise, on February 1, 2021 Ultralat Capital Markets, LLC (absorbing entity) acquired the assets, liabilities, rights and obligations of Credicorp Capital Securities, Inc. (absorbed entity).</w:t>
      </w:r>
    </w:p>
    <w:p>
      <w:pPr>
        <w:spacing w:after="0" w:line="182" w:lineRule="exact"/>
        <w:rPr>
          <w:rFonts w:ascii="Arial" w:cs="Arial" w:eastAsia="Arial" w:hAnsi="Arial"/>
          <w:sz w:val="17"/>
          <w:szCs w:val="17"/>
          <w:color w:val="auto"/>
        </w:rPr>
      </w:pPr>
    </w:p>
    <w:p>
      <w:pPr>
        <w:ind w:left="1236"/>
        <w:spacing w:after="0"/>
        <w:rPr>
          <w:rFonts w:ascii="Arial" w:cs="Arial" w:eastAsia="Arial" w:hAnsi="Arial"/>
          <w:sz w:val="17"/>
          <w:szCs w:val="17"/>
          <w:color w:val="auto"/>
        </w:rPr>
      </w:pPr>
      <w:r>
        <w:rPr>
          <w:rFonts w:ascii="Arial" w:cs="Arial" w:eastAsia="Arial" w:hAnsi="Arial"/>
          <w:sz w:val="17"/>
          <w:szCs w:val="17"/>
          <w:color w:val="auto"/>
        </w:rPr>
        <w:t>This transaction has not generated a significant impact on the Group’s consolidated financial statements.</w:t>
      </w:r>
    </w:p>
    <w:p>
      <w:pPr>
        <w:spacing w:after="0" w:line="193" w:lineRule="exact"/>
        <w:rPr>
          <w:rFonts w:ascii="Arial" w:cs="Arial" w:eastAsia="Arial" w:hAnsi="Arial"/>
          <w:sz w:val="17"/>
          <w:szCs w:val="17"/>
          <w:color w:val="auto"/>
        </w:rPr>
      </w:pPr>
    </w:p>
    <w:p>
      <w:pPr>
        <w:ind w:left="936" w:hanging="315"/>
        <w:spacing w:after="0"/>
        <w:tabs>
          <w:tab w:leader="none" w:pos="936" w:val="left"/>
        </w:tabs>
        <w:numPr>
          <w:ilvl w:val="1"/>
          <w:numId w:val="11"/>
        </w:numPr>
        <w:rPr>
          <w:rFonts w:ascii="Arial" w:cs="Arial" w:eastAsia="Arial" w:hAnsi="Arial"/>
          <w:sz w:val="17"/>
          <w:szCs w:val="17"/>
          <w:color w:val="auto"/>
        </w:rPr>
      </w:pPr>
      <w:r>
        <w:rPr>
          <w:rFonts w:ascii="Arial" w:cs="Arial" w:eastAsia="Arial" w:hAnsi="Arial"/>
          <w:sz w:val="17"/>
          <w:szCs w:val="17"/>
          <w:color w:val="auto"/>
        </w:rPr>
        <w:t>Current situation -</w:t>
      </w:r>
    </w:p>
    <w:p>
      <w:pPr>
        <w:spacing w:after="0" w:line="193" w:lineRule="exact"/>
        <w:rPr>
          <w:rFonts w:ascii="Arial" w:cs="Arial" w:eastAsia="Arial" w:hAnsi="Arial"/>
          <w:sz w:val="17"/>
          <w:szCs w:val="17"/>
          <w:color w:val="auto"/>
        </w:rPr>
      </w:pPr>
    </w:p>
    <w:p>
      <w:pPr>
        <w:ind w:left="936"/>
        <w:spacing w:after="0" w:line="243" w:lineRule="auto"/>
        <w:rPr>
          <w:rFonts w:ascii="Arial" w:cs="Arial" w:eastAsia="Arial" w:hAnsi="Arial"/>
          <w:sz w:val="17"/>
          <w:szCs w:val="17"/>
          <w:color w:val="auto"/>
        </w:rPr>
      </w:pPr>
      <w:r>
        <w:rPr>
          <w:rFonts w:ascii="Arial" w:cs="Arial" w:eastAsia="Arial" w:hAnsi="Arial"/>
          <w:sz w:val="17"/>
          <w:szCs w:val="17"/>
          <w:color w:val="202124"/>
        </w:rPr>
        <w:t>As of December 2022, social protests have been taking place in several regions in response to political events that occurred in Peru. These protests have produced a decrease in commercial activity in these regions and, therefore, the temporary restriction of liquidity in certain people and companies. In this sense, the Group has carried out during the month of January 2023, rescheduling of loans to its customers within the framework of the measures implemented by the SBS for an amount of S/650,179 thousand.</w:t>
      </w:r>
    </w:p>
    <w:p>
      <w:pPr>
        <w:spacing w:after="0" w:line="179" w:lineRule="exact"/>
        <w:rPr>
          <w:rFonts w:ascii="Arial" w:cs="Arial" w:eastAsia="Arial" w:hAnsi="Arial"/>
          <w:sz w:val="17"/>
          <w:szCs w:val="17"/>
          <w:color w:val="auto"/>
        </w:rPr>
      </w:pPr>
    </w:p>
    <w:p>
      <w:pPr>
        <w:ind w:left="936"/>
        <w:spacing w:after="0" w:line="254" w:lineRule="auto"/>
        <w:rPr>
          <w:rFonts w:ascii="Arial" w:cs="Arial" w:eastAsia="Arial" w:hAnsi="Arial"/>
          <w:sz w:val="17"/>
          <w:szCs w:val="17"/>
          <w:color w:val="auto"/>
        </w:rPr>
      </w:pPr>
      <w:r>
        <w:rPr>
          <w:rFonts w:ascii="Arial" w:cs="Arial" w:eastAsia="Arial" w:hAnsi="Arial"/>
          <w:sz w:val="17"/>
          <w:szCs w:val="17"/>
          <w:color w:val="202124"/>
        </w:rPr>
        <w:t>In Management’s opinion, this current situation has not affected group´s operations or generated any significant impact on the financial statements presented as of December 31, 2022.</w:t>
      </w:r>
    </w:p>
    <w:p>
      <w:pPr>
        <w:spacing w:after="0" w:line="143" w:lineRule="exact"/>
        <w:rPr>
          <w:rFonts w:ascii="Arial" w:cs="Arial" w:eastAsia="Arial" w:hAnsi="Arial"/>
          <w:sz w:val="17"/>
          <w:szCs w:val="17"/>
          <w:color w:val="auto"/>
        </w:rPr>
      </w:pPr>
    </w:p>
    <w:p>
      <w:pPr>
        <w:ind w:left="5516" w:hanging="97"/>
        <w:spacing w:after="0"/>
        <w:tabs>
          <w:tab w:leader="none" w:pos="5516" w:val="left"/>
        </w:tabs>
        <w:numPr>
          <w:ilvl w:val="3"/>
          <w:numId w:val="11"/>
        </w:numPr>
        <w:rPr>
          <w:rFonts w:ascii="Arial" w:cs="Arial" w:eastAsia="Arial" w:hAnsi="Arial"/>
          <w:sz w:val="17"/>
          <w:szCs w:val="17"/>
          <w:color w:val="auto"/>
        </w:rPr>
      </w:pPr>
      <w:r>
        <w:rPr>
          <w:rFonts w:ascii="Arial" w:cs="Arial" w:eastAsia="Arial" w:hAnsi="Arial"/>
          <w:sz w:val="17"/>
          <w:szCs w:val="17"/>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3803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96"/>
          </w:cols>
          <w:pgMar w:left="324" w:top="118" w:right="379" w:bottom="1440" w:gutter="0" w:footer="0" w:header="0"/>
        </w:sectPr>
      </w:pPr>
    </w:p>
    <w:bookmarkStart w:id="25" w:name="page26"/>
    <w:bookmarkEnd w:id="25"/>
    <w:p>
      <w:pPr>
        <w:ind w:left="616" w:hanging="616"/>
        <w:spacing w:after="0"/>
        <w:tabs>
          <w:tab w:leader="none" w:pos="616"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214" w:lineRule="exact"/>
        <w:rPr>
          <w:rFonts w:ascii="Arial" w:cs="Arial" w:eastAsia="Arial" w:hAnsi="Arial"/>
          <w:sz w:val="17"/>
          <w:szCs w:val="17"/>
          <w:b w:val="1"/>
          <w:bCs w:val="1"/>
          <w:color w:val="auto"/>
        </w:rPr>
      </w:pPr>
    </w:p>
    <w:p>
      <w:pPr>
        <w:ind w:left="616"/>
        <w:spacing w:after="0"/>
        <w:rPr>
          <w:rFonts w:ascii="Arial" w:cs="Arial" w:eastAsia="Arial" w:hAnsi="Arial"/>
          <w:sz w:val="17"/>
          <w:szCs w:val="17"/>
          <w:b w:val="1"/>
          <w:bCs w:val="1"/>
          <w:color w:val="auto"/>
        </w:rPr>
      </w:pPr>
      <w:r>
        <w:rPr>
          <w:rFonts w:ascii="Arial" w:cs="Arial" w:eastAsia="Arial" w:hAnsi="Arial"/>
          <w:sz w:val="17"/>
          <w:szCs w:val="17"/>
          <w:color w:val="auto"/>
        </w:rPr>
        <w:t>The significant accounting policies applied in the preparation of Credicorp’s consolidated financial statements are set out below:</w:t>
      </w:r>
    </w:p>
    <w:p>
      <w:pPr>
        <w:spacing w:after="0" w:line="171" w:lineRule="exact"/>
        <w:rPr>
          <w:rFonts w:ascii="Arial" w:cs="Arial" w:eastAsia="Arial" w:hAnsi="Arial"/>
          <w:sz w:val="17"/>
          <w:szCs w:val="17"/>
          <w:b w:val="1"/>
          <w:bCs w:val="1"/>
          <w:color w:val="auto"/>
        </w:rPr>
      </w:pPr>
    </w:p>
    <w:p>
      <w:pPr>
        <w:ind w:left="936" w:hanging="315"/>
        <w:spacing w:after="0"/>
        <w:tabs>
          <w:tab w:leader="none" w:pos="936"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Basis of presentation, use of estimates and changes in accounting policies </w:t>
      </w:r>
      <w:r>
        <w:rPr>
          <w:rFonts w:ascii="Arial" w:cs="Arial" w:eastAsia="Arial" w:hAnsi="Arial"/>
          <w:sz w:val="17"/>
          <w:szCs w:val="17"/>
          <w:b w:val="1"/>
          <w:bCs w:val="1"/>
          <w:color w:val="auto"/>
        </w:rPr>
        <w:t>-</w:t>
      </w:r>
    </w:p>
    <w:p>
      <w:pPr>
        <w:spacing w:after="0" w:line="215" w:lineRule="exact"/>
        <w:rPr>
          <w:rFonts w:ascii="Arial" w:cs="Arial" w:eastAsia="Arial" w:hAnsi="Arial"/>
          <w:sz w:val="17"/>
          <w:szCs w:val="17"/>
          <w:color w:val="auto"/>
        </w:rPr>
      </w:pPr>
    </w:p>
    <w:p>
      <w:pPr>
        <w:ind w:left="936" w:right="660"/>
        <w:spacing w:after="0" w:line="254" w:lineRule="auto"/>
        <w:rPr>
          <w:rFonts w:ascii="Arial" w:cs="Arial" w:eastAsia="Arial" w:hAnsi="Arial"/>
          <w:sz w:val="17"/>
          <w:szCs w:val="17"/>
          <w:color w:val="auto"/>
        </w:rPr>
      </w:pPr>
      <w:r>
        <w:rPr>
          <w:rFonts w:ascii="Arial" w:cs="Arial" w:eastAsia="Arial" w:hAnsi="Arial"/>
          <w:sz w:val="17"/>
          <w:szCs w:val="17"/>
          <w:color w:val="auto"/>
        </w:rPr>
        <w:t>The accompanying consolidated financial statements have been prepared in accordance with International Financial Reporting Standards (IFRS) as issued by the International Accounting Standards Board (IASB).</w:t>
      </w:r>
    </w:p>
    <w:p>
      <w:pPr>
        <w:spacing w:after="0" w:line="169" w:lineRule="exact"/>
        <w:rPr>
          <w:rFonts w:ascii="Arial" w:cs="Arial" w:eastAsia="Arial" w:hAnsi="Arial"/>
          <w:sz w:val="17"/>
          <w:szCs w:val="17"/>
          <w:color w:val="auto"/>
        </w:rPr>
      </w:pPr>
    </w:p>
    <w:p>
      <w:pPr>
        <w:ind w:left="936" w:right="120"/>
        <w:spacing w:after="0" w:line="243" w:lineRule="auto"/>
        <w:rPr>
          <w:rFonts w:ascii="Arial" w:cs="Arial" w:eastAsia="Arial" w:hAnsi="Arial"/>
          <w:sz w:val="17"/>
          <w:szCs w:val="17"/>
          <w:color w:val="auto"/>
        </w:rPr>
      </w:pPr>
      <w:r>
        <w:rPr>
          <w:rFonts w:ascii="Arial" w:cs="Arial" w:eastAsia="Arial" w:hAnsi="Arial"/>
          <w:sz w:val="17"/>
          <w:szCs w:val="17"/>
          <w:color w:val="auto"/>
        </w:rPr>
        <w:t>The consolidated financial statements as of December 31, 2022 and 2021 have been prepared following the historical cost criteria, except for investments at fair value through profit or loss, investments at fair value through other comprehensive income, financial assets designated at fair value through profit or loss, derivative financial instruments, and financial liabilities at fair value through profit or loss; which have been measured at fair value.</w:t>
      </w:r>
    </w:p>
    <w:p>
      <w:pPr>
        <w:spacing w:after="0" w:line="179" w:lineRule="exact"/>
        <w:rPr>
          <w:rFonts w:ascii="Arial" w:cs="Arial" w:eastAsia="Arial" w:hAnsi="Arial"/>
          <w:sz w:val="17"/>
          <w:szCs w:val="17"/>
          <w:color w:val="auto"/>
        </w:rPr>
      </w:pPr>
    </w:p>
    <w:p>
      <w:pPr>
        <w:ind w:left="936" w:right="360"/>
        <w:spacing w:after="0" w:line="254" w:lineRule="auto"/>
        <w:rPr>
          <w:rFonts w:ascii="Arial" w:cs="Arial" w:eastAsia="Arial" w:hAnsi="Arial"/>
          <w:sz w:val="17"/>
          <w:szCs w:val="17"/>
          <w:color w:val="auto"/>
        </w:rPr>
      </w:pPr>
      <w:r>
        <w:rPr>
          <w:rFonts w:ascii="Arial" w:cs="Arial" w:eastAsia="Arial" w:hAnsi="Arial"/>
          <w:sz w:val="17"/>
          <w:szCs w:val="17"/>
          <w:color w:val="auto"/>
        </w:rPr>
        <w:t>The consolidated financial statements are presented in Soles (S/), which is the functional currency of the Group, see paragraph (c) below, and values are rounded to thousands of soles, unless otherwise stated.</w:t>
      </w:r>
    </w:p>
    <w:p>
      <w:pPr>
        <w:spacing w:after="0" w:line="169" w:lineRule="exact"/>
        <w:rPr>
          <w:rFonts w:ascii="Arial" w:cs="Arial" w:eastAsia="Arial" w:hAnsi="Arial"/>
          <w:sz w:val="17"/>
          <w:szCs w:val="17"/>
          <w:color w:val="auto"/>
        </w:rPr>
      </w:pPr>
    </w:p>
    <w:p>
      <w:pPr>
        <w:ind w:left="936" w:right="240"/>
        <w:spacing w:after="0" w:line="246" w:lineRule="auto"/>
        <w:rPr>
          <w:rFonts w:ascii="Arial" w:cs="Arial" w:eastAsia="Arial" w:hAnsi="Arial"/>
          <w:sz w:val="17"/>
          <w:szCs w:val="17"/>
          <w:color w:val="auto"/>
        </w:rPr>
      </w:pPr>
      <w:r>
        <w:rPr>
          <w:rFonts w:ascii="Arial" w:cs="Arial" w:eastAsia="Arial" w:hAnsi="Arial"/>
          <w:sz w:val="17"/>
          <w:szCs w:val="17"/>
          <w:color w:val="auto"/>
        </w:rPr>
        <w:t>The preparation of the consolidated financial statements in accordance with IFRS requires Management to make estimates and assumptions that affect the reported amounts of assets, liabilities, revenues and expenses and the disclosure of significant events in notes to the consolidated financial statements.</w:t>
      </w:r>
    </w:p>
    <w:p>
      <w:pPr>
        <w:spacing w:after="0" w:line="175" w:lineRule="exact"/>
        <w:rPr>
          <w:rFonts w:ascii="Arial" w:cs="Arial" w:eastAsia="Arial" w:hAnsi="Arial"/>
          <w:sz w:val="17"/>
          <w:szCs w:val="17"/>
          <w:color w:val="auto"/>
        </w:rPr>
      </w:pPr>
    </w:p>
    <w:p>
      <w:pPr>
        <w:ind w:left="936" w:right="60"/>
        <w:spacing w:after="0" w:line="246" w:lineRule="auto"/>
        <w:rPr>
          <w:rFonts w:ascii="Arial" w:cs="Arial" w:eastAsia="Arial" w:hAnsi="Arial"/>
          <w:sz w:val="17"/>
          <w:szCs w:val="17"/>
          <w:color w:val="auto"/>
        </w:rPr>
      </w:pPr>
      <w:r>
        <w:rPr>
          <w:rFonts w:ascii="Arial" w:cs="Arial" w:eastAsia="Arial" w:hAnsi="Arial"/>
          <w:sz w:val="17"/>
          <w:szCs w:val="17"/>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the Management expects that the variations, if any, will not have a material impact on the consolidated financial statements.</w:t>
      </w:r>
    </w:p>
    <w:p>
      <w:pPr>
        <w:spacing w:after="0" w:line="175" w:lineRule="exact"/>
        <w:rPr>
          <w:rFonts w:ascii="Arial" w:cs="Arial" w:eastAsia="Arial" w:hAnsi="Arial"/>
          <w:sz w:val="17"/>
          <w:szCs w:val="17"/>
          <w:color w:val="auto"/>
        </w:rPr>
      </w:pPr>
    </w:p>
    <w:p>
      <w:pPr>
        <w:ind w:left="936" w:right="100"/>
        <w:spacing w:after="0" w:line="243" w:lineRule="auto"/>
        <w:rPr>
          <w:rFonts w:ascii="Arial" w:cs="Arial" w:eastAsia="Arial" w:hAnsi="Arial"/>
          <w:sz w:val="17"/>
          <w:szCs w:val="17"/>
          <w:color w:val="auto"/>
        </w:rPr>
      </w:pPr>
      <w:r>
        <w:rPr>
          <w:rFonts w:ascii="Arial" w:cs="Arial" w:eastAsia="Arial" w:hAnsi="Arial"/>
          <w:sz w:val="17"/>
          <w:szCs w:val="17"/>
          <w:color w:val="auto"/>
        </w:rPr>
        <w:t>The most significant estimates included in the accompanying consolidated financial statements are related to the calculation of the allowance of the expected credit loss on loan portfolio, the valuation of investments, the technical reserves for insurance claims and premiums, the impairment of goodwill , the expected credit loss for investments at fair value through other comprehensive income and investments at amortized cost, the valuation of share-based payment plans and the valuation of derivative financial instruments.</w:t>
      </w:r>
    </w:p>
    <w:p>
      <w:pPr>
        <w:spacing w:after="0" w:line="179" w:lineRule="exact"/>
        <w:rPr>
          <w:rFonts w:ascii="Arial" w:cs="Arial" w:eastAsia="Arial" w:hAnsi="Arial"/>
          <w:sz w:val="17"/>
          <w:szCs w:val="17"/>
          <w:color w:val="auto"/>
        </w:rPr>
      </w:pPr>
    </w:p>
    <w:p>
      <w:pPr>
        <w:ind w:left="936"/>
        <w:spacing w:after="0" w:line="254" w:lineRule="auto"/>
        <w:rPr>
          <w:rFonts w:ascii="Arial" w:cs="Arial" w:eastAsia="Arial" w:hAnsi="Arial"/>
          <w:sz w:val="17"/>
          <w:szCs w:val="17"/>
          <w:color w:val="auto"/>
        </w:rPr>
      </w:pPr>
      <w:r>
        <w:rPr>
          <w:rFonts w:ascii="Arial" w:cs="Arial" w:eastAsia="Arial" w:hAnsi="Arial"/>
          <w:sz w:val="17"/>
          <w:szCs w:val="17"/>
          <w:color w:val="auto"/>
        </w:rPr>
        <w:t>Furthermore, there are other estimates, such as the estimated useful life of intangible assets, property, furniture and equipment and the deferred income tax assets and liabilities. The accounting criteria used for said estimates are described below.</w:t>
      </w:r>
    </w:p>
    <w:p>
      <w:pPr>
        <w:spacing w:after="0" w:line="169" w:lineRule="exact"/>
        <w:rPr>
          <w:rFonts w:ascii="Arial" w:cs="Arial" w:eastAsia="Arial" w:hAnsi="Arial"/>
          <w:sz w:val="17"/>
          <w:szCs w:val="17"/>
          <w:color w:val="auto"/>
        </w:rPr>
      </w:pPr>
    </w:p>
    <w:p>
      <w:pPr>
        <w:ind w:left="936"/>
        <w:spacing w:after="0" w:line="254" w:lineRule="auto"/>
        <w:rPr>
          <w:rFonts w:ascii="Arial" w:cs="Arial" w:eastAsia="Arial" w:hAnsi="Arial"/>
          <w:sz w:val="17"/>
          <w:szCs w:val="17"/>
          <w:color w:val="auto"/>
        </w:rPr>
      </w:pPr>
      <w:r>
        <w:rPr>
          <w:rFonts w:ascii="Arial" w:cs="Arial" w:eastAsia="Arial" w:hAnsi="Arial"/>
          <w:sz w:val="17"/>
          <w:szCs w:val="17"/>
          <w:color w:val="auto"/>
        </w:rPr>
        <w:t>The Group has adopted the following standards and amendments for the first time for its annual period beginning on or after January 1, 2022, as described below:</w:t>
      </w:r>
    </w:p>
    <w:p>
      <w:pPr>
        <w:spacing w:after="0" w:line="169" w:lineRule="exact"/>
        <w:rPr>
          <w:rFonts w:ascii="Arial" w:cs="Arial" w:eastAsia="Arial" w:hAnsi="Arial"/>
          <w:sz w:val="17"/>
          <w:szCs w:val="17"/>
          <w:color w:val="auto"/>
        </w:rPr>
      </w:pPr>
    </w:p>
    <w:p>
      <w:pPr>
        <w:ind w:left="1236" w:hanging="304"/>
        <w:spacing w:after="0"/>
        <w:tabs>
          <w:tab w:leader="none" w:pos="1236" w:val="left"/>
        </w:tabs>
        <w:numPr>
          <w:ilvl w:val="2"/>
          <w:numId w:val="12"/>
        </w:numPr>
        <w:rPr>
          <w:rFonts w:ascii="Arial" w:cs="Arial" w:eastAsia="Arial" w:hAnsi="Arial"/>
          <w:sz w:val="17"/>
          <w:szCs w:val="17"/>
          <w:color w:val="auto"/>
        </w:rPr>
      </w:pPr>
      <w:r>
        <w:rPr>
          <w:rFonts w:ascii="Arial" w:cs="Arial" w:eastAsia="Arial" w:hAnsi="Arial"/>
          <w:sz w:val="17"/>
          <w:szCs w:val="17"/>
          <w:color w:val="auto"/>
        </w:rPr>
        <w:t>Amendments to IAS16 - Property, Plant and Equipment: Proceeds before Intended Use</w:t>
      </w:r>
    </w:p>
    <w:p>
      <w:pPr>
        <w:spacing w:after="0" w:line="193" w:lineRule="exact"/>
        <w:rPr>
          <w:rFonts w:ascii="Arial" w:cs="Arial" w:eastAsia="Arial" w:hAnsi="Arial"/>
          <w:sz w:val="17"/>
          <w:szCs w:val="17"/>
          <w:color w:val="auto"/>
        </w:rPr>
      </w:pPr>
    </w:p>
    <w:p>
      <w:pPr>
        <w:ind w:left="1236" w:right="40"/>
        <w:spacing w:after="0" w:line="241" w:lineRule="auto"/>
        <w:rPr>
          <w:rFonts w:ascii="Arial" w:cs="Arial" w:eastAsia="Arial" w:hAnsi="Arial"/>
          <w:sz w:val="17"/>
          <w:szCs w:val="17"/>
          <w:color w:val="auto"/>
        </w:rPr>
      </w:pPr>
      <w:r>
        <w:rPr>
          <w:rFonts w:ascii="Arial" w:cs="Arial" w:eastAsia="Arial" w:hAnsi="Arial"/>
          <w:sz w:val="17"/>
          <w:szCs w:val="17"/>
          <w:color w:val="auto"/>
        </w:rPr>
        <w:t>In May 2020, the Board of International Accounting Standards Board issued the Property, Plant and Equipment rule: Proceeds before Intended Use, which prohibits companies from deducting from the cost of an article of Property, Plant and Equipment any product of the sale of articles produced while said asset is transported to the location and the conditions are adequate for it to operate in the manner foreseen by the administration. Instead, an entity must recognize the product of the sale of said articles and the costs of production of the same in the profit and loss statement. These amendments take effect on January 1, 2022 and must be applied retrospectively to articles of property, plant and equipment that are made available for use on or after the beginning with the first period that the entity applied the amendment for the first time.</w:t>
      </w:r>
    </w:p>
    <w:p>
      <w:pPr>
        <w:spacing w:after="0" w:line="154" w:lineRule="exact"/>
        <w:rPr>
          <w:rFonts w:ascii="Arial" w:cs="Arial" w:eastAsia="Arial" w:hAnsi="Arial"/>
          <w:sz w:val="17"/>
          <w:szCs w:val="17"/>
          <w:color w:val="auto"/>
        </w:rPr>
      </w:pPr>
    </w:p>
    <w:p>
      <w:pPr>
        <w:ind w:left="5516" w:hanging="97"/>
        <w:spacing w:after="0"/>
        <w:tabs>
          <w:tab w:leader="none" w:pos="5516" w:val="left"/>
        </w:tabs>
        <w:numPr>
          <w:ilvl w:val="3"/>
          <w:numId w:val="12"/>
        </w:numPr>
        <w:rPr>
          <w:rFonts w:ascii="Arial" w:cs="Arial" w:eastAsia="Arial" w:hAnsi="Arial"/>
          <w:sz w:val="17"/>
          <w:szCs w:val="17"/>
          <w:color w:val="auto"/>
        </w:rPr>
      </w:pPr>
      <w:r>
        <w:rPr>
          <w:rFonts w:ascii="Arial" w:cs="Arial" w:eastAsia="Arial" w:hAnsi="Arial"/>
          <w:sz w:val="17"/>
          <w:szCs w:val="17"/>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3803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6"/>
          </w:cols>
          <w:pgMar w:left="324" w:top="118" w:right="339" w:bottom="1440" w:gutter="0" w:footer="0" w:header="0"/>
        </w:sectPr>
      </w:pPr>
    </w:p>
    <w:bookmarkStart w:id="26" w:name="page27"/>
    <w:bookmarkEnd w:id="26"/>
    <w:p>
      <w:pPr>
        <w:ind w:left="304"/>
        <w:spacing w:after="0"/>
        <w:rPr>
          <w:sz w:val="20"/>
          <w:szCs w:val="20"/>
          <w:color w:val="auto"/>
        </w:rPr>
      </w:pPr>
      <w:r>
        <w:rPr>
          <w:rFonts w:ascii="Arial" w:cs="Arial" w:eastAsia="Arial" w:hAnsi="Arial"/>
          <w:sz w:val="17"/>
          <w:szCs w:val="17"/>
          <w:color w:val="auto"/>
        </w:rPr>
        <w:t>This amendment had no impact on the consolidated financial statements.</w:t>
      </w:r>
    </w:p>
    <w:p>
      <w:pPr>
        <w:spacing w:after="0" w:line="192" w:lineRule="exact"/>
        <w:rPr>
          <w:sz w:val="20"/>
          <w:szCs w:val="20"/>
          <w:color w:val="auto"/>
        </w:rPr>
      </w:pPr>
    </w:p>
    <w:p>
      <w:pPr>
        <w:ind w:left="304" w:hanging="304"/>
        <w:spacing w:after="0"/>
        <w:tabs>
          <w:tab w:leader="none" w:pos="3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Amendments to IFRS 3 - Reference to the Conceptual Framework -</w:t>
      </w:r>
    </w:p>
    <w:p>
      <w:pPr>
        <w:spacing w:after="0" w:line="193" w:lineRule="exact"/>
        <w:rPr>
          <w:rFonts w:ascii="Arial" w:cs="Arial" w:eastAsia="Arial" w:hAnsi="Arial"/>
          <w:sz w:val="17"/>
          <w:szCs w:val="17"/>
          <w:color w:val="auto"/>
        </w:rPr>
      </w:pPr>
    </w:p>
    <w:p>
      <w:pPr>
        <w:jc w:val="both"/>
        <w:ind w:left="304" w:right="80"/>
        <w:spacing w:after="0" w:line="246" w:lineRule="auto"/>
        <w:rPr>
          <w:rFonts w:ascii="Arial" w:cs="Arial" w:eastAsia="Arial" w:hAnsi="Arial"/>
          <w:sz w:val="17"/>
          <w:szCs w:val="17"/>
          <w:color w:val="auto"/>
        </w:rPr>
      </w:pPr>
      <w:r>
        <w:rPr>
          <w:rFonts w:ascii="Arial" w:cs="Arial" w:eastAsia="Arial" w:hAnsi="Arial"/>
          <w:sz w:val="17"/>
          <w:szCs w:val="17"/>
          <w:color w:val="auto"/>
        </w:rPr>
        <w:t>Minor amendments were made to IFRS 3 Business combinations to update references to the Conceptual Framework for Financial Information and add an exception to recognize liabilities and contingent liabilities within the scope of IAS37 Provisions, Contingent Liabilities and the Interpretation IFRIC 21 Levies.</w:t>
      </w:r>
    </w:p>
    <w:p>
      <w:pPr>
        <w:spacing w:after="0" w:line="175" w:lineRule="exact"/>
        <w:rPr>
          <w:rFonts w:ascii="Arial" w:cs="Arial" w:eastAsia="Arial" w:hAnsi="Arial"/>
          <w:sz w:val="17"/>
          <w:szCs w:val="17"/>
          <w:color w:val="auto"/>
        </w:rPr>
      </w:pPr>
    </w:p>
    <w:p>
      <w:pPr>
        <w:ind w:left="304" w:right="120"/>
        <w:spacing w:after="0" w:line="254" w:lineRule="auto"/>
        <w:rPr>
          <w:rFonts w:ascii="Arial" w:cs="Arial" w:eastAsia="Arial" w:hAnsi="Arial"/>
          <w:sz w:val="17"/>
          <w:szCs w:val="17"/>
          <w:color w:val="auto"/>
        </w:rPr>
      </w:pPr>
      <w:r>
        <w:rPr>
          <w:rFonts w:ascii="Arial" w:cs="Arial" w:eastAsia="Arial" w:hAnsi="Arial"/>
          <w:sz w:val="17"/>
          <w:szCs w:val="17"/>
          <w:color w:val="auto"/>
        </w:rPr>
        <w:t>The amendments also confirm that active contingent assets should not be recognized on the date of acquisition. The amendment will be effective for annual reporting periods on or after January 1, 2022.</w:t>
      </w:r>
    </w:p>
    <w:p>
      <w:pPr>
        <w:spacing w:after="0" w:line="169"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This amendment had no impact on the consolidated financial statements.</w:t>
      </w:r>
    </w:p>
    <w:p>
      <w:pPr>
        <w:spacing w:after="0" w:line="193" w:lineRule="exact"/>
        <w:rPr>
          <w:rFonts w:ascii="Arial" w:cs="Arial" w:eastAsia="Arial" w:hAnsi="Arial"/>
          <w:sz w:val="17"/>
          <w:szCs w:val="17"/>
          <w:color w:val="auto"/>
        </w:rPr>
      </w:pPr>
    </w:p>
    <w:p>
      <w:pPr>
        <w:ind w:left="304" w:hanging="304"/>
        <w:spacing w:after="0"/>
        <w:tabs>
          <w:tab w:leader="none" w:pos="3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Onerous Contracts - Cost of Fullfilling a Contract - Amendments to IAS37 -</w:t>
      </w:r>
    </w:p>
    <w:p>
      <w:pPr>
        <w:spacing w:after="0" w:line="193" w:lineRule="exact"/>
        <w:rPr>
          <w:rFonts w:ascii="Arial" w:cs="Arial" w:eastAsia="Arial" w:hAnsi="Arial"/>
          <w:sz w:val="17"/>
          <w:szCs w:val="17"/>
          <w:color w:val="auto"/>
        </w:rPr>
      </w:pPr>
    </w:p>
    <w:p>
      <w:pPr>
        <w:ind w:left="304" w:right="60"/>
        <w:spacing w:after="0" w:line="242" w:lineRule="auto"/>
        <w:rPr>
          <w:rFonts w:ascii="Arial" w:cs="Arial" w:eastAsia="Arial" w:hAnsi="Arial"/>
          <w:sz w:val="17"/>
          <w:szCs w:val="17"/>
          <w:color w:val="auto"/>
        </w:rPr>
      </w:pPr>
      <w:r>
        <w:rPr>
          <w:rFonts w:ascii="Arial" w:cs="Arial" w:eastAsia="Arial" w:hAnsi="Arial"/>
          <w:sz w:val="17"/>
          <w:szCs w:val="17"/>
          <w:color w:val="auto"/>
        </w:rPr>
        <w:t>In May 2020, the Board of International Accounting Standards Board issued amendments to IAS 37 to specify which cost an entity must include when assessing if a contract is onerous or generates losses. The amendment to IAS37 clarifies that the direct costs of complying with a contract include both the incremental costs of complying with the contract and the assignment of other costs directly required to comply with the contracts. Prior to recognizing a separate provision for the onerous contract, the entity will recognize any loss for impairment that occurred relative to the assets used to comply with the contract.</w:t>
      </w:r>
    </w:p>
    <w:p>
      <w:pPr>
        <w:spacing w:after="0" w:line="180" w:lineRule="exact"/>
        <w:rPr>
          <w:rFonts w:ascii="Arial" w:cs="Arial" w:eastAsia="Arial" w:hAnsi="Arial"/>
          <w:sz w:val="17"/>
          <w:szCs w:val="17"/>
          <w:color w:val="auto"/>
        </w:rPr>
      </w:pPr>
    </w:p>
    <w:p>
      <w:pPr>
        <w:ind w:left="304" w:right="2740"/>
        <w:spacing w:after="0" w:line="477" w:lineRule="auto"/>
        <w:rPr>
          <w:rFonts w:ascii="Arial" w:cs="Arial" w:eastAsia="Arial" w:hAnsi="Arial"/>
          <w:sz w:val="17"/>
          <w:szCs w:val="17"/>
          <w:color w:val="auto"/>
        </w:rPr>
      </w:pPr>
      <w:r>
        <w:rPr>
          <w:rFonts w:ascii="Arial" w:cs="Arial" w:eastAsia="Arial" w:hAnsi="Arial"/>
          <w:sz w:val="17"/>
          <w:szCs w:val="17"/>
          <w:color w:val="auto"/>
        </w:rPr>
        <w:t>The amendment is effective for annual reporting periods beginning on or after January 1, 2022. This amendment had no impact on the consolidated financial statements.</w:t>
      </w:r>
    </w:p>
    <w:p>
      <w:pPr>
        <w:ind w:left="304" w:hanging="304"/>
        <w:spacing w:after="0"/>
        <w:tabs>
          <w:tab w:leader="none" w:pos="3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Annual improvements to the IFRS 2018 - 2020 Cycle -</w:t>
      </w:r>
    </w:p>
    <w:p>
      <w:pPr>
        <w:spacing w:after="0" w:line="193" w:lineRule="exact"/>
        <w:rPr>
          <w:rFonts w:ascii="Arial" w:cs="Arial" w:eastAsia="Arial" w:hAnsi="Arial"/>
          <w:sz w:val="17"/>
          <w:szCs w:val="17"/>
          <w:color w:val="auto"/>
        </w:rPr>
      </w:pPr>
    </w:p>
    <w:p>
      <w:pPr>
        <w:ind w:left="304" w:right="820"/>
        <w:spacing w:after="0" w:line="254" w:lineRule="auto"/>
        <w:rPr>
          <w:rFonts w:ascii="Arial" w:cs="Arial" w:eastAsia="Arial" w:hAnsi="Arial"/>
          <w:sz w:val="17"/>
          <w:szCs w:val="17"/>
          <w:color w:val="auto"/>
        </w:rPr>
      </w:pPr>
      <w:r>
        <w:rPr>
          <w:rFonts w:ascii="Arial" w:cs="Arial" w:eastAsia="Arial" w:hAnsi="Arial"/>
          <w:sz w:val="17"/>
          <w:szCs w:val="17"/>
          <w:color w:val="auto"/>
        </w:rPr>
        <w:t>As part of its annual improvements 2018-2020 to the standard process of IFRS, in May 2020, the Board for International Accounting Standards Board issued the following amendments:</w:t>
      </w:r>
    </w:p>
    <w:p>
      <w:pPr>
        <w:spacing w:after="0" w:line="169" w:lineRule="exact"/>
        <w:rPr>
          <w:rFonts w:ascii="Arial" w:cs="Arial" w:eastAsia="Arial" w:hAnsi="Arial"/>
          <w:sz w:val="17"/>
          <w:szCs w:val="17"/>
          <w:color w:val="auto"/>
        </w:rPr>
      </w:pPr>
    </w:p>
    <w:p>
      <w:pPr>
        <w:ind w:left="624" w:right="640" w:hanging="313"/>
        <w:spacing w:after="0" w:line="254" w:lineRule="auto"/>
        <w:tabs>
          <w:tab w:leader="none" w:pos="624" w:val="left"/>
        </w:tabs>
        <w:numPr>
          <w:ilvl w:val="1"/>
          <w:numId w:val="13"/>
        </w:numPr>
        <w:rPr>
          <w:rFonts w:ascii="Arial" w:cs="Arial" w:eastAsia="Arial" w:hAnsi="Arial"/>
          <w:sz w:val="17"/>
          <w:szCs w:val="17"/>
          <w:color w:val="auto"/>
        </w:rPr>
      </w:pPr>
      <w:r>
        <w:rPr>
          <w:rFonts w:ascii="Arial" w:cs="Arial" w:eastAsia="Arial" w:hAnsi="Arial"/>
          <w:sz w:val="17"/>
          <w:szCs w:val="17"/>
          <w:color w:val="auto"/>
        </w:rPr>
        <w:t>IFRS 9 Financial Instruments - clarifies that commissions must be included in the 10.0 percent test for derecognition of financial liabilities.</w:t>
      </w:r>
    </w:p>
    <w:p>
      <w:pPr>
        <w:spacing w:after="0" w:line="169" w:lineRule="exact"/>
        <w:rPr>
          <w:rFonts w:ascii="Arial" w:cs="Arial" w:eastAsia="Arial" w:hAnsi="Arial"/>
          <w:sz w:val="17"/>
          <w:szCs w:val="17"/>
          <w:color w:val="auto"/>
        </w:rPr>
      </w:pPr>
    </w:p>
    <w:p>
      <w:pPr>
        <w:ind w:left="624" w:right="1020" w:hanging="313"/>
        <w:spacing w:after="0" w:line="254" w:lineRule="auto"/>
        <w:tabs>
          <w:tab w:leader="none" w:pos="624" w:val="left"/>
        </w:tabs>
        <w:numPr>
          <w:ilvl w:val="1"/>
          <w:numId w:val="13"/>
        </w:numPr>
        <w:rPr>
          <w:rFonts w:ascii="Arial" w:cs="Arial" w:eastAsia="Arial" w:hAnsi="Arial"/>
          <w:sz w:val="17"/>
          <w:szCs w:val="17"/>
          <w:color w:val="auto"/>
        </w:rPr>
      </w:pPr>
      <w:r>
        <w:rPr>
          <w:rFonts w:ascii="Arial" w:cs="Arial" w:eastAsia="Arial" w:hAnsi="Arial"/>
          <w:sz w:val="17"/>
          <w:szCs w:val="17"/>
          <w:color w:val="auto"/>
        </w:rPr>
        <w:t>IFRS 16 Leases - amendment to the illustrative example 13 to eliminate the example of lessor payment related to improvements in the object of leasing to eliminate any confusion regarding the treatment of leasing incentives.</w:t>
      </w:r>
    </w:p>
    <w:p>
      <w:pPr>
        <w:spacing w:after="0" w:line="169" w:lineRule="exact"/>
        <w:rPr>
          <w:rFonts w:ascii="Arial" w:cs="Arial" w:eastAsia="Arial" w:hAnsi="Arial"/>
          <w:sz w:val="17"/>
          <w:szCs w:val="17"/>
          <w:color w:val="auto"/>
        </w:rPr>
      </w:pPr>
    </w:p>
    <w:p>
      <w:pPr>
        <w:ind w:left="624" w:hanging="313"/>
        <w:spacing w:after="0" w:line="243" w:lineRule="auto"/>
        <w:tabs>
          <w:tab w:leader="none" w:pos="624" w:val="left"/>
        </w:tabs>
        <w:numPr>
          <w:ilvl w:val="1"/>
          <w:numId w:val="13"/>
        </w:numPr>
        <w:rPr>
          <w:rFonts w:ascii="Arial" w:cs="Arial" w:eastAsia="Arial" w:hAnsi="Arial"/>
          <w:sz w:val="17"/>
          <w:szCs w:val="17"/>
          <w:color w:val="auto"/>
        </w:rPr>
      </w:pPr>
      <w:r>
        <w:rPr>
          <w:rFonts w:ascii="Arial" w:cs="Arial" w:eastAsia="Arial" w:hAnsi="Arial"/>
          <w:sz w:val="17"/>
          <w:szCs w:val="17"/>
          <w:color w:val="auto"/>
        </w:rPr>
        <w:t>IFRS 1 First-time Adoption of International Financial Reporting Standards - allows entities that have measured their assets and liabilities at carrying amount on their headquarters’ books to also measure any accumulative translation using the amounts reported by the parent company. This amendment will also apply to associates and joint ventures that have taken the same expectation to IFRS 1.</w:t>
      </w:r>
    </w:p>
    <w:p>
      <w:pPr>
        <w:spacing w:after="0" w:line="179" w:lineRule="exact"/>
        <w:rPr>
          <w:rFonts w:ascii="Arial" w:cs="Arial" w:eastAsia="Arial" w:hAnsi="Arial"/>
          <w:sz w:val="17"/>
          <w:szCs w:val="17"/>
          <w:color w:val="auto"/>
        </w:rPr>
      </w:pPr>
    </w:p>
    <w:p>
      <w:pPr>
        <w:ind w:left="624" w:right="220" w:hanging="313"/>
        <w:spacing w:after="0" w:line="246" w:lineRule="auto"/>
        <w:tabs>
          <w:tab w:leader="none" w:pos="624" w:val="left"/>
        </w:tabs>
        <w:numPr>
          <w:ilvl w:val="1"/>
          <w:numId w:val="13"/>
        </w:numPr>
        <w:rPr>
          <w:rFonts w:ascii="Arial" w:cs="Arial" w:eastAsia="Arial" w:hAnsi="Arial"/>
          <w:sz w:val="17"/>
          <w:szCs w:val="17"/>
          <w:color w:val="auto"/>
        </w:rPr>
      </w:pPr>
      <w:r>
        <w:rPr>
          <w:rFonts w:ascii="Arial" w:cs="Arial" w:eastAsia="Arial" w:hAnsi="Arial"/>
          <w:sz w:val="17"/>
          <w:szCs w:val="17"/>
          <w:color w:val="auto"/>
        </w:rPr>
        <w:t>IAS41 Agriculture - elimination of the requirement that entities exclude cash flows of taxes when it measures the reasonable value according to IAS41. The objective of this amendment is to align with the standard’s requirement to discount after-tax cash flows.</w:t>
      </w:r>
    </w:p>
    <w:p>
      <w:pPr>
        <w:spacing w:after="0" w:line="176" w:lineRule="exact"/>
        <w:rPr>
          <w:sz w:val="20"/>
          <w:szCs w:val="20"/>
          <w:color w:val="auto"/>
        </w:rPr>
      </w:pPr>
    </w:p>
    <w:p>
      <w:pPr>
        <w:ind w:left="304"/>
        <w:spacing w:after="0"/>
        <w:rPr>
          <w:sz w:val="20"/>
          <w:szCs w:val="20"/>
          <w:color w:val="auto"/>
        </w:rPr>
      </w:pPr>
      <w:r>
        <w:rPr>
          <w:rFonts w:ascii="Arial" w:cs="Arial" w:eastAsia="Arial" w:hAnsi="Arial"/>
          <w:sz w:val="17"/>
          <w:szCs w:val="17"/>
          <w:color w:val="auto"/>
        </w:rPr>
        <w:t>These amendments will be effective for annual reporting periods beginning on or after January 1, 2022 with early adoption.</w:t>
      </w:r>
    </w:p>
    <w:p>
      <w:pPr>
        <w:spacing w:after="0" w:line="193" w:lineRule="exact"/>
        <w:rPr>
          <w:sz w:val="20"/>
          <w:szCs w:val="20"/>
          <w:color w:val="auto"/>
        </w:rPr>
      </w:pPr>
    </w:p>
    <w:p>
      <w:pPr>
        <w:ind w:left="304"/>
        <w:spacing w:after="0"/>
        <w:rPr>
          <w:sz w:val="20"/>
          <w:szCs w:val="20"/>
          <w:color w:val="auto"/>
        </w:rPr>
      </w:pPr>
      <w:r>
        <w:rPr>
          <w:rFonts w:ascii="Arial" w:cs="Arial" w:eastAsia="Arial" w:hAnsi="Arial"/>
          <w:sz w:val="17"/>
          <w:szCs w:val="17"/>
          <w:color w:val="auto"/>
        </w:rPr>
        <w:t>These amendments had no impact on the consolidated financial statements.</w:t>
      </w:r>
    </w:p>
    <w:p>
      <w:pPr>
        <w:spacing w:after="0" w:line="167" w:lineRule="exact"/>
        <w:rPr>
          <w:sz w:val="20"/>
          <w:szCs w:val="20"/>
          <w:color w:val="auto"/>
        </w:rPr>
      </w:pPr>
    </w:p>
    <w:p>
      <w:pPr>
        <w:ind w:left="4484"/>
        <w:spacing w:after="0"/>
        <w:rPr>
          <w:sz w:val="20"/>
          <w:szCs w:val="20"/>
          <w:color w:val="auto"/>
        </w:rPr>
      </w:pPr>
      <w:r>
        <w:rPr>
          <w:rFonts w:ascii="Arial" w:cs="Arial" w:eastAsia="Arial" w:hAnsi="Arial"/>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284"/>
          </w:cols>
          <w:pgMar w:left="1256" w:top="140" w:right="359" w:bottom="1440" w:gutter="0" w:footer="0" w:header="0"/>
        </w:sectPr>
      </w:pPr>
    </w:p>
    <w:bookmarkStart w:id="27" w:name="page28"/>
    <w:bookmarkEnd w:id="27"/>
    <w:p>
      <w:pPr>
        <w:ind w:left="315"/>
        <w:spacing w:after="0"/>
        <w:rPr>
          <w:sz w:val="20"/>
          <w:szCs w:val="20"/>
          <w:color w:val="auto"/>
        </w:rPr>
      </w:pPr>
      <w:r>
        <w:rPr>
          <w:rFonts w:ascii="Arial" w:cs="Arial" w:eastAsia="Arial" w:hAnsi="Arial"/>
          <w:sz w:val="17"/>
          <w:szCs w:val="17"/>
          <w:color w:val="auto"/>
        </w:rPr>
        <w:t>In 2021, the Group adopted the following amendments:</w:t>
      </w:r>
    </w:p>
    <w:p>
      <w:pPr>
        <w:spacing w:after="0" w:line="192" w:lineRule="exact"/>
        <w:rPr>
          <w:sz w:val="20"/>
          <w:szCs w:val="20"/>
          <w:color w:val="auto"/>
        </w:rPr>
      </w:pPr>
    </w:p>
    <w:p>
      <w:pPr>
        <w:ind w:left="615" w:hanging="304"/>
        <w:spacing w:after="0"/>
        <w:tabs>
          <w:tab w:leader="none" w:pos="6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Rate Benchmark Reform - Phase 2 - Amendments to IFRS 9, IAS 39, IFRS 7, IFRS 4, and IFRS 16 -</w:t>
      </w:r>
    </w:p>
    <w:p>
      <w:pPr>
        <w:spacing w:after="0" w:line="193" w:lineRule="exact"/>
        <w:rPr>
          <w:rFonts w:ascii="Arial" w:cs="Arial" w:eastAsia="Arial" w:hAnsi="Arial"/>
          <w:sz w:val="17"/>
          <w:szCs w:val="17"/>
          <w:color w:val="auto"/>
        </w:rPr>
      </w:pPr>
    </w:p>
    <w:p>
      <w:pPr>
        <w:ind w:left="615" w:right="240"/>
        <w:spacing w:after="0" w:line="254" w:lineRule="auto"/>
        <w:rPr>
          <w:rFonts w:ascii="Arial" w:cs="Arial" w:eastAsia="Arial" w:hAnsi="Arial"/>
          <w:sz w:val="17"/>
          <w:szCs w:val="17"/>
          <w:color w:val="auto"/>
        </w:rPr>
      </w:pPr>
      <w:r>
        <w:rPr>
          <w:rFonts w:ascii="Arial" w:cs="Arial" w:eastAsia="Arial" w:hAnsi="Arial"/>
          <w:sz w:val="17"/>
          <w:szCs w:val="17"/>
          <w:color w:val="auto"/>
        </w:rPr>
        <w:t>In August 2020, the IASB made amendments to IFRS 9, IAS 39, IFRS 7, IFRS 4, and IFRS 16, to address issues that may arise from the Interest Rate Benchmark Reform including the replacement of an interest rate with an alternative.</w:t>
      </w:r>
    </w:p>
    <w:p>
      <w:pPr>
        <w:spacing w:after="0" w:line="169" w:lineRule="exact"/>
        <w:rPr>
          <w:rFonts w:ascii="Arial" w:cs="Arial" w:eastAsia="Arial" w:hAnsi="Arial"/>
          <w:sz w:val="17"/>
          <w:szCs w:val="17"/>
          <w:color w:val="auto"/>
        </w:rPr>
      </w:pPr>
    </w:p>
    <w:p>
      <w:pPr>
        <w:ind w:left="615"/>
        <w:spacing w:after="0"/>
        <w:rPr>
          <w:rFonts w:ascii="Arial" w:cs="Arial" w:eastAsia="Arial" w:hAnsi="Arial"/>
          <w:sz w:val="17"/>
          <w:szCs w:val="17"/>
          <w:color w:val="auto"/>
        </w:rPr>
      </w:pPr>
      <w:r>
        <w:rPr>
          <w:rFonts w:ascii="Arial" w:cs="Arial" w:eastAsia="Arial" w:hAnsi="Arial"/>
          <w:sz w:val="17"/>
          <w:szCs w:val="17"/>
          <w:color w:val="auto"/>
        </w:rPr>
        <w:t>These amendments provide the following practical applications:</w:t>
      </w:r>
    </w:p>
    <w:p>
      <w:pPr>
        <w:spacing w:after="0" w:line="193" w:lineRule="exact"/>
        <w:rPr>
          <w:rFonts w:ascii="Arial" w:cs="Arial" w:eastAsia="Arial" w:hAnsi="Arial"/>
          <w:sz w:val="17"/>
          <w:szCs w:val="17"/>
          <w:color w:val="auto"/>
        </w:rPr>
      </w:pPr>
    </w:p>
    <w:p>
      <w:pPr>
        <w:ind w:left="935" w:right="200" w:hanging="313"/>
        <w:spacing w:after="0" w:line="246" w:lineRule="auto"/>
        <w:tabs>
          <w:tab w:leader="none" w:pos="935" w:val="left"/>
        </w:tabs>
        <w:numPr>
          <w:ilvl w:val="1"/>
          <w:numId w:val="14"/>
        </w:numPr>
        <w:rPr>
          <w:rFonts w:ascii="Arial" w:cs="Arial" w:eastAsia="Arial" w:hAnsi="Arial"/>
          <w:sz w:val="17"/>
          <w:szCs w:val="17"/>
          <w:color w:val="auto"/>
        </w:rPr>
      </w:pPr>
      <w:r>
        <w:rPr>
          <w:rFonts w:ascii="Arial" w:cs="Arial" w:eastAsia="Arial" w:hAnsi="Arial"/>
          <w:sz w:val="17"/>
          <w:szCs w:val="17"/>
          <w:color w:val="auto"/>
        </w:rPr>
        <w:t>By changing the basis for determining the contractual cash flows for financial assets and liabilities (including lease liabilities), the practical application has the effect that the changes, which are necessary as a consequence of the LIBOR reform and which are considered economically equivalent, will not result in an immediate gain or loss in results.</w:t>
      </w:r>
    </w:p>
    <w:p>
      <w:pPr>
        <w:spacing w:after="0" w:line="175" w:lineRule="exact"/>
        <w:rPr>
          <w:rFonts w:ascii="Arial" w:cs="Arial" w:eastAsia="Arial" w:hAnsi="Arial"/>
          <w:sz w:val="17"/>
          <w:szCs w:val="17"/>
          <w:color w:val="auto"/>
        </w:rPr>
      </w:pPr>
    </w:p>
    <w:p>
      <w:pPr>
        <w:ind w:left="935" w:right="40" w:hanging="313"/>
        <w:spacing w:after="0" w:line="246" w:lineRule="auto"/>
        <w:tabs>
          <w:tab w:leader="none" w:pos="935"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practical application regarding hedge accounting will allow most of the hedging relationships (whether they come from IAS 39 or IFRS 9) that are directly affected by the LIBOR reform to be able to be maintained. However, there may be some additional ineffectiveness that needs to be recognized.</w:t>
      </w:r>
    </w:p>
    <w:p>
      <w:pPr>
        <w:spacing w:after="0" w:line="176" w:lineRule="exact"/>
        <w:rPr>
          <w:sz w:val="20"/>
          <w:szCs w:val="20"/>
          <w:color w:val="auto"/>
        </w:rPr>
      </w:pPr>
    </w:p>
    <w:p>
      <w:pPr>
        <w:ind w:left="615"/>
        <w:spacing w:after="0"/>
        <w:rPr>
          <w:sz w:val="20"/>
          <w:szCs w:val="20"/>
          <w:color w:val="auto"/>
        </w:rPr>
      </w:pPr>
      <w:r>
        <w:rPr>
          <w:rFonts w:ascii="Arial" w:cs="Arial" w:eastAsia="Arial" w:hAnsi="Arial"/>
          <w:sz w:val="17"/>
          <w:szCs w:val="17"/>
          <w:color w:val="auto"/>
        </w:rPr>
        <w:t>As of December 31, 2022 and 2021, it has not any significant effect on the consolidated financial statements</w:t>
      </w:r>
    </w:p>
    <w:p>
      <w:pPr>
        <w:spacing w:after="0" w:line="193" w:lineRule="exact"/>
        <w:rPr>
          <w:sz w:val="20"/>
          <w:szCs w:val="20"/>
          <w:color w:val="auto"/>
        </w:rPr>
      </w:pPr>
    </w:p>
    <w:p>
      <w:pPr>
        <w:ind w:left="315"/>
        <w:spacing w:after="0"/>
        <w:rPr>
          <w:sz w:val="20"/>
          <w:szCs w:val="20"/>
          <w:color w:val="auto"/>
        </w:rPr>
      </w:pPr>
      <w:r>
        <w:rPr>
          <w:rFonts w:ascii="Arial" w:cs="Arial" w:eastAsia="Arial" w:hAnsi="Arial"/>
          <w:sz w:val="17"/>
          <w:szCs w:val="17"/>
          <w:color w:val="auto"/>
        </w:rPr>
        <w:t>In 2020, the accounting standards adopted by the Group have not had any significant effect on its consolidated financial statements.</w:t>
      </w:r>
    </w:p>
    <w:p>
      <w:pPr>
        <w:spacing w:after="0" w:line="193" w:lineRule="exact"/>
        <w:rPr>
          <w:sz w:val="20"/>
          <w:szCs w:val="20"/>
          <w:color w:val="auto"/>
        </w:rPr>
      </w:pPr>
    </w:p>
    <w:p>
      <w:pPr>
        <w:ind w:left="315" w:right="8220" w:hanging="315"/>
        <w:spacing w:after="0" w:line="477" w:lineRule="auto"/>
        <w:tabs>
          <w:tab w:leader="none" w:pos="3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Basis of consolidation - Investment in subsidiaries -</w:t>
      </w:r>
    </w:p>
    <w:p>
      <w:pPr>
        <w:ind w:left="315"/>
        <w:spacing w:after="0"/>
        <w:rPr>
          <w:rFonts w:ascii="Arial" w:cs="Arial" w:eastAsia="Arial" w:hAnsi="Arial"/>
          <w:sz w:val="17"/>
          <w:szCs w:val="17"/>
          <w:color w:val="auto"/>
        </w:rPr>
      </w:pPr>
      <w:r>
        <w:rPr>
          <w:rFonts w:ascii="Arial" w:cs="Arial" w:eastAsia="Arial" w:hAnsi="Arial"/>
          <w:sz w:val="17"/>
          <w:szCs w:val="17"/>
          <w:color w:val="auto"/>
        </w:rPr>
        <w:t>The consolidated financial statements comprise the financial statements of Credicorp and its Subsidiaries for all the years presented.</w:t>
      </w:r>
    </w:p>
    <w:p>
      <w:pPr>
        <w:spacing w:after="0" w:line="193"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Under IFRS 10 “Consolidated Financial Statements”, all entities over which the Group has control are subsidiaries. Control is achieved when the Group is exposed, or has rights, to variable returns from its involvement with the investee and has the ability to affect those returns through its power over the investee. The Group controls an investee if and only if the Group has:</w:t>
      </w:r>
    </w:p>
    <w:p>
      <w:pPr>
        <w:spacing w:after="0" w:line="174" w:lineRule="exact"/>
        <w:rPr>
          <w:rFonts w:ascii="Arial" w:cs="Arial" w:eastAsia="Arial" w:hAnsi="Arial"/>
          <w:sz w:val="17"/>
          <w:szCs w:val="17"/>
          <w:color w:val="auto"/>
        </w:rPr>
      </w:pPr>
    </w:p>
    <w:p>
      <w:pPr>
        <w:ind w:left="615" w:hanging="304"/>
        <w:spacing w:after="0"/>
        <w:tabs>
          <w:tab w:leader="none" w:pos="615" w:val="left"/>
        </w:tabs>
        <w:numPr>
          <w:ilvl w:val="1"/>
          <w:numId w:val="15"/>
        </w:numPr>
        <w:rPr>
          <w:rFonts w:ascii="Arial" w:cs="Arial" w:eastAsia="Arial" w:hAnsi="Arial"/>
          <w:sz w:val="17"/>
          <w:szCs w:val="17"/>
          <w:color w:val="auto"/>
        </w:rPr>
      </w:pPr>
      <w:r>
        <w:rPr>
          <w:rFonts w:ascii="Arial" w:cs="Arial" w:eastAsia="Arial" w:hAnsi="Arial"/>
          <w:sz w:val="17"/>
          <w:szCs w:val="17"/>
          <w:color w:val="auto"/>
        </w:rPr>
        <w:t>Power over the investee (i.e., existing rights that give it the current ability to direct the relevant activities of the investee).</w:t>
      </w:r>
    </w:p>
    <w:p>
      <w:pPr>
        <w:ind w:left="615" w:hanging="304"/>
        <w:spacing w:after="0" w:line="238" w:lineRule="auto"/>
        <w:tabs>
          <w:tab w:leader="none" w:pos="615" w:val="left"/>
        </w:tabs>
        <w:numPr>
          <w:ilvl w:val="1"/>
          <w:numId w:val="15"/>
        </w:numPr>
        <w:rPr>
          <w:rFonts w:ascii="Arial" w:cs="Arial" w:eastAsia="Arial" w:hAnsi="Arial"/>
          <w:sz w:val="17"/>
          <w:szCs w:val="17"/>
          <w:color w:val="auto"/>
        </w:rPr>
      </w:pPr>
      <w:r>
        <w:rPr>
          <w:rFonts w:ascii="Arial" w:cs="Arial" w:eastAsia="Arial" w:hAnsi="Arial"/>
          <w:sz w:val="17"/>
          <w:szCs w:val="17"/>
          <w:color w:val="auto"/>
        </w:rPr>
        <w:t>Exposure, or rights, to variable returns from its involvement with the investee, and</w:t>
      </w:r>
    </w:p>
    <w:p>
      <w:pPr>
        <w:ind w:left="615" w:hanging="304"/>
        <w:spacing w:after="0"/>
        <w:tabs>
          <w:tab w:leader="none" w:pos="615"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ability to use its power over the investee to affect its returns.</w:t>
      </w:r>
    </w:p>
    <w:p>
      <w:pPr>
        <w:spacing w:after="0" w:line="193"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spacing w:after="0" w:line="175" w:lineRule="exact"/>
        <w:rPr>
          <w:sz w:val="20"/>
          <w:szCs w:val="20"/>
          <w:color w:val="auto"/>
        </w:rPr>
      </w:pPr>
    </w:p>
    <w:p>
      <w:pPr>
        <w:ind w:left="615" w:hanging="304"/>
        <w:spacing w:after="0"/>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contractual arrangement with the other vote holders of the investee.</w:t>
      </w:r>
    </w:p>
    <w:p>
      <w:pPr>
        <w:ind w:left="615" w:hanging="304"/>
        <w:spacing w:after="0" w:line="23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Rights arising from other contractual arrangements.</w:t>
      </w:r>
    </w:p>
    <w:p>
      <w:pPr>
        <w:ind w:left="615" w:hanging="304"/>
        <w:spacing w:after="0"/>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Group’s voting rights and potential voting rights.</w:t>
      </w:r>
    </w:p>
    <w:p>
      <w:pPr>
        <w:spacing w:after="0" w:line="167" w:lineRule="exact"/>
        <w:rPr>
          <w:rFonts w:ascii="Arial" w:cs="Arial" w:eastAsia="Arial" w:hAnsi="Arial"/>
          <w:sz w:val="17"/>
          <w:szCs w:val="17"/>
          <w:color w:val="auto"/>
        </w:rPr>
      </w:pPr>
    </w:p>
    <w:p>
      <w:pPr>
        <w:ind w:left="4895" w:hanging="97"/>
        <w:spacing w:after="0"/>
        <w:tabs>
          <w:tab w:leader="none" w:pos="4895" w:val="left"/>
        </w:tabs>
        <w:numPr>
          <w:ilvl w:val="1"/>
          <w:numId w:val="16"/>
        </w:numPr>
        <w:rPr>
          <w:rFonts w:ascii="Arial" w:cs="Arial" w:eastAsia="Arial" w:hAnsi="Arial"/>
          <w:sz w:val="17"/>
          <w:szCs w:val="17"/>
          <w:color w:val="auto"/>
        </w:rPr>
      </w:pPr>
      <w:r>
        <w:rPr>
          <w:rFonts w:ascii="Arial" w:cs="Arial" w:eastAsia="Arial" w:hAnsi="Arial"/>
          <w:sz w:val="17"/>
          <w:szCs w:val="17"/>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28" w:name="page29"/>
    <w:bookmarkEnd w:id="28"/>
    <w:p>
      <w:pPr>
        <w:jc w:val="both"/>
        <w:spacing w:after="0" w:line="243" w:lineRule="auto"/>
        <w:rPr>
          <w:sz w:val="20"/>
          <w:szCs w:val="20"/>
          <w:color w:val="auto"/>
        </w:rPr>
      </w:pPr>
      <w:r>
        <w:rPr>
          <w:rFonts w:ascii="Arial" w:cs="Arial" w:eastAsia="Arial" w:hAnsi="Arial"/>
          <w:sz w:val="17"/>
          <w:szCs w:val="17"/>
          <w:color w:val="auto"/>
        </w:rPr>
        <w:t>The Group assesses whether or not it controls an investee if the facts and circumstances indicate that there are changes in any of the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Profit or loss for the period and each component of the other comprehensive income (OCI) are attributed to the equity holders of the parent of the Group and to the non-controlling interest, even if this results in the non-controlling interest with a negative balance. When necessary, adjustments are made to the financial statements of subsidiaries to bring their accounting policies into line with the Group’s accounting policies.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intra-group assets and liabilities, equity, income, expenses and cash flows relating to transactions between members of the Group are eliminated in full on consolidation.</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Assets in custody or managed by the Group, such as investment funds and private pension funds (AFP funds) and others, are not part of the Group’s consolidated financial statements, Note 3(ab).</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Transactions with non-controlling interest -</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 change in the ownership interest of a subsidiary, without a loss of control, is accounted for as an equity transaction and any resulting difference between the price paid and the price for which non-controlling interests are adjusted is recognized directly in the consolidated statement of changes in net equity.</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Group does not record any additional goodwill after the purchase of the non-controlling interest, nor does it recognize a gain or loss from the sale of the non-controlling interest.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Loss of control -</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associates -</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Group’s investments in its associates are recognized initially at cost and are subsequently accounted for using the equity method. They are included in “Other assets” in the consolidated statement of financial position; the returns resulting from the use of the equity method of accounting are included in “Net gain on securities” in the consolidated statement of income.</w:t>
      </w:r>
    </w:p>
    <w:p>
      <w:pPr>
        <w:spacing w:after="0" w:line="15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0"/>
          </w:cols>
          <w:pgMar w:left="1260" w:top="140" w:right="339" w:bottom="1440" w:gutter="0" w:footer="0" w:header="0"/>
        </w:sectPr>
      </w:pPr>
    </w:p>
    <w:bookmarkStart w:id="29" w:name="page30"/>
    <w:bookmarkEnd w:id="29"/>
    <w:p>
      <w:pPr>
        <w:jc w:val="both"/>
        <w:ind w:right="20"/>
        <w:spacing w:after="0" w:line="245" w:lineRule="auto"/>
        <w:rPr>
          <w:sz w:val="20"/>
          <w:szCs w:val="20"/>
          <w:color w:val="auto"/>
        </w:rPr>
      </w:pPr>
      <w:r>
        <w:rPr>
          <w:rFonts w:ascii="Arial" w:cs="Arial" w:eastAsia="Arial" w:hAnsi="Arial"/>
          <w:sz w:val="17"/>
          <w:szCs w:val="17"/>
          <w:color w:val="auto"/>
        </w:rPr>
        <w:t>As of December 31, 2022 and 2021, Credicorp maintains direct interest in the following entities comprise the Group (the individual or consolidated figures of their financial statements are presented in accordance with IFRS and before eliminations for consolidation purposes, except for the elimination of Credicorp’s treasury shares and its related dividends):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Percentage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0"/>
        </w:trPr>
        <w:tc>
          <w:tcPr>
            <w:tcW w:w="2320" w:type="dxa"/>
            <w:vAlign w:val="bottom"/>
          </w:tcPr>
          <w:p>
            <w:pPr>
              <w:spacing w:after="0"/>
              <w:rPr>
                <w:sz w:val="11"/>
                <w:szCs w:val="11"/>
                <w:color w:val="auto"/>
              </w:rPr>
            </w:pPr>
          </w:p>
        </w:tc>
        <w:tc>
          <w:tcPr>
            <w:tcW w:w="17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Activity and country of</w:t>
            </w:r>
          </w:p>
        </w:tc>
        <w:tc>
          <w:tcPr>
            <w:tcW w:w="10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interest (direct</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9"/>
        </w:trPr>
        <w:tc>
          <w:tcPr>
            <w:tcW w:w="2320" w:type="dxa"/>
            <w:vAlign w:val="bottom"/>
          </w:tcPr>
          <w:p>
            <w:pPr>
              <w:spacing w:after="0"/>
              <w:rPr>
                <w:sz w:val="20"/>
                <w:szCs w:val="20"/>
                <w:color w:val="auto"/>
              </w:rPr>
            </w:pPr>
            <w:r>
              <w:rPr>
                <w:rFonts w:ascii="Arial" w:cs="Arial" w:eastAsia="Arial" w:hAnsi="Arial"/>
                <w:sz w:val="12"/>
                <w:szCs w:val="12"/>
                <w:b w:val="1"/>
                <w:bCs w:val="1"/>
                <w:color w:val="auto"/>
              </w:rPr>
              <w:t>Entity</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incorporation</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and indirect)</w:t>
            </w:r>
          </w:p>
        </w:tc>
        <w:tc>
          <w:tcPr>
            <w:tcW w:w="740" w:type="dxa"/>
            <w:vAlign w:val="bottom"/>
          </w:tcPr>
          <w:p>
            <w:pPr>
              <w:jc w:val="right"/>
              <w:ind w:right="280"/>
              <w:spacing w:after="0"/>
              <w:rPr>
                <w:sz w:val="20"/>
                <w:szCs w:val="20"/>
                <w:color w:val="auto"/>
              </w:rPr>
            </w:pPr>
            <w:r>
              <w:rPr>
                <w:rFonts w:ascii="Arial" w:cs="Arial" w:eastAsia="Arial" w:hAnsi="Arial"/>
                <w:sz w:val="12"/>
                <w:szCs w:val="12"/>
                <w:b w:val="1"/>
                <w:bCs w:val="1"/>
                <w:color w:val="auto"/>
                <w:w w:val="96"/>
              </w:rPr>
              <w:t>Assets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Liabilities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3"/>
          </w:tcPr>
          <w:p>
            <w:pPr>
              <w:ind w:left="100"/>
              <w:spacing w:after="0"/>
              <w:rPr>
                <w:sz w:val="20"/>
                <w:szCs w:val="20"/>
                <w:color w:val="auto"/>
              </w:rPr>
            </w:pPr>
            <w:r>
              <w:rPr>
                <w:rFonts w:ascii="Arial" w:cs="Arial" w:eastAsia="Arial" w:hAnsi="Arial"/>
                <w:sz w:val="12"/>
                <w:szCs w:val="12"/>
                <w:b w:val="1"/>
                <w:bCs w:val="1"/>
                <w:color w:val="auto"/>
              </w:rPr>
              <w:t>Equity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99"/>
              </w:rPr>
              <w:t>Net income (loss)</w:t>
            </w:r>
          </w:p>
        </w:tc>
      </w:tr>
      <w:tr>
        <w:trPr>
          <w:trHeight w:val="122"/>
        </w:trPr>
        <w:tc>
          <w:tcPr>
            <w:tcW w:w="2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540" w:type="dxa"/>
            <w:vAlign w:val="bottom"/>
            <w:tcBorders>
              <w:top w:val="single" w:sz="8" w:color="auto"/>
            </w:tcBorders>
            <w:gridSpan w:val="2"/>
          </w:tcPr>
          <w:p>
            <w:pPr>
              <w:ind w:left="100"/>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820" w:type="dxa"/>
            <w:vAlign w:val="bottom"/>
            <w:tcBorders>
              <w:top w:val="single" w:sz="8" w:color="auto"/>
            </w:tcBorders>
            <w:gridSpan w:val="2"/>
          </w:tcPr>
          <w:p>
            <w:pPr>
              <w:ind w:left="100"/>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72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840" w:type="dxa"/>
            <w:vAlign w:val="bottom"/>
            <w:tcBorders>
              <w:top w:val="single" w:sz="8" w:color="auto"/>
            </w:tcBorders>
            <w:gridSpan w:val="2"/>
          </w:tcPr>
          <w:p>
            <w:pPr>
              <w:jc w:val="right"/>
              <w:ind w:right="400"/>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r>
      <w:tr>
        <w:trPr>
          <w:trHeight w:val="239"/>
        </w:trPr>
        <w:tc>
          <w:tcPr>
            <w:tcW w:w="2320" w:type="dxa"/>
            <w:vAlign w:val="bottom"/>
          </w:tcPr>
          <w:p>
            <w:pPr>
              <w:spacing w:after="0"/>
              <w:rPr>
                <w:sz w:val="20"/>
                <w:szCs w:val="20"/>
                <w:color w:val="auto"/>
              </w:rPr>
            </w:pPr>
            <w:r>
              <w:rPr>
                <w:rFonts w:ascii="Arial" w:cs="Arial" w:eastAsia="Arial" w:hAnsi="Arial"/>
                <w:sz w:val="12"/>
                <w:szCs w:val="12"/>
                <w:color w:val="auto"/>
              </w:rPr>
              <w:t>Grupo Crédito S.A. and Subsidiaries (i)</w:t>
            </w:r>
          </w:p>
        </w:tc>
        <w:tc>
          <w:tcPr>
            <w:tcW w:w="1700" w:type="dxa"/>
            <w:vAlign w:val="bottom"/>
            <w:gridSpan w:val="2"/>
          </w:tcPr>
          <w:p>
            <w:pPr>
              <w:ind w:left="100"/>
              <w:spacing w:after="0"/>
              <w:rPr>
                <w:sz w:val="20"/>
                <w:szCs w:val="20"/>
                <w:color w:val="auto"/>
              </w:rPr>
            </w:pPr>
            <w:r>
              <w:rPr>
                <w:rFonts w:ascii="Arial" w:cs="Arial" w:eastAsia="Arial" w:hAnsi="Arial"/>
                <w:sz w:val="12"/>
                <w:szCs w:val="12"/>
                <w:color w:val="auto"/>
              </w:rPr>
              <w:t>Holding, Peru</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100.00</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8"/>
              </w:rPr>
              <w:t>211,585,283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218,429,760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181,786,223</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191,639,807</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29,799,060</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26,789,953</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4,598,002</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3,664,520</w:t>
            </w:r>
          </w:p>
        </w:tc>
      </w:tr>
      <w:tr>
        <w:trPr>
          <w:trHeight w:val="243"/>
        </w:trPr>
        <w:tc>
          <w:tcPr>
            <w:tcW w:w="2320" w:type="dxa"/>
            <w:vAlign w:val="bottom"/>
          </w:tcPr>
          <w:p>
            <w:pPr>
              <w:spacing w:after="0"/>
              <w:rPr>
                <w:sz w:val="20"/>
                <w:szCs w:val="20"/>
                <w:color w:val="auto"/>
              </w:rPr>
            </w:pPr>
            <w:r>
              <w:rPr>
                <w:rFonts w:ascii="Arial" w:cs="Arial" w:eastAsia="Arial" w:hAnsi="Arial"/>
                <w:sz w:val="12"/>
                <w:szCs w:val="12"/>
                <w:color w:val="auto"/>
              </w:rPr>
              <w:t>Pacífico Compañía de Seguros y</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5"/>
        </w:trPr>
        <w:tc>
          <w:tcPr>
            <w:tcW w:w="2320" w:type="dxa"/>
            <w:vAlign w:val="bottom"/>
          </w:tcPr>
          <w:p>
            <w:pPr>
              <w:spacing w:after="0"/>
              <w:rPr>
                <w:sz w:val="20"/>
                <w:szCs w:val="20"/>
                <w:color w:val="auto"/>
              </w:rPr>
            </w:pPr>
            <w:r>
              <w:rPr>
                <w:rFonts w:ascii="Arial" w:cs="Arial" w:eastAsia="Arial" w:hAnsi="Arial"/>
                <w:sz w:val="12"/>
                <w:szCs w:val="12"/>
                <w:color w:val="auto"/>
              </w:rPr>
              <w:t>Reaseguros S.A and Subsidiaries (ii)</w:t>
            </w:r>
          </w:p>
        </w:tc>
        <w:tc>
          <w:tcPr>
            <w:tcW w:w="1700" w:type="dxa"/>
            <w:vAlign w:val="bottom"/>
            <w:gridSpan w:val="2"/>
          </w:tcPr>
          <w:p>
            <w:pPr>
              <w:ind w:left="100"/>
              <w:spacing w:after="0"/>
              <w:rPr>
                <w:sz w:val="20"/>
                <w:szCs w:val="20"/>
                <w:color w:val="auto"/>
              </w:rPr>
            </w:pPr>
            <w:r>
              <w:rPr>
                <w:rFonts w:ascii="Arial" w:cs="Arial" w:eastAsia="Arial" w:hAnsi="Arial"/>
                <w:sz w:val="12"/>
                <w:szCs w:val="12"/>
                <w:color w:val="auto"/>
              </w:rPr>
              <w:t>Insurance, Peru</w:t>
            </w:r>
          </w:p>
        </w:tc>
        <w:tc>
          <w:tcPr>
            <w:tcW w:w="440" w:type="dxa"/>
            <w:vAlign w:val="bottom"/>
          </w:tcPr>
          <w:p>
            <w:pPr>
              <w:jc w:val="right"/>
              <w:spacing w:after="0"/>
              <w:rPr>
                <w:sz w:val="20"/>
                <w:szCs w:val="20"/>
                <w:color w:val="auto"/>
              </w:rPr>
            </w:pPr>
            <w:r>
              <w:rPr>
                <w:rFonts w:ascii="Arial" w:cs="Arial" w:eastAsia="Arial" w:hAnsi="Arial"/>
                <w:sz w:val="12"/>
                <w:szCs w:val="12"/>
                <w:color w:val="auto"/>
              </w:rPr>
              <w:t>98.86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98.86</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15,898,833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16,486,493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13,499,252</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14,188,938</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2,399,581</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2,297,555</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445,603</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(130,491)</w:t>
            </w:r>
          </w:p>
        </w:tc>
      </w:tr>
      <w:tr>
        <w:trPr>
          <w:trHeight w:val="243"/>
        </w:trPr>
        <w:tc>
          <w:tcPr>
            <w:tcW w:w="2320" w:type="dxa"/>
            <w:vAlign w:val="bottom"/>
          </w:tcPr>
          <w:p>
            <w:pPr>
              <w:spacing w:after="0"/>
              <w:rPr>
                <w:sz w:val="20"/>
                <w:szCs w:val="20"/>
                <w:color w:val="auto"/>
              </w:rPr>
            </w:pPr>
            <w:r>
              <w:rPr>
                <w:rFonts w:ascii="Arial" w:cs="Arial" w:eastAsia="Arial" w:hAnsi="Arial"/>
                <w:sz w:val="12"/>
                <w:szCs w:val="12"/>
                <w:color w:val="auto"/>
              </w:rPr>
              <w:t>Atlantic Security Holding Corporation and</w:t>
            </w:r>
          </w:p>
        </w:tc>
        <w:tc>
          <w:tcPr>
            <w:tcW w:w="1700" w:type="dxa"/>
            <w:vAlign w:val="bottom"/>
            <w:gridSpan w:val="2"/>
          </w:tcPr>
          <w:p>
            <w:pPr>
              <w:ind w:left="100"/>
              <w:spacing w:after="0"/>
              <w:rPr>
                <w:sz w:val="20"/>
                <w:szCs w:val="20"/>
                <w:color w:val="auto"/>
              </w:rPr>
            </w:pPr>
            <w:r>
              <w:rPr>
                <w:rFonts w:ascii="Arial" w:cs="Arial" w:eastAsia="Arial" w:hAnsi="Arial"/>
                <w:sz w:val="12"/>
                <w:szCs w:val="12"/>
                <w:color w:val="auto"/>
              </w:rPr>
              <w:t>Capital Markets, Cayman</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5"/>
        </w:trPr>
        <w:tc>
          <w:tcPr>
            <w:tcW w:w="2320" w:type="dxa"/>
            <w:vAlign w:val="bottom"/>
          </w:tcPr>
          <w:p>
            <w:pPr>
              <w:spacing w:after="0"/>
              <w:rPr>
                <w:sz w:val="20"/>
                <w:szCs w:val="20"/>
                <w:color w:val="auto"/>
              </w:rPr>
            </w:pPr>
            <w:r>
              <w:rPr>
                <w:rFonts w:ascii="Arial" w:cs="Arial" w:eastAsia="Arial" w:hAnsi="Arial"/>
                <w:sz w:val="12"/>
                <w:szCs w:val="12"/>
                <w:color w:val="auto"/>
              </w:rPr>
              <w:t>Subsidiaries (iii)</w:t>
            </w:r>
          </w:p>
        </w:tc>
        <w:tc>
          <w:tcPr>
            <w:tcW w:w="100" w:type="dxa"/>
            <w:vAlign w:val="bottom"/>
          </w:tcPr>
          <w:p>
            <w:pPr>
              <w:spacing w:after="0"/>
              <w:rPr>
                <w:sz w:val="12"/>
                <w:szCs w:val="12"/>
                <w:color w:val="auto"/>
              </w:rPr>
            </w:pPr>
          </w:p>
        </w:tc>
        <w:tc>
          <w:tcPr>
            <w:tcW w:w="1600" w:type="dxa"/>
            <w:vAlign w:val="bottom"/>
          </w:tcPr>
          <w:p>
            <w:pPr>
              <w:ind w:left="160"/>
              <w:spacing w:after="0"/>
              <w:rPr>
                <w:sz w:val="20"/>
                <w:szCs w:val="20"/>
                <w:color w:val="auto"/>
              </w:rPr>
            </w:pPr>
            <w:r>
              <w:rPr>
                <w:rFonts w:ascii="Arial" w:cs="Arial" w:eastAsia="Arial" w:hAnsi="Arial"/>
                <w:sz w:val="12"/>
                <w:szCs w:val="12"/>
                <w:color w:val="auto"/>
              </w:rPr>
              <w:t>Islands</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100.00</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9,536,197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11,688,283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7,643,879</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9,508,250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1,892,318</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2,180,033</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228,474</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188,060</w:t>
            </w:r>
          </w:p>
        </w:tc>
      </w:tr>
      <w:tr>
        <w:trPr>
          <w:trHeight w:val="243"/>
        </w:trPr>
        <w:tc>
          <w:tcPr>
            <w:tcW w:w="2320" w:type="dxa"/>
            <w:vAlign w:val="bottom"/>
          </w:tcPr>
          <w:p>
            <w:pPr>
              <w:spacing w:after="0"/>
              <w:rPr>
                <w:sz w:val="21"/>
                <w:szCs w:val="21"/>
                <w:color w:val="auto"/>
              </w:rPr>
            </w:pPr>
          </w:p>
        </w:tc>
        <w:tc>
          <w:tcPr>
            <w:tcW w:w="1700" w:type="dxa"/>
            <w:vAlign w:val="bottom"/>
            <w:gridSpan w:val="2"/>
          </w:tcPr>
          <w:p>
            <w:pPr>
              <w:ind w:left="100"/>
              <w:spacing w:after="0"/>
              <w:rPr>
                <w:sz w:val="20"/>
                <w:szCs w:val="20"/>
                <w:color w:val="auto"/>
              </w:rPr>
            </w:pPr>
            <w:r>
              <w:rPr>
                <w:rFonts w:ascii="Arial" w:cs="Arial" w:eastAsia="Arial" w:hAnsi="Arial"/>
                <w:sz w:val="12"/>
                <w:szCs w:val="12"/>
                <w:color w:val="auto"/>
              </w:rPr>
              <w:t>Capital Markets and asset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5"/>
        </w:trPr>
        <w:tc>
          <w:tcPr>
            <w:tcW w:w="2320" w:type="dxa"/>
            <w:vAlign w:val="bottom"/>
          </w:tcPr>
          <w:p>
            <w:pPr>
              <w:spacing w:after="0"/>
              <w:rPr>
                <w:sz w:val="20"/>
                <w:szCs w:val="20"/>
                <w:color w:val="auto"/>
              </w:rPr>
            </w:pPr>
            <w:r>
              <w:rPr>
                <w:rFonts w:ascii="Arial" w:cs="Arial" w:eastAsia="Arial" w:hAnsi="Arial"/>
                <w:sz w:val="12"/>
                <w:szCs w:val="12"/>
                <w:color w:val="auto"/>
              </w:rPr>
              <w:t>Credicorp Capital Ltd. and Subsidiaries (iv)</w:t>
            </w:r>
          </w:p>
        </w:tc>
        <w:tc>
          <w:tcPr>
            <w:tcW w:w="100" w:type="dxa"/>
            <w:vAlign w:val="bottom"/>
          </w:tcPr>
          <w:p>
            <w:pPr>
              <w:spacing w:after="0"/>
              <w:rPr>
                <w:sz w:val="12"/>
                <w:szCs w:val="12"/>
                <w:color w:val="auto"/>
              </w:rPr>
            </w:pPr>
          </w:p>
        </w:tc>
        <w:tc>
          <w:tcPr>
            <w:tcW w:w="1600" w:type="dxa"/>
            <w:vAlign w:val="bottom"/>
          </w:tcPr>
          <w:p>
            <w:pPr>
              <w:ind w:left="160"/>
              <w:spacing w:after="0"/>
              <w:rPr>
                <w:sz w:val="20"/>
                <w:szCs w:val="20"/>
                <w:color w:val="auto"/>
              </w:rPr>
            </w:pPr>
            <w:r>
              <w:rPr>
                <w:rFonts w:ascii="Arial" w:cs="Arial" w:eastAsia="Arial" w:hAnsi="Arial"/>
                <w:sz w:val="12"/>
                <w:szCs w:val="12"/>
                <w:color w:val="auto"/>
              </w:rPr>
              <w:t>management, Bermuda</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100.00</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4,504,629</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4,692,121</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3,559,262</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3,701,411</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945,367</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990,710</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31,089</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81,992</w:t>
            </w:r>
          </w:p>
        </w:tc>
      </w:tr>
      <w:tr>
        <w:trPr>
          <w:trHeight w:val="243"/>
        </w:trPr>
        <w:tc>
          <w:tcPr>
            <w:tcW w:w="2320" w:type="dxa"/>
            <w:vAlign w:val="bottom"/>
          </w:tcPr>
          <w:p>
            <w:pPr>
              <w:spacing w:after="0"/>
              <w:rPr>
                <w:sz w:val="21"/>
                <w:szCs w:val="21"/>
                <w:color w:val="auto"/>
              </w:rPr>
            </w:pPr>
          </w:p>
        </w:tc>
        <w:tc>
          <w:tcPr>
            <w:tcW w:w="1700" w:type="dxa"/>
            <w:vAlign w:val="bottom"/>
            <w:gridSpan w:val="2"/>
          </w:tcPr>
          <w:p>
            <w:pPr>
              <w:ind w:left="100"/>
              <w:spacing w:after="0"/>
              <w:rPr>
                <w:sz w:val="20"/>
                <w:szCs w:val="20"/>
                <w:color w:val="auto"/>
              </w:rPr>
            </w:pPr>
            <w:r>
              <w:rPr>
                <w:rFonts w:ascii="Arial" w:cs="Arial" w:eastAsia="Arial" w:hAnsi="Arial"/>
                <w:sz w:val="12"/>
                <w:szCs w:val="12"/>
                <w:color w:val="auto"/>
              </w:rPr>
              <w:t>Special purpose Entity,</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5"/>
        </w:trPr>
        <w:tc>
          <w:tcPr>
            <w:tcW w:w="2320" w:type="dxa"/>
            <w:vAlign w:val="bottom"/>
          </w:tcPr>
          <w:p>
            <w:pPr>
              <w:spacing w:after="0"/>
              <w:rPr>
                <w:sz w:val="20"/>
                <w:szCs w:val="20"/>
                <w:color w:val="auto"/>
              </w:rPr>
            </w:pPr>
            <w:r>
              <w:rPr>
                <w:rFonts w:ascii="Arial" w:cs="Arial" w:eastAsia="Arial" w:hAnsi="Arial"/>
                <w:sz w:val="12"/>
                <w:szCs w:val="12"/>
                <w:color w:val="auto"/>
              </w:rPr>
              <w:t>CCR Inc.(v)</w:t>
            </w:r>
          </w:p>
        </w:tc>
        <w:tc>
          <w:tcPr>
            <w:tcW w:w="100" w:type="dxa"/>
            <w:vAlign w:val="bottom"/>
          </w:tcPr>
          <w:p>
            <w:pPr>
              <w:spacing w:after="0"/>
              <w:rPr>
                <w:sz w:val="12"/>
                <w:szCs w:val="12"/>
                <w:color w:val="auto"/>
              </w:rPr>
            </w:pPr>
          </w:p>
        </w:tc>
        <w:tc>
          <w:tcPr>
            <w:tcW w:w="1600" w:type="dxa"/>
            <w:vAlign w:val="bottom"/>
          </w:tcPr>
          <w:p>
            <w:pPr>
              <w:ind w:left="160"/>
              <w:spacing w:after="0"/>
              <w:rPr>
                <w:sz w:val="20"/>
                <w:szCs w:val="20"/>
                <w:color w:val="auto"/>
              </w:rPr>
            </w:pPr>
            <w:r>
              <w:rPr>
                <w:rFonts w:ascii="Arial" w:cs="Arial" w:eastAsia="Arial" w:hAnsi="Arial"/>
                <w:sz w:val="12"/>
                <w:szCs w:val="12"/>
                <w:color w:val="auto"/>
              </w:rPr>
              <w:t>Bahamas</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100.00</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388</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105,733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104,703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384</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1,030</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(646)</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(254)</w:t>
            </w:r>
          </w:p>
        </w:tc>
      </w:tr>
    </w:tbl>
    <w:p>
      <w:pPr>
        <w:spacing w:after="0" w:line="183" w:lineRule="exact"/>
        <w:rPr>
          <w:sz w:val="20"/>
          <w:szCs w:val="20"/>
          <w:color w:val="auto"/>
        </w:rPr>
      </w:pPr>
    </w:p>
    <w:p>
      <w:pPr>
        <w:ind w:left="360" w:right="20" w:hanging="356"/>
        <w:spacing w:after="0" w:line="243" w:lineRule="auto"/>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Grupo Crédito is a company whose main activities are to carry out management and administration activities of the Credicorp Group’s subsidiaries and invest in shares listed on the Peruvian Stock Exchange and unlisted shares of Peruvian companies. We present the individual or consolidated figures of their financial statements of its main subsidiaries in accordance with IFRS and before eliminations for consolidation purposes:</w:t>
      </w:r>
    </w:p>
    <w:p>
      <w:pPr>
        <w:spacing w:after="0" w:line="152"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ind w:left="20"/>
              <w:spacing w:after="0"/>
              <w:rPr>
                <w:sz w:val="20"/>
                <w:szCs w:val="20"/>
                <w:color w:val="auto"/>
              </w:rPr>
            </w:pPr>
            <w:r>
              <w:rPr>
                <w:rFonts w:ascii="Arial" w:cs="Arial" w:eastAsia="Arial" w:hAnsi="Arial"/>
                <w:sz w:val="12"/>
                <w:szCs w:val="12"/>
                <w:b w:val="1"/>
                <w:bCs w:val="1"/>
                <w:color w:val="auto"/>
              </w:rPr>
              <w:t>Activity and country</w:t>
            </w:r>
          </w:p>
        </w:tc>
        <w:tc>
          <w:tcPr>
            <w:tcW w:w="1400" w:type="dxa"/>
            <w:vAlign w:val="bottom"/>
            <w:gridSpan w:val="4"/>
          </w:tcPr>
          <w:p>
            <w:pPr>
              <w:ind w:left="20"/>
              <w:spacing w:after="0"/>
              <w:rPr>
                <w:sz w:val="20"/>
                <w:szCs w:val="20"/>
                <w:color w:val="auto"/>
              </w:rPr>
            </w:pPr>
            <w:r>
              <w:rPr>
                <w:rFonts w:ascii="Arial" w:cs="Arial" w:eastAsia="Arial" w:hAnsi="Arial"/>
                <w:sz w:val="12"/>
                <w:szCs w:val="12"/>
                <w:b w:val="1"/>
                <w:bCs w:val="1"/>
                <w:color w:val="auto"/>
              </w:rPr>
              <w:t>Percentage of interest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200" w:type="dxa"/>
            <w:vAlign w:val="bottom"/>
            <w:gridSpan w:val="2"/>
          </w:tcPr>
          <w:p>
            <w:pPr>
              <w:ind w:left="20"/>
              <w:spacing w:after="0"/>
              <w:rPr>
                <w:sz w:val="20"/>
                <w:szCs w:val="20"/>
                <w:color w:val="auto"/>
              </w:rPr>
            </w:pPr>
            <w:r>
              <w:rPr>
                <w:rFonts w:ascii="Arial" w:cs="Arial" w:eastAsia="Arial" w:hAnsi="Arial"/>
                <w:sz w:val="12"/>
                <w:szCs w:val="12"/>
                <w:b w:val="1"/>
                <w:bCs w:val="1"/>
                <w:color w:val="auto"/>
              </w:rPr>
              <w:t>Entity</w:t>
            </w:r>
          </w:p>
        </w:tc>
        <w:tc>
          <w:tcPr>
            <w:tcW w:w="1220" w:type="dxa"/>
            <w:vAlign w:val="bottom"/>
          </w:tcPr>
          <w:p>
            <w:pPr>
              <w:ind w:left="20"/>
              <w:spacing w:after="0"/>
              <w:rPr>
                <w:sz w:val="20"/>
                <w:szCs w:val="20"/>
                <w:color w:val="auto"/>
              </w:rPr>
            </w:pPr>
            <w:r>
              <w:rPr>
                <w:rFonts w:ascii="Arial" w:cs="Arial" w:eastAsia="Arial" w:hAnsi="Arial"/>
                <w:sz w:val="12"/>
                <w:szCs w:val="12"/>
                <w:b w:val="1"/>
                <w:bCs w:val="1"/>
                <w:color w:val="auto"/>
              </w:rPr>
              <w:t>of incorporation</w:t>
            </w:r>
          </w:p>
        </w:tc>
        <w:tc>
          <w:tcPr>
            <w:tcW w:w="1400" w:type="dxa"/>
            <w:vAlign w:val="bottom"/>
            <w:gridSpan w:val="4"/>
          </w:tcPr>
          <w:p>
            <w:pPr>
              <w:ind w:left="20"/>
              <w:spacing w:after="0"/>
              <w:rPr>
                <w:sz w:val="20"/>
                <w:szCs w:val="20"/>
                <w:color w:val="auto"/>
              </w:rPr>
            </w:pPr>
            <w:r>
              <w:rPr>
                <w:rFonts w:ascii="Arial" w:cs="Arial" w:eastAsia="Arial" w:hAnsi="Arial"/>
                <w:sz w:val="12"/>
                <w:szCs w:val="12"/>
                <w:b w:val="1"/>
                <w:bCs w:val="1"/>
                <w:color w:val="auto"/>
              </w:rPr>
              <w:t>(direct and indirect)</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Assets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Equity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99"/>
              </w:rPr>
              <w:t>Net income (loss)</w:t>
            </w:r>
          </w:p>
        </w:tc>
      </w:tr>
      <w:tr>
        <w:trPr>
          <w:trHeight w:val="122"/>
        </w:trPr>
        <w:tc>
          <w:tcPr>
            <w:tcW w:w="2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ind w:left="20"/>
              <w:spacing w:after="0" w:line="122" w:lineRule="exact"/>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c>
          <w:tcPr>
            <w:tcW w:w="7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7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c>
          <w:tcPr>
            <w:tcW w:w="660" w:type="dxa"/>
            <w:vAlign w:val="bottom"/>
            <w:tcBorders>
              <w:top w:val="single" w:sz="8" w:color="auto"/>
              <w:bottom w:val="single" w:sz="8" w:color="auto"/>
            </w:tcBorders>
          </w:tcPr>
          <w:p>
            <w:pPr>
              <w:ind w:left="20"/>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6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r>
      <w:tr>
        <w:trPr>
          <w:trHeight w:val="152"/>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S/(000)</w:t>
            </w:r>
          </w:p>
        </w:tc>
      </w:tr>
      <w:tr>
        <w:trPr>
          <w:trHeight w:val="223"/>
        </w:trPr>
        <w:tc>
          <w:tcPr>
            <w:tcW w:w="2200" w:type="dxa"/>
            <w:vAlign w:val="bottom"/>
            <w:gridSpan w:val="2"/>
          </w:tcPr>
          <w:p>
            <w:pPr>
              <w:ind w:left="20"/>
              <w:spacing w:after="0"/>
              <w:rPr>
                <w:sz w:val="20"/>
                <w:szCs w:val="20"/>
                <w:color w:val="auto"/>
              </w:rPr>
            </w:pPr>
            <w:r>
              <w:rPr>
                <w:rFonts w:ascii="Arial" w:cs="Arial" w:eastAsia="Arial" w:hAnsi="Arial"/>
                <w:sz w:val="12"/>
                <w:szCs w:val="12"/>
                <w:color w:val="auto"/>
              </w:rPr>
              <w:t>Banco de Crédito del Perú and</w:t>
            </w: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45"/>
        </w:trPr>
        <w:tc>
          <w:tcPr>
            <w:tcW w:w="2200" w:type="dxa"/>
            <w:vAlign w:val="bottom"/>
            <w:gridSpan w:val="2"/>
          </w:tcPr>
          <w:p>
            <w:pPr>
              <w:ind w:left="20"/>
              <w:spacing w:after="0"/>
              <w:rPr>
                <w:sz w:val="20"/>
                <w:szCs w:val="20"/>
                <w:color w:val="auto"/>
              </w:rPr>
            </w:pPr>
            <w:r>
              <w:rPr>
                <w:rFonts w:ascii="Arial" w:cs="Arial" w:eastAsia="Arial" w:hAnsi="Arial"/>
                <w:sz w:val="12"/>
                <w:szCs w:val="12"/>
                <w:color w:val="auto"/>
              </w:rPr>
              <w:t>Subsidiaries (a)</w:t>
            </w:r>
          </w:p>
        </w:tc>
        <w:tc>
          <w:tcPr>
            <w:tcW w:w="1220" w:type="dxa"/>
            <w:vAlign w:val="bottom"/>
          </w:tcPr>
          <w:p>
            <w:pPr>
              <w:ind w:left="20"/>
              <w:spacing w:after="0"/>
              <w:rPr>
                <w:sz w:val="20"/>
                <w:szCs w:val="20"/>
                <w:color w:val="auto"/>
              </w:rPr>
            </w:pPr>
            <w:r>
              <w:rPr>
                <w:rFonts w:ascii="Arial" w:cs="Arial" w:eastAsia="Arial" w:hAnsi="Arial"/>
                <w:sz w:val="12"/>
                <w:szCs w:val="12"/>
                <w:color w:val="auto"/>
              </w:rPr>
              <w:t>Banking, Peru</w:t>
            </w:r>
          </w:p>
        </w:tc>
        <w:tc>
          <w:tcPr>
            <w:tcW w:w="620" w:type="dxa"/>
            <w:vAlign w:val="bottom"/>
          </w:tcPr>
          <w:p>
            <w:pPr>
              <w:jc w:val="right"/>
              <w:spacing w:after="0"/>
              <w:rPr>
                <w:sz w:val="20"/>
                <w:szCs w:val="20"/>
                <w:color w:val="auto"/>
              </w:rPr>
            </w:pPr>
            <w:r>
              <w:rPr>
                <w:rFonts w:ascii="Arial" w:cs="Arial" w:eastAsia="Arial" w:hAnsi="Arial"/>
                <w:sz w:val="12"/>
                <w:szCs w:val="12"/>
                <w:color w:val="auto"/>
              </w:rPr>
              <w:t>97.74</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97.74</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w w:val="98"/>
              </w:rPr>
              <w:t>193,278,232</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w w:val="98"/>
              </w:rPr>
              <w:t>199,307,837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w w:val="98"/>
              </w:rPr>
              <w:t>170,005,995</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w w:val="98"/>
              </w:rPr>
              <w:t>178,545,004</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23,272,237</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20,762,833</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4,683,775</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3,662,192</w:t>
            </w:r>
          </w:p>
        </w:tc>
      </w:tr>
      <w:tr>
        <w:trPr>
          <w:trHeight w:val="243"/>
        </w:trPr>
        <w:tc>
          <w:tcPr>
            <w:tcW w:w="2200" w:type="dxa"/>
            <w:vAlign w:val="bottom"/>
            <w:gridSpan w:val="2"/>
          </w:tcPr>
          <w:p>
            <w:pPr>
              <w:ind w:left="20"/>
              <w:spacing w:after="0"/>
              <w:rPr>
                <w:sz w:val="20"/>
                <w:szCs w:val="20"/>
                <w:color w:val="auto"/>
              </w:rPr>
            </w:pPr>
            <w:r>
              <w:rPr>
                <w:rFonts w:ascii="Arial" w:cs="Arial" w:eastAsia="Arial" w:hAnsi="Arial"/>
                <w:sz w:val="12"/>
                <w:szCs w:val="12"/>
                <w:color w:val="auto"/>
              </w:rPr>
              <w:t>Inversiones Credicorp Bolivia S.A. and</w:t>
            </w: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5"/>
        </w:trPr>
        <w:tc>
          <w:tcPr>
            <w:tcW w:w="2200" w:type="dxa"/>
            <w:vAlign w:val="bottom"/>
            <w:gridSpan w:val="2"/>
          </w:tcPr>
          <w:p>
            <w:pPr>
              <w:ind w:left="20"/>
              <w:spacing w:after="0"/>
              <w:rPr>
                <w:sz w:val="20"/>
                <w:szCs w:val="20"/>
                <w:color w:val="auto"/>
              </w:rPr>
            </w:pPr>
            <w:r>
              <w:rPr>
                <w:rFonts w:ascii="Arial" w:cs="Arial" w:eastAsia="Arial" w:hAnsi="Arial"/>
                <w:sz w:val="12"/>
                <w:szCs w:val="12"/>
                <w:color w:val="auto"/>
              </w:rPr>
              <w:t>Subsidiaries (b)</w:t>
            </w:r>
          </w:p>
        </w:tc>
        <w:tc>
          <w:tcPr>
            <w:tcW w:w="1220" w:type="dxa"/>
            <w:vAlign w:val="bottom"/>
          </w:tcPr>
          <w:p>
            <w:pPr>
              <w:ind w:left="20"/>
              <w:spacing w:after="0"/>
              <w:rPr>
                <w:sz w:val="20"/>
                <w:szCs w:val="20"/>
                <w:color w:val="auto"/>
              </w:rPr>
            </w:pPr>
            <w:r>
              <w:rPr>
                <w:rFonts w:ascii="Arial" w:cs="Arial" w:eastAsia="Arial" w:hAnsi="Arial"/>
                <w:sz w:val="12"/>
                <w:szCs w:val="12"/>
                <w:color w:val="auto"/>
              </w:rPr>
              <w:t>Banking, Bolivia</w:t>
            </w:r>
          </w:p>
        </w:tc>
        <w:tc>
          <w:tcPr>
            <w:tcW w:w="620" w:type="dxa"/>
            <w:vAlign w:val="bottom"/>
          </w:tcPr>
          <w:p>
            <w:pPr>
              <w:jc w:val="right"/>
              <w:spacing w:after="0"/>
              <w:rPr>
                <w:sz w:val="20"/>
                <w:szCs w:val="20"/>
                <w:color w:val="auto"/>
              </w:rPr>
            </w:pPr>
            <w:r>
              <w:rPr>
                <w:rFonts w:ascii="Arial" w:cs="Arial" w:eastAsia="Arial" w:hAnsi="Arial"/>
                <w:sz w:val="12"/>
                <w:szCs w:val="12"/>
                <w:color w:val="auto"/>
              </w:rPr>
              <w:t>99.92</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99.96</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12,740,036</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13,839,856</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11,826,789</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12,952,609</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913,247</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887,247</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80,377</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80,752</w:t>
            </w:r>
          </w:p>
        </w:tc>
      </w:tr>
      <w:tr>
        <w:trPr>
          <w:trHeight w:val="243"/>
        </w:trPr>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Private pension fund</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5"/>
        </w:trPr>
        <w:tc>
          <w:tcPr>
            <w:tcW w:w="2200" w:type="dxa"/>
            <w:vAlign w:val="bottom"/>
            <w:gridSpan w:val="2"/>
          </w:tcPr>
          <w:p>
            <w:pPr>
              <w:ind w:left="20"/>
              <w:spacing w:after="0"/>
              <w:rPr>
                <w:sz w:val="20"/>
                <w:szCs w:val="20"/>
                <w:color w:val="auto"/>
              </w:rPr>
            </w:pPr>
            <w:r>
              <w:rPr>
                <w:rFonts w:ascii="Arial" w:cs="Arial" w:eastAsia="Arial" w:hAnsi="Arial"/>
                <w:sz w:val="12"/>
                <w:szCs w:val="12"/>
                <w:color w:val="auto"/>
              </w:rPr>
              <w:t>Prima AFP (c)</w:t>
            </w:r>
          </w:p>
        </w:tc>
        <w:tc>
          <w:tcPr>
            <w:tcW w:w="1220" w:type="dxa"/>
            <w:vAlign w:val="bottom"/>
          </w:tcPr>
          <w:p>
            <w:pPr>
              <w:ind w:left="160"/>
              <w:spacing w:after="0"/>
              <w:rPr>
                <w:sz w:val="20"/>
                <w:szCs w:val="20"/>
                <w:color w:val="auto"/>
              </w:rPr>
            </w:pPr>
            <w:r>
              <w:rPr>
                <w:rFonts w:ascii="Arial" w:cs="Arial" w:eastAsia="Arial" w:hAnsi="Arial"/>
                <w:sz w:val="12"/>
                <w:szCs w:val="12"/>
                <w:color w:val="auto"/>
              </w:rPr>
              <w:t>administrator, Peru</w:t>
            </w:r>
          </w:p>
        </w:tc>
        <w:tc>
          <w:tcPr>
            <w:tcW w:w="620" w:type="dxa"/>
            <w:vAlign w:val="bottom"/>
          </w:tcPr>
          <w:p>
            <w:pPr>
              <w:jc w:val="right"/>
              <w:spacing w:after="0"/>
              <w:rPr>
                <w:sz w:val="20"/>
                <w:szCs w:val="20"/>
                <w:color w:val="auto"/>
              </w:rPr>
            </w:pPr>
            <w:r>
              <w:rPr>
                <w:rFonts w:ascii="Arial" w:cs="Arial" w:eastAsia="Arial" w:hAnsi="Arial"/>
                <w:sz w:val="12"/>
                <w:szCs w:val="12"/>
                <w:color w:val="auto"/>
              </w:rPr>
              <w:t>100.00</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734,966</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839,772</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238,177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265,185</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496,789</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574,587</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109,511</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146,057</w:t>
            </w:r>
          </w:p>
        </w:tc>
      </w:tr>
      <w:tr>
        <w:trPr>
          <w:trHeight w:val="259"/>
        </w:trPr>
        <w:tc>
          <w:tcPr>
            <w:tcW w:w="2200" w:type="dxa"/>
            <w:vAlign w:val="bottom"/>
            <w:gridSpan w:val="2"/>
          </w:tcPr>
          <w:p>
            <w:pPr>
              <w:ind w:left="20"/>
              <w:spacing w:after="0"/>
              <w:rPr>
                <w:sz w:val="20"/>
                <w:szCs w:val="20"/>
                <w:color w:val="auto"/>
              </w:rPr>
            </w:pPr>
            <w:r>
              <w:rPr>
                <w:rFonts w:ascii="Arial" w:cs="Arial" w:eastAsia="Arial" w:hAnsi="Arial"/>
                <w:sz w:val="12"/>
                <w:szCs w:val="12"/>
                <w:color w:val="auto"/>
              </w:rPr>
              <w:t>Tenpo SpA and Subsidiaries (d)</w:t>
            </w:r>
          </w:p>
        </w:tc>
        <w:tc>
          <w:tcPr>
            <w:tcW w:w="1220" w:type="dxa"/>
            <w:vAlign w:val="bottom"/>
          </w:tcPr>
          <w:p>
            <w:pPr>
              <w:ind w:left="20"/>
              <w:spacing w:after="0"/>
              <w:rPr>
                <w:sz w:val="20"/>
                <w:szCs w:val="20"/>
                <w:color w:val="auto"/>
              </w:rPr>
            </w:pPr>
            <w:r>
              <w:rPr>
                <w:rFonts w:ascii="Arial" w:cs="Arial" w:eastAsia="Arial" w:hAnsi="Arial"/>
                <w:sz w:val="12"/>
                <w:szCs w:val="12"/>
                <w:color w:val="auto"/>
              </w:rPr>
              <w:t>Holding, Chile</w:t>
            </w:r>
          </w:p>
        </w:tc>
        <w:tc>
          <w:tcPr>
            <w:tcW w:w="620" w:type="dxa"/>
            <w:vAlign w:val="bottom"/>
          </w:tcPr>
          <w:p>
            <w:pPr>
              <w:jc w:val="right"/>
              <w:spacing w:after="0"/>
              <w:rPr>
                <w:sz w:val="20"/>
                <w:szCs w:val="20"/>
                <w:color w:val="auto"/>
              </w:rPr>
            </w:pPr>
            <w:r>
              <w:rPr>
                <w:rFonts w:ascii="Arial" w:cs="Arial" w:eastAsia="Arial" w:hAnsi="Arial"/>
                <w:sz w:val="12"/>
                <w:szCs w:val="12"/>
                <w:color w:val="auto"/>
              </w:rPr>
              <w:t>100.00</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242,754</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158,328</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90,186</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43,140</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152,568</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115,188</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(124,748)</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(34,362)</w:t>
            </w:r>
          </w:p>
        </w:tc>
      </w:tr>
    </w:tbl>
    <w:p>
      <w:pPr>
        <w:spacing w:after="0" w:line="183" w:lineRule="exact"/>
        <w:rPr>
          <w:sz w:val="20"/>
          <w:szCs w:val="20"/>
          <w:color w:val="auto"/>
        </w:rPr>
      </w:pPr>
    </w:p>
    <w:p>
      <w:pPr>
        <w:ind w:left="600" w:right="260" w:hanging="234"/>
        <w:spacing w:after="0" w:line="254"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BCP was established in 1889 and its activities are regulated by the Peruvian Banking Regulator (Superintendencia de Banca, Seguros y AFP – SBS (the authority that regulates banking, insurance and pension funds activities in Peru, hereinafter “the SBS”).</w:t>
      </w:r>
    </w:p>
    <w:p>
      <w:pPr>
        <w:spacing w:after="0" w:line="169" w:lineRule="exact"/>
        <w:rPr>
          <w:rFonts w:ascii="Arial" w:cs="Arial" w:eastAsia="Arial" w:hAnsi="Arial"/>
          <w:sz w:val="17"/>
          <w:szCs w:val="17"/>
          <w:color w:val="auto"/>
        </w:rPr>
      </w:pPr>
    </w:p>
    <w:p>
      <w:pPr>
        <w:jc w:val="both"/>
        <w:ind w:left="620" w:right="20"/>
        <w:spacing w:after="0" w:line="243" w:lineRule="auto"/>
        <w:rPr>
          <w:rFonts w:ascii="Arial" w:cs="Arial" w:eastAsia="Arial" w:hAnsi="Arial"/>
          <w:sz w:val="17"/>
          <w:szCs w:val="17"/>
          <w:color w:val="auto"/>
        </w:rPr>
      </w:pPr>
      <w:r>
        <w:rPr>
          <w:rFonts w:ascii="Arial" w:cs="Arial" w:eastAsia="Arial" w:hAnsi="Arial"/>
          <w:sz w:val="17"/>
          <w:szCs w:val="17"/>
          <w:color w:val="auto"/>
        </w:rPr>
        <w:t>Its main Subsidiary is Mibanco, Banco de la Microempresa S.A. (hereinafter “MiBanco”), a banking entity in Peru oriented towards the micro and small business sector. As of December 31, 2022, the assets, liabilities, equity and net result of Mibanco amount to approximately S/17,225.4 million, S/14,444.8 million, S/2,780.6 million and S/424.9 million, respectively (S/16,162.6 million, S/13,799.6 million, S/2,363.0 million, and S/266.3 million, respectively December 31, 2021).</w:t>
      </w:r>
    </w:p>
    <w:p>
      <w:pPr>
        <w:spacing w:after="0" w:line="179" w:lineRule="exact"/>
        <w:rPr>
          <w:rFonts w:ascii="Arial" w:cs="Arial" w:eastAsia="Arial" w:hAnsi="Arial"/>
          <w:sz w:val="17"/>
          <w:szCs w:val="17"/>
          <w:color w:val="auto"/>
        </w:rPr>
      </w:pPr>
    </w:p>
    <w:p>
      <w:pPr>
        <w:ind w:left="600" w:right="40" w:hanging="234"/>
        <w:spacing w:after="0" w:line="243"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Inversiones Credicorp Bolivia S.A. (hereinafter “ICBSA”) was incorporated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79" w:lineRule="exact"/>
        <w:rPr>
          <w:rFonts w:ascii="Arial" w:cs="Arial" w:eastAsia="Arial" w:hAnsi="Arial"/>
          <w:sz w:val="17"/>
          <w:szCs w:val="17"/>
          <w:color w:val="auto"/>
        </w:rPr>
      </w:pPr>
    </w:p>
    <w:p>
      <w:pPr>
        <w:jc w:val="both"/>
        <w:ind w:left="620" w:right="20"/>
        <w:spacing w:after="0" w:line="243" w:lineRule="auto"/>
        <w:rPr>
          <w:rFonts w:ascii="Arial" w:cs="Arial" w:eastAsia="Arial" w:hAnsi="Arial"/>
          <w:sz w:val="17"/>
          <w:szCs w:val="17"/>
          <w:color w:val="auto"/>
        </w:rPr>
      </w:pPr>
      <w:r>
        <w:rPr>
          <w:rFonts w:ascii="Arial" w:cs="Arial" w:eastAsia="Arial" w:hAnsi="Arial"/>
          <w:sz w:val="17"/>
          <w:szCs w:val="17"/>
          <w:color w:val="auto"/>
        </w:rPr>
        <w:t>Its main Subsidiary is Banco de Crédito de Bolivia (hereinafter “BCB”), a commercial bank which operates in Bolivia. As of December 31, 2022, the assets, liabilities, equity and net result of BCB were approximately S/12,697.8 million, S/11,838.0 million, S/859.8 million and S/68.0 million, respectively (S/13,799.8 million, S/ 12,964.8 million, S/835.0 million and S/72.3 million, respectively as of December 31, 2021).</w:t>
      </w:r>
    </w:p>
    <w:p>
      <w:pPr>
        <w:spacing w:after="0" w:line="153" w:lineRule="exact"/>
        <w:rPr>
          <w:rFonts w:ascii="Arial" w:cs="Arial" w:eastAsia="Arial" w:hAnsi="Arial"/>
          <w:sz w:val="17"/>
          <w:szCs w:val="17"/>
          <w:color w:val="auto"/>
        </w:rPr>
      </w:pPr>
    </w:p>
    <w:p>
      <w:pPr>
        <w:ind w:left="5520" w:hanging="97"/>
        <w:spacing w:after="0"/>
        <w:tabs>
          <w:tab w:leader="none" w:pos="55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0" w:name="page31"/>
    <w:bookmarkEnd w:id="30"/>
    <w:p>
      <w:pPr>
        <w:ind w:left="596" w:hanging="234"/>
        <w:spacing w:after="0"/>
        <w:tabs>
          <w:tab w:leader="none" w:pos="596" w:val="left"/>
        </w:tabs>
        <w:numPr>
          <w:ilvl w:val="1"/>
          <w:numId w:val="19"/>
        </w:numPr>
        <w:rPr>
          <w:rFonts w:ascii="Arial" w:cs="Arial" w:eastAsia="Arial" w:hAnsi="Arial"/>
          <w:sz w:val="17"/>
          <w:szCs w:val="17"/>
          <w:color w:val="auto"/>
        </w:rPr>
      </w:pPr>
      <w:r>
        <w:rPr>
          <w:rFonts w:ascii="Arial" w:cs="Arial" w:eastAsia="Arial" w:hAnsi="Arial"/>
          <w:sz w:val="17"/>
          <w:szCs w:val="17"/>
          <w:color w:val="auto"/>
        </w:rPr>
        <w:t>Prima AFP is a private pension fund, and its activities are regulated by the SBS.</w:t>
      </w:r>
    </w:p>
    <w:p>
      <w:pPr>
        <w:spacing w:after="0" w:line="192" w:lineRule="exact"/>
        <w:rPr>
          <w:rFonts w:ascii="Arial" w:cs="Arial" w:eastAsia="Arial" w:hAnsi="Arial"/>
          <w:sz w:val="17"/>
          <w:szCs w:val="17"/>
          <w:color w:val="auto"/>
        </w:rPr>
      </w:pPr>
    </w:p>
    <w:p>
      <w:pPr>
        <w:ind w:left="596" w:right="180" w:hanging="234"/>
        <w:spacing w:after="0" w:line="246" w:lineRule="auto"/>
        <w:tabs>
          <w:tab w:leader="none" w:pos="596" w:val="left"/>
        </w:tabs>
        <w:numPr>
          <w:ilvl w:val="1"/>
          <w:numId w:val="19"/>
        </w:numPr>
        <w:rPr>
          <w:rFonts w:ascii="Arial" w:cs="Arial" w:eastAsia="Arial" w:hAnsi="Arial"/>
          <w:sz w:val="17"/>
          <w:szCs w:val="17"/>
          <w:color w:val="auto"/>
        </w:rPr>
      </w:pPr>
      <w:r>
        <w:rPr>
          <w:rFonts w:ascii="Arial" w:cs="Arial" w:eastAsia="Arial" w:hAnsi="Arial"/>
          <w:sz w:val="17"/>
          <w:szCs w:val="17"/>
          <w:color w:val="auto"/>
        </w:rPr>
        <w:t>Tenpo SpA (hereinafter “Tenpo”, before “Krealo SpA”) was incorporated in Chile in January 2019; and is oriented to make capital investments outside the country. On July 1, 2019, Tenpo (Krealo SpA) acquired Tenpo Technologies SpA (before “Tenpo SpA”) and Tenpo Prepago S.A. (before “Multicaja Prepago S.A.”).</w:t>
      </w:r>
    </w:p>
    <w:p>
      <w:pPr>
        <w:spacing w:after="0" w:line="175" w:lineRule="exact"/>
        <w:rPr>
          <w:rFonts w:ascii="Arial" w:cs="Arial" w:eastAsia="Arial" w:hAnsi="Arial"/>
          <w:sz w:val="17"/>
          <w:szCs w:val="17"/>
          <w:color w:val="auto"/>
        </w:rPr>
      </w:pPr>
    </w:p>
    <w:p>
      <w:pPr>
        <w:ind w:left="356" w:right="120" w:hanging="356"/>
        <w:spacing w:after="0" w:line="243" w:lineRule="auto"/>
        <w:tabs>
          <w:tab w:leader="none" w:pos="3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Pacífico Seguros is an entity regulated by the SBS and its activities comprise the contracting and management of all types of general risk and life insurance, reinsurance and property investment and financial operations. Its Subsidiaries are Crediseguro Seguros Personales, Crediseguro Seguros Generales and Pacifico Asiste and it has Pacífico EPS as an associate, which are dynamic participants in the business of multiple and health insurance, respectively.</w:t>
      </w:r>
    </w:p>
    <w:p>
      <w:pPr>
        <w:spacing w:after="0" w:line="179" w:lineRule="exact"/>
        <w:rPr>
          <w:rFonts w:ascii="Arial" w:cs="Arial" w:eastAsia="Arial" w:hAnsi="Arial"/>
          <w:sz w:val="17"/>
          <w:szCs w:val="17"/>
          <w:color w:val="auto"/>
        </w:rPr>
      </w:pPr>
    </w:p>
    <w:p>
      <w:pPr>
        <w:ind w:left="356" w:right="440" w:hanging="356"/>
        <w:spacing w:after="0" w:line="246" w:lineRule="auto"/>
        <w:tabs>
          <w:tab w:leader="none" w:pos="3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Its main subsidiary is ASB Bank Corp. (merged with Atlantic Security Bank in August 2021, see Note 2(a)), which was incorporated in September 9, 2020 in the Republic of Panama; its main activities are private and institutional banking services and trustee administration, mainly for BCP’s Peruvian customers.</w:t>
      </w:r>
    </w:p>
    <w:p>
      <w:pPr>
        <w:spacing w:after="0" w:line="175" w:lineRule="exact"/>
        <w:rPr>
          <w:rFonts w:ascii="Arial" w:cs="Arial" w:eastAsia="Arial" w:hAnsi="Arial"/>
          <w:sz w:val="17"/>
          <w:szCs w:val="17"/>
          <w:color w:val="auto"/>
        </w:rPr>
      </w:pPr>
    </w:p>
    <w:p>
      <w:pPr>
        <w:ind w:left="356" w:right="400" w:hanging="356"/>
        <w:spacing w:after="0" w:line="242" w:lineRule="auto"/>
        <w:tabs>
          <w:tab w:leader="none" w:pos="3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Credicorp Capital Ltd. was incorporated in 2012, and its main subsidiaries are Credicorp Capital Holding Peru (owner of Credicorp Capital Perú S.A.A.), Credicorp Holding Colombia (owner of Credicorp Capital Colombia and Mibanco – Banco de la Microempresa de Colombia S.A.), and Credicorp Capital Holding Chile (owner of Credicorp Capital Chile), which carry out their activities in Peru, Colombia and Chile, respectively. We present below the consolidated financial statements in accordance with IFRS and before eliminations for consolidation purposes:</w:t>
      </w:r>
    </w:p>
    <w:p>
      <w:pPr>
        <w:spacing w:after="0" w:line="153" w:lineRule="exact"/>
        <w:rPr>
          <w:sz w:val="20"/>
          <w:szCs w:val="20"/>
          <w:color w:val="auto"/>
        </w:rPr>
      </w:pPr>
    </w:p>
    <w:tbl>
      <w:tblPr>
        <w:tblLayout w:type="fixed"/>
        <w:tblInd w:w="356"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spacing w:after="0"/>
              <w:rPr>
                <w:sz w:val="20"/>
                <w:szCs w:val="20"/>
                <w:color w:val="auto"/>
              </w:rPr>
            </w:pPr>
            <w:r>
              <w:rPr>
                <w:rFonts w:ascii="Arial" w:cs="Arial" w:eastAsia="Arial" w:hAnsi="Arial"/>
                <w:sz w:val="12"/>
                <w:szCs w:val="12"/>
                <w:b w:val="1"/>
                <w:bCs w:val="1"/>
                <w:color w:val="auto"/>
              </w:rPr>
              <w:t>Percentage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0"/>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interest (direct and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9"/>
        </w:trPr>
        <w:tc>
          <w:tcPr>
            <w:tcW w:w="4200" w:type="dxa"/>
            <w:vAlign w:val="bottom"/>
            <w:gridSpan w:val="2"/>
          </w:tcPr>
          <w:p>
            <w:pPr>
              <w:ind w:left="20"/>
              <w:spacing w:after="0"/>
              <w:rPr>
                <w:sz w:val="20"/>
                <w:szCs w:val="20"/>
                <w:color w:val="auto"/>
              </w:rPr>
            </w:pPr>
            <w:r>
              <w:rPr>
                <w:rFonts w:ascii="Arial" w:cs="Arial" w:eastAsia="Arial" w:hAnsi="Arial"/>
                <w:sz w:val="12"/>
                <w:szCs w:val="12"/>
                <w:b w:val="1"/>
                <w:bCs w:val="1"/>
                <w:color w:val="auto"/>
              </w:rPr>
              <w:t>Entity</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indirect)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Assets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Liabilities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Equity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Net income (loss)</w:t>
            </w:r>
          </w:p>
        </w:tc>
      </w:tr>
      <w:tr>
        <w:trPr>
          <w:trHeight w:val="122"/>
        </w:trPr>
        <w:tc>
          <w:tcPr>
            <w:tcW w:w="4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ind w:left="20"/>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6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620" w:type="dxa"/>
            <w:vAlign w:val="bottom"/>
            <w:tcBorders>
              <w:top w:val="single" w:sz="8" w:color="auto"/>
              <w:bottom w:val="single" w:sz="8" w:color="auto"/>
            </w:tcBorders>
          </w:tcPr>
          <w:p>
            <w:pPr>
              <w:ind w:left="20"/>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56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r>
      <w:tr>
        <w:trPr>
          <w:trHeight w:val="152"/>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S/(000)</w:t>
            </w:r>
          </w:p>
        </w:tc>
      </w:tr>
      <w:tr>
        <w:trPr>
          <w:trHeight w:val="223"/>
        </w:trPr>
        <w:tc>
          <w:tcPr>
            <w:tcW w:w="4200" w:type="dxa"/>
            <w:vAlign w:val="bottom"/>
            <w:gridSpan w:val="2"/>
          </w:tcPr>
          <w:p>
            <w:pPr>
              <w:ind w:left="20"/>
              <w:spacing w:after="0"/>
              <w:rPr>
                <w:sz w:val="20"/>
                <w:szCs w:val="20"/>
                <w:color w:val="auto"/>
              </w:rPr>
            </w:pPr>
            <w:r>
              <w:rPr>
                <w:rFonts w:ascii="Arial" w:cs="Arial" w:eastAsia="Arial" w:hAnsi="Arial"/>
                <w:sz w:val="12"/>
                <w:szCs w:val="12"/>
                <w:color w:val="auto"/>
              </w:rPr>
              <w:t>Credicorp Holding Colombia S.A.S. and Subsidiaries (a)</w:t>
            </w:r>
          </w:p>
        </w:tc>
        <w:tc>
          <w:tcPr>
            <w:tcW w:w="540" w:type="dxa"/>
            <w:vAlign w:val="bottom"/>
          </w:tcPr>
          <w:p>
            <w:pPr>
              <w:ind w:left="140"/>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2,889,479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3,288,924</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2,322,263</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2,608,445</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567,216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680,479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16,198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51,723</w:t>
            </w:r>
          </w:p>
        </w:tc>
      </w:tr>
      <w:tr>
        <w:trPr>
          <w:trHeight w:val="130"/>
        </w:trPr>
        <w:tc>
          <w:tcPr>
            <w:tcW w:w="4200" w:type="dxa"/>
            <w:vAlign w:val="bottom"/>
            <w:gridSpan w:val="2"/>
          </w:tcPr>
          <w:p>
            <w:pPr>
              <w:ind w:left="20"/>
              <w:spacing w:after="0" w:line="130" w:lineRule="exact"/>
              <w:rPr>
                <w:sz w:val="20"/>
                <w:szCs w:val="20"/>
                <w:color w:val="auto"/>
              </w:rPr>
            </w:pPr>
            <w:r>
              <w:rPr>
                <w:rFonts w:ascii="Arial" w:cs="Arial" w:eastAsia="Arial" w:hAnsi="Arial"/>
                <w:sz w:val="12"/>
                <w:szCs w:val="12"/>
                <w:color w:val="auto"/>
              </w:rPr>
              <w:t>Credicorp Capital Holding Chile and Subsidiaries (b)</w:t>
            </w:r>
          </w:p>
        </w:tc>
        <w:tc>
          <w:tcPr>
            <w:tcW w:w="540" w:type="dxa"/>
            <w:vAlign w:val="bottom"/>
          </w:tcPr>
          <w:p>
            <w:pPr>
              <w:ind w:left="140"/>
              <w:spacing w:after="0" w:line="130" w:lineRule="exact"/>
              <w:rPr>
                <w:sz w:val="20"/>
                <w:szCs w:val="20"/>
                <w:color w:val="auto"/>
              </w:rPr>
            </w:pPr>
            <w:r>
              <w:rPr>
                <w:rFonts w:ascii="Arial" w:cs="Arial" w:eastAsia="Arial" w:hAnsi="Arial"/>
                <w:sz w:val="12"/>
                <w:szCs w:val="12"/>
                <w:color w:val="auto"/>
              </w:rPr>
              <w:t>100.00</w:t>
            </w:r>
          </w:p>
        </w:tc>
        <w:tc>
          <w:tcPr>
            <w:tcW w:w="10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2"/>
                <w:szCs w:val="12"/>
                <w:color w:val="auto"/>
              </w:rPr>
              <w:t>100.00</w:t>
            </w:r>
          </w:p>
        </w:tc>
        <w:tc>
          <w:tcPr>
            <w:tcW w:w="1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color w:val="auto"/>
              </w:rPr>
              <w:t>1,194,663</w:t>
            </w:r>
          </w:p>
        </w:tc>
        <w:tc>
          <w:tcPr>
            <w:tcW w:w="10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1,121,622</w:t>
            </w: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Arial" w:cs="Arial" w:eastAsia="Arial" w:hAnsi="Arial"/>
                <w:sz w:val="12"/>
                <w:szCs w:val="12"/>
                <w:color w:val="auto"/>
              </w:rPr>
              <w:t>1,000,676</w:t>
            </w:r>
          </w:p>
        </w:tc>
        <w:tc>
          <w:tcPr>
            <w:tcW w:w="10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933,173</w:t>
            </w:r>
          </w:p>
        </w:tc>
        <w:tc>
          <w:tcPr>
            <w:tcW w:w="12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2"/>
                <w:szCs w:val="12"/>
                <w:color w:val="auto"/>
              </w:rPr>
              <w:t>193,987</w:t>
            </w:r>
          </w:p>
        </w:tc>
        <w:tc>
          <w:tcPr>
            <w:tcW w:w="10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2"/>
                <w:szCs w:val="12"/>
                <w:color w:val="auto"/>
              </w:rPr>
              <w:t>188,449</w:t>
            </w:r>
          </w:p>
        </w:tc>
        <w:tc>
          <w:tcPr>
            <w:tcW w:w="10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2"/>
                <w:szCs w:val="12"/>
                <w:color w:val="auto"/>
              </w:rPr>
              <w:t>12,658</w:t>
            </w:r>
          </w:p>
        </w:tc>
        <w:tc>
          <w:tcPr>
            <w:tcW w:w="10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Arial" w:cs="Arial" w:eastAsia="Arial" w:hAnsi="Arial"/>
                <w:sz w:val="12"/>
                <w:szCs w:val="12"/>
                <w:color w:val="auto"/>
              </w:rPr>
              <w:t>(6,108)</w:t>
            </w:r>
          </w:p>
        </w:tc>
      </w:tr>
      <w:tr>
        <w:trPr>
          <w:trHeight w:val="145"/>
        </w:trPr>
        <w:tc>
          <w:tcPr>
            <w:tcW w:w="4200" w:type="dxa"/>
            <w:vAlign w:val="bottom"/>
            <w:gridSpan w:val="2"/>
          </w:tcPr>
          <w:p>
            <w:pPr>
              <w:ind w:left="20"/>
              <w:spacing w:after="0"/>
              <w:rPr>
                <w:sz w:val="20"/>
                <w:szCs w:val="20"/>
                <w:color w:val="auto"/>
              </w:rPr>
            </w:pPr>
            <w:r>
              <w:rPr>
                <w:rFonts w:ascii="Arial" w:cs="Arial" w:eastAsia="Arial" w:hAnsi="Arial"/>
                <w:sz w:val="12"/>
                <w:szCs w:val="12"/>
                <w:color w:val="auto"/>
              </w:rPr>
              <w:t>Credicorp Capital Holding Perú S.A. and Subsidiaries (c)</w:t>
            </w:r>
          </w:p>
        </w:tc>
        <w:tc>
          <w:tcPr>
            <w:tcW w:w="540" w:type="dxa"/>
            <w:vAlign w:val="bottom"/>
          </w:tcPr>
          <w:p>
            <w:pPr>
              <w:ind w:left="140"/>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374,768</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259,348</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230,261</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135,937</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144,507</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123,411</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5,268</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31,046</w:t>
            </w:r>
          </w:p>
        </w:tc>
      </w:tr>
    </w:tbl>
    <w:p>
      <w:pPr>
        <w:spacing w:after="0" w:line="183" w:lineRule="exact"/>
        <w:rPr>
          <w:sz w:val="20"/>
          <w:szCs w:val="20"/>
          <w:color w:val="auto"/>
        </w:rPr>
      </w:pPr>
    </w:p>
    <w:p>
      <w:pPr>
        <w:ind w:left="596" w:right="80" w:hanging="234"/>
        <w:spacing w:after="0" w:line="254" w:lineRule="auto"/>
        <w:tabs>
          <w:tab w:leader="none" w:pos="5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Credicorp Holding Colombia was incorporated in Colombia on March 5, 2012, and its main purpose is the administration, management and increase of its equity through the promotion of industrial and commercial activity, through investment in other companies or legal persons.</w:t>
      </w:r>
    </w:p>
    <w:p>
      <w:pPr>
        <w:spacing w:after="0" w:line="169" w:lineRule="exact"/>
        <w:rPr>
          <w:rFonts w:ascii="Arial" w:cs="Arial" w:eastAsia="Arial" w:hAnsi="Arial"/>
          <w:sz w:val="17"/>
          <w:szCs w:val="17"/>
          <w:color w:val="auto"/>
        </w:rPr>
      </w:pPr>
    </w:p>
    <w:p>
      <w:pPr>
        <w:jc w:val="both"/>
        <w:ind w:left="616" w:right="40"/>
        <w:spacing w:after="0" w:line="242" w:lineRule="auto"/>
        <w:rPr>
          <w:rFonts w:ascii="Arial" w:cs="Arial" w:eastAsia="Arial" w:hAnsi="Arial"/>
          <w:sz w:val="17"/>
          <w:szCs w:val="17"/>
          <w:color w:val="auto"/>
        </w:rPr>
      </w:pPr>
      <w:r>
        <w:rPr>
          <w:rFonts w:ascii="Arial" w:cs="Arial" w:eastAsia="Arial" w:hAnsi="Arial"/>
          <w:sz w:val="17"/>
          <w:szCs w:val="17"/>
          <w:color w:val="auto"/>
        </w:rPr>
        <w:t>Its main subsidiaries are Credicorp Capital Colombia S.A, which was acquired in Colombia in 2012 and merged with Ultraserfinco S.A. In June 2020. This subsidiary is focused on the activities of commission agents and securities brokers. Likewise, Mibanco – Banco de la Microempresa de Colombia S.A (hereinafter Mibanco Colombia before Banco Compartir S.A.) was acquired in 2019 and merged with Edyficar S.A.S. in October 2020. This subsidiary is focused on granting loans to the micro and small business sector. As of December 31, 2022, and 2021, the direct and indirect interest held by Credicorp and the assets, liabilities, equity and net income were:</w:t>
      </w:r>
    </w:p>
    <w:p>
      <w:pPr>
        <w:spacing w:after="0" w:line="153" w:lineRule="exact"/>
        <w:rPr>
          <w:sz w:val="20"/>
          <w:szCs w:val="20"/>
          <w:color w:val="auto"/>
        </w:rPr>
      </w:pPr>
    </w:p>
    <w:tbl>
      <w:tblPr>
        <w:tblLayout w:type="fixed"/>
        <w:tblInd w:w="616" w:type="dxa"/>
        <w:tblCellMar>
          <w:top w:w="0" w:type="dxa"/>
          <w:left w:w="0" w:type="dxa"/>
          <w:bottom w:w="0" w:type="dxa"/>
          <w:right w:w="0" w:type="dxa"/>
        </w:tblCellMar>
      </w:tblPr>
      <w:tr>
        <w:trPr>
          <w:trHeight w:val="13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spacing w:after="0"/>
              <w:rPr>
                <w:sz w:val="20"/>
                <w:szCs w:val="20"/>
                <w:color w:val="auto"/>
              </w:rPr>
            </w:pPr>
            <w:r>
              <w:rPr>
                <w:rFonts w:ascii="Arial" w:cs="Arial" w:eastAsia="Arial" w:hAnsi="Arial"/>
                <w:sz w:val="12"/>
                <w:szCs w:val="12"/>
                <w:b w:val="1"/>
                <w:bCs w:val="1"/>
                <w:color w:val="auto"/>
              </w:rPr>
              <w:t>Percentage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0"/>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interest (direct and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9"/>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rPr>
              <w:t>Entity</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indirect)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Assets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Equity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Net income (loss)</w:t>
            </w:r>
          </w:p>
        </w:tc>
      </w:tr>
      <w:tr>
        <w:trPr>
          <w:trHeight w:val="122"/>
        </w:trPr>
        <w:tc>
          <w:tcPr>
            <w:tcW w:w="3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ind w:left="20"/>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6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ind w:left="20"/>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6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56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56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2021</w:t>
            </w:r>
          </w:p>
        </w:tc>
      </w:tr>
      <w:tr>
        <w:trPr>
          <w:trHeight w:val="152"/>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S/(000)</w:t>
            </w:r>
          </w:p>
        </w:tc>
      </w:tr>
      <w:tr>
        <w:trPr>
          <w:trHeight w:val="223"/>
        </w:trPr>
        <w:tc>
          <w:tcPr>
            <w:tcW w:w="3940" w:type="dxa"/>
            <w:vAlign w:val="bottom"/>
            <w:gridSpan w:val="2"/>
          </w:tcPr>
          <w:p>
            <w:pPr>
              <w:spacing w:after="0"/>
              <w:rPr>
                <w:sz w:val="20"/>
                <w:szCs w:val="20"/>
                <w:color w:val="auto"/>
              </w:rPr>
            </w:pPr>
            <w:r>
              <w:rPr>
                <w:rFonts w:ascii="Arial" w:cs="Arial" w:eastAsia="Arial" w:hAnsi="Arial"/>
                <w:sz w:val="12"/>
                <w:szCs w:val="12"/>
                <w:color w:val="auto"/>
              </w:rPr>
              <w:t>Credicorp Capital Colombia S.A.</w:t>
            </w:r>
          </w:p>
        </w:tc>
        <w:tc>
          <w:tcPr>
            <w:tcW w:w="540" w:type="dxa"/>
            <w:vAlign w:val="bottom"/>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1,050,130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1,544,956</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898,518</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1,378,697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151,612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166,259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33,045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37,147</w:t>
            </w:r>
          </w:p>
        </w:tc>
      </w:tr>
      <w:tr>
        <w:trPr>
          <w:trHeight w:val="145"/>
        </w:trPr>
        <w:tc>
          <w:tcPr>
            <w:tcW w:w="3940" w:type="dxa"/>
            <w:vAlign w:val="bottom"/>
            <w:gridSpan w:val="2"/>
          </w:tcPr>
          <w:p>
            <w:pPr>
              <w:spacing w:after="0"/>
              <w:rPr>
                <w:sz w:val="20"/>
                <w:szCs w:val="20"/>
                <w:color w:val="auto"/>
              </w:rPr>
            </w:pPr>
            <w:r>
              <w:rPr>
                <w:rFonts w:ascii="Arial" w:cs="Arial" w:eastAsia="Arial" w:hAnsi="Arial"/>
                <w:sz w:val="12"/>
                <w:szCs w:val="12"/>
                <w:color w:val="auto"/>
              </w:rPr>
              <w:t>MiBanco - Banco de la Microempresa de Colombia S.A.</w:t>
            </w:r>
          </w:p>
        </w:tc>
        <w:tc>
          <w:tcPr>
            <w:tcW w:w="540" w:type="dxa"/>
            <w:vAlign w:val="bottom"/>
          </w:tcPr>
          <w:p>
            <w:pPr>
              <w:jc w:val="right"/>
              <w:spacing w:after="0"/>
              <w:rPr>
                <w:sz w:val="20"/>
                <w:szCs w:val="20"/>
                <w:color w:val="auto"/>
              </w:rPr>
            </w:pPr>
            <w:r>
              <w:rPr>
                <w:rFonts w:ascii="Arial" w:cs="Arial" w:eastAsia="Arial" w:hAnsi="Arial"/>
                <w:sz w:val="12"/>
                <w:szCs w:val="12"/>
                <w:color w:val="auto"/>
              </w:rPr>
              <w:t>85.58</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85.58</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1,530,270</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1,392,887</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1,289,569</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1,158,575</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240,701</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234,312</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13,513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43,042</w:t>
            </w:r>
          </w:p>
        </w:tc>
      </w:tr>
    </w:tbl>
    <w:p>
      <w:pPr>
        <w:spacing w:after="0" w:line="183" w:lineRule="exact"/>
        <w:rPr>
          <w:sz w:val="20"/>
          <w:szCs w:val="20"/>
          <w:color w:val="auto"/>
        </w:rPr>
      </w:pPr>
    </w:p>
    <w:p>
      <w:pPr>
        <w:ind w:left="596" w:right="200" w:hanging="234"/>
        <w:spacing w:after="0" w:line="254" w:lineRule="auto"/>
        <w:tabs>
          <w:tab w:leader="none" w:pos="596" w:val="left"/>
        </w:tabs>
        <w:numPr>
          <w:ilvl w:val="1"/>
          <w:numId w:val="22"/>
        </w:numPr>
        <w:rPr>
          <w:rFonts w:ascii="Arial" w:cs="Arial" w:eastAsia="Arial" w:hAnsi="Arial"/>
          <w:sz w:val="17"/>
          <w:szCs w:val="17"/>
          <w:color w:val="auto"/>
        </w:rPr>
      </w:pPr>
      <w:r>
        <w:rPr>
          <w:rFonts w:ascii="Arial" w:cs="Arial" w:eastAsia="Arial" w:hAnsi="Arial"/>
          <w:sz w:val="17"/>
          <w:szCs w:val="17"/>
          <w:color w:val="auto"/>
        </w:rPr>
        <w:t>Credicorp Holding Chile was incorporated in Chile on July 18, 2012. It aims to invest for long-term profitable purposes, in corporeal goods (movable and immovable property) and incorporeal, located in Chile or abroad. Its main subsidiary is Credicorp Capital Chile S.A.</w:t>
      </w:r>
    </w:p>
    <w:p>
      <w:pPr>
        <w:spacing w:after="0" w:line="169" w:lineRule="exact"/>
        <w:rPr>
          <w:rFonts w:ascii="Arial" w:cs="Arial" w:eastAsia="Arial" w:hAnsi="Arial"/>
          <w:sz w:val="17"/>
          <w:szCs w:val="17"/>
          <w:color w:val="auto"/>
        </w:rPr>
      </w:pPr>
    </w:p>
    <w:p>
      <w:pPr>
        <w:ind w:left="596" w:right="320" w:hanging="234"/>
        <w:spacing w:after="0" w:line="246" w:lineRule="auto"/>
        <w:tabs>
          <w:tab w:leader="none" w:pos="596" w:val="left"/>
        </w:tabs>
        <w:numPr>
          <w:ilvl w:val="1"/>
          <w:numId w:val="22"/>
        </w:numPr>
        <w:rPr>
          <w:rFonts w:ascii="Arial" w:cs="Arial" w:eastAsia="Arial" w:hAnsi="Arial"/>
          <w:sz w:val="17"/>
          <w:szCs w:val="17"/>
          <w:color w:val="auto"/>
        </w:rPr>
      </w:pPr>
      <w:r>
        <w:rPr>
          <w:rFonts w:ascii="Arial" w:cs="Arial" w:eastAsia="Arial" w:hAnsi="Arial"/>
          <w:sz w:val="17"/>
          <w:szCs w:val="17"/>
          <w:color w:val="auto"/>
        </w:rPr>
        <w:t>Credicorp Capital Holding Perú S.A. was incorporated in Peru on October 30, 2014, It aims to be the Peruvian holding of investment banking. Its main subsidiary is Credicorp Capital Perú S.A.A.; which has as its main activity the function of holding shares, participations and transferable securities in general, providing advisory services in corporate and financial matters, and investment in real estate.</w:t>
      </w:r>
    </w:p>
    <w:p>
      <w:pPr>
        <w:spacing w:after="0" w:line="175" w:lineRule="exact"/>
        <w:rPr>
          <w:rFonts w:ascii="Arial" w:cs="Arial" w:eastAsia="Arial" w:hAnsi="Arial"/>
          <w:sz w:val="17"/>
          <w:szCs w:val="17"/>
          <w:color w:val="auto"/>
        </w:rPr>
      </w:pPr>
    </w:p>
    <w:p>
      <w:pPr>
        <w:ind w:left="356" w:right="120" w:hanging="356"/>
        <w:spacing w:after="0" w:line="254" w:lineRule="auto"/>
        <w:tabs>
          <w:tab w:leader="none" w:pos="35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CCR Inc. was incorporated in the year 2000. Its main activity is to manage loans granted to BCP by foreign financial entities, see note 17(viii). These loans matured in the course of 2022 and were guaranteed by transactions carried out by BCP.</w:t>
      </w:r>
    </w:p>
    <w:p>
      <w:pPr>
        <w:spacing w:after="0" w:line="143" w:lineRule="exact"/>
        <w:rPr>
          <w:rFonts w:ascii="Arial" w:cs="Arial" w:eastAsia="Arial" w:hAnsi="Arial"/>
          <w:sz w:val="17"/>
          <w:szCs w:val="17"/>
          <w:color w:val="auto"/>
        </w:rPr>
      </w:pPr>
    </w:p>
    <w:p>
      <w:pPr>
        <w:ind w:left="5516" w:hanging="97"/>
        <w:spacing w:after="0"/>
        <w:tabs>
          <w:tab w:leader="none" w:pos="5516" w:val="left"/>
        </w:tabs>
        <w:numPr>
          <w:ilvl w:val="2"/>
          <w:numId w:val="23"/>
        </w:numPr>
        <w:rPr>
          <w:rFonts w:ascii="Arial" w:cs="Arial" w:eastAsia="Arial" w:hAnsi="Arial"/>
          <w:sz w:val="17"/>
          <w:szCs w:val="17"/>
          <w:color w:val="auto"/>
        </w:rPr>
      </w:pPr>
      <w:r>
        <w:rPr>
          <w:rFonts w:ascii="Arial" w:cs="Arial" w:eastAsia="Arial" w:hAnsi="Arial"/>
          <w:sz w:val="17"/>
          <w:szCs w:val="17"/>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3803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76"/>
          </w:cols>
          <w:pgMar w:left="324" w:top="140" w:right="299" w:bottom="1440" w:gutter="0" w:footer="0" w:header="0"/>
        </w:sectPr>
      </w:pPr>
    </w:p>
    <w:bookmarkStart w:id="31" w:name="page32"/>
    <w:bookmarkEnd w:id="31"/>
    <w:p>
      <w:pPr>
        <w:ind w:left="315" w:hanging="315"/>
        <w:spacing w:after="0"/>
        <w:tabs>
          <w:tab w:leader="none" w:pos="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Functional, presentation and foreign currency transactions -</w:t>
      </w:r>
    </w:p>
    <w:p>
      <w:pPr>
        <w:spacing w:after="0" w:line="192" w:lineRule="exact"/>
        <w:rPr>
          <w:rFonts w:ascii="Arial" w:cs="Arial" w:eastAsia="Arial" w:hAnsi="Arial"/>
          <w:sz w:val="17"/>
          <w:szCs w:val="17"/>
          <w:color w:val="auto"/>
        </w:rPr>
      </w:pPr>
    </w:p>
    <w:p>
      <w:pPr>
        <w:ind w:left="615" w:hanging="304"/>
        <w:spacing w:after="0"/>
        <w:tabs>
          <w:tab w:leader="none" w:pos="615" w:val="left"/>
        </w:tabs>
        <w:numPr>
          <w:ilvl w:val="1"/>
          <w:numId w:val="24"/>
        </w:numPr>
        <w:rPr>
          <w:rFonts w:ascii="Arial" w:cs="Arial" w:eastAsia="Arial" w:hAnsi="Arial"/>
          <w:sz w:val="17"/>
          <w:szCs w:val="17"/>
          <w:color w:val="auto"/>
        </w:rPr>
      </w:pPr>
      <w:r>
        <w:rPr>
          <w:rFonts w:ascii="Arial" w:cs="Arial" w:eastAsia="Arial" w:hAnsi="Arial"/>
          <w:sz w:val="17"/>
          <w:szCs w:val="17"/>
          <w:color w:val="auto"/>
        </w:rPr>
        <w:t>Functional and presentation currency -</w:t>
      </w:r>
    </w:p>
    <w:p>
      <w:pPr>
        <w:spacing w:after="0" w:line="193" w:lineRule="exact"/>
        <w:rPr>
          <w:rFonts w:ascii="Arial" w:cs="Arial" w:eastAsia="Arial" w:hAnsi="Arial"/>
          <w:sz w:val="17"/>
          <w:szCs w:val="17"/>
          <w:color w:val="auto"/>
        </w:rPr>
      </w:pPr>
    </w:p>
    <w:p>
      <w:pPr>
        <w:jc w:val="both"/>
        <w:ind w:left="615"/>
        <w:spacing w:after="0" w:line="243" w:lineRule="auto"/>
        <w:rPr>
          <w:rFonts w:ascii="Arial" w:cs="Arial" w:eastAsia="Arial" w:hAnsi="Arial"/>
          <w:sz w:val="17"/>
          <w:szCs w:val="17"/>
          <w:color w:val="auto"/>
        </w:rPr>
      </w:pPr>
      <w:r>
        <w:rPr>
          <w:rFonts w:ascii="Arial" w:cs="Arial" w:eastAsia="Arial" w:hAnsi="Arial"/>
          <w:sz w:val="17"/>
          <w:szCs w:val="17"/>
          <w:color w:val="auto"/>
        </w:rPr>
        <w:t>Credicorp and its Subsidiaries which operate in Peru consider the sol as their functional and presentation currency since it reflects the nature of the economic events and relevant circumstances for most of the Group´s entities, given the fact their major transactions and/operations, such as: loans granted, financing obtained, sale of insurance premiums, interests and similar income, interest and similar expenses, as well as a significant percentage of their purchases; they are agreed and settled in soles.</w:t>
      </w:r>
    </w:p>
    <w:p>
      <w:pPr>
        <w:spacing w:after="0" w:line="179" w:lineRule="exact"/>
        <w:rPr>
          <w:rFonts w:ascii="Arial" w:cs="Arial" w:eastAsia="Arial" w:hAnsi="Arial"/>
          <w:sz w:val="17"/>
          <w:szCs w:val="17"/>
          <w:color w:val="auto"/>
        </w:rPr>
      </w:pPr>
    </w:p>
    <w:p>
      <w:pPr>
        <w:ind w:left="615" w:hanging="304"/>
        <w:spacing w:after="0"/>
        <w:tabs>
          <w:tab w:leader="none" w:pos="615" w:val="left"/>
        </w:tabs>
        <w:numPr>
          <w:ilvl w:val="1"/>
          <w:numId w:val="24"/>
        </w:numPr>
        <w:rPr>
          <w:rFonts w:ascii="Arial" w:cs="Arial" w:eastAsia="Arial" w:hAnsi="Arial"/>
          <w:sz w:val="17"/>
          <w:szCs w:val="17"/>
          <w:color w:val="auto"/>
        </w:rPr>
      </w:pPr>
      <w:r>
        <w:rPr>
          <w:rFonts w:ascii="Arial" w:cs="Arial" w:eastAsia="Arial" w:hAnsi="Arial"/>
          <w:sz w:val="17"/>
          <w:szCs w:val="17"/>
          <w:color w:val="auto"/>
        </w:rPr>
        <w:t>Transactions and balances in foreign currency -</w:t>
      </w:r>
    </w:p>
    <w:p>
      <w:pPr>
        <w:spacing w:after="0" w:line="193" w:lineRule="exact"/>
        <w:rPr>
          <w:rFonts w:ascii="Arial" w:cs="Arial" w:eastAsia="Arial" w:hAnsi="Arial"/>
          <w:sz w:val="17"/>
          <w:szCs w:val="17"/>
          <w:color w:val="auto"/>
        </w:rPr>
      </w:pPr>
    </w:p>
    <w:p>
      <w:pPr>
        <w:jc w:val="both"/>
        <w:ind w:left="615"/>
        <w:spacing w:after="0" w:line="243" w:lineRule="auto"/>
        <w:rPr>
          <w:rFonts w:ascii="Arial" w:cs="Arial" w:eastAsia="Arial" w:hAnsi="Arial"/>
          <w:sz w:val="17"/>
          <w:szCs w:val="17"/>
          <w:color w:val="auto"/>
        </w:rPr>
      </w:pPr>
      <w:r>
        <w:rPr>
          <w:rFonts w:ascii="Arial" w:cs="Arial" w:eastAsia="Arial" w:hAnsi="Arial"/>
          <w:sz w:val="17"/>
          <w:szCs w:val="17"/>
          <w:color w:val="auto"/>
        </w:rPr>
        <w:t>Foreign currency transactions are those carried out in currencies other than the functional currency. These transactions are initially recorded by Group entities at the exchange rates of their functional currencies at the transaction dates. Monetary assets and liabilities denominated in foreign currency are adjusted at the exchange rate of the functional currency prevailing at the date of the consolidated statement of financial position.</w:t>
      </w:r>
    </w:p>
    <w:p>
      <w:pPr>
        <w:spacing w:after="0" w:line="179" w:lineRule="exact"/>
        <w:rPr>
          <w:rFonts w:ascii="Arial" w:cs="Arial" w:eastAsia="Arial" w:hAnsi="Arial"/>
          <w:sz w:val="17"/>
          <w:szCs w:val="17"/>
          <w:color w:val="auto"/>
        </w:rPr>
      </w:pPr>
    </w:p>
    <w:p>
      <w:pPr>
        <w:jc w:val="both"/>
        <w:ind w:left="615"/>
        <w:spacing w:after="0" w:line="241" w:lineRule="auto"/>
        <w:rPr>
          <w:rFonts w:ascii="Arial" w:cs="Arial" w:eastAsia="Arial" w:hAnsi="Arial"/>
          <w:sz w:val="17"/>
          <w:szCs w:val="17"/>
          <w:color w:val="auto"/>
        </w:rPr>
      </w:pPr>
      <w:r>
        <w:rPr>
          <w:rFonts w:ascii="Arial" w:cs="Arial" w:eastAsia="Arial" w:hAnsi="Arial"/>
          <w:sz w:val="17"/>
          <w:szCs w:val="17"/>
          <w:color w:val="auto"/>
        </w:rPr>
        <w:t>The differences arising from the exchange rate prevailing at the date of each consolidated statement of financial position presented and the exchange rate initially used in recording transactions are recognized in the consolidated statement of income in the year in which they occur, in “Net gain from exchange differences”, except for those that comprise monetary items that are part of a hedging strategy for a net investment abroad, said accumulated difference is recognized in the item “Exchange differences on translation of foreign operations” in the consolidated statement of comprehensive income. Non-monetary assets and liabilities acquired in foreign currency are recorded at the exchange rate prevailing at the initial transaction date and are not subsequently adjusted.</w:t>
      </w:r>
    </w:p>
    <w:p>
      <w:pPr>
        <w:spacing w:after="0" w:line="376" w:lineRule="exact"/>
        <w:rPr>
          <w:rFonts w:ascii="Arial" w:cs="Arial" w:eastAsia="Arial" w:hAnsi="Arial"/>
          <w:sz w:val="17"/>
          <w:szCs w:val="17"/>
          <w:color w:val="auto"/>
        </w:rPr>
      </w:pPr>
    </w:p>
    <w:p>
      <w:pPr>
        <w:ind w:left="615" w:hanging="304"/>
        <w:spacing w:after="0"/>
        <w:tabs>
          <w:tab w:leader="none" w:pos="615" w:val="left"/>
        </w:tabs>
        <w:numPr>
          <w:ilvl w:val="1"/>
          <w:numId w:val="24"/>
        </w:numPr>
        <w:rPr>
          <w:rFonts w:ascii="Arial" w:cs="Arial" w:eastAsia="Arial" w:hAnsi="Arial"/>
          <w:sz w:val="17"/>
          <w:szCs w:val="17"/>
          <w:color w:val="auto"/>
        </w:rPr>
      </w:pPr>
      <w:r>
        <w:rPr>
          <w:rFonts w:ascii="Arial" w:cs="Arial" w:eastAsia="Arial" w:hAnsi="Arial"/>
          <w:sz w:val="17"/>
          <w:szCs w:val="17"/>
          <w:color w:val="auto"/>
        </w:rPr>
        <w:t>Group entities with functional currency other than the presentation currency -</w:t>
      </w:r>
    </w:p>
    <w:p>
      <w:pPr>
        <w:spacing w:after="0" w:line="193" w:lineRule="exact"/>
        <w:rPr>
          <w:rFonts w:ascii="Arial" w:cs="Arial" w:eastAsia="Arial" w:hAnsi="Arial"/>
          <w:sz w:val="17"/>
          <w:szCs w:val="17"/>
          <w:color w:val="auto"/>
        </w:rPr>
      </w:pPr>
    </w:p>
    <w:p>
      <w:pPr>
        <w:jc w:val="both"/>
        <w:ind w:left="615"/>
        <w:spacing w:after="0" w:line="246" w:lineRule="auto"/>
        <w:rPr>
          <w:rFonts w:ascii="Arial" w:cs="Arial" w:eastAsia="Arial" w:hAnsi="Arial"/>
          <w:sz w:val="17"/>
          <w:szCs w:val="17"/>
          <w:color w:val="auto"/>
        </w:rPr>
      </w:pPr>
      <w:r>
        <w:rPr>
          <w:rFonts w:ascii="Arial" w:cs="Arial" w:eastAsia="Arial" w:hAnsi="Arial"/>
          <w:sz w:val="17"/>
          <w:szCs w:val="17"/>
          <w:color w:val="auto"/>
        </w:rPr>
        <w:t>Given that the Group’s entities in Colombia, Chile, Cayman Islands, Panama and Bolivia, Mexico, United States of America, Spain and Mexico have a functional currency different from Sol, the balances were translated into Soles for consolidation purposes in accordance with IAS 21, “The Effects of Changes in Foreign Exchange Rates” as follows:</w:t>
      </w:r>
    </w:p>
    <w:p>
      <w:pPr>
        <w:spacing w:after="0" w:line="174" w:lineRule="exact"/>
        <w:rPr>
          <w:rFonts w:ascii="Arial" w:cs="Arial" w:eastAsia="Arial" w:hAnsi="Arial"/>
          <w:sz w:val="17"/>
          <w:szCs w:val="17"/>
          <w:color w:val="auto"/>
        </w:rPr>
      </w:pPr>
    </w:p>
    <w:p>
      <w:pPr>
        <w:ind w:left="935" w:hanging="313"/>
        <w:spacing w:after="0"/>
        <w:tabs>
          <w:tab w:leader="none" w:pos="935" w:val="left"/>
        </w:tabs>
        <w:numPr>
          <w:ilvl w:val="2"/>
          <w:numId w:val="24"/>
        </w:numPr>
        <w:rPr>
          <w:rFonts w:ascii="Arial" w:cs="Arial" w:eastAsia="Arial" w:hAnsi="Arial"/>
          <w:sz w:val="17"/>
          <w:szCs w:val="17"/>
          <w:color w:val="auto"/>
        </w:rPr>
      </w:pPr>
      <w:r>
        <w:rPr>
          <w:rFonts w:ascii="Arial" w:cs="Arial" w:eastAsia="Arial" w:hAnsi="Arial"/>
          <w:sz w:val="17"/>
          <w:szCs w:val="17"/>
          <w:color w:val="auto"/>
        </w:rPr>
        <w:t>Assets and liabilities, at the closing exchange rate prevailing at the date of each consolidated statement of financial position.</w:t>
      </w:r>
    </w:p>
    <w:p>
      <w:pPr>
        <w:ind w:left="935" w:hanging="313"/>
        <w:spacing w:after="0"/>
        <w:tabs>
          <w:tab w:leader="none" w:pos="935" w:val="left"/>
        </w:tabs>
        <w:numPr>
          <w:ilvl w:val="2"/>
          <w:numId w:val="24"/>
        </w:numPr>
        <w:rPr>
          <w:rFonts w:ascii="Arial" w:cs="Arial" w:eastAsia="Arial" w:hAnsi="Arial"/>
          <w:sz w:val="17"/>
          <w:szCs w:val="17"/>
          <w:color w:val="auto"/>
        </w:rPr>
      </w:pPr>
      <w:r>
        <w:rPr>
          <w:rFonts w:ascii="Arial" w:cs="Arial" w:eastAsia="Arial" w:hAnsi="Arial"/>
          <w:sz w:val="17"/>
          <w:szCs w:val="17"/>
          <w:color w:val="auto"/>
        </w:rPr>
        <w:t>Income and expense, at the average exchange rate for each month of the year.</w:t>
      </w:r>
    </w:p>
    <w:p>
      <w:pPr>
        <w:spacing w:after="0" w:line="193" w:lineRule="exact"/>
        <w:rPr>
          <w:sz w:val="20"/>
          <w:szCs w:val="20"/>
          <w:color w:val="auto"/>
        </w:rPr>
      </w:pPr>
    </w:p>
    <w:p>
      <w:pPr>
        <w:jc w:val="both"/>
        <w:ind w:left="615"/>
        <w:spacing w:after="0" w:line="246" w:lineRule="auto"/>
        <w:rPr>
          <w:sz w:val="20"/>
          <w:szCs w:val="20"/>
          <w:color w:val="auto"/>
        </w:rPr>
      </w:pPr>
      <w:r>
        <w:rPr>
          <w:rFonts w:ascii="Arial" w:cs="Arial" w:eastAsia="Arial" w:hAnsi="Arial"/>
          <w:sz w:val="17"/>
          <w:szCs w:val="17"/>
          <w:color w:val="auto"/>
        </w:rPr>
        <w:t>All resulting exchange differences were recognized within “Exchange differences on translation of foreign operations”, including the differences in financial instruments designated as accounting hedges of said investments, in the consolidated statement of comprehensive income.</w:t>
      </w:r>
    </w:p>
    <w:p>
      <w:pPr>
        <w:spacing w:after="0" w:line="176" w:lineRule="exact"/>
        <w:rPr>
          <w:sz w:val="20"/>
          <w:szCs w:val="20"/>
          <w:color w:val="auto"/>
        </w:rPr>
      </w:pPr>
    </w:p>
    <w:p>
      <w:pPr>
        <w:ind w:left="315" w:right="5620" w:hanging="315"/>
        <w:spacing w:after="0" w:line="477" w:lineRule="auto"/>
        <w:tabs>
          <w:tab w:leader="none" w:pos="3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Recognition of income and expenses from banking activities - Effective interest rate method:</w:t>
      </w: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Interest income is recorded using the effective interest rate (EIR) method for all financial instruments measured at amortized cost and at fair value through other comprehensive income. Interest expenses corresponding to liabilities measured at amortized cost are also recorded using the EIR.</w:t>
      </w:r>
    </w:p>
    <w:p>
      <w:pPr>
        <w:spacing w:after="0" w:line="150" w:lineRule="exact"/>
        <w:rPr>
          <w:rFonts w:ascii="Arial" w:cs="Arial" w:eastAsia="Arial" w:hAnsi="Arial"/>
          <w:sz w:val="17"/>
          <w:szCs w:val="17"/>
          <w:color w:val="auto"/>
        </w:rPr>
      </w:pPr>
    </w:p>
    <w:p>
      <w:pPr>
        <w:ind w:left="4895" w:hanging="97"/>
        <w:spacing w:after="0"/>
        <w:tabs>
          <w:tab w:leader="none" w:pos="4895" w:val="left"/>
        </w:tabs>
        <w:numPr>
          <w:ilvl w:val="1"/>
          <w:numId w:val="25"/>
        </w:numPr>
        <w:rPr>
          <w:rFonts w:ascii="Arial" w:cs="Arial" w:eastAsia="Arial" w:hAnsi="Arial"/>
          <w:sz w:val="17"/>
          <w:szCs w:val="17"/>
          <w:color w:val="auto"/>
        </w:rPr>
      </w:pPr>
      <w:r>
        <w:rPr>
          <w:rFonts w:ascii="Arial" w:cs="Arial" w:eastAsia="Arial" w:hAnsi="Arial"/>
          <w:sz w:val="17"/>
          <w:szCs w:val="17"/>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32" w:name="page33"/>
    <w:bookmarkEnd w:id="32"/>
    <w:p>
      <w:pPr>
        <w:jc w:val="both"/>
        <w:ind w:left="315"/>
        <w:spacing w:after="0" w:line="243" w:lineRule="auto"/>
        <w:rPr>
          <w:sz w:val="20"/>
          <w:szCs w:val="20"/>
          <w:color w:val="auto"/>
        </w:rPr>
      </w:pPr>
      <w:r>
        <w:rPr>
          <w:rFonts w:ascii="Arial" w:cs="Arial" w:eastAsia="Arial" w:hAnsi="Arial"/>
          <w:sz w:val="17"/>
          <w:szCs w:val="17"/>
          <w:color w:val="auto"/>
        </w:rPr>
        <w:t>The EIR is the rate that exactly discounts future cash flows that are estimated to be paid or received during the life of the instrument or a shorter period, if appropriate, to the gross carrying amount of the financial asset or financial liability. The EIR (and, therefore, the amortized cost of the financial asset or liability) is calculated considering any discount, premium and transaction costs that are an integral part of the effective interest rate of the financial instrument, but the expected credit loss are not included.</w:t>
      </w:r>
    </w:p>
    <w:p>
      <w:pPr>
        <w:spacing w:after="0" w:line="179" w:lineRule="exact"/>
        <w:rPr>
          <w:sz w:val="20"/>
          <w:szCs w:val="20"/>
          <w:color w:val="auto"/>
        </w:rPr>
      </w:pPr>
    </w:p>
    <w:p>
      <w:pPr>
        <w:ind w:left="315"/>
        <w:spacing w:after="0"/>
        <w:rPr>
          <w:sz w:val="20"/>
          <w:szCs w:val="20"/>
          <w:color w:val="auto"/>
        </w:rPr>
      </w:pPr>
      <w:r>
        <w:rPr>
          <w:rFonts w:ascii="Arial" w:cs="Arial" w:eastAsia="Arial" w:hAnsi="Arial"/>
          <w:sz w:val="17"/>
          <w:szCs w:val="17"/>
          <w:color w:val="auto"/>
        </w:rPr>
        <w:t>Interest income and expenses:</w:t>
      </w:r>
    </w:p>
    <w:p>
      <w:pPr>
        <w:spacing w:after="0" w:line="193" w:lineRule="exact"/>
        <w:rPr>
          <w:sz w:val="20"/>
          <w:szCs w:val="20"/>
          <w:color w:val="auto"/>
        </w:rPr>
      </w:pPr>
    </w:p>
    <w:p>
      <w:pPr>
        <w:ind w:left="315"/>
        <w:spacing w:after="0"/>
        <w:rPr>
          <w:sz w:val="20"/>
          <w:szCs w:val="20"/>
          <w:color w:val="auto"/>
        </w:rPr>
      </w:pPr>
      <w:r>
        <w:rPr>
          <w:rFonts w:ascii="Arial" w:cs="Arial" w:eastAsia="Arial" w:hAnsi="Arial"/>
          <w:sz w:val="17"/>
          <w:szCs w:val="17"/>
          <w:color w:val="auto"/>
        </w:rPr>
        <w:t>The Group calculates interest income by applying the EIR to the gross carrying amount of those financial assets that are not impaired.</w:t>
      </w:r>
    </w:p>
    <w:p>
      <w:pPr>
        <w:spacing w:after="0" w:line="193" w:lineRule="exact"/>
        <w:rPr>
          <w:sz w:val="20"/>
          <w:szCs w:val="20"/>
          <w:color w:val="auto"/>
        </w:rPr>
      </w:pPr>
    </w:p>
    <w:p>
      <w:pPr>
        <w:jc w:val="both"/>
        <w:ind w:left="315"/>
        <w:spacing w:after="0" w:line="243" w:lineRule="auto"/>
        <w:rPr>
          <w:sz w:val="20"/>
          <w:szCs w:val="20"/>
          <w:color w:val="auto"/>
        </w:rPr>
      </w:pPr>
      <w:r>
        <w:rPr>
          <w:rFonts w:ascii="Arial" w:cs="Arial" w:eastAsia="Arial" w:hAnsi="Arial"/>
          <w:sz w:val="17"/>
          <w:szCs w:val="17"/>
          <w:color w:val="auto"/>
        </w:rPr>
        <w:t>When a financial asset becomes impaired and, therefore, is considered in Stage 3 (as set out in Note 3(i) impairment of financial assets), the Group calculates interest income by applying the interest rate effective at the carrying amount of the asset, net of its provision for credit loss. If the evidence that the criteria for the recognition of the financial asset in Stage 3 are no longer met, the Group recalculates interest income in gross terms.</w:t>
      </w:r>
    </w:p>
    <w:p>
      <w:pPr>
        <w:spacing w:after="0" w:line="180"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Interest income and expenses accrued from all financial instruments that generate interest, including those related to financial instruments carried at fair value through profit or loss, are recorded under the heading “Interest and similar income” and “Interest and similar expenses” in the consolidated statement of income.</w:t>
      </w:r>
    </w:p>
    <w:p>
      <w:pPr>
        <w:spacing w:after="0" w:line="176" w:lineRule="exact"/>
        <w:rPr>
          <w:sz w:val="20"/>
          <w:szCs w:val="20"/>
          <w:color w:val="auto"/>
        </w:rPr>
      </w:pPr>
    </w:p>
    <w:p>
      <w:pPr>
        <w:ind w:left="315"/>
        <w:spacing w:after="0"/>
        <w:rPr>
          <w:sz w:val="20"/>
          <w:szCs w:val="20"/>
          <w:color w:val="auto"/>
        </w:rPr>
      </w:pPr>
      <w:r>
        <w:rPr>
          <w:rFonts w:ascii="Arial" w:cs="Arial" w:eastAsia="Arial" w:hAnsi="Arial"/>
          <w:sz w:val="17"/>
          <w:szCs w:val="17"/>
          <w:color w:val="auto"/>
        </w:rPr>
        <w:t>Dividends:</w:t>
      </w:r>
    </w:p>
    <w:p>
      <w:pPr>
        <w:spacing w:after="0" w:line="193" w:lineRule="exact"/>
        <w:rPr>
          <w:sz w:val="20"/>
          <w:szCs w:val="20"/>
          <w:color w:val="auto"/>
        </w:rPr>
      </w:pPr>
    </w:p>
    <w:p>
      <w:pPr>
        <w:ind w:left="315"/>
        <w:spacing w:after="0"/>
        <w:rPr>
          <w:sz w:val="20"/>
          <w:szCs w:val="20"/>
          <w:color w:val="auto"/>
        </w:rPr>
      </w:pPr>
      <w:r>
        <w:rPr>
          <w:rFonts w:ascii="Arial" w:cs="Arial" w:eastAsia="Arial" w:hAnsi="Arial"/>
          <w:sz w:val="17"/>
          <w:szCs w:val="17"/>
          <w:color w:val="auto"/>
        </w:rPr>
        <w:t>Dividends are recorded as income when they are declared.</w:t>
      </w:r>
    </w:p>
    <w:p>
      <w:pPr>
        <w:spacing w:after="0" w:line="193" w:lineRule="exact"/>
        <w:rPr>
          <w:sz w:val="20"/>
          <w:szCs w:val="20"/>
          <w:color w:val="auto"/>
        </w:rPr>
      </w:pPr>
    </w:p>
    <w:p>
      <w:pPr>
        <w:ind w:left="315"/>
        <w:spacing w:after="0"/>
        <w:rPr>
          <w:sz w:val="20"/>
          <w:szCs w:val="20"/>
          <w:color w:val="auto"/>
        </w:rPr>
      </w:pPr>
      <w:r>
        <w:rPr>
          <w:rFonts w:ascii="Arial" w:cs="Arial" w:eastAsia="Arial" w:hAnsi="Arial"/>
          <w:sz w:val="17"/>
          <w:szCs w:val="17"/>
          <w:color w:val="auto"/>
        </w:rPr>
        <w:t>Commissions and fees:</w:t>
      </w:r>
    </w:p>
    <w:p>
      <w:pPr>
        <w:spacing w:after="0" w:line="193"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Commission income (which is not an integral part of the EIR) and fees are recorded as they accrue. Commissions and fees include, among others, the commission charged for the banking service in general such as account maintenance, shipping, transfers, loan syndication fees and contingent credit fees.</w:t>
      </w:r>
    </w:p>
    <w:p>
      <w:pPr>
        <w:spacing w:after="0" w:line="176" w:lineRule="exact"/>
        <w:rPr>
          <w:sz w:val="20"/>
          <w:szCs w:val="20"/>
          <w:color w:val="auto"/>
        </w:rPr>
      </w:pPr>
    </w:p>
    <w:p>
      <w:pPr>
        <w:ind w:left="315"/>
        <w:spacing w:after="0"/>
        <w:rPr>
          <w:sz w:val="20"/>
          <w:szCs w:val="20"/>
          <w:color w:val="auto"/>
        </w:rPr>
      </w:pPr>
      <w:r>
        <w:rPr>
          <w:rFonts w:ascii="Arial" w:cs="Arial" w:eastAsia="Arial" w:hAnsi="Arial"/>
          <w:sz w:val="17"/>
          <w:szCs w:val="17"/>
          <w:color w:val="auto"/>
        </w:rPr>
        <w:t>Other income and expenses:</w:t>
      </w:r>
    </w:p>
    <w:p>
      <w:pPr>
        <w:spacing w:after="0" w:line="193" w:lineRule="exact"/>
        <w:rPr>
          <w:sz w:val="20"/>
          <w:szCs w:val="20"/>
          <w:color w:val="auto"/>
        </w:rPr>
      </w:pPr>
    </w:p>
    <w:p>
      <w:pPr>
        <w:ind w:left="315"/>
        <w:spacing w:after="0"/>
        <w:rPr>
          <w:sz w:val="20"/>
          <w:szCs w:val="20"/>
          <w:color w:val="auto"/>
        </w:rPr>
      </w:pPr>
      <w:r>
        <w:rPr>
          <w:rFonts w:ascii="Arial" w:cs="Arial" w:eastAsia="Arial" w:hAnsi="Arial"/>
          <w:sz w:val="17"/>
          <w:szCs w:val="17"/>
          <w:color w:val="auto"/>
        </w:rPr>
        <w:t>All other income and expenses are recorded in the period in which the performance obligation is satisfied.</w:t>
      </w:r>
    </w:p>
    <w:p>
      <w:pPr>
        <w:spacing w:after="0" w:line="193" w:lineRule="exact"/>
        <w:rPr>
          <w:sz w:val="20"/>
          <w:szCs w:val="20"/>
          <w:color w:val="auto"/>
        </w:rPr>
      </w:pPr>
    </w:p>
    <w:p>
      <w:pPr>
        <w:ind w:left="315" w:right="8640" w:hanging="315"/>
        <w:spacing w:after="0" w:line="477" w:lineRule="auto"/>
        <w:tabs>
          <w:tab w:leader="none" w:pos="3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Insurance activities - Product classification:</w:t>
      </w: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Insurance contracts are those contracts in which the Group (the insurer) has accepted a significant insurance risk from the counterparty (the policyholder) by agreeing to compensate the policyholder if an uncertain future event (the insured event) occurs. This definition also includes reinsurance contracts that the Group holds.</w:t>
      </w:r>
    </w:p>
    <w:p>
      <w:pPr>
        <w:spacing w:after="0" w:line="175"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Once a contract has been classified as an insurance contract, it remains an insurance contract for the remainder of its lifetime, even if the insurance risk reduces significantly during this year, unless all rights and obligations expire.</w:t>
      </w:r>
    </w:p>
    <w:p>
      <w:pPr>
        <w:spacing w:after="0" w:line="169"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Life insurance contracts offered by the Group include retirement, disability and survival insurance, annuities and individual life which includes Investment Link insurance contracts. The non-life insurance contracts issued by the Group mainly include automobile, fire and allied lines, technical branches and healthcare.</w:t>
      </w:r>
    </w:p>
    <w:p>
      <w:pPr>
        <w:spacing w:after="0" w:line="150" w:lineRule="exact"/>
        <w:rPr>
          <w:rFonts w:ascii="Arial" w:cs="Arial" w:eastAsia="Arial" w:hAnsi="Arial"/>
          <w:sz w:val="17"/>
          <w:szCs w:val="17"/>
          <w:color w:val="auto"/>
        </w:rPr>
      </w:pPr>
    </w:p>
    <w:p>
      <w:pPr>
        <w:ind w:left="4895" w:hanging="97"/>
        <w:spacing w:after="0"/>
        <w:tabs>
          <w:tab w:leader="none" w:pos="4895" w:val="left"/>
        </w:tabs>
        <w:numPr>
          <w:ilvl w:val="1"/>
          <w:numId w:val="26"/>
        </w:numPr>
        <w:rPr>
          <w:rFonts w:ascii="Arial" w:cs="Arial" w:eastAsia="Arial" w:hAnsi="Arial"/>
          <w:sz w:val="17"/>
          <w:szCs w:val="17"/>
          <w:color w:val="auto"/>
        </w:rPr>
      </w:pPr>
      <w:r>
        <w:rPr>
          <w:rFonts w:ascii="Arial" w:cs="Arial" w:eastAsia="Arial" w:hAnsi="Arial"/>
          <w:sz w:val="17"/>
          <w:szCs w:val="17"/>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Reinsurance: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Group cedes insurance risk in the normal course of its operations for most of its businesses. Reinsurance assets represent balances due from reinsurance companies. Reinsurance ceded is placed on both a proportional and non-proportional basis.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Amounts recoverable from reinsurers are estimated in a consistent manner with the outstanding claims reserve or settled claims and ceded premiums, associated with the ceded policies and in accordance with the related reinsurance contracts.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Reinsurance assets are reviewed for impairment at each reporting date of the consolidated statement of financial position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measurable impact on the amounts that the Group will receive from the reinsurer. The impairment loss is recorded in the consolidated statement of income.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Ceded reinsurance arrangements do not relieve the Group from its obligations to policyholders.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classification of the reinsured insurance contract.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Reinsurance liabilities represent balances due to reinsurance companies. Amounts payable are estimated in a manner consistent with the related reinsurance contract.</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Premiums and claims are presented as gross amounts for reinsurance ceded. Reinsurance assets or liabilities are written off when contractual rights are terminated or expire or when the contract is transferred to a third party.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Reinsurance contracts that do not transfer significant insurance risk are not material to the insurance segment.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Insurance receivables: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Insurance receivables are recognized when they are enforceable and measured on initial recognition at the fair value of the consideration received or receivable. Subsequent to initial recognition, insurance receivables are measured at amortized cost.</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As of December 31, 2022 and 2021 the carrying amount of the insurance receivables is similar to their fair value due to their short term. The carrying amount of insurance receivables is reviewed for impairment whenever events or circumstances indicate that the carrying amount may not be recoverable. The impairment loss is recorded in the consolidated statement of income. Insurance receivables are derecognized when the de-recognition criteria for financial assets, as described in Note 3(g), have been met.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“Investment Link” assets:</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“Investment Link” assets represent financial instruments held for purposes of funding a group of life insurance contracts and for which investment gains and losses are allocated directly to the policyholders who bear the investment and reinvestment risk. Each account has specific characteristics, and the assets are carried at fair value. The balances of each account are legally segregated and are not subject to claims that arise out of any other business of the Group. The liabilities linked to these contracts are equal in amount to the assets that support them, net of the commissions that the Group charges for the management of these contracts.</w:t>
      </w:r>
    </w:p>
    <w:p>
      <w:pPr>
        <w:spacing w:after="0" w:line="15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0"/>
          </w:cols>
          <w:pgMar w:left="1260" w:top="140" w:right="339" w:bottom="1440" w:gutter="0" w:footer="0" w:header="0"/>
        </w:sectPr>
      </w:pPr>
    </w:p>
    <w:bookmarkStart w:id="34" w:name="page35"/>
    <w:bookmarkEnd w:id="34"/>
    <w:p>
      <w:pPr>
        <w:ind w:left="4"/>
        <w:spacing w:after="0"/>
        <w:rPr>
          <w:sz w:val="20"/>
          <w:szCs w:val="20"/>
          <w:color w:val="auto"/>
        </w:rPr>
      </w:pPr>
      <w:r>
        <w:rPr>
          <w:rFonts w:ascii="Arial" w:cs="Arial" w:eastAsia="Arial" w:hAnsi="Arial"/>
          <w:sz w:val="17"/>
          <w:szCs w:val="17"/>
          <w:color w:val="auto"/>
        </w:rPr>
        <w:t>Deferred acquisition costs (DAC):</w:t>
      </w:r>
    </w:p>
    <w:p>
      <w:pPr>
        <w:spacing w:after="0" w:line="192"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It comprises the direct costs that originate with and are related to traditional life and Investment Link insurance contracts, which are deferred; all other acquisition costs are recognized as an expense when incurred. The direct acquisition costs comprise primarily agent commissions corresponding to the underwriting and policy issuance costs.</w:t>
      </w:r>
    </w:p>
    <w:p>
      <w:pPr>
        <w:spacing w:after="0" w:line="176"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Subsequent to initial recognition, these costs are amortized on a straight-line basis based on the average expiration period of the related insurance contracts. Amortization is recorded in the consolidated statement of income.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7"/>
          <w:szCs w:val="17"/>
          <w:color w:val="auto"/>
        </w:rPr>
        <w:t>DAC for general insurance and health products are amortized over the period in which the related revenues are earned.</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7"/>
          <w:szCs w:val="17"/>
          <w:color w:val="auto"/>
        </w:rPr>
        <w:t>DAC are derecognized when the related contracts are either settled or disposed of.</w:t>
      </w:r>
    </w:p>
    <w:p>
      <w:pPr>
        <w:spacing w:after="0" w:line="193"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An impairment review is performed at the date of the consolidated statement of financial position or more frequently when an indication of impairment arises. When the recoverable amounts are less than the carrying amount an impairment loss is recognized in the consolidated statement of income. DAC is also considered in the liability adequacy test for each reporting period.</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color w:val="auto"/>
        </w:rPr>
        <w:t>Reinsurance commissions:</w:t>
      </w:r>
    </w:p>
    <w:p>
      <w:pPr>
        <w:spacing w:after="0" w:line="193"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Commissions on reinsurance contracts for ceded premiums are amortized on a straight-line basis over the term of the coverage of the related insurance contract.</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7"/>
          <w:szCs w:val="17"/>
          <w:color w:val="auto"/>
        </w:rPr>
        <w:t>Insurance contract liabilities:</w:t>
      </w:r>
    </w:p>
    <w:p>
      <w:pPr>
        <w:spacing w:after="0" w:line="193" w:lineRule="exact"/>
        <w:rPr>
          <w:sz w:val="20"/>
          <w:szCs w:val="20"/>
          <w:color w:val="auto"/>
        </w:rPr>
      </w:pPr>
    </w:p>
    <w:p>
      <w:pPr>
        <w:ind w:left="304" w:hanging="304"/>
        <w:spacing w:after="0"/>
        <w:tabs>
          <w:tab w:leader="none" w:pos="3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Life insurance contract liabilities -</w:t>
      </w:r>
    </w:p>
    <w:p>
      <w:pPr>
        <w:spacing w:after="0" w:line="193"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Life insurance liabilities are recognized when the term of the contract begins.</w:t>
      </w:r>
    </w:p>
    <w:p>
      <w:pPr>
        <w:spacing w:after="0" w:line="193" w:lineRule="exact"/>
        <w:rPr>
          <w:rFonts w:ascii="Arial" w:cs="Arial" w:eastAsia="Arial" w:hAnsi="Arial"/>
          <w:sz w:val="17"/>
          <w:szCs w:val="17"/>
          <w:color w:val="auto"/>
        </w:rPr>
      </w:pPr>
    </w:p>
    <w:p>
      <w:pPr>
        <w:jc w:val="both"/>
        <w:ind w:left="304"/>
        <w:spacing w:after="0" w:line="246" w:lineRule="auto"/>
        <w:rPr>
          <w:rFonts w:ascii="Arial" w:cs="Arial" w:eastAsia="Arial" w:hAnsi="Arial"/>
          <w:sz w:val="17"/>
          <w:szCs w:val="17"/>
          <w:color w:val="auto"/>
        </w:rPr>
      </w:pPr>
      <w:r>
        <w:rPr>
          <w:rFonts w:ascii="Arial" w:cs="Arial" w:eastAsia="Arial" w:hAnsi="Arial"/>
          <w:sz w:val="17"/>
          <w:szCs w:val="17"/>
          <w:color w:val="auto"/>
        </w:rPr>
        <w:t>The technical reserves maintained by the Group include the reserves of all of the business lines, comprising both the mathematical reserves and those of ongoing risk, as well as the reserves for outstanding claims, settled claims, claim settlement costs, claims incurred but not reported, as applicable to each line.</w:t>
      </w:r>
    </w:p>
    <w:p>
      <w:pPr>
        <w:spacing w:after="0" w:line="175" w:lineRule="exact"/>
        <w:rPr>
          <w:rFonts w:ascii="Arial" w:cs="Arial" w:eastAsia="Arial" w:hAnsi="Arial"/>
          <w:sz w:val="17"/>
          <w:szCs w:val="17"/>
          <w:color w:val="auto"/>
        </w:rPr>
      </w:pPr>
    </w:p>
    <w:p>
      <w:pPr>
        <w:jc w:val="both"/>
        <w:ind w:left="304"/>
        <w:spacing w:after="0" w:line="241" w:lineRule="auto"/>
        <w:rPr>
          <w:rFonts w:ascii="Arial" w:cs="Arial" w:eastAsia="Arial" w:hAnsi="Arial"/>
          <w:sz w:val="17"/>
          <w:szCs w:val="17"/>
          <w:color w:val="auto"/>
        </w:rPr>
      </w:pPr>
      <w:r>
        <w:rPr>
          <w:rFonts w:ascii="Arial" w:cs="Arial" w:eastAsia="Arial" w:hAnsi="Arial"/>
          <w:sz w:val="17"/>
          <w:szCs w:val="17"/>
          <w:color w:val="auto"/>
        </w:rPr>
        <w:t>Due to the nature of the business, the mathematical reserves of the pension lines represent the main part of the Group’s reserves, with the line of Life Annuities as the major source of reserves due to the important volume of premiums and as a result of having only single premiums. To determine the reserves of this business, the discounted present value of the expected future pensions, calculated on the basis of mortality tables and interest rates. Those are based on the asset portfolio which supports the liabilities. Additionally, the constituted reserves include the amount required to cover the maintenance expenses related to the administration of the payment of future pensions.</w:t>
      </w:r>
    </w:p>
    <w:p>
      <w:pPr>
        <w:spacing w:after="0" w:line="182"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The mathematical reserves of the income lines are determined by the sum of the value discounted from future expected pensions to be paid during a defined period or</w:t>
      </w:r>
    </w:p>
    <w:p>
      <w:pPr>
        <w:spacing w:after="0" w:line="169" w:lineRule="exact"/>
        <w:rPr>
          <w:rFonts w:ascii="Arial" w:cs="Arial" w:eastAsia="Arial" w:hAnsi="Arial"/>
          <w:sz w:val="17"/>
          <w:szCs w:val="17"/>
          <w:color w:val="auto"/>
        </w:rPr>
      </w:pPr>
    </w:p>
    <w:p>
      <w:pPr>
        <w:jc w:val="both"/>
        <w:ind w:left="304"/>
        <w:spacing w:after="0" w:line="246" w:lineRule="auto"/>
        <w:rPr>
          <w:rFonts w:ascii="Arial" w:cs="Arial" w:eastAsia="Arial" w:hAnsi="Arial"/>
          <w:sz w:val="17"/>
          <w:szCs w:val="17"/>
          <w:color w:val="auto"/>
        </w:rPr>
      </w:pPr>
      <w:r>
        <w:rPr>
          <w:rFonts w:ascii="Arial" w:cs="Arial" w:eastAsia="Arial" w:hAnsi="Arial"/>
          <w:sz w:val="17"/>
          <w:szCs w:val="17"/>
          <w:color w:val="auto"/>
        </w:rPr>
        <w:t>not defined, calculated on the basis of the current mortality and morbidity tables, and the market discount interest rates of the investment portfolio. During 2018, the Group adopted the new mortality tables approved and published by the SBS through Resolution SBS No.886-2018. These tables reflect recent changes in the life expectancy.</w:t>
      </w:r>
    </w:p>
    <w:p>
      <w:pPr>
        <w:spacing w:after="0" w:line="175" w:lineRule="exact"/>
        <w:rPr>
          <w:rFonts w:ascii="Arial" w:cs="Arial" w:eastAsia="Arial" w:hAnsi="Arial"/>
          <w:sz w:val="17"/>
          <w:szCs w:val="17"/>
          <w:color w:val="auto"/>
        </w:rPr>
      </w:pPr>
    </w:p>
    <w:p>
      <w:pPr>
        <w:jc w:val="both"/>
        <w:ind w:left="304"/>
        <w:spacing w:after="0" w:line="246" w:lineRule="auto"/>
        <w:rPr>
          <w:rFonts w:ascii="Arial" w:cs="Arial" w:eastAsia="Arial" w:hAnsi="Arial"/>
          <w:sz w:val="17"/>
          <w:szCs w:val="17"/>
          <w:color w:val="auto"/>
        </w:rPr>
      </w:pPr>
      <w:r>
        <w:rPr>
          <w:rFonts w:ascii="Arial" w:cs="Arial" w:eastAsia="Arial" w:hAnsi="Arial"/>
          <w:sz w:val="17"/>
          <w:szCs w:val="17"/>
          <w:color w:val="auto"/>
        </w:rPr>
        <w:t>The Group also uses discount rates in the measurement of income to reflect the market value in the measurement of insurance liabilities. As of December 31, 2022 and 2021, the Group uses the market rate for harvests of the portfolio of its financial assets for pension flows shifted by currency (market rates).</w:t>
      </w:r>
    </w:p>
    <w:p>
      <w:pPr>
        <w:spacing w:after="0" w:line="150" w:lineRule="exact"/>
        <w:rPr>
          <w:rFonts w:ascii="Arial" w:cs="Arial" w:eastAsia="Arial" w:hAnsi="Arial"/>
          <w:sz w:val="17"/>
          <w:szCs w:val="17"/>
          <w:color w:val="auto"/>
        </w:rPr>
      </w:pPr>
    </w:p>
    <w:p>
      <w:pPr>
        <w:ind w:left="4584" w:hanging="97"/>
        <w:spacing w:after="0"/>
        <w:tabs>
          <w:tab w:leader="none" w:pos="4584" w:val="left"/>
        </w:tabs>
        <w:numPr>
          <w:ilvl w:val="1"/>
          <w:numId w:val="27"/>
        </w:numPr>
        <w:rPr>
          <w:rFonts w:ascii="Arial" w:cs="Arial" w:eastAsia="Arial" w:hAnsi="Arial"/>
          <w:sz w:val="17"/>
          <w:szCs w:val="17"/>
          <w:color w:val="auto"/>
        </w:rPr>
      </w:pPr>
      <w:r>
        <w:rPr>
          <w:rFonts w:ascii="Arial" w:cs="Arial" w:eastAsia="Arial" w:hAnsi="Arial"/>
          <w:sz w:val="17"/>
          <w:szCs w:val="17"/>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35" w:name="page36"/>
    <w:bookmarkEnd w:id="35"/>
    <w:p>
      <w:pPr>
        <w:jc w:val="both"/>
        <w:ind w:left="120"/>
        <w:spacing w:after="0" w:line="242" w:lineRule="auto"/>
        <w:rPr>
          <w:sz w:val="20"/>
          <w:szCs w:val="20"/>
          <w:color w:val="auto"/>
        </w:rPr>
      </w:pPr>
      <w:r>
        <w:rPr>
          <w:rFonts w:ascii="Arial" w:cs="Arial" w:eastAsia="Arial" w:hAnsi="Arial"/>
          <w:sz w:val="17"/>
          <w:szCs w:val="17"/>
          <w:color w:val="auto"/>
        </w:rPr>
        <w:t>As of December 31, 2022 and 2021, the adjustments to the liabilities at each reporting date of the consolidated statement of financial position are recorded in the consolidated statement of income (due to the effects of the variations in the mortality tables) and in the consolidated statement of comprehensive income (due to the effect of the market rate), both effects are included in the consolidated statement of comprehensive income as of December 31, 2022 and 2021. The liability is derecognized when the contract expires, is discharged or is cancelled.</w:t>
      </w:r>
    </w:p>
    <w:p>
      <w:pPr>
        <w:spacing w:after="0" w:line="179"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On the other hand, in the Individual Life business, the Group offers some products which are only risk related and others of risk and savings, the latter being those which comprise the highest percentage of reserves of the line. Risk and savings products can be differentiated between those with a guaranteed interest rate and others without guaranteed interest, the reserve for the first group being equal to the balance of the policy accounts plus the unaccredited surplus interest, and for the second group it is equal to the balance of the policy accounts. These accounts are established with the premiums collected, tax deductions, expenses and costs of insurance and the accreditation of interest based on the yield of the portfolio which supports said reserves.</w:t>
      </w:r>
    </w:p>
    <w:p>
      <w:pPr>
        <w:spacing w:after="0" w:line="182" w:lineRule="exact"/>
        <w:rPr>
          <w:sz w:val="20"/>
          <w:szCs w:val="20"/>
          <w:color w:val="auto"/>
        </w:rPr>
      </w:pPr>
    </w:p>
    <w:p>
      <w:pPr>
        <w:jc w:val="both"/>
        <w:ind w:left="120"/>
        <w:spacing w:after="0" w:line="242" w:lineRule="auto"/>
        <w:rPr>
          <w:sz w:val="20"/>
          <w:szCs w:val="20"/>
          <w:color w:val="auto"/>
        </w:rPr>
      </w:pPr>
      <w:r>
        <w:rPr>
          <w:rFonts w:ascii="Arial" w:cs="Arial" w:eastAsia="Arial" w:hAnsi="Arial"/>
          <w:sz w:val="17"/>
          <w:szCs w:val="17"/>
          <w:color w:val="auto"/>
        </w:rPr>
        <w:t>Life insurance claims reserves include reserves for reported claims and estimates of incurred claims that havenot been reported (IBNR) to the Group. As of December 31, 2022 reserves for claims occurred and not reported were determined on the basis of the Chain Ladder methodology (a generally accepted actuarial method), whereby the weighted average of past claim development is projected into the future; this projection is based on the ratios of occurrence of accumulated past claims. Due to the COVID-19 pandemic, as of December 31, 2021 and 2020, IBNR reserves were calculated in two parts:</w:t>
      </w:r>
    </w:p>
    <w:p>
      <w:pPr>
        <w:spacing w:after="0" w:line="179" w:lineRule="exact"/>
        <w:rPr>
          <w:sz w:val="20"/>
          <w:szCs w:val="20"/>
          <w:color w:val="auto"/>
        </w:rPr>
      </w:pPr>
    </w:p>
    <w:p>
      <w:pPr>
        <w:ind w:left="320" w:hanging="193"/>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IBNR reserve for regular claims and</w:t>
      </w:r>
    </w:p>
    <w:p>
      <w:pPr>
        <w:ind w:left="320" w:hanging="193"/>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IBNR reserve for expected excess mortality (deaths above the average number of cases in the pre-pandemic months).</w:t>
      </w:r>
    </w:p>
    <w:p>
      <w:pPr>
        <w:spacing w:after="0" w:line="193" w:lineRule="exact"/>
        <w:rPr>
          <w:sz w:val="20"/>
          <w:szCs w:val="20"/>
          <w:color w:val="auto"/>
        </w:rPr>
      </w:pPr>
    </w:p>
    <w:p>
      <w:pPr>
        <w:jc w:val="both"/>
        <w:ind w:left="120"/>
        <w:spacing w:after="0"/>
        <w:rPr>
          <w:sz w:val="20"/>
          <w:szCs w:val="20"/>
          <w:color w:val="auto"/>
        </w:rPr>
      </w:pPr>
      <w:r>
        <w:rPr>
          <w:rFonts w:ascii="Arial" w:cs="Arial" w:eastAsia="Arial" w:hAnsi="Arial"/>
          <w:sz w:val="17"/>
          <w:szCs w:val="17"/>
          <w:color w:val="auto"/>
        </w:rPr>
        <w:t>For part a) the IBNR reserves are determined based on the Chain Ladder methodology, maintaining the expected loss ratio of the periods prior to the pandemic and for part b) the IBNR reserves are determined based on the estimate of deaths in addition to the average (excess mortality) of each portfolio and subtracting additional claims to the average already reported to the Group. The excess mortality of each portfolio is calculated taking into account the excess mortality experienced in the country by geographic location and age ranges and the representation of the portfolio of policyholders in those same segments. It should be noted that, due to periods of social confinement and stoppage of certain activities, the claim report during 2022 and 2021 has shown greater delays than in previous years, which translates into an increase in IBNR and an increase in claims, likewise, it is reflected in the increase in the reserve for pending claims. In general, claim reserves have been estimated with prudential criteria due to the uncertainty in the loss ratio caused by the pandemic.</w:t>
      </w:r>
    </w:p>
    <w:p>
      <w:pPr>
        <w:spacing w:after="0" w:line="183"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At each reporting date, an evaluation is carried out as to whether the life insurance liabilities are adequate, net of the related DAC, by means of a liability adequacy test as established by IFRS 4. As of December 31, 2022 and 2021, the Group’s Management concluded that the liabilities are sufficient and, therefore, they have not recognized any additional liability for life insurance contracts.</w:t>
      </w:r>
    </w:p>
    <w:p>
      <w:pPr>
        <w:spacing w:after="0" w:line="34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32385</wp:posOffset>
            </wp:positionV>
            <wp:extent cx="713803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20"/>
          </w:cols>
          <w:pgMar w:left="1440" w:top="140" w:right="339" w:bottom="1440" w:gutter="0" w:footer="0" w:header="0"/>
        </w:sectPr>
      </w:pPr>
    </w:p>
    <w:bookmarkStart w:id="36" w:name="page37"/>
    <w:bookmarkEnd w:id="36"/>
    <w:p>
      <w:pPr>
        <w:ind w:left="304" w:right="3180" w:hanging="304"/>
        <w:spacing w:after="0" w:line="476" w:lineRule="auto"/>
        <w:tabs>
          <w:tab w:leader="none" w:pos="3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Non-life insurance contract liabilities (which comprise general and healthcare insurance) - Non-life insurance contract liabilities are recognized when contracts are entered into.</w:t>
      </w:r>
    </w:p>
    <w:p>
      <w:pPr>
        <w:jc w:val="both"/>
        <w:ind w:left="304"/>
        <w:spacing w:after="0" w:line="243" w:lineRule="auto"/>
        <w:rPr>
          <w:rFonts w:ascii="Arial" w:cs="Arial" w:eastAsia="Arial" w:hAnsi="Arial"/>
          <w:sz w:val="17"/>
          <w:szCs w:val="17"/>
          <w:color w:val="auto"/>
        </w:rPr>
      </w:pPr>
      <w:r>
        <w:rPr>
          <w:rFonts w:ascii="Arial" w:cs="Arial" w:eastAsia="Arial" w:hAnsi="Arial"/>
          <w:sz w:val="17"/>
          <w:szCs w:val="17"/>
          <w:color w:val="auto"/>
        </w:rPr>
        <w:t>Claims reserves are based on the last estimated cost of all claims incurred but not settled at the date of the consolidated statement of financial position, whether reported or not, together with related claim handling costs and the expected reduction in value of salvage and other recoveries. Delays can be experienced in the notification and settlement of certain types of claims, therefore their ultimate cost cannot be known with certainty at the date of the consolidated statement of financial position.</w:t>
      </w:r>
    </w:p>
    <w:p>
      <w:pPr>
        <w:spacing w:after="0" w:line="179" w:lineRule="exact"/>
        <w:rPr>
          <w:rFonts w:ascii="Arial" w:cs="Arial" w:eastAsia="Arial" w:hAnsi="Arial"/>
          <w:sz w:val="17"/>
          <w:szCs w:val="17"/>
          <w:color w:val="auto"/>
        </w:rPr>
      </w:pPr>
    </w:p>
    <w:p>
      <w:pPr>
        <w:jc w:val="both"/>
        <w:ind w:left="304"/>
        <w:spacing w:after="0" w:line="242" w:lineRule="auto"/>
        <w:rPr>
          <w:rFonts w:ascii="Arial" w:cs="Arial" w:eastAsia="Arial" w:hAnsi="Arial"/>
          <w:sz w:val="17"/>
          <w:szCs w:val="17"/>
          <w:color w:val="auto"/>
        </w:rPr>
      </w:pPr>
      <w:r>
        <w:rPr>
          <w:rFonts w:ascii="Arial" w:cs="Arial" w:eastAsia="Arial" w:hAnsi="Arial"/>
          <w:sz w:val="17"/>
          <w:szCs w:val="17"/>
          <w:color w:val="auto"/>
        </w:rPr>
        <w:t>Claims occurred but not reported are estimated and included in the provision (liabilities). The reserves for claims that have not been reported are determined based on the Chain Ladder methodology (a generally accepted actuarial method) that considers the statistical analysis of the experience in reporting claims of the Group, the expected costs of the claims to be reported and when appropriate, adjustments in the last estimated periods based on the frequency and/or severity of the cases to better reflect the current conditions.</w:t>
      </w:r>
    </w:p>
    <w:p>
      <w:pPr>
        <w:spacing w:after="0" w:line="180" w:lineRule="exact"/>
        <w:rPr>
          <w:rFonts w:ascii="Arial" w:cs="Arial" w:eastAsia="Arial" w:hAnsi="Arial"/>
          <w:sz w:val="17"/>
          <w:szCs w:val="17"/>
          <w:color w:val="auto"/>
        </w:rPr>
      </w:pPr>
    </w:p>
    <w:p>
      <w:pPr>
        <w:jc w:val="both"/>
        <w:ind w:left="304"/>
        <w:spacing w:after="0" w:line="246" w:lineRule="auto"/>
        <w:rPr>
          <w:rFonts w:ascii="Arial" w:cs="Arial" w:eastAsia="Arial" w:hAnsi="Arial"/>
          <w:sz w:val="17"/>
          <w:szCs w:val="17"/>
          <w:color w:val="auto"/>
        </w:rPr>
      </w:pPr>
      <w:r>
        <w:rPr>
          <w:rFonts w:ascii="Arial" w:cs="Arial" w:eastAsia="Arial" w:hAnsi="Arial"/>
          <w:sz w:val="17"/>
          <w:szCs w:val="17"/>
          <w:color w:val="auto"/>
        </w:rPr>
        <w:t>During 2022 and 2021, the Group incorporated in the estimate of the reserve for incurred and unreported claims (IBNR) of the general insurance businesses, adjustments in the expected frequency of claims during the months of confinement, stoppage of transport and activities in the country, as well as the decrease in the insured portfolio that was later recovering its usual level.</w:t>
      </w:r>
    </w:p>
    <w:p>
      <w:pPr>
        <w:spacing w:after="0" w:line="175"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In the case of Medical Assistance (AMED), the IBNR estimate included the estimate of regular claims and also the IBNR estimate for COVID claims, which had a different frequency and cost than regular claims.</w:t>
      </w:r>
    </w:p>
    <w:p>
      <w:pPr>
        <w:spacing w:after="0" w:line="169"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No provision is recognized for stabilization or catastrophic reserves. The liability is written off when the contract expires, is eliminated or canceled.</w:t>
      </w:r>
    </w:p>
    <w:p>
      <w:pPr>
        <w:spacing w:after="0" w:line="169" w:lineRule="exact"/>
        <w:rPr>
          <w:rFonts w:ascii="Arial" w:cs="Arial" w:eastAsia="Arial" w:hAnsi="Arial"/>
          <w:sz w:val="17"/>
          <w:szCs w:val="17"/>
          <w:color w:val="auto"/>
        </w:rPr>
      </w:pPr>
    </w:p>
    <w:p>
      <w:pPr>
        <w:jc w:val="both"/>
        <w:ind w:left="304"/>
        <w:spacing w:after="0" w:line="246" w:lineRule="auto"/>
        <w:rPr>
          <w:rFonts w:ascii="Arial" w:cs="Arial" w:eastAsia="Arial" w:hAnsi="Arial"/>
          <w:sz w:val="17"/>
          <w:szCs w:val="17"/>
          <w:color w:val="auto"/>
        </w:rPr>
      </w:pPr>
      <w:r>
        <w:rPr>
          <w:rFonts w:ascii="Arial" w:cs="Arial" w:eastAsia="Arial" w:hAnsi="Arial"/>
          <w:sz w:val="17"/>
          <w:szCs w:val="17"/>
          <w:color w:val="auto"/>
        </w:rPr>
        <w:t>Technical reserves for non-life insurance contracts comprise the provision for unearned premiums which represents premiums received for risks that have not yet expired. Generally, the reserve is liberated during the term of the contract and is recognized as premium income.</w:t>
      </w:r>
    </w:p>
    <w:p>
      <w:pPr>
        <w:spacing w:after="0" w:line="175" w:lineRule="exact"/>
        <w:rPr>
          <w:rFonts w:ascii="Arial" w:cs="Arial" w:eastAsia="Arial" w:hAnsi="Arial"/>
          <w:sz w:val="17"/>
          <w:szCs w:val="17"/>
          <w:color w:val="auto"/>
        </w:rPr>
      </w:pPr>
    </w:p>
    <w:p>
      <w:pPr>
        <w:jc w:val="both"/>
        <w:ind w:left="304"/>
        <w:spacing w:after="0" w:line="242" w:lineRule="auto"/>
        <w:rPr>
          <w:rFonts w:ascii="Arial" w:cs="Arial" w:eastAsia="Arial" w:hAnsi="Arial"/>
          <w:sz w:val="17"/>
          <w:szCs w:val="17"/>
          <w:color w:val="auto"/>
        </w:rPr>
      </w:pPr>
      <w:r>
        <w:rPr>
          <w:rFonts w:ascii="Arial" w:cs="Arial" w:eastAsia="Arial" w:hAnsi="Arial"/>
          <w:sz w:val="17"/>
          <w:szCs w:val="17"/>
          <w:color w:val="auto"/>
        </w:rPr>
        <w:t>At each reporting date, the Group reviews the risk from outstanding claims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statement of income by setting up a provision for liability adequacy. As of December 31, 2022 and 2021, Management determined that the liabilities were adequate; therefore, it has not recorded any additional liabilities for non-life insurance contracts.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color w:val="auto"/>
        </w:rPr>
        <w:t>Income recognition:</w:t>
      </w:r>
    </w:p>
    <w:p>
      <w:pPr>
        <w:spacing w:after="0" w:line="193" w:lineRule="exact"/>
        <w:rPr>
          <w:sz w:val="20"/>
          <w:szCs w:val="20"/>
          <w:color w:val="auto"/>
        </w:rPr>
      </w:pPr>
    </w:p>
    <w:p>
      <w:pPr>
        <w:ind w:left="304" w:hanging="304"/>
        <w:spacing w:after="0"/>
        <w:tabs>
          <w:tab w:leader="none" w:pos="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Gross premiums -</w:t>
      </w:r>
    </w:p>
    <w:p>
      <w:pPr>
        <w:spacing w:after="0" w:line="193"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Life insurance contracts -</w:t>
      </w:r>
    </w:p>
    <w:p>
      <w:pPr>
        <w:spacing w:after="0" w:line="193"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Gross premiums on life contracts are recognized as revenue when due from the policyholder. For single premium business, revenue is recognized on the date on which the policy is effective.</w:t>
      </w:r>
    </w:p>
    <w:p>
      <w:pPr>
        <w:spacing w:after="0" w:line="143" w:lineRule="exact"/>
        <w:rPr>
          <w:rFonts w:ascii="Arial" w:cs="Arial" w:eastAsia="Arial" w:hAnsi="Arial"/>
          <w:sz w:val="17"/>
          <w:szCs w:val="17"/>
          <w:color w:val="auto"/>
        </w:rPr>
      </w:pPr>
    </w:p>
    <w:p>
      <w:pPr>
        <w:ind w:left="4584" w:hanging="97"/>
        <w:spacing w:after="0"/>
        <w:tabs>
          <w:tab w:leader="none" w:pos="4584" w:val="left"/>
        </w:tabs>
        <w:numPr>
          <w:ilvl w:val="1"/>
          <w:numId w:val="30"/>
        </w:numPr>
        <w:rPr>
          <w:rFonts w:ascii="Arial" w:cs="Arial" w:eastAsia="Arial" w:hAnsi="Arial"/>
          <w:sz w:val="17"/>
          <w:szCs w:val="17"/>
          <w:color w:val="auto"/>
        </w:rPr>
      </w:pPr>
      <w:r>
        <w:rPr>
          <w:rFonts w:ascii="Arial" w:cs="Arial" w:eastAsia="Arial" w:hAnsi="Arial"/>
          <w:sz w:val="17"/>
          <w:szCs w:val="17"/>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37" w:name="page38"/>
    <w:bookmarkEnd w:id="37"/>
    <w:p>
      <w:pPr>
        <w:ind w:left="615"/>
        <w:spacing w:after="0"/>
        <w:rPr>
          <w:sz w:val="20"/>
          <w:szCs w:val="20"/>
          <w:color w:val="auto"/>
        </w:rPr>
      </w:pPr>
      <w:r>
        <w:rPr>
          <w:rFonts w:ascii="Arial" w:cs="Arial" w:eastAsia="Arial" w:hAnsi="Arial"/>
          <w:sz w:val="17"/>
          <w:szCs w:val="17"/>
          <w:color w:val="auto"/>
        </w:rPr>
        <w:t>Non-life insurance contracts -</w:t>
      </w:r>
    </w:p>
    <w:p>
      <w:pPr>
        <w:spacing w:after="0" w:line="192" w:lineRule="exact"/>
        <w:rPr>
          <w:sz w:val="20"/>
          <w:szCs w:val="20"/>
          <w:color w:val="auto"/>
        </w:rPr>
      </w:pPr>
    </w:p>
    <w:p>
      <w:pPr>
        <w:jc w:val="both"/>
        <w:ind w:left="615"/>
        <w:spacing w:after="0" w:line="243" w:lineRule="auto"/>
        <w:rPr>
          <w:sz w:val="20"/>
          <w:szCs w:val="20"/>
          <w:color w:val="auto"/>
        </w:rPr>
      </w:pPr>
      <w:r>
        <w:rPr>
          <w:rFonts w:ascii="Arial" w:cs="Arial" w:eastAsia="Arial" w:hAnsi="Arial"/>
          <w:sz w:val="17"/>
          <w:szCs w:val="17"/>
          <w:color w:val="auto"/>
        </w:rPr>
        <w:t>Gross non-life insurance direct and assumed premiums comprise the total premiums written and are recognized on the date of issue of the policy as a receivable. At the same time, a reserve is recorded for unearned premiums which represent premiums for risks that have not yet expired. Unearned premiums are recognized as income over the contract period which is also the coverage and risk period.</w:t>
      </w:r>
    </w:p>
    <w:p>
      <w:pPr>
        <w:spacing w:after="0" w:line="180" w:lineRule="exact"/>
        <w:rPr>
          <w:sz w:val="20"/>
          <w:szCs w:val="20"/>
          <w:color w:val="auto"/>
        </w:rPr>
      </w:pPr>
    </w:p>
    <w:p>
      <w:pPr>
        <w:ind w:left="315"/>
        <w:spacing w:after="0"/>
        <w:rPr>
          <w:sz w:val="20"/>
          <w:szCs w:val="20"/>
          <w:color w:val="auto"/>
        </w:rPr>
      </w:pPr>
      <w:r>
        <w:rPr>
          <w:rFonts w:ascii="Arial" w:cs="Arial" w:eastAsia="Arial" w:hAnsi="Arial"/>
          <w:sz w:val="17"/>
          <w:szCs w:val="17"/>
          <w:color w:val="auto"/>
        </w:rPr>
        <w:t>(ii)  Fees and commission income -</w:t>
      </w:r>
    </w:p>
    <w:p>
      <w:pPr>
        <w:spacing w:after="0" w:line="193" w:lineRule="exact"/>
        <w:rPr>
          <w:sz w:val="20"/>
          <w:szCs w:val="20"/>
          <w:color w:val="auto"/>
        </w:rPr>
      </w:pPr>
    </w:p>
    <w:p>
      <w:pPr>
        <w:jc w:val="both"/>
        <w:ind w:left="615"/>
        <w:spacing w:after="0" w:line="246" w:lineRule="auto"/>
        <w:rPr>
          <w:sz w:val="20"/>
          <w:szCs w:val="20"/>
          <w:color w:val="auto"/>
        </w:rPr>
      </w:pPr>
      <w:r>
        <w:rPr>
          <w:rFonts w:ascii="Arial" w:cs="Arial" w:eastAsia="Arial" w:hAnsi="Arial"/>
          <w:sz w:val="17"/>
          <w:szCs w:val="17"/>
          <w:color w:val="auto"/>
        </w:rPr>
        <w:t>Investment Link insurance contract policyholders remunerate the Group for policy administration services, investment management services, surrenders and other contract fees. These fees are recognized as revenue in the consolidated statement of income in the period in which the services are provided.</w:t>
      </w:r>
    </w:p>
    <w:p>
      <w:pPr>
        <w:spacing w:after="0" w:line="176" w:lineRule="exact"/>
        <w:rPr>
          <w:sz w:val="20"/>
          <w:szCs w:val="20"/>
          <w:color w:val="auto"/>
        </w:rPr>
      </w:pPr>
    </w:p>
    <w:p>
      <w:pPr>
        <w:ind w:left="315"/>
        <w:spacing w:after="0"/>
        <w:rPr>
          <w:sz w:val="20"/>
          <w:szCs w:val="20"/>
          <w:color w:val="auto"/>
        </w:rPr>
      </w:pPr>
      <w:r>
        <w:rPr>
          <w:rFonts w:ascii="Arial" w:cs="Arial" w:eastAsia="Arial" w:hAnsi="Arial"/>
          <w:sz w:val="17"/>
          <w:szCs w:val="17"/>
          <w:color w:val="auto"/>
        </w:rPr>
        <w:t>Recognition of benefits, claims and expenses:</w:t>
      </w:r>
    </w:p>
    <w:p>
      <w:pPr>
        <w:spacing w:after="0" w:line="193" w:lineRule="exact"/>
        <w:rPr>
          <w:sz w:val="20"/>
          <w:szCs w:val="20"/>
          <w:color w:val="auto"/>
        </w:rPr>
      </w:pPr>
    </w:p>
    <w:p>
      <w:pPr>
        <w:ind w:left="615" w:hanging="304"/>
        <w:spacing w:after="0"/>
        <w:tabs>
          <w:tab w:leader="none" w:pos="615" w:val="left"/>
        </w:tabs>
        <w:numPr>
          <w:ilvl w:val="1"/>
          <w:numId w:val="31"/>
        </w:numPr>
        <w:rPr>
          <w:rFonts w:ascii="Arial" w:cs="Arial" w:eastAsia="Arial" w:hAnsi="Arial"/>
          <w:sz w:val="17"/>
          <w:szCs w:val="17"/>
          <w:color w:val="auto"/>
        </w:rPr>
      </w:pPr>
      <w:r>
        <w:rPr>
          <w:rFonts w:ascii="Arial" w:cs="Arial" w:eastAsia="Arial" w:hAnsi="Arial"/>
          <w:sz w:val="17"/>
          <w:szCs w:val="17"/>
          <w:color w:val="auto"/>
        </w:rPr>
        <w:t>Benefits and claims -</w:t>
      </w:r>
    </w:p>
    <w:p>
      <w:pPr>
        <w:spacing w:after="0" w:line="193" w:lineRule="exact"/>
        <w:rPr>
          <w:rFonts w:ascii="Arial" w:cs="Arial" w:eastAsia="Arial" w:hAnsi="Arial"/>
          <w:sz w:val="17"/>
          <w:szCs w:val="17"/>
          <w:color w:val="auto"/>
        </w:rPr>
      </w:pPr>
    </w:p>
    <w:p>
      <w:pPr>
        <w:jc w:val="both"/>
        <w:ind w:left="615"/>
        <w:spacing w:after="0" w:line="246" w:lineRule="auto"/>
        <w:rPr>
          <w:rFonts w:ascii="Arial" w:cs="Arial" w:eastAsia="Arial" w:hAnsi="Arial"/>
          <w:sz w:val="17"/>
          <w:szCs w:val="17"/>
          <w:color w:val="auto"/>
        </w:rPr>
      </w:pPr>
      <w:r>
        <w:rPr>
          <w:rFonts w:ascii="Arial" w:cs="Arial" w:eastAsia="Arial" w:hAnsi="Arial"/>
          <w:sz w:val="17"/>
          <w:szCs w:val="17"/>
          <w:color w:val="auto"/>
        </w:rPr>
        <w:t>The benefits and claims for life insurance contracts include the cost of all claims arising during the year including internal and external claim handling costs that are directly related to the processing and settlement of claims. Claims for death and disability claims are recorded based on notifications received. Pension payments are recognized when they accrue.</w:t>
      </w:r>
    </w:p>
    <w:p>
      <w:pPr>
        <w:spacing w:after="0" w:line="175" w:lineRule="exact"/>
        <w:rPr>
          <w:rFonts w:ascii="Arial" w:cs="Arial" w:eastAsia="Arial" w:hAnsi="Arial"/>
          <w:sz w:val="17"/>
          <w:szCs w:val="17"/>
          <w:color w:val="auto"/>
        </w:rPr>
      </w:pPr>
    </w:p>
    <w:p>
      <w:pPr>
        <w:jc w:val="both"/>
        <w:ind w:left="615"/>
        <w:spacing w:after="0" w:line="246" w:lineRule="auto"/>
        <w:rPr>
          <w:rFonts w:ascii="Arial" w:cs="Arial" w:eastAsia="Arial" w:hAnsi="Arial"/>
          <w:sz w:val="17"/>
          <w:szCs w:val="17"/>
          <w:color w:val="auto"/>
        </w:rPr>
      </w:pPr>
      <w:r>
        <w:rPr>
          <w:rFonts w:ascii="Arial" w:cs="Arial" w:eastAsia="Arial" w:hAnsi="Arial"/>
          <w:sz w:val="17"/>
          <w:szCs w:val="17"/>
          <w:color w:val="auto"/>
        </w:rPr>
        <w:t>General and health insurance claims include all claims occurring during the year, whether reported or not, internal and external claim handling costs that are directly related to the processing and settlement of claims, a reduction for the value of salvage and other recoveries, and any adjustment to claims outstanding from previous years.</w:t>
      </w:r>
    </w:p>
    <w:p>
      <w:pPr>
        <w:spacing w:after="0" w:line="175" w:lineRule="exact"/>
        <w:rPr>
          <w:rFonts w:ascii="Arial" w:cs="Arial" w:eastAsia="Arial" w:hAnsi="Arial"/>
          <w:sz w:val="17"/>
          <w:szCs w:val="17"/>
          <w:color w:val="auto"/>
        </w:rPr>
      </w:pPr>
    </w:p>
    <w:p>
      <w:pPr>
        <w:ind w:left="615" w:hanging="304"/>
        <w:spacing w:after="0"/>
        <w:tabs>
          <w:tab w:leader="none" w:pos="615" w:val="left"/>
        </w:tabs>
        <w:numPr>
          <w:ilvl w:val="1"/>
          <w:numId w:val="31"/>
        </w:numPr>
        <w:rPr>
          <w:rFonts w:ascii="Arial" w:cs="Arial" w:eastAsia="Arial" w:hAnsi="Arial"/>
          <w:sz w:val="17"/>
          <w:szCs w:val="17"/>
          <w:color w:val="auto"/>
        </w:rPr>
      </w:pPr>
      <w:r>
        <w:rPr>
          <w:rFonts w:ascii="Arial" w:cs="Arial" w:eastAsia="Arial" w:hAnsi="Arial"/>
          <w:sz w:val="17"/>
          <w:szCs w:val="17"/>
          <w:color w:val="auto"/>
        </w:rPr>
        <w:t>Ceded premiums -</w:t>
      </w:r>
    </w:p>
    <w:p>
      <w:pPr>
        <w:spacing w:after="0" w:line="193" w:lineRule="exact"/>
        <w:rPr>
          <w:rFonts w:ascii="Arial" w:cs="Arial" w:eastAsia="Arial" w:hAnsi="Arial"/>
          <w:sz w:val="17"/>
          <w:szCs w:val="17"/>
          <w:color w:val="auto"/>
        </w:rPr>
      </w:pPr>
    </w:p>
    <w:p>
      <w:pPr>
        <w:ind w:left="615"/>
        <w:spacing w:after="0" w:line="254" w:lineRule="auto"/>
        <w:rPr>
          <w:rFonts w:ascii="Arial" w:cs="Arial" w:eastAsia="Arial" w:hAnsi="Arial"/>
          <w:sz w:val="17"/>
          <w:szCs w:val="17"/>
          <w:color w:val="auto"/>
        </w:rPr>
      </w:pPr>
      <w:r>
        <w:rPr>
          <w:rFonts w:ascii="Arial" w:cs="Arial" w:eastAsia="Arial" w:hAnsi="Arial"/>
          <w:sz w:val="17"/>
          <w:szCs w:val="17"/>
          <w:color w:val="auto"/>
        </w:rPr>
        <w:t>Comprise the total premiums payable for the coverage of the insurance contracts and are recognized on the date the insurance contract enters in policy commences. Unearned ceded premiums are deferred over the term of the underlying insurance contract.</w:t>
      </w:r>
    </w:p>
    <w:p>
      <w:pPr>
        <w:spacing w:after="0" w:line="169" w:lineRule="exact"/>
        <w:rPr>
          <w:rFonts w:ascii="Arial" w:cs="Arial" w:eastAsia="Arial" w:hAnsi="Arial"/>
          <w:sz w:val="17"/>
          <w:szCs w:val="17"/>
          <w:color w:val="auto"/>
        </w:rPr>
      </w:pPr>
    </w:p>
    <w:p>
      <w:pPr>
        <w:ind w:left="615" w:hanging="304"/>
        <w:spacing w:after="0"/>
        <w:tabs>
          <w:tab w:leader="none" w:pos="615" w:val="left"/>
        </w:tabs>
        <w:numPr>
          <w:ilvl w:val="1"/>
          <w:numId w:val="31"/>
        </w:numPr>
        <w:rPr>
          <w:rFonts w:ascii="Arial" w:cs="Arial" w:eastAsia="Arial" w:hAnsi="Arial"/>
          <w:sz w:val="17"/>
          <w:szCs w:val="17"/>
          <w:color w:val="auto"/>
        </w:rPr>
      </w:pPr>
      <w:r>
        <w:rPr>
          <w:rFonts w:ascii="Arial" w:cs="Arial" w:eastAsia="Arial" w:hAnsi="Arial"/>
          <w:sz w:val="17"/>
          <w:szCs w:val="17"/>
          <w:color w:val="auto"/>
        </w:rPr>
        <w:t>Reinsurance claims -</w:t>
      </w:r>
    </w:p>
    <w:p>
      <w:pPr>
        <w:spacing w:after="0" w:line="193" w:lineRule="exact"/>
        <w:rPr>
          <w:rFonts w:ascii="Arial" w:cs="Arial" w:eastAsia="Arial" w:hAnsi="Arial"/>
          <w:sz w:val="17"/>
          <w:szCs w:val="17"/>
          <w:color w:val="auto"/>
        </w:rPr>
      </w:pPr>
    </w:p>
    <w:p>
      <w:pPr>
        <w:ind w:left="615"/>
        <w:spacing w:after="0" w:line="254" w:lineRule="auto"/>
        <w:rPr>
          <w:rFonts w:ascii="Arial" w:cs="Arial" w:eastAsia="Arial" w:hAnsi="Arial"/>
          <w:sz w:val="17"/>
          <w:szCs w:val="17"/>
          <w:color w:val="auto"/>
        </w:rPr>
      </w:pPr>
      <w:r>
        <w:rPr>
          <w:rFonts w:ascii="Arial" w:cs="Arial" w:eastAsia="Arial" w:hAnsi="Arial"/>
          <w:sz w:val="17"/>
          <w:szCs w:val="17"/>
          <w:color w:val="auto"/>
        </w:rPr>
        <w:t>Reinsurance claims are recognized when the related gross insurance claim is recognized according to the terms of the relevant contract.</w:t>
      </w:r>
    </w:p>
    <w:p>
      <w:pPr>
        <w:spacing w:after="0" w:line="169" w:lineRule="exact"/>
        <w:rPr>
          <w:rFonts w:ascii="Arial" w:cs="Arial" w:eastAsia="Arial" w:hAnsi="Arial"/>
          <w:sz w:val="17"/>
          <w:szCs w:val="17"/>
          <w:color w:val="auto"/>
        </w:rPr>
      </w:pPr>
    </w:p>
    <w:p>
      <w:pPr>
        <w:ind w:left="315" w:hanging="315"/>
        <w:spacing w:after="0"/>
        <w:tabs>
          <w:tab w:leader="none" w:pos="3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Financial instruments: Initial recognition and subsequent measurement -</w:t>
      </w:r>
    </w:p>
    <w:p>
      <w:pPr>
        <w:spacing w:after="0" w:line="193"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A financial instrument is any agreement that originates a financial asset of one entity and a financial liability or equity instrument of another entity.</w:t>
      </w:r>
    </w:p>
    <w:p>
      <w:pPr>
        <w:spacing w:after="0" w:line="169"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The Group determined the classification of its financial instruments at the date of initial recognition.</w:t>
      </w:r>
    </w:p>
    <w:p>
      <w:pPr>
        <w:spacing w:after="0" w:line="193"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All financial instruments are initially recognized at fair value plus the incremental costs related to the transaction that are directly attributable to the purchase or issue of the instrument, except in the case of financial assets or liabilities carried at fair value through profit or loss.</w:t>
      </w:r>
    </w:p>
    <w:p>
      <w:pPr>
        <w:spacing w:after="0" w:line="175"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The purchases or sales of financial assets that require the delivery of the assets within a term established according to market regulations or conventions (regular market terms) are recognized on the negotiation date, in other words, the date in which the Group commits to purchase or sell the asset.</w:t>
      </w:r>
    </w:p>
    <w:p>
      <w:pPr>
        <w:spacing w:after="0" w:line="150" w:lineRule="exact"/>
        <w:rPr>
          <w:rFonts w:ascii="Arial" w:cs="Arial" w:eastAsia="Arial" w:hAnsi="Arial"/>
          <w:sz w:val="17"/>
          <w:szCs w:val="17"/>
          <w:color w:val="auto"/>
        </w:rPr>
      </w:pPr>
    </w:p>
    <w:p>
      <w:pPr>
        <w:ind w:left="4895" w:hanging="97"/>
        <w:spacing w:after="0"/>
        <w:tabs>
          <w:tab w:leader="none" w:pos="4895" w:val="left"/>
        </w:tabs>
        <w:numPr>
          <w:ilvl w:val="2"/>
          <w:numId w:val="32"/>
        </w:numPr>
        <w:rPr>
          <w:rFonts w:ascii="Arial" w:cs="Arial" w:eastAsia="Arial" w:hAnsi="Arial"/>
          <w:sz w:val="17"/>
          <w:szCs w:val="17"/>
          <w:color w:val="auto"/>
        </w:rPr>
      </w:pPr>
      <w:r>
        <w:rPr>
          <w:rFonts w:ascii="Arial" w:cs="Arial" w:eastAsia="Arial" w:hAnsi="Arial"/>
          <w:sz w:val="17"/>
          <w:szCs w:val="17"/>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38" w:name="page39"/>
    <w:bookmarkEnd w:id="38"/>
    <w:p>
      <w:pPr>
        <w:ind w:left="4"/>
        <w:spacing w:after="0" w:line="253" w:lineRule="auto"/>
        <w:rPr>
          <w:sz w:val="20"/>
          <w:szCs w:val="20"/>
          <w:color w:val="auto"/>
        </w:rPr>
      </w:pPr>
      <w:r>
        <w:rPr>
          <w:rFonts w:ascii="Arial" w:cs="Arial" w:eastAsia="Arial" w:hAnsi="Arial"/>
          <w:sz w:val="17"/>
          <w:szCs w:val="17"/>
          <w:color w:val="auto"/>
        </w:rPr>
        <w:t>As of December 31, 2022 and 2021, the Group classified the financial assets in one of the categories defined by IFRS 9: financial assets at fair value through profit or loss, at fair value though other comprehensive income and at amortized cost, based on:</w:t>
      </w:r>
    </w:p>
    <w:p>
      <w:pPr>
        <w:spacing w:after="0" w:line="169" w:lineRule="exact"/>
        <w:rPr>
          <w:sz w:val="20"/>
          <w:szCs w:val="20"/>
          <w:color w:val="auto"/>
        </w:rPr>
      </w:pPr>
    </w:p>
    <w:p>
      <w:pPr>
        <w:ind w:left="304" w:hanging="304"/>
        <w:spacing w:after="0"/>
        <w:tabs>
          <w:tab w:leader="none" w:pos="30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business model for managing the financial assets and</w:t>
      </w:r>
    </w:p>
    <w:p>
      <w:pPr>
        <w:ind w:left="304" w:hanging="304"/>
        <w:spacing w:after="0"/>
        <w:tabs>
          <w:tab w:leader="none" w:pos="30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characteristics of the contractual cash flows of the financial asset.</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7"/>
          <w:szCs w:val="17"/>
          <w:color w:val="auto"/>
        </w:rPr>
        <w:t>Business model -</w:t>
      </w:r>
    </w:p>
    <w:p>
      <w:pPr>
        <w:spacing w:after="0" w:line="193"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Represents how the financial assets are managed to generate cash flows and it does not depend on the Management’s intention with regard to an individual instrument. Financial assets can be managed for the purpose of i) obtaining contractual cash flows; ii) obtaining contractual cash flows and sale; or iii) others. In order to evaluate the business models, the Group considers:</w:t>
      </w:r>
    </w:p>
    <w:p>
      <w:pPr>
        <w:spacing w:after="0" w:line="175" w:lineRule="exact"/>
        <w:rPr>
          <w:sz w:val="20"/>
          <w:szCs w:val="20"/>
          <w:color w:val="auto"/>
        </w:rPr>
      </w:pPr>
    </w:p>
    <w:p>
      <w:pPr>
        <w:ind w:left="304" w:hanging="304"/>
        <w:spacing w:after="0"/>
        <w:tabs>
          <w:tab w:leader="none" w:pos="3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risks that affect the performance of the business model, and in particular, the way in which these risks are managed.</w:t>
      </w:r>
    </w:p>
    <w:p>
      <w:pPr>
        <w:ind w:left="304" w:right="100" w:hanging="304"/>
        <w:spacing w:after="0" w:line="254" w:lineRule="auto"/>
        <w:tabs>
          <w:tab w:leader="none" w:pos="3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How the performance of the business model and the financial assets, held within this business model, are evaluated and informed to the key personnel of the Administration of the Group.</w:t>
      </w:r>
    </w:p>
    <w:p>
      <w:pPr>
        <w:spacing w:after="0" w:line="169"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If the cash flows after initial recognition are carried out in a manner other than what is expected by the Group, the classification of the remaining financial assets maintained in this business model is not modified.</w:t>
      </w:r>
    </w:p>
    <w:p>
      <w:pPr>
        <w:spacing w:after="0" w:line="169"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When the financial asset is maintained in the business models i) and ii), it requires the application of the “Solely Payments of Principal and Interest” test - “SPPI”.</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7"/>
          <w:szCs w:val="17"/>
          <w:color w:val="auto"/>
        </w:rPr>
        <w:t>SPPI Test (Solely Payments of Principal and Interest) -</w:t>
      </w:r>
    </w:p>
    <w:p>
      <w:pPr>
        <w:spacing w:after="0" w:line="193" w:lineRule="exact"/>
        <w:rPr>
          <w:sz w:val="20"/>
          <w:szCs w:val="20"/>
          <w:color w:val="auto"/>
        </w:rPr>
      </w:pPr>
    </w:p>
    <w:p>
      <w:pPr>
        <w:jc w:val="both"/>
        <w:ind w:left="4"/>
        <w:spacing w:after="0" w:line="241" w:lineRule="auto"/>
        <w:rPr>
          <w:sz w:val="20"/>
          <w:szCs w:val="20"/>
          <w:color w:val="auto"/>
        </w:rPr>
      </w:pPr>
      <w:r>
        <w:rPr>
          <w:rFonts w:ascii="Arial" w:cs="Arial" w:eastAsia="Arial" w:hAnsi="Arial"/>
          <w:sz w:val="17"/>
          <w:szCs w:val="17"/>
          <w:color w:val="auto"/>
        </w:rPr>
        <w:t>This test consists in the evaluation of the cash flows generated by a financial instrument in order to verify if the contractual terms of the financial asset give rise on specified dates to cash flows that are solely payments of principal and interest. To adapt to this concept, the cash flows must solely include the consideration of the time value of money and the credit risk. If the contractual terms introduce risk exposure or cash flow volatility, such as the exposure to changes in the prices of capital instruments or the prices of raw materials, the financial asset is classified at fair value through profit or loss. Hybrid contracts must be evaluated as a whole, including all the integrated characteristics. The accounting of a hybrid contract that contains an embedded derivative is carried out jointly, in other words, the entire instrument is measured at fair value through profit or loss.</w:t>
      </w:r>
    </w:p>
    <w:p>
      <w:pPr>
        <w:spacing w:after="0" w:line="180" w:lineRule="exact"/>
        <w:rPr>
          <w:sz w:val="20"/>
          <w:szCs w:val="20"/>
          <w:color w:val="auto"/>
        </w:rPr>
      </w:pPr>
    </w:p>
    <w:p>
      <w:pPr>
        <w:ind w:left="304" w:hanging="304"/>
        <w:spacing w:after="0"/>
        <w:tabs>
          <w:tab w:leader="none" w:pos="3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Financial assets at amortized cost -</w:t>
      </w:r>
    </w:p>
    <w:p>
      <w:pPr>
        <w:spacing w:after="0" w:line="193"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A financial asset is classified at amortized cost if the following conditions are met:</w:t>
      </w:r>
    </w:p>
    <w:p>
      <w:pPr>
        <w:spacing w:after="0" w:line="193" w:lineRule="exact"/>
        <w:rPr>
          <w:rFonts w:ascii="Arial" w:cs="Arial" w:eastAsia="Arial" w:hAnsi="Arial"/>
          <w:sz w:val="17"/>
          <w:szCs w:val="17"/>
          <w:color w:val="auto"/>
        </w:rPr>
      </w:pPr>
    </w:p>
    <w:p>
      <w:pPr>
        <w:ind w:left="624" w:right="400" w:hanging="313"/>
        <w:spacing w:after="0" w:line="238" w:lineRule="auto"/>
        <w:tabs>
          <w:tab w:leader="none" w:pos="624" w:val="left"/>
        </w:tabs>
        <w:numPr>
          <w:ilvl w:val="1"/>
          <w:numId w:val="35"/>
        </w:numPr>
        <w:rPr>
          <w:rFonts w:ascii="Arial" w:cs="Arial" w:eastAsia="Arial" w:hAnsi="Arial"/>
          <w:sz w:val="17"/>
          <w:szCs w:val="17"/>
          <w:color w:val="auto"/>
        </w:rPr>
      </w:pPr>
      <w:r>
        <w:rPr>
          <w:rFonts w:ascii="Arial" w:cs="Arial" w:eastAsia="Arial" w:hAnsi="Arial"/>
          <w:sz w:val="17"/>
          <w:szCs w:val="17"/>
          <w:color w:val="auto"/>
        </w:rPr>
        <w:t>It is held within a business model whose objective of which is to maintain the financial asset to obtain the contractual cash flows, and</w:t>
      </w:r>
    </w:p>
    <w:p>
      <w:pPr>
        <w:ind w:left="624" w:hanging="313"/>
        <w:spacing w:after="0"/>
        <w:tabs>
          <w:tab w:leader="none" w:pos="624"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contractual conditions give rise, on specified dates, to cash flows that are solely payments of the principal and interest.</w:t>
      </w:r>
    </w:p>
    <w:p>
      <w:pPr>
        <w:spacing w:after="0" w:line="193" w:lineRule="exact"/>
        <w:rPr>
          <w:sz w:val="20"/>
          <w:szCs w:val="20"/>
          <w:color w:val="auto"/>
        </w:rPr>
      </w:pPr>
    </w:p>
    <w:p>
      <w:pPr>
        <w:jc w:val="both"/>
        <w:ind w:left="304"/>
        <w:spacing w:after="0" w:line="243" w:lineRule="auto"/>
        <w:rPr>
          <w:sz w:val="20"/>
          <w:szCs w:val="20"/>
          <w:color w:val="auto"/>
        </w:rPr>
      </w:pPr>
      <w:r>
        <w:rPr>
          <w:rFonts w:ascii="Arial" w:cs="Arial" w:eastAsia="Arial" w:hAnsi="Arial"/>
          <w:sz w:val="17"/>
          <w:szCs w:val="17"/>
          <w:color w:val="auto"/>
        </w:rPr>
        <w:t>After their initial recognition, the financial assets of this category are valued at amortized cost, using the effective interest rate method, minus any credit loss provision. The amortized cost is calculated considering any discount or premium incurred in the acquisition and professional fees that constitute an integral part of the effective interest rate. Interests income is included in the item “Interest and similar income” of the consolidated income statement.</w:t>
      </w:r>
    </w:p>
    <w:p>
      <w:pPr>
        <w:spacing w:after="0" w:line="180"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Financial assets at amortized cost include direct loans that are recorded when the disbursement of the funds in favor of the customers is carried out, and indirect (contingent) loans that are recorded when the documents that support said loan facilities are issued.</w:t>
      </w:r>
    </w:p>
    <w:p>
      <w:pPr>
        <w:spacing w:after="0" w:line="150" w:lineRule="exact"/>
        <w:rPr>
          <w:sz w:val="20"/>
          <w:szCs w:val="20"/>
          <w:color w:val="auto"/>
        </w:rPr>
      </w:pPr>
    </w:p>
    <w:p>
      <w:pPr>
        <w:ind w:left="4484"/>
        <w:spacing w:after="0"/>
        <w:rPr>
          <w:sz w:val="20"/>
          <w:szCs w:val="20"/>
          <w:color w:val="auto"/>
        </w:rPr>
      </w:pPr>
      <w:r>
        <w:rPr>
          <w:rFonts w:ascii="Arial" w:cs="Arial" w:eastAsia="Arial" w:hAnsi="Arial"/>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39" w:name="page40"/>
    <w:bookmarkEnd w:id="39"/>
    <w:p>
      <w:pPr>
        <w:ind w:left="304"/>
        <w:spacing w:after="0" w:line="253" w:lineRule="auto"/>
        <w:rPr>
          <w:sz w:val="20"/>
          <w:szCs w:val="20"/>
          <w:color w:val="auto"/>
        </w:rPr>
      </w:pPr>
      <w:r>
        <w:rPr>
          <w:rFonts w:ascii="Arial" w:cs="Arial" w:eastAsia="Arial" w:hAnsi="Arial"/>
          <w:sz w:val="17"/>
          <w:szCs w:val="17"/>
          <w:color w:val="auto"/>
        </w:rPr>
        <w:t>Furthermore, the Group considers as refinanced or restructured those credits that, due to difficulties in payment on the part of the debtor, change their payment schedule.</w:t>
      </w:r>
    </w:p>
    <w:p>
      <w:pPr>
        <w:spacing w:after="0" w:line="170" w:lineRule="exact"/>
        <w:rPr>
          <w:sz w:val="20"/>
          <w:szCs w:val="20"/>
          <w:color w:val="auto"/>
        </w:rPr>
      </w:pPr>
    </w:p>
    <w:p>
      <w:pPr>
        <w:ind w:left="304"/>
        <w:spacing w:after="0" w:line="254" w:lineRule="auto"/>
        <w:rPr>
          <w:sz w:val="20"/>
          <w:szCs w:val="20"/>
          <w:color w:val="auto"/>
        </w:rPr>
      </w:pPr>
      <w:r>
        <w:rPr>
          <w:rFonts w:ascii="Arial" w:cs="Arial" w:eastAsia="Arial" w:hAnsi="Arial"/>
          <w:sz w:val="17"/>
          <w:szCs w:val="17"/>
          <w:color w:val="auto"/>
        </w:rPr>
        <w:t>The impairment loss is calculated using the expected loss approach and recognized in the consolidated income statement in the item “Net gain on securities” for investments and in the item “Provision for credit losses on loan portfolio” for loans.</w:t>
      </w:r>
    </w:p>
    <w:p>
      <w:pPr>
        <w:spacing w:after="0" w:line="169" w:lineRule="exact"/>
        <w:rPr>
          <w:sz w:val="20"/>
          <w:szCs w:val="20"/>
          <w:color w:val="auto"/>
        </w:rPr>
      </w:pPr>
    </w:p>
    <w:p>
      <w:pPr>
        <w:ind w:left="304"/>
        <w:spacing w:after="0" w:line="254" w:lineRule="auto"/>
        <w:rPr>
          <w:sz w:val="20"/>
          <w:szCs w:val="20"/>
          <w:color w:val="auto"/>
        </w:rPr>
      </w:pPr>
      <w:r>
        <w:rPr>
          <w:rFonts w:ascii="Arial" w:cs="Arial" w:eastAsia="Arial" w:hAnsi="Arial"/>
          <w:sz w:val="17"/>
          <w:szCs w:val="17"/>
          <w:color w:val="auto"/>
        </w:rPr>
        <w:t>The balance of the financial assets, measured at amortized cost, is presented net of the provision for credit losses in the consolidated statement of financial position.</w:t>
      </w:r>
    </w:p>
    <w:p>
      <w:pPr>
        <w:spacing w:after="0" w:line="169" w:lineRule="exact"/>
        <w:rPr>
          <w:sz w:val="20"/>
          <w:szCs w:val="20"/>
          <w:color w:val="auto"/>
        </w:rPr>
      </w:pPr>
    </w:p>
    <w:p>
      <w:pPr>
        <w:ind w:left="304" w:hanging="304"/>
        <w:spacing w:after="0"/>
        <w:tabs>
          <w:tab w:leader="none" w:pos="304"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Financial assets at fair value through other comprehensive income -</w:t>
      </w:r>
    </w:p>
    <w:p>
      <w:pPr>
        <w:spacing w:after="0" w:line="193"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The financial assets that the Group maintains in this category are: a) investments in debt instruments, and b) investments in equity instruments, not for trading, irrevocably designated at initial recognition.</w:t>
      </w:r>
    </w:p>
    <w:p>
      <w:pPr>
        <w:spacing w:after="0" w:line="169"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Investments in debt instruments -</w:t>
      </w:r>
    </w:p>
    <w:p>
      <w:pPr>
        <w:spacing w:after="0" w:line="193"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A financial asset is classified and measured at fair value through other comprehensive income when the following conditions are followed:</w:t>
      </w:r>
    </w:p>
    <w:p>
      <w:pPr>
        <w:spacing w:after="0" w:line="169" w:lineRule="exact"/>
        <w:rPr>
          <w:rFonts w:ascii="Arial" w:cs="Arial" w:eastAsia="Arial" w:hAnsi="Arial"/>
          <w:sz w:val="17"/>
          <w:szCs w:val="17"/>
          <w:color w:val="auto"/>
        </w:rPr>
      </w:pPr>
    </w:p>
    <w:p>
      <w:pPr>
        <w:ind w:left="624" w:right="420" w:hanging="313"/>
        <w:spacing w:after="0" w:line="238" w:lineRule="auto"/>
        <w:tabs>
          <w:tab w:leader="none" w:pos="624"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financial asset is maintained within a business model whose objective is achieved by both collecting contractual cash flows and selling financial assets, and</w:t>
      </w:r>
    </w:p>
    <w:p>
      <w:pPr>
        <w:ind w:left="624" w:hanging="313"/>
        <w:spacing w:after="0"/>
        <w:tabs>
          <w:tab w:leader="none" w:pos="624"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contractual conditions give rise, on specified dates, to cash flows that are solely payments of principal and interest.</w:t>
      </w:r>
    </w:p>
    <w:p>
      <w:pPr>
        <w:spacing w:after="0" w:line="193" w:lineRule="exact"/>
        <w:rPr>
          <w:sz w:val="20"/>
          <w:szCs w:val="20"/>
          <w:color w:val="auto"/>
        </w:rPr>
      </w:pPr>
    </w:p>
    <w:p>
      <w:pPr>
        <w:jc w:val="both"/>
        <w:ind w:left="304"/>
        <w:spacing w:after="0" w:line="243" w:lineRule="auto"/>
        <w:rPr>
          <w:sz w:val="20"/>
          <w:szCs w:val="20"/>
          <w:color w:val="auto"/>
        </w:rPr>
      </w:pPr>
      <w:r>
        <w:rPr>
          <w:rFonts w:ascii="Arial" w:cs="Arial" w:eastAsia="Arial" w:hAnsi="Arial"/>
          <w:sz w:val="17"/>
          <w:szCs w:val="17"/>
          <w:color w:val="auto"/>
        </w:rPr>
        <w:t>After their initial recognition, investments in debt instruments are measured at fair value, recording the unrealized gains and losses in the consolidated statement of comprehensive income, net of their corresponding income tax and non-controlling interest, until the investment is sold; upon which the accumulated profit or loss is recognized in the item “Net gain on securities” in the consolidated statement of income.</w:t>
      </w:r>
    </w:p>
    <w:p>
      <w:pPr>
        <w:spacing w:after="0" w:line="180"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Interest is recognized in the consolidated statement of income in the item “Interest and similar income” and it is reported as interest income using the effective interest rate method.</w:t>
      </w:r>
    </w:p>
    <w:p>
      <w:pPr>
        <w:spacing w:after="0" w:line="169"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When a debt instrument is designated in a fair value hedging relationship, any change in the fair value due to changes in the hedged risk is recognized in the item “Interest and similar income” of the consolidated statement of income.</w:t>
      </w:r>
    </w:p>
    <w:p>
      <w:pPr>
        <w:spacing w:after="0" w:line="169"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Gains or losses from exchange differences related to the amortized cost of the debt instrument are recognized in the consolidated statement of income, and those related to the difference between the amortized cost and the fair value are recognized as part of the unrealized gain or loss in the consolidated statement of comprehensive income.</w:t>
      </w:r>
    </w:p>
    <w:p>
      <w:pPr>
        <w:spacing w:after="0" w:line="176" w:lineRule="exact"/>
        <w:rPr>
          <w:sz w:val="20"/>
          <w:szCs w:val="20"/>
          <w:color w:val="auto"/>
        </w:rPr>
      </w:pPr>
    </w:p>
    <w:p>
      <w:pPr>
        <w:jc w:val="both"/>
        <w:ind w:left="304"/>
        <w:spacing w:after="0" w:line="248" w:lineRule="auto"/>
        <w:rPr>
          <w:sz w:val="20"/>
          <w:szCs w:val="20"/>
          <w:color w:val="auto"/>
        </w:rPr>
      </w:pPr>
      <w:r>
        <w:rPr>
          <w:rFonts w:ascii="Arial" w:cs="Arial" w:eastAsia="Arial" w:hAnsi="Arial"/>
          <w:sz w:val="17"/>
          <w:szCs w:val="17"/>
          <w:color w:val="auto"/>
        </w:rPr>
        <w:t>The estimated fair value of the investments in debt instruments is mainly determined based on quotations or, in their absence, based on the discounted cash flows using market rates in accordance with the credit quality and the maturity term of the investment.</w:t>
      </w:r>
    </w:p>
    <w:p>
      <w:pPr>
        <w:spacing w:after="0" w:line="373" w:lineRule="exact"/>
        <w:rPr>
          <w:sz w:val="20"/>
          <w:szCs w:val="20"/>
          <w:color w:val="auto"/>
        </w:rPr>
      </w:pPr>
    </w:p>
    <w:p>
      <w:pPr>
        <w:jc w:val="both"/>
        <w:ind w:left="304"/>
        <w:spacing w:after="0" w:line="242" w:lineRule="auto"/>
        <w:rPr>
          <w:sz w:val="20"/>
          <w:szCs w:val="20"/>
          <w:color w:val="auto"/>
        </w:rPr>
      </w:pPr>
      <w:r>
        <w:rPr>
          <w:rFonts w:ascii="Arial" w:cs="Arial" w:eastAsia="Arial" w:hAnsi="Arial"/>
          <w:sz w:val="17"/>
          <w:szCs w:val="17"/>
          <w:color w:val="auto"/>
        </w:rPr>
        <w:t>The impairment loss of investments in debt instruments is calculated using the expected loss approach and is recognized in the consolidated statement of comprehensive income, charged to the item “Net gain on securities” in the consolidated statement of income, in this sense, it does not reduce the carrying amount of the financial asset in the consolidated statement of financial position, which is maintained at fair value. The impairment loss recognized in the consolidated statement of comprehensive income is reclassified to the consolidated statement of income when the debt instrument is derecognized.</w:t>
      </w:r>
    </w:p>
    <w:p>
      <w:pPr>
        <w:spacing w:after="0" w:line="154" w:lineRule="exact"/>
        <w:rPr>
          <w:sz w:val="20"/>
          <w:szCs w:val="20"/>
          <w:color w:val="auto"/>
        </w:rPr>
      </w:pPr>
    </w:p>
    <w:p>
      <w:pPr>
        <w:ind w:left="4484"/>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40" w:name="page41"/>
    <w:bookmarkEnd w:id="40"/>
    <w:p>
      <w:pPr>
        <w:jc w:val="both"/>
        <w:ind w:left="304"/>
        <w:spacing w:after="0" w:line="253" w:lineRule="auto"/>
        <w:rPr>
          <w:sz w:val="20"/>
          <w:szCs w:val="20"/>
          <w:color w:val="auto"/>
        </w:rPr>
      </w:pPr>
      <w:r>
        <w:rPr>
          <w:rFonts w:ascii="Arial" w:cs="Arial" w:eastAsia="Arial" w:hAnsi="Arial"/>
          <w:sz w:val="17"/>
          <w:szCs w:val="17"/>
          <w:color w:val="auto"/>
        </w:rPr>
        <w:t>Investments in equity instruments, not for trading, designated upon initial recognition (equity instruments designated at the initial recognition) -</w:t>
      </w:r>
    </w:p>
    <w:p>
      <w:pPr>
        <w:spacing w:after="0" w:line="170"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At initial recognition, the Group can make an irrevocable choice to present the equity instruments, which are not for trading, but for strategic purposes, in the item “At fair value through other comprehensive income”.</w:t>
      </w:r>
    </w:p>
    <w:p>
      <w:pPr>
        <w:spacing w:after="0" w:line="169" w:lineRule="exact"/>
        <w:rPr>
          <w:sz w:val="20"/>
          <w:szCs w:val="20"/>
          <w:color w:val="auto"/>
        </w:rPr>
      </w:pPr>
    </w:p>
    <w:p>
      <w:pPr>
        <w:jc w:val="both"/>
        <w:ind w:left="304"/>
        <w:spacing w:after="0" w:line="243" w:lineRule="auto"/>
        <w:rPr>
          <w:sz w:val="20"/>
          <w:szCs w:val="20"/>
          <w:color w:val="auto"/>
        </w:rPr>
      </w:pPr>
      <w:r>
        <w:rPr>
          <w:rFonts w:ascii="Arial" w:cs="Arial" w:eastAsia="Arial" w:hAnsi="Arial"/>
          <w:sz w:val="17"/>
          <w:szCs w:val="17"/>
          <w:color w:val="auto"/>
        </w:rPr>
        <w:t>After initial recognition, the equity investments are measured at fair value, recording the unrealized gains and losses in the consolidated statement of comprehensive income, net of their corresponding income tax and non-controlling interest, until the investment is sold, whereupon the accumulated gain or loss is transferred to the item “Retained earnings” in the consolidated statement of changes in equity; in other words, they are not subsequently reclassified to the consolidated statement of income.</w:t>
      </w:r>
    </w:p>
    <w:p>
      <w:pPr>
        <w:spacing w:after="0" w:line="180" w:lineRule="exact"/>
        <w:rPr>
          <w:sz w:val="20"/>
          <w:szCs w:val="20"/>
          <w:color w:val="auto"/>
        </w:rPr>
      </w:pPr>
    </w:p>
    <w:p>
      <w:pPr>
        <w:ind w:left="304"/>
        <w:spacing w:after="0"/>
        <w:rPr>
          <w:sz w:val="20"/>
          <w:szCs w:val="20"/>
          <w:color w:val="auto"/>
        </w:rPr>
      </w:pPr>
      <w:r>
        <w:rPr>
          <w:rFonts w:ascii="Arial" w:cs="Arial" w:eastAsia="Arial" w:hAnsi="Arial"/>
          <w:sz w:val="17"/>
          <w:szCs w:val="17"/>
          <w:color w:val="auto"/>
        </w:rPr>
        <w:t>As a result, the equity instruments classified in this category do not require a loss impairment evaluation.</w:t>
      </w:r>
    </w:p>
    <w:p>
      <w:pPr>
        <w:spacing w:after="0" w:line="193"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Dividends are recognized when the collection right has been established and they are recorded in the item “Interest and similar income” in the consolidated statement of income.</w:t>
      </w:r>
    </w:p>
    <w:p>
      <w:pPr>
        <w:spacing w:after="0" w:line="169" w:lineRule="exact"/>
        <w:rPr>
          <w:sz w:val="20"/>
          <w:szCs w:val="20"/>
          <w:color w:val="auto"/>
        </w:rPr>
      </w:pPr>
    </w:p>
    <w:p>
      <w:pPr>
        <w:ind w:left="304" w:hanging="304"/>
        <w:spacing w:after="0"/>
        <w:tabs>
          <w:tab w:leader="none" w:pos="3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Financial assets at fair value through profit or loss -</w:t>
      </w:r>
    </w:p>
    <w:p>
      <w:pPr>
        <w:spacing w:after="0" w:line="193"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Financial assets must be classified and measured at fair value through profit or loss, unless they are classified and measured at “Amortized cost” or “At fair value through other comprehensive income”.</w:t>
      </w:r>
    </w:p>
    <w:p>
      <w:pPr>
        <w:spacing w:after="0" w:line="169" w:lineRule="exact"/>
        <w:rPr>
          <w:sz w:val="20"/>
          <w:szCs w:val="20"/>
          <w:color w:val="auto"/>
        </w:rPr>
      </w:pPr>
    </w:p>
    <w:p>
      <w:pPr>
        <w:ind w:left="304"/>
        <w:spacing w:after="0" w:line="238" w:lineRule="auto"/>
        <w:rPr>
          <w:sz w:val="20"/>
          <w:szCs w:val="20"/>
          <w:color w:val="auto"/>
        </w:rPr>
      </w:pPr>
      <w:r>
        <w:rPr>
          <w:rFonts w:ascii="Arial" w:cs="Arial" w:eastAsia="Arial" w:hAnsi="Arial"/>
          <w:sz w:val="17"/>
          <w:szCs w:val="17"/>
          <w:color w:val="auto"/>
        </w:rPr>
        <w:t>The financial assets that the Group maintains in this category are: a) Investments in debt instruments, b) investments in equity instruments for trading purposes, c) financial assets designated at fair value through profit or loss from their initial recognition, and</w:t>
      </w:r>
    </w:p>
    <w:p>
      <w:pPr>
        <w:spacing w:after="0" w:line="1" w:lineRule="exact"/>
        <w:rPr>
          <w:sz w:val="20"/>
          <w:szCs w:val="20"/>
          <w:color w:val="auto"/>
        </w:rPr>
      </w:pPr>
    </w:p>
    <w:p>
      <w:pPr>
        <w:ind w:left="304" w:right="5800" w:firstLine="7"/>
        <w:spacing w:after="0" w:line="477" w:lineRule="auto"/>
        <w:tabs>
          <w:tab w:leader="none" w:pos="505"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derivative financial instruments for trading purposes. Debt instruments -</w:t>
      </w:r>
    </w:p>
    <w:p>
      <w:pPr>
        <w:jc w:val="both"/>
        <w:ind w:left="304"/>
        <w:spacing w:after="0" w:line="254" w:lineRule="auto"/>
        <w:rPr>
          <w:sz w:val="20"/>
          <w:szCs w:val="20"/>
          <w:color w:val="auto"/>
        </w:rPr>
      </w:pPr>
      <w:r>
        <w:rPr>
          <w:rFonts w:ascii="Arial" w:cs="Arial" w:eastAsia="Arial" w:hAnsi="Arial"/>
          <w:sz w:val="17"/>
          <w:szCs w:val="17"/>
          <w:color w:val="auto"/>
        </w:rPr>
        <w:t>Said instruments are classified in this category since: a) they are maintained for trading purposes, or b) their cash flows are not solely payments of principal and interest.</w:t>
      </w:r>
    </w:p>
    <w:p>
      <w:pPr>
        <w:spacing w:after="0" w:line="169"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After their initial recognition they are measured at fair value, recording the changes in “Net gain on securities” in the consolidated statement of income. Interests accrued are calculated using the contractual interest rate and recorded in the “Interest and similar income” item in the consolidated statement of income.</w:t>
      </w:r>
    </w:p>
    <w:p>
      <w:pPr>
        <w:spacing w:after="0" w:line="176" w:lineRule="exact"/>
        <w:rPr>
          <w:sz w:val="20"/>
          <w:szCs w:val="20"/>
          <w:color w:val="auto"/>
        </w:rPr>
      </w:pPr>
    </w:p>
    <w:p>
      <w:pPr>
        <w:ind w:left="304"/>
        <w:spacing w:after="0"/>
        <w:rPr>
          <w:sz w:val="20"/>
          <w:szCs w:val="20"/>
          <w:color w:val="auto"/>
        </w:rPr>
      </w:pPr>
      <w:r>
        <w:rPr>
          <w:rFonts w:ascii="Arial" w:cs="Arial" w:eastAsia="Arial" w:hAnsi="Arial"/>
          <w:sz w:val="17"/>
          <w:szCs w:val="17"/>
          <w:color w:val="auto"/>
        </w:rPr>
        <w:t>Equity instruments -</w:t>
      </w:r>
    </w:p>
    <w:p>
      <w:pPr>
        <w:spacing w:after="0" w:line="193"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Equity instruments are classified and measured at fair value through profit or loss, unless an irrevocable choice is made, at the time of initial recognition, to designate them at fair value through other comprehensive income.</w:t>
      </w:r>
    </w:p>
    <w:p>
      <w:pPr>
        <w:spacing w:after="0" w:line="169"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After their initial recognition, they are measured at fair value, recording the changes in the item “Net gains on securities” in the consolidated statement of income. The profit from dividends is recorded in the item “Interest and similar income” in the consolidated statement of income when the right to payment has been recognized.</w:t>
      </w:r>
    </w:p>
    <w:p>
      <w:pPr>
        <w:spacing w:after="0" w:line="150" w:lineRule="exact"/>
        <w:rPr>
          <w:sz w:val="20"/>
          <w:szCs w:val="20"/>
          <w:color w:val="auto"/>
        </w:rPr>
      </w:pPr>
    </w:p>
    <w:p>
      <w:pPr>
        <w:ind w:left="4484"/>
        <w:spacing w:after="0"/>
        <w:rPr>
          <w:sz w:val="20"/>
          <w:szCs w:val="20"/>
          <w:color w:val="auto"/>
        </w:rPr>
      </w:pPr>
      <w:r>
        <w:rPr>
          <w:rFonts w:ascii="Arial" w:cs="Arial" w:eastAsia="Arial" w:hAnsi="Arial"/>
          <w:sz w:val="17"/>
          <w:szCs w:val="17"/>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41" w:name="page42"/>
    <w:bookmarkEnd w:id="41"/>
    <w:p>
      <w:pPr>
        <w:ind w:left="304"/>
        <w:spacing w:after="0"/>
        <w:rPr>
          <w:sz w:val="20"/>
          <w:szCs w:val="20"/>
          <w:color w:val="auto"/>
        </w:rPr>
      </w:pPr>
      <w:r>
        <w:rPr>
          <w:rFonts w:ascii="Arial" w:cs="Arial" w:eastAsia="Arial" w:hAnsi="Arial"/>
          <w:sz w:val="17"/>
          <w:szCs w:val="17"/>
          <w:color w:val="auto"/>
        </w:rPr>
        <w:t>Financial assets designated at fair value through profit or loss from initial recognition -</w:t>
      </w:r>
    </w:p>
    <w:p>
      <w:pPr>
        <w:spacing w:after="0" w:line="192"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Upon initial recognition, Management can irrevocably designate financial assets as measured at fair value through profit or loss, if doing so eliminates or significantly reduces an incongruence of measurement or recognition that would otherwise arise from the measurement of the assets or liabilities or from the recognition of the profit and losses thereof on different bases.</w:t>
      </w:r>
    </w:p>
    <w:p>
      <w:pPr>
        <w:spacing w:after="0" w:line="176" w:lineRule="exact"/>
        <w:rPr>
          <w:sz w:val="20"/>
          <w:szCs w:val="20"/>
          <w:color w:val="auto"/>
        </w:rPr>
      </w:pPr>
    </w:p>
    <w:p>
      <w:pPr>
        <w:ind w:left="304"/>
        <w:spacing w:after="0"/>
        <w:rPr>
          <w:sz w:val="20"/>
          <w:szCs w:val="20"/>
          <w:color w:val="auto"/>
        </w:rPr>
      </w:pPr>
      <w:r>
        <w:rPr>
          <w:rFonts w:ascii="Arial" w:cs="Arial" w:eastAsia="Arial" w:hAnsi="Arial"/>
          <w:sz w:val="17"/>
          <w:szCs w:val="17"/>
          <w:color w:val="auto"/>
        </w:rPr>
        <w:t>After initial recognition they are measured at fair value, recording the changes in the consolidated statement of income.</w:t>
      </w:r>
    </w:p>
    <w:p>
      <w:pPr>
        <w:spacing w:after="0" w:line="193"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As of December 31, 2022 and 2021 the Group classified the financial liabilities upon initial recognition as measured at amortized cost, except in the case of the financial liabilities at fair value through profit or loss. These liabilities include the derivatives measured at fair value.</w:t>
      </w:r>
    </w:p>
    <w:p>
      <w:pPr>
        <w:spacing w:after="0" w:line="176" w:lineRule="exact"/>
        <w:rPr>
          <w:sz w:val="20"/>
          <w:szCs w:val="20"/>
          <w:color w:val="auto"/>
        </w:rPr>
      </w:pPr>
    </w:p>
    <w:p>
      <w:pPr>
        <w:ind w:left="304"/>
        <w:spacing w:after="0"/>
        <w:rPr>
          <w:sz w:val="20"/>
          <w:szCs w:val="20"/>
          <w:color w:val="auto"/>
        </w:rPr>
      </w:pPr>
      <w:r>
        <w:rPr>
          <w:rFonts w:ascii="Arial" w:cs="Arial" w:eastAsia="Arial" w:hAnsi="Arial"/>
          <w:sz w:val="17"/>
          <w:szCs w:val="17"/>
          <w:color w:val="auto"/>
        </w:rPr>
        <w:t>The interest incurred is accrued in the item “Interest and similar expense” in the consolidated statement of income.</w:t>
      </w:r>
    </w:p>
    <w:p>
      <w:pPr>
        <w:spacing w:after="0" w:line="193"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Furthermore, upon initial recognition, Management can irrevocably designate financial liabilities as measured at fair value through profit or loss when one of the following criteria is complied with:</w:t>
      </w:r>
    </w:p>
    <w:p>
      <w:pPr>
        <w:spacing w:after="0" w:line="169" w:lineRule="exact"/>
        <w:rPr>
          <w:sz w:val="20"/>
          <w:szCs w:val="20"/>
          <w:color w:val="auto"/>
        </w:rPr>
      </w:pPr>
    </w:p>
    <w:p>
      <w:pPr>
        <w:ind w:left="624" w:right="220" w:hanging="313"/>
        <w:spacing w:after="0" w:line="238" w:lineRule="auto"/>
        <w:tabs>
          <w:tab w:leader="none" w:pos="62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 incongruence in the measurement is eliminated or significantly reduced, which would otherwise arise from using different criteria to measure assets or liabilities; or</w:t>
      </w:r>
    </w:p>
    <w:p>
      <w:pPr>
        <w:ind w:left="624" w:right="20" w:hanging="313"/>
        <w:spacing w:after="0" w:line="238" w:lineRule="auto"/>
        <w:tabs>
          <w:tab w:leader="none" w:pos="624"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They are part of a group of financial liabilities, which are managed and their yield is evaluated based on fair value, according to a documented investment strategy or risk management; or</w:t>
      </w:r>
    </w:p>
    <w:p>
      <w:pPr>
        <w:ind w:left="624" w:hanging="313"/>
        <w:spacing w:after="0"/>
        <w:tabs>
          <w:tab w:leader="none" w:pos="624"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financial liability contains one or more embedded derivatives that otherwise significantly modify the required cash flows.</w:t>
      </w:r>
    </w:p>
    <w:p>
      <w:pPr>
        <w:spacing w:after="0" w:line="193" w:lineRule="exact"/>
        <w:rPr>
          <w:rFonts w:ascii="Arial" w:cs="Arial" w:eastAsia="Arial" w:hAnsi="Arial"/>
          <w:sz w:val="17"/>
          <w:szCs w:val="17"/>
          <w:color w:val="auto"/>
        </w:rPr>
      </w:pPr>
    </w:p>
    <w:p>
      <w:pPr>
        <w:ind w:left="304" w:hanging="304"/>
        <w:spacing w:after="0"/>
        <w:tabs>
          <w:tab w:leader="none" w:pos="3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Reclassification of financial assets and liabilities -</w:t>
      </w:r>
    </w:p>
    <w:p>
      <w:pPr>
        <w:spacing w:after="0" w:line="193" w:lineRule="exact"/>
        <w:rPr>
          <w:rFonts w:ascii="Arial" w:cs="Arial" w:eastAsia="Arial" w:hAnsi="Arial"/>
          <w:sz w:val="17"/>
          <w:szCs w:val="17"/>
          <w:color w:val="auto"/>
        </w:rPr>
      </w:pPr>
    </w:p>
    <w:p>
      <w:pPr>
        <w:jc w:val="both"/>
        <w:ind w:left="304"/>
        <w:spacing w:after="0" w:line="243" w:lineRule="auto"/>
        <w:rPr>
          <w:rFonts w:ascii="Arial" w:cs="Arial" w:eastAsia="Arial" w:hAnsi="Arial"/>
          <w:sz w:val="17"/>
          <w:szCs w:val="17"/>
          <w:color w:val="auto"/>
        </w:rPr>
      </w:pPr>
      <w:r>
        <w:rPr>
          <w:rFonts w:ascii="Arial" w:cs="Arial" w:eastAsia="Arial" w:hAnsi="Arial"/>
          <w:sz w:val="17"/>
          <w:szCs w:val="17"/>
          <w:color w:val="auto"/>
        </w:rPr>
        <w:t>The reclassification of financial assets will take place as long as the business model that manages the financial assets is changed. This change is expected to be very rare. These changes are determined by approval of the Group’s management as a result of external or internal changes, which must be significant for the Group’s operations and demonstrable to third parties. Financial liabilities are never reclassified.</w:t>
      </w:r>
    </w:p>
    <w:p>
      <w:pPr>
        <w:spacing w:after="0" w:line="179" w:lineRule="exact"/>
        <w:rPr>
          <w:rFonts w:ascii="Arial" w:cs="Arial" w:eastAsia="Arial" w:hAnsi="Arial"/>
          <w:sz w:val="17"/>
          <w:szCs w:val="17"/>
          <w:color w:val="auto"/>
        </w:rPr>
      </w:pPr>
    </w:p>
    <w:p>
      <w:pPr>
        <w:jc w:val="both"/>
        <w:ind w:left="304"/>
        <w:spacing w:after="0" w:line="246" w:lineRule="auto"/>
        <w:rPr>
          <w:rFonts w:ascii="Arial" w:cs="Arial" w:eastAsia="Arial" w:hAnsi="Arial"/>
          <w:sz w:val="17"/>
          <w:szCs w:val="17"/>
          <w:color w:val="auto"/>
        </w:rPr>
      </w:pPr>
      <w:r>
        <w:rPr>
          <w:rFonts w:ascii="Arial" w:cs="Arial" w:eastAsia="Arial" w:hAnsi="Arial"/>
          <w:sz w:val="17"/>
          <w:szCs w:val="17"/>
          <w:color w:val="auto"/>
        </w:rPr>
        <w:t>When the Group changes its business model for the management of financial assets, it will reclassify all affected financial assets prospectively from the reclassification date. The Group will not restate previously recognized gains, losses or interest (including gains or losses due to impairment of value).</w:t>
      </w:r>
    </w:p>
    <w:p>
      <w:pPr>
        <w:spacing w:after="0" w:line="175"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If the Group reclassifies:</w:t>
      </w:r>
    </w:p>
    <w:p>
      <w:pPr>
        <w:spacing w:after="0" w:line="193" w:lineRule="exact"/>
        <w:rPr>
          <w:rFonts w:ascii="Arial" w:cs="Arial" w:eastAsia="Arial" w:hAnsi="Arial"/>
          <w:sz w:val="17"/>
          <w:szCs w:val="17"/>
          <w:color w:val="auto"/>
        </w:rPr>
      </w:pPr>
    </w:p>
    <w:p>
      <w:pPr>
        <w:ind w:left="624" w:right="40" w:hanging="313"/>
        <w:spacing w:after="0" w:line="246" w:lineRule="auto"/>
        <w:tabs>
          <w:tab w:leader="none" w:pos="62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financial asset from the amortized cost measurement category to fair value through profit or loss: its fair value will be measured on the reclassification date. Any gain or loss that arises from differences between the previous amortized cost of the financial asset and its fair value will be recognized in the result of the period.</w:t>
      </w:r>
    </w:p>
    <w:p>
      <w:pPr>
        <w:spacing w:after="0" w:line="188" w:lineRule="exact"/>
        <w:rPr>
          <w:rFonts w:ascii="Arial" w:cs="Arial" w:eastAsia="Arial" w:hAnsi="Arial"/>
          <w:sz w:val="17"/>
          <w:szCs w:val="17"/>
          <w:color w:val="auto"/>
        </w:rPr>
      </w:pPr>
    </w:p>
    <w:p>
      <w:pPr>
        <w:ind w:left="624" w:right="220" w:hanging="313"/>
        <w:spacing w:after="0" w:line="254" w:lineRule="auto"/>
        <w:tabs>
          <w:tab w:leader="none" w:pos="62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financial asset from the measurement category of fair value through profit or loss to that of amortized cost: its fair value on the reclassification date becomes its new carrying amount.</w:t>
      </w:r>
    </w:p>
    <w:p>
      <w:pPr>
        <w:spacing w:after="0" w:line="143" w:lineRule="exact"/>
        <w:rPr>
          <w:rFonts w:ascii="Arial" w:cs="Arial" w:eastAsia="Arial" w:hAnsi="Arial"/>
          <w:sz w:val="17"/>
          <w:szCs w:val="17"/>
          <w:color w:val="auto"/>
        </w:rPr>
      </w:pPr>
    </w:p>
    <w:p>
      <w:pPr>
        <w:ind w:left="4584" w:hanging="97"/>
        <w:spacing w:after="0"/>
        <w:tabs>
          <w:tab w:leader="none" w:pos="4584" w:val="left"/>
        </w:tabs>
        <w:numPr>
          <w:ilvl w:val="2"/>
          <w:numId w:val="39"/>
        </w:numPr>
        <w:rPr>
          <w:rFonts w:ascii="Arial" w:cs="Arial" w:eastAsia="Arial" w:hAnsi="Arial"/>
          <w:sz w:val="17"/>
          <w:szCs w:val="17"/>
          <w:color w:val="auto"/>
        </w:rPr>
      </w:pPr>
      <w:r>
        <w:rPr>
          <w:rFonts w:ascii="Arial" w:cs="Arial" w:eastAsia="Arial" w:hAnsi="Arial"/>
          <w:sz w:val="17"/>
          <w:szCs w:val="17"/>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42" w:name="page43"/>
    <w:bookmarkEnd w:id="42"/>
    <w:p>
      <w:pPr>
        <w:ind w:left="935" w:right="120" w:hanging="313"/>
        <w:spacing w:after="0" w:line="243" w:lineRule="auto"/>
        <w:tabs>
          <w:tab w:leader="none" w:pos="9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financial asset from the amortized cost measurement category to fair value through other comprehensive income: its fair value will be measured on the reclassification date. Any gain or loss arising from differences between the prior amortized cost of the financial asset and its fair value will be recognized in other comprehensive income. The effective interest rate and the measurement of expected credit losses will not be adjusted as a result of the reclassification.</w:t>
      </w:r>
    </w:p>
    <w:p>
      <w:pPr>
        <w:spacing w:after="0" w:line="191" w:lineRule="exact"/>
        <w:rPr>
          <w:rFonts w:ascii="Arial" w:cs="Arial" w:eastAsia="Arial" w:hAnsi="Arial"/>
          <w:sz w:val="17"/>
          <w:szCs w:val="17"/>
          <w:color w:val="auto"/>
        </w:rPr>
      </w:pPr>
    </w:p>
    <w:p>
      <w:pPr>
        <w:ind w:left="935" w:right="140" w:hanging="313"/>
        <w:spacing w:after="0" w:line="241" w:lineRule="auto"/>
        <w:tabs>
          <w:tab w:leader="none" w:pos="9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financial asset from the measurement category of fair value through other comprehensive income to that of amortized cost, the financial asset will be reclassified at its fair value on the reclassification date. However, accumulated gains or losses previously recognized in other comprehensive income will be eliminated from equity and adjusted against the fair value of the financial asset on the reclassification date. As a result, the financial asset will be measured at the reclassification date as if it had always been measured at amortized cost. This adjustment affects other comprehensive income but not profit for the period.</w:t>
      </w:r>
    </w:p>
    <w:p>
      <w:pPr>
        <w:spacing w:after="0" w:line="194" w:lineRule="exact"/>
        <w:rPr>
          <w:rFonts w:ascii="Arial" w:cs="Arial" w:eastAsia="Arial" w:hAnsi="Arial"/>
          <w:sz w:val="17"/>
          <w:szCs w:val="17"/>
          <w:color w:val="auto"/>
        </w:rPr>
      </w:pPr>
    </w:p>
    <w:p>
      <w:pPr>
        <w:ind w:left="935" w:right="140" w:hanging="313"/>
        <w:spacing w:after="0" w:line="254" w:lineRule="auto"/>
        <w:tabs>
          <w:tab w:leader="none" w:pos="9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financial asset from the measurement category of fair value through profit or loss to fair value through other comprehensive income, the financial asset continues to be measured at fair value.</w:t>
      </w:r>
    </w:p>
    <w:p>
      <w:pPr>
        <w:spacing w:after="0" w:line="169" w:lineRule="exact"/>
        <w:rPr>
          <w:rFonts w:ascii="Arial" w:cs="Arial" w:eastAsia="Arial" w:hAnsi="Arial"/>
          <w:sz w:val="17"/>
          <w:szCs w:val="17"/>
          <w:color w:val="auto"/>
        </w:rPr>
      </w:pPr>
    </w:p>
    <w:p>
      <w:pPr>
        <w:ind w:left="935" w:right="620" w:hanging="313"/>
        <w:spacing w:after="0" w:line="254" w:lineRule="auto"/>
        <w:tabs>
          <w:tab w:leader="none" w:pos="9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financial asset from the measurement category of fair value through other comprehensive income to that of fair value through profit or loss, the financial asset continues to be measured at fair value.</w:t>
      </w:r>
    </w:p>
    <w:p>
      <w:pPr>
        <w:spacing w:after="0" w:line="169" w:lineRule="exact"/>
        <w:rPr>
          <w:sz w:val="20"/>
          <w:szCs w:val="20"/>
          <w:color w:val="auto"/>
        </w:rPr>
      </w:pPr>
    </w:p>
    <w:p>
      <w:pPr>
        <w:ind w:left="615"/>
        <w:spacing w:after="0" w:line="254" w:lineRule="auto"/>
        <w:rPr>
          <w:sz w:val="20"/>
          <w:szCs w:val="20"/>
          <w:color w:val="auto"/>
        </w:rPr>
      </w:pPr>
      <w:r>
        <w:rPr>
          <w:rFonts w:ascii="Arial" w:cs="Arial" w:eastAsia="Arial" w:hAnsi="Arial"/>
          <w:sz w:val="17"/>
          <w:szCs w:val="17"/>
          <w:color w:val="auto"/>
        </w:rPr>
        <w:t>The cumulative gain or loss previously recognized in other comprehensive income will be reclassified from equity to profit or loss for the period.</w:t>
      </w:r>
    </w:p>
    <w:p>
      <w:pPr>
        <w:spacing w:after="0" w:line="169" w:lineRule="exact"/>
        <w:rPr>
          <w:sz w:val="20"/>
          <w:szCs w:val="20"/>
          <w:color w:val="auto"/>
        </w:rPr>
      </w:pPr>
    </w:p>
    <w:p>
      <w:pPr>
        <w:ind w:left="315" w:right="6620" w:hanging="315"/>
        <w:spacing w:after="0" w:line="477" w:lineRule="auto"/>
        <w:tabs>
          <w:tab w:leader="none" w:pos="315"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De-recognition of financial assets and liabilities - Financial assets:</w:t>
      </w:r>
    </w:p>
    <w:p>
      <w:pPr>
        <w:ind w:left="315"/>
        <w:spacing w:after="0"/>
        <w:rPr>
          <w:rFonts w:ascii="Arial" w:cs="Arial" w:eastAsia="Arial" w:hAnsi="Arial"/>
          <w:sz w:val="17"/>
          <w:szCs w:val="17"/>
          <w:color w:val="auto"/>
        </w:rPr>
      </w:pPr>
      <w:r>
        <w:rPr>
          <w:rFonts w:ascii="Arial" w:cs="Arial" w:eastAsia="Arial" w:hAnsi="Arial"/>
          <w:sz w:val="17"/>
          <w:szCs w:val="17"/>
          <w:color w:val="auto"/>
        </w:rPr>
        <w:t>A financial asset (or, where applicable, a part of a financial asset or a part of a group of similar financial assets) is derecognized when:</w:t>
      </w:r>
    </w:p>
    <w:p>
      <w:pPr>
        <w:jc w:val="both"/>
        <w:ind w:left="315"/>
        <w:spacing w:after="0" w:line="243" w:lineRule="auto"/>
        <w:rPr>
          <w:rFonts w:ascii="Arial" w:cs="Arial" w:eastAsia="Arial" w:hAnsi="Arial"/>
          <w:sz w:val="17"/>
          <w:szCs w:val="17"/>
          <w:color w:val="auto"/>
        </w:rPr>
      </w:pPr>
      <w:r>
        <w:rPr>
          <w:rFonts w:ascii="Arial" w:cs="Arial" w:eastAsia="Arial" w:hAnsi="Arial"/>
          <w:sz w:val="17"/>
          <w:szCs w:val="17"/>
          <w:color w:val="auto"/>
        </w:rPr>
        <w:t>(i)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80" w:lineRule="exact"/>
        <w:rPr>
          <w:sz w:val="20"/>
          <w:szCs w:val="20"/>
          <w:color w:val="auto"/>
        </w:rPr>
      </w:pPr>
    </w:p>
    <w:p>
      <w:pPr>
        <w:jc w:val="both"/>
        <w:ind w:left="315"/>
        <w:spacing w:after="0" w:line="243" w:lineRule="auto"/>
        <w:rPr>
          <w:sz w:val="20"/>
          <w:szCs w:val="20"/>
          <w:color w:val="auto"/>
        </w:rPr>
      </w:pPr>
      <w:r>
        <w:rPr>
          <w:rFonts w:ascii="Arial" w:cs="Arial" w:eastAsia="Arial" w:hAnsi="Arial"/>
          <w:sz w:val="17"/>
          <w:szCs w:val="17"/>
          <w:color w:val="auto"/>
        </w:rPr>
        <w:t>When the Group has transferred its right to receive cash flows from an asset or has entered into a pass-through arrangement,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the Group’s continuing involvement.</w:t>
      </w:r>
    </w:p>
    <w:p>
      <w:pPr>
        <w:spacing w:after="0" w:line="180"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In that case, the Group also recognizes the associated liability. The transferred asset and the associated liability are measured on a basis that reflects the rights and obligations that the Group has retained.</w:t>
      </w:r>
    </w:p>
    <w:p>
      <w:pPr>
        <w:spacing w:after="0" w:line="169"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Continuing involvement that takes the form of a guarantee over the transferred asset is measured at the lower of (i) the original carrying amount of the asset, and (ii) the maximum amount of consideration that the Group could be required to repay.</w:t>
      </w:r>
    </w:p>
    <w:p>
      <w:pPr>
        <w:spacing w:after="0" w:line="143" w:lineRule="exact"/>
        <w:rPr>
          <w:sz w:val="20"/>
          <w:szCs w:val="20"/>
          <w:color w:val="auto"/>
        </w:rPr>
      </w:pPr>
    </w:p>
    <w:p>
      <w:pPr>
        <w:ind w:left="4795"/>
        <w:spacing w:after="0"/>
        <w:rPr>
          <w:sz w:val="20"/>
          <w:szCs w:val="20"/>
          <w:color w:val="auto"/>
        </w:rPr>
      </w:pPr>
      <w:r>
        <w:rPr>
          <w:rFonts w:ascii="Arial" w:cs="Arial" w:eastAsia="Arial" w:hAnsi="Arial"/>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43" w:name="page44"/>
    <w:bookmarkEnd w:id="43"/>
    <w:p>
      <w:pPr>
        <w:ind w:left="315"/>
        <w:spacing w:after="0"/>
        <w:rPr>
          <w:sz w:val="20"/>
          <w:szCs w:val="20"/>
          <w:color w:val="auto"/>
        </w:rPr>
      </w:pPr>
      <w:r>
        <w:rPr>
          <w:rFonts w:ascii="Arial" w:cs="Arial" w:eastAsia="Arial" w:hAnsi="Arial"/>
          <w:sz w:val="17"/>
          <w:szCs w:val="17"/>
          <w:color w:val="auto"/>
        </w:rPr>
        <w:t>Financial liabilities:</w:t>
      </w:r>
    </w:p>
    <w:p>
      <w:pPr>
        <w:spacing w:after="0" w:line="192" w:lineRule="exact"/>
        <w:rPr>
          <w:sz w:val="20"/>
          <w:szCs w:val="20"/>
          <w:color w:val="auto"/>
        </w:rPr>
      </w:pPr>
    </w:p>
    <w:p>
      <w:pPr>
        <w:jc w:val="both"/>
        <w:ind w:left="315"/>
        <w:spacing w:after="0" w:line="242" w:lineRule="auto"/>
        <w:rPr>
          <w:sz w:val="20"/>
          <w:szCs w:val="20"/>
          <w:color w:val="auto"/>
        </w:rPr>
      </w:pPr>
      <w:r>
        <w:rPr>
          <w:rFonts w:ascii="Arial" w:cs="Arial" w:eastAsia="Arial" w:hAnsi="Arial"/>
          <w:sz w:val="17"/>
          <w:szCs w:val="17"/>
          <w:color w:val="auto"/>
        </w:rPr>
        <w:t>A financial liability is derecognized when the obligation under the liability is discharged, cancelled or expires. When an existing financial liability is replaced by another from the same lender on substantially different terms (it does not pass the 10% test established in IFRS 9), or the terms of an existing liability are substantially modified, such exchange or modification is treated as a withdrawal of the original liability and the recognition of a new liability; the difference between the carrying amount of the original financial liability and the consideration paid is recognized in the consolidated statement of income.</w:t>
      </w:r>
    </w:p>
    <w:p>
      <w:pPr>
        <w:spacing w:after="0" w:line="180" w:lineRule="exact"/>
        <w:rPr>
          <w:sz w:val="20"/>
          <w:szCs w:val="20"/>
          <w:color w:val="auto"/>
        </w:rPr>
      </w:pPr>
    </w:p>
    <w:p>
      <w:pPr>
        <w:ind w:left="315" w:hanging="315"/>
        <w:spacing w:after="0"/>
        <w:tabs>
          <w:tab w:leader="none" w:pos="3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Offsetting financial instruments -</w:t>
      </w:r>
    </w:p>
    <w:p>
      <w:pPr>
        <w:spacing w:after="0" w:line="193"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Financial assets and liabilities are offset, and the net amount is reported in the consolidated statement of financial position when there is a legally enforceable right to offset the recognized amounts and Management has the intention to settle on a net basis, or realize the asset and settle the liability simultaneously.</w:t>
      </w:r>
    </w:p>
    <w:p>
      <w:pPr>
        <w:spacing w:after="0" w:line="175" w:lineRule="exact"/>
        <w:rPr>
          <w:rFonts w:ascii="Arial" w:cs="Arial" w:eastAsia="Arial" w:hAnsi="Arial"/>
          <w:sz w:val="17"/>
          <w:szCs w:val="17"/>
          <w:color w:val="auto"/>
        </w:rPr>
      </w:pPr>
    </w:p>
    <w:p>
      <w:pPr>
        <w:ind w:left="315" w:hanging="315"/>
        <w:spacing w:after="0"/>
        <w:tabs>
          <w:tab w:leader="none" w:pos="3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Impairment of financial assets -</w:t>
      </w:r>
    </w:p>
    <w:p>
      <w:pPr>
        <w:spacing w:after="0" w:line="193"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As of December 31, 2022 and 2021 the Group applies a three-stage approach to measure the provision for credit loss, using an impairment model based on the expected credit losses as established in IFRS 9, for the following categories:</w:t>
      </w:r>
    </w:p>
    <w:p>
      <w:pPr>
        <w:spacing w:after="0" w:line="167" w:lineRule="exact"/>
        <w:rPr>
          <w:rFonts w:ascii="Arial" w:cs="Arial" w:eastAsia="Arial" w:hAnsi="Arial"/>
          <w:sz w:val="17"/>
          <w:szCs w:val="17"/>
          <w:color w:val="auto"/>
        </w:rPr>
      </w:pPr>
    </w:p>
    <w:p>
      <w:pPr>
        <w:ind w:left="615" w:hanging="304"/>
        <w:spacing w:after="0"/>
        <w:tabs>
          <w:tab w:leader="none" w:pos="615" w:val="left"/>
        </w:tabs>
        <w:numPr>
          <w:ilvl w:val="1"/>
          <w:numId w:val="42"/>
        </w:numPr>
        <w:rPr>
          <w:rFonts w:ascii="Arial" w:cs="Arial" w:eastAsia="Arial" w:hAnsi="Arial"/>
          <w:sz w:val="17"/>
          <w:szCs w:val="17"/>
          <w:color w:val="auto"/>
        </w:rPr>
      </w:pPr>
      <w:r>
        <w:rPr>
          <w:rFonts w:ascii="Arial" w:cs="Arial" w:eastAsia="Arial" w:hAnsi="Arial"/>
          <w:sz w:val="17"/>
          <w:szCs w:val="17"/>
          <w:color w:val="auto"/>
        </w:rPr>
        <w:t>Financial assets at amortized cost.</w:t>
      </w:r>
    </w:p>
    <w:p>
      <w:pPr>
        <w:ind w:left="615" w:hanging="304"/>
        <w:spacing w:after="0" w:line="238" w:lineRule="auto"/>
        <w:tabs>
          <w:tab w:leader="none" w:pos="615"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Debt instruments classified as investments at fair value through other comprehensive income, and</w:t>
      </w:r>
    </w:p>
    <w:p>
      <w:pPr>
        <w:ind w:left="615" w:hanging="304"/>
        <w:spacing w:after="0"/>
        <w:tabs>
          <w:tab w:leader="none" w:pos="615" w:val="left"/>
        </w:tabs>
        <w:numPr>
          <w:ilvl w:val="1"/>
          <w:numId w:val="42"/>
        </w:numPr>
        <w:rPr>
          <w:rFonts w:ascii="Arial" w:cs="Arial" w:eastAsia="Arial" w:hAnsi="Arial"/>
          <w:sz w:val="17"/>
          <w:szCs w:val="17"/>
          <w:color w:val="auto"/>
        </w:rPr>
      </w:pPr>
      <w:r>
        <w:rPr>
          <w:rFonts w:ascii="Arial" w:cs="Arial" w:eastAsia="Arial" w:hAnsi="Arial"/>
          <w:sz w:val="17"/>
          <w:szCs w:val="17"/>
          <w:color w:val="auto"/>
        </w:rPr>
        <w:t>Indirect loans that are presented in risk accounts and contingent commitments.</w:t>
      </w:r>
    </w:p>
    <w:p>
      <w:pPr>
        <w:spacing w:after="0" w:line="193"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The financial assets classified or designated at fair value through profit of loss and the equity instruments designated at fair value through other comprehensive income, are not subject to impairment evaluation.</w:t>
      </w:r>
    </w:p>
    <w:p>
      <w:pPr>
        <w:spacing w:after="0" w:line="169" w:lineRule="exact"/>
        <w:rPr>
          <w:sz w:val="20"/>
          <w:szCs w:val="20"/>
          <w:color w:val="auto"/>
        </w:rPr>
      </w:pPr>
    </w:p>
    <w:p>
      <w:pPr>
        <w:ind w:left="315" w:right="1600"/>
        <w:spacing w:after="0" w:line="477" w:lineRule="auto"/>
        <w:rPr>
          <w:sz w:val="20"/>
          <w:szCs w:val="20"/>
          <w:color w:val="auto"/>
        </w:rPr>
      </w:pPr>
      <w:r>
        <w:rPr>
          <w:rFonts w:ascii="Arial" w:cs="Arial" w:eastAsia="Arial" w:hAnsi="Arial"/>
          <w:sz w:val="17"/>
          <w:szCs w:val="17"/>
          <w:color w:val="auto"/>
        </w:rPr>
        <w:t>Financial assets migrate through three stages according to the change in the credit risk from the initial recognition. Impairment model of expected credit losses -</w:t>
      </w:r>
    </w:p>
    <w:p>
      <w:pPr>
        <w:jc w:val="both"/>
        <w:ind w:left="315"/>
        <w:spacing w:after="0" w:line="242" w:lineRule="auto"/>
        <w:rPr>
          <w:sz w:val="20"/>
          <w:szCs w:val="20"/>
          <w:color w:val="auto"/>
        </w:rPr>
      </w:pPr>
      <w:r>
        <w:rPr>
          <w:rFonts w:ascii="Arial" w:cs="Arial" w:eastAsia="Arial" w:hAnsi="Arial"/>
          <w:sz w:val="17"/>
          <w:szCs w:val="17"/>
          <w:color w:val="auto"/>
        </w:rPr>
        <w:t>The calculations of credit losses are products of models with a series of underlying assumptions with regard to the choice of the variable inputs and their interdependencies. The impairment model for expected credit loss reflects the present value of all the cash deficit events related to the events of default, whether (i) during the following twelve months or (ii) during the expected useful life of a financial instrument depending on the impairment of the credit from the beginning. The expected credit loss reflects an unbiased result weighted by probability that considers a range of multiple outcomes based on reasonable and supportable forecasts.</w:t>
      </w:r>
    </w:p>
    <w:p>
      <w:pPr>
        <w:spacing w:after="0" w:line="180"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The provisions for credit losses will be measured on each reporting date following a three-stage model of expected credit losses based on the degree of credit impairment from its origin:</w:t>
      </w:r>
    </w:p>
    <w:p>
      <w:pPr>
        <w:spacing w:after="0" w:line="169" w:lineRule="exact"/>
        <w:rPr>
          <w:sz w:val="20"/>
          <w:szCs w:val="20"/>
          <w:color w:val="auto"/>
        </w:rPr>
      </w:pPr>
    </w:p>
    <w:p>
      <w:pPr>
        <w:jc w:val="both"/>
        <w:ind w:left="615" w:right="120" w:hanging="304"/>
        <w:spacing w:after="0" w:line="246" w:lineRule="auto"/>
        <w:tabs>
          <w:tab w:leader="none" w:pos="6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Stage 1: Financial assets whose credit risk has not increased significantly since its initial recognition. A reserve will be recognized for losses equivalent to the credit losses expected to occur from defaults in the following 12 months. For those instruments with a maturity less than 12 months, a probability of default corresponding to the remaining term until maturity is used.</w:t>
      </w:r>
    </w:p>
    <w:p>
      <w:pPr>
        <w:spacing w:after="0" w:line="175" w:lineRule="exact"/>
        <w:rPr>
          <w:rFonts w:ascii="Arial" w:cs="Arial" w:eastAsia="Arial" w:hAnsi="Arial"/>
          <w:sz w:val="17"/>
          <w:szCs w:val="17"/>
          <w:color w:val="auto"/>
        </w:rPr>
      </w:pPr>
    </w:p>
    <w:p>
      <w:pPr>
        <w:ind w:left="615" w:right="60" w:hanging="304"/>
        <w:spacing w:after="0" w:line="246" w:lineRule="auto"/>
        <w:tabs>
          <w:tab w:leader="none" w:pos="6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Stage 2: Financial assets that have presented a significant increase in credit risk compared with initial recognition, but are not considered impaired, a reserve will be recognized for losses equivalent to the credit losses expected to occur during the remaining life of the asset.</w:t>
      </w:r>
    </w:p>
    <w:p>
      <w:pPr>
        <w:spacing w:after="0" w:line="150" w:lineRule="exact"/>
        <w:rPr>
          <w:rFonts w:ascii="Arial" w:cs="Arial" w:eastAsia="Arial" w:hAnsi="Arial"/>
          <w:sz w:val="17"/>
          <w:szCs w:val="17"/>
          <w:color w:val="auto"/>
        </w:rPr>
      </w:pPr>
    </w:p>
    <w:p>
      <w:pPr>
        <w:ind w:left="4895" w:hanging="97"/>
        <w:spacing w:after="0"/>
        <w:tabs>
          <w:tab w:leader="none" w:pos="4895" w:val="left"/>
        </w:tabs>
        <w:numPr>
          <w:ilvl w:val="1"/>
          <w:numId w:val="43"/>
        </w:numPr>
        <w:rPr>
          <w:rFonts w:ascii="Arial" w:cs="Arial" w:eastAsia="Arial" w:hAnsi="Arial"/>
          <w:sz w:val="17"/>
          <w:szCs w:val="17"/>
          <w:color w:val="auto"/>
        </w:rPr>
      </w:pPr>
      <w:r>
        <w:rPr>
          <w:rFonts w:ascii="Arial" w:cs="Arial" w:eastAsia="Arial" w:hAnsi="Arial"/>
          <w:sz w:val="17"/>
          <w:szCs w:val="17"/>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44" w:name="page45"/>
    <w:bookmarkEnd w:id="44"/>
    <w:p>
      <w:pPr>
        <w:jc w:val="both"/>
        <w:ind w:left="304" w:right="140" w:hanging="304"/>
        <w:spacing w:after="0" w:line="245" w:lineRule="auto"/>
        <w:tabs>
          <w:tab w:leader="none" w:pos="304" w:val="left"/>
        </w:tabs>
        <w:numPr>
          <w:ilvl w:val="0"/>
          <w:numId w:val="44"/>
        </w:numPr>
        <w:rPr>
          <w:rFonts w:ascii="Arial" w:cs="Arial" w:eastAsia="Arial" w:hAnsi="Arial"/>
          <w:sz w:val="17"/>
          <w:szCs w:val="17"/>
          <w:color w:val="auto"/>
        </w:rPr>
      </w:pPr>
      <w:r>
        <w:rPr>
          <w:rFonts w:ascii="Arial" w:cs="Arial" w:eastAsia="Arial" w:hAnsi="Arial"/>
          <w:sz w:val="17"/>
          <w:szCs w:val="17"/>
          <w:color w:val="auto"/>
        </w:rPr>
        <w:t>Stage 3: Financial assets with evidence of impairment on the reporting date, a reserve will be recognized for losses equivalent to the expected credit losses during the entire life of the asset. The interest income will be recognized based on the carrying amount of the asset, net of the loss reserve.</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7"/>
          <w:szCs w:val="17"/>
          <w:color w:val="auto"/>
        </w:rPr>
        <w:t>Measurement of the expected loss -</w:t>
      </w:r>
    </w:p>
    <w:p>
      <w:pPr>
        <w:spacing w:after="0" w:line="193"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The measurement of the expected credit loss is mainly based on the product of probability of default (PD), loss given default (LGD), and exposure at default (EAD), discounted at the reporting date and considering the expected macroeconomic effects and all in accordance with the new regulation.</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details of these statistical parameters are the following:</w:t>
      </w:r>
    </w:p>
    <w:p>
      <w:pPr>
        <w:spacing w:after="0" w:line="193" w:lineRule="exact"/>
        <w:rPr>
          <w:sz w:val="20"/>
          <w:szCs w:val="20"/>
          <w:color w:val="auto"/>
        </w:rPr>
      </w:pPr>
    </w:p>
    <w:p>
      <w:pPr>
        <w:ind w:left="304" w:right="440" w:hanging="304"/>
        <w:spacing w:after="0" w:line="254" w:lineRule="auto"/>
        <w:tabs>
          <w:tab w:leader="none" w:pos="304" w:val="left"/>
        </w:tabs>
        <w:numPr>
          <w:ilvl w:val="0"/>
          <w:numId w:val="45"/>
        </w:numPr>
        <w:rPr>
          <w:rFonts w:ascii="Arial" w:cs="Arial" w:eastAsia="Arial" w:hAnsi="Arial"/>
          <w:sz w:val="17"/>
          <w:szCs w:val="17"/>
          <w:color w:val="auto"/>
        </w:rPr>
      </w:pPr>
      <w:r>
        <w:rPr>
          <w:rFonts w:ascii="Arial" w:cs="Arial" w:eastAsia="Arial" w:hAnsi="Arial"/>
          <w:sz w:val="17"/>
          <w:szCs w:val="17"/>
          <w:color w:val="auto"/>
        </w:rPr>
        <w:t>PD: is an estimate of the probability of default in a determined time horizon. A default can only occur at a determined moment during the remaining estimated life, if the provision has not been previously derecognized and it is still in the loan portfolio.</w:t>
      </w:r>
    </w:p>
    <w:p>
      <w:pPr>
        <w:spacing w:after="0" w:line="169" w:lineRule="exact"/>
        <w:rPr>
          <w:rFonts w:ascii="Arial" w:cs="Arial" w:eastAsia="Arial" w:hAnsi="Arial"/>
          <w:sz w:val="17"/>
          <w:szCs w:val="17"/>
          <w:color w:val="auto"/>
        </w:rPr>
      </w:pPr>
    </w:p>
    <w:p>
      <w:pPr>
        <w:ind w:left="304" w:right="60" w:hanging="304"/>
        <w:spacing w:after="0" w:line="246" w:lineRule="auto"/>
        <w:tabs>
          <w:tab w:leader="none" w:pos="304" w:val="left"/>
        </w:tabs>
        <w:numPr>
          <w:ilvl w:val="0"/>
          <w:numId w:val="45"/>
        </w:numPr>
        <w:rPr>
          <w:rFonts w:ascii="Arial" w:cs="Arial" w:eastAsia="Arial" w:hAnsi="Arial"/>
          <w:sz w:val="17"/>
          <w:szCs w:val="17"/>
          <w:color w:val="auto"/>
        </w:rPr>
      </w:pPr>
      <w:r>
        <w:rPr>
          <w:rFonts w:ascii="Arial" w:cs="Arial" w:eastAsia="Arial" w:hAnsi="Arial"/>
          <w:sz w:val="17"/>
          <w:szCs w:val="17"/>
          <w:color w:val="auto"/>
        </w:rPr>
        <w:t>LGD: is an estimate of the loss produced in the case a predetermined value is produced at a given time. It is based on the difference between the contractual cash flows owed and those that the lender would expect to receive, even after the liquidation of any guarantee. Generally, it is expressed as a percentage of the EAD.</w:t>
      </w:r>
    </w:p>
    <w:p>
      <w:pPr>
        <w:spacing w:after="0" w:line="175" w:lineRule="exact"/>
        <w:rPr>
          <w:rFonts w:ascii="Arial" w:cs="Arial" w:eastAsia="Arial" w:hAnsi="Arial"/>
          <w:sz w:val="17"/>
          <w:szCs w:val="17"/>
          <w:color w:val="auto"/>
        </w:rPr>
      </w:pPr>
    </w:p>
    <w:p>
      <w:pPr>
        <w:jc w:val="both"/>
        <w:ind w:left="304" w:right="440" w:hanging="304"/>
        <w:spacing w:after="0" w:line="246" w:lineRule="auto"/>
        <w:tabs>
          <w:tab w:leader="none" w:pos="304"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EAD: is an estimate of the exposure on a future default date, which considers the changes expected in the exposure after the reporting date, including the reimbursements of principal and interest, whether programmed by contract or otherwise, and the interest accrued due to default payments.</w:t>
      </w:r>
    </w:p>
    <w:p>
      <w:pPr>
        <w:spacing w:after="0" w:line="176" w:lineRule="exact"/>
        <w:rPr>
          <w:sz w:val="20"/>
          <w:szCs w:val="20"/>
          <w:color w:val="auto"/>
        </w:rPr>
      </w:pPr>
    </w:p>
    <w:p>
      <w:pPr>
        <w:jc w:val="both"/>
        <w:ind w:left="4"/>
        <w:spacing w:after="0" w:line="243" w:lineRule="auto"/>
        <w:rPr>
          <w:sz w:val="20"/>
          <w:szCs w:val="20"/>
          <w:color w:val="auto"/>
        </w:rPr>
      </w:pPr>
      <w:r>
        <w:rPr>
          <w:rFonts w:ascii="Arial" w:cs="Arial" w:eastAsia="Arial" w:hAnsi="Arial"/>
          <w:sz w:val="17"/>
          <w:szCs w:val="17"/>
          <w:color w:val="auto"/>
        </w:rPr>
        <w:t>The fundamental difference between the credit loss considered as Stage 1 and Stage 2 is the PD horizon. The estimates of Stage 1 use a 12-month horizon, while those situated in Stage 2 use an expected loss calculated with the remaining term of the asset and consider the effect of the significant increase in credit risk. Finally, Stage 3 will estimate the expected loss based on the best estimate (“ELBE”), according to the situation of the collection process of each asset.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color w:val="auto"/>
        </w:rPr>
        <w:t>Changes from one stage to another –</w:t>
      </w:r>
    </w:p>
    <w:p>
      <w:pPr>
        <w:spacing w:after="0" w:line="193"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The classification of an instrument as stage 1 or stage 2 depends on the concept of “significant increase in credit risk” on the reporting date compared with the origination date; in this sense, the definition used considers the following criteria:</w:t>
      </w:r>
    </w:p>
    <w:p>
      <w:pPr>
        <w:spacing w:after="0" w:line="169" w:lineRule="exact"/>
        <w:rPr>
          <w:sz w:val="20"/>
          <w:szCs w:val="20"/>
          <w:color w:val="auto"/>
        </w:rPr>
      </w:pPr>
    </w:p>
    <w:p>
      <w:pPr>
        <w:ind w:left="304" w:hanging="304"/>
        <w:spacing w:after="0"/>
        <w:tabs>
          <w:tab w:leader="none" w:pos="3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account is classified in stage 2 if it has more than 30 days in arrears.</w:t>
      </w:r>
    </w:p>
    <w:p>
      <w:pPr>
        <w:spacing w:after="0" w:line="193" w:lineRule="exact"/>
        <w:rPr>
          <w:rFonts w:ascii="Arial" w:cs="Arial" w:eastAsia="Arial" w:hAnsi="Arial"/>
          <w:sz w:val="17"/>
          <w:szCs w:val="17"/>
          <w:color w:val="auto"/>
        </w:rPr>
      </w:pPr>
    </w:p>
    <w:p>
      <w:pPr>
        <w:ind w:left="304" w:right="220" w:hanging="304"/>
        <w:spacing w:after="0" w:line="254" w:lineRule="auto"/>
        <w:tabs>
          <w:tab w:leader="none" w:pos="3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Thresholds for a significant increase in risk have been established based on absolute and relative thresholds that depend on the level of risk at which the instrument originated. The thresholds differ for each of the portfolios considered.</w:t>
      </w:r>
    </w:p>
    <w:p>
      <w:pPr>
        <w:spacing w:after="0" w:line="169" w:lineRule="exact"/>
        <w:rPr>
          <w:rFonts w:ascii="Arial" w:cs="Arial" w:eastAsia="Arial" w:hAnsi="Arial"/>
          <w:sz w:val="17"/>
          <w:szCs w:val="17"/>
          <w:color w:val="auto"/>
        </w:rPr>
      </w:pPr>
    </w:p>
    <w:p>
      <w:pPr>
        <w:ind w:left="304" w:right="60" w:hanging="304"/>
        <w:spacing w:after="0" w:line="254" w:lineRule="auto"/>
        <w:tabs>
          <w:tab w:leader="none" w:pos="3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follow-up systems, alerts and monitoring of risk portfolios are integrated, as established by the current risk policy in Wholesale and Retail Banking.</w:t>
      </w:r>
    </w:p>
    <w:p>
      <w:pPr>
        <w:spacing w:after="0" w:line="169"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Additionally, all the accounts that are classified as default on the reporting date are considered as stage 3. Assesments of significant increase in risk since initial recognition and of credit impairment is performed independently at each reporting date. Assets can move in both directions, from one stage to another. See more detail in Note 34.1(c).</w:t>
      </w:r>
    </w:p>
    <w:p>
      <w:pPr>
        <w:spacing w:after="0" w:line="150" w:lineRule="exact"/>
        <w:rPr>
          <w:sz w:val="20"/>
          <w:szCs w:val="20"/>
          <w:color w:val="auto"/>
        </w:rPr>
      </w:pPr>
    </w:p>
    <w:p>
      <w:pPr>
        <w:ind w:left="4484"/>
        <w:spacing w:after="0"/>
        <w:rPr>
          <w:sz w:val="20"/>
          <w:szCs w:val="20"/>
          <w:color w:val="auto"/>
        </w:rPr>
      </w:pPr>
      <w:r>
        <w:rPr>
          <w:rFonts w:ascii="Arial" w:cs="Arial" w:eastAsia="Arial" w:hAnsi="Arial"/>
          <w:sz w:val="17"/>
          <w:szCs w:val="17"/>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45" w:name="page46"/>
    <w:bookmarkEnd w:id="45"/>
    <w:p>
      <w:pPr>
        <w:ind w:left="315"/>
        <w:spacing w:after="0"/>
        <w:rPr>
          <w:sz w:val="20"/>
          <w:szCs w:val="20"/>
          <w:color w:val="auto"/>
        </w:rPr>
      </w:pPr>
      <w:r>
        <w:rPr>
          <w:rFonts w:ascii="Arial" w:cs="Arial" w:eastAsia="Arial" w:hAnsi="Arial"/>
          <w:sz w:val="17"/>
          <w:szCs w:val="17"/>
          <w:color w:val="auto"/>
        </w:rPr>
        <w:t>Prospective information -</w:t>
      </w:r>
    </w:p>
    <w:p>
      <w:pPr>
        <w:spacing w:after="0" w:line="192" w:lineRule="exact"/>
        <w:rPr>
          <w:sz w:val="20"/>
          <w:szCs w:val="20"/>
          <w:color w:val="auto"/>
        </w:rPr>
      </w:pPr>
    </w:p>
    <w:p>
      <w:pPr>
        <w:jc w:val="both"/>
        <w:ind w:left="315"/>
        <w:spacing w:after="0" w:line="241" w:lineRule="auto"/>
        <w:rPr>
          <w:sz w:val="20"/>
          <w:szCs w:val="20"/>
          <w:color w:val="auto"/>
        </w:rPr>
      </w:pPr>
      <w:r>
        <w:rPr>
          <w:rFonts w:ascii="Arial" w:cs="Arial" w:eastAsia="Arial" w:hAnsi="Arial"/>
          <w:sz w:val="17"/>
          <w:szCs w:val="17"/>
          <w:color w:val="auto"/>
        </w:rPr>
        <w:t>The measurement of expected credit losses for each phase and the evaluation of significant increases in credit risk should consider information on past events and current conditions, as well as projections of future events and economic conditions. For the estimation of the risk parameters (PD, LGD, EAD), used in the calculation of the provision in phases 1 and 2, the significance of the macroeconomic variables (or their variations) that have the greatest influence on each portfolio was tested, which give a better prospective and systemic vision to the estimation, based on econometric techniques. These projections have a period of 3 years and, additionally, a long-term projection.</w:t>
      </w:r>
    </w:p>
    <w:p>
      <w:pPr>
        <w:spacing w:after="0" w:line="182" w:lineRule="exact"/>
        <w:rPr>
          <w:sz w:val="20"/>
          <w:szCs w:val="20"/>
          <w:color w:val="auto"/>
        </w:rPr>
      </w:pPr>
    </w:p>
    <w:p>
      <w:pPr>
        <w:jc w:val="both"/>
        <w:ind w:left="315"/>
        <w:spacing w:after="0" w:line="242" w:lineRule="auto"/>
        <w:rPr>
          <w:sz w:val="20"/>
          <w:szCs w:val="20"/>
          <w:color w:val="auto"/>
        </w:rPr>
      </w:pPr>
      <w:r>
        <w:rPr>
          <w:rFonts w:ascii="Arial" w:cs="Arial" w:eastAsia="Arial" w:hAnsi="Arial"/>
          <w:sz w:val="17"/>
          <w:szCs w:val="17"/>
          <w:color w:val="auto"/>
        </w:rPr>
        <w:t>The estimate of the expected loss is a weighted estimate that considers three future macroeconomic scenarios. The base, optimistic and pessimistic scenarios are based on macroeconomic projections provided by the internal economic studies team and approved by Senior Management; these projections are made for the main countries where Credicorp operates. This same team also provides the probability of occurrence of each scenario. It should be noted that the design of the scenarios is reviewed quarterly and may be more frequent if the environmental conditions so require.</w:t>
      </w:r>
    </w:p>
    <w:p>
      <w:pPr>
        <w:spacing w:after="0" w:line="180" w:lineRule="exact"/>
        <w:rPr>
          <w:sz w:val="20"/>
          <w:szCs w:val="20"/>
          <w:color w:val="auto"/>
        </w:rPr>
      </w:pPr>
    </w:p>
    <w:p>
      <w:pPr>
        <w:ind w:left="315"/>
        <w:spacing w:after="0"/>
        <w:rPr>
          <w:sz w:val="20"/>
          <w:szCs w:val="20"/>
          <w:color w:val="auto"/>
        </w:rPr>
      </w:pPr>
      <w:r>
        <w:rPr>
          <w:rFonts w:ascii="Arial" w:cs="Arial" w:eastAsia="Arial" w:hAnsi="Arial"/>
          <w:sz w:val="17"/>
          <w:szCs w:val="17"/>
          <w:color w:val="auto"/>
        </w:rPr>
        <w:t>Macroeconomic factors -</w:t>
      </w:r>
    </w:p>
    <w:p>
      <w:pPr>
        <w:spacing w:after="0" w:line="193" w:lineRule="exact"/>
        <w:rPr>
          <w:sz w:val="20"/>
          <w:szCs w:val="20"/>
          <w:color w:val="auto"/>
        </w:rPr>
      </w:pPr>
    </w:p>
    <w:p>
      <w:pPr>
        <w:jc w:val="both"/>
        <w:ind w:left="315"/>
        <w:spacing w:after="0" w:line="242" w:lineRule="auto"/>
        <w:rPr>
          <w:sz w:val="20"/>
          <w:szCs w:val="20"/>
          <w:color w:val="auto"/>
        </w:rPr>
      </w:pPr>
      <w:r>
        <w:rPr>
          <w:rFonts w:ascii="Arial" w:cs="Arial" w:eastAsia="Arial" w:hAnsi="Arial"/>
          <w:sz w:val="17"/>
          <w:szCs w:val="17"/>
          <w:color w:val="auto"/>
        </w:rPr>
        <w:t>In its models, the Group bases itself on a wide variety of prospective information such as economic inputs, including: the growth of the gross domestic product (GDP), unemployment rates, the base rates of the central bank, among others. It is possible that the inputs and models used to calculate the expected credit losses do not always capture all the market characteristics on the date of the financial statements. To reflect this, qualitative adjustments, or overlays such as temporary adjustments can be carried out using the opinion of experts.</w:t>
      </w:r>
    </w:p>
    <w:p>
      <w:pPr>
        <w:spacing w:after="0" w:line="180" w:lineRule="exact"/>
        <w:rPr>
          <w:sz w:val="20"/>
          <w:szCs w:val="20"/>
          <w:color w:val="auto"/>
        </w:rPr>
      </w:pPr>
    </w:p>
    <w:p>
      <w:pPr>
        <w:ind w:left="315"/>
        <w:spacing w:after="0"/>
        <w:rPr>
          <w:sz w:val="20"/>
          <w:szCs w:val="20"/>
          <w:color w:val="auto"/>
        </w:rPr>
      </w:pPr>
      <w:r>
        <w:rPr>
          <w:rFonts w:ascii="Arial" w:cs="Arial" w:eastAsia="Arial" w:hAnsi="Arial"/>
          <w:sz w:val="17"/>
          <w:szCs w:val="17"/>
          <w:color w:val="auto"/>
        </w:rPr>
        <w:t>Expected life -</w:t>
      </w:r>
    </w:p>
    <w:p>
      <w:pPr>
        <w:spacing w:after="0" w:line="193"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For the instruments in Stage 2 or 3, the reserves for losses will cover the lifetime expected credit losses of the instrument. For the majority of instruments, the expected life is limited to the remaining term of the product, adjusted by expected advance payments. In the case of revolving products, an analysis was carried out in order to determine the expected life period.</w:t>
      </w:r>
    </w:p>
    <w:p>
      <w:pPr>
        <w:spacing w:after="0" w:line="176" w:lineRule="exact"/>
        <w:rPr>
          <w:sz w:val="20"/>
          <w:szCs w:val="20"/>
          <w:color w:val="auto"/>
        </w:rPr>
      </w:pPr>
    </w:p>
    <w:p>
      <w:pPr>
        <w:ind w:left="315"/>
        <w:spacing w:after="0"/>
        <w:rPr>
          <w:sz w:val="20"/>
          <w:szCs w:val="20"/>
          <w:color w:val="auto"/>
        </w:rPr>
      </w:pPr>
      <w:r>
        <w:rPr>
          <w:rFonts w:ascii="Arial" w:cs="Arial" w:eastAsia="Arial" w:hAnsi="Arial"/>
          <w:sz w:val="17"/>
          <w:szCs w:val="17"/>
          <w:color w:val="auto"/>
        </w:rPr>
        <w:t>Presentation of provision for credit losses in the consolidated statement of financial position -</w:t>
      </w:r>
    </w:p>
    <w:p>
      <w:pPr>
        <w:spacing w:after="0" w:line="192" w:lineRule="exact"/>
        <w:rPr>
          <w:sz w:val="20"/>
          <w:szCs w:val="20"/>
          <w:color w:val="auto"/>
        </w:rPr>
      </w:pPr>
    </w:p>
    <w:p>
      <w:pPr>
        <w:ind w:left="615" w:hanging="304"/>
        <w:spacing w:after="0"/>
        <w:tabs>
          <w:tab w:leader="none" w:pos="615" w:val="left"/>
        </w:tabs>
        <w:numPr>
          <w:ilvl w:val="1"/>
          <w:numId w:val="47"/>
        </w:numPr>
        <w:rPr>
          <w:rFonts w:ascii="Arial" w:cs="Arial" w:eastAsia="Arial" w:hAnsi="Arial"/>
          <w:sz w:val="17"/>
          <w:szCs w:val="17"/>
          <w:color w:val="auto"/>
        </w:rPr>
      </w:pPr>
      <w:r>
        <w:rPr>
          <w:rFonts w:ascii="Arial" w:cs="Arial" w:eastAsia="Arial" w:hAnsi="Arial"/>
          <w:sz w:val="17"/>
          <w:szCs w:val="17"/>
          <w:color w:val="auto"/>
        </w:rPr>
        <w:t>Financial assets measured at amortized cost: as a deduction from the gross carrying amount of the financial assets.</w:t>
      </w:r>
    </w:p>
    <w:p>
      <w:pPr>
        <w:ind w:left="615" w:hanging="304"/>
        <w:spacing w:after="0" w:line="238" w:lineRule="auto"/>
        <w:tabs>
          <w:tab w:leader="none" w:pos="615"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Debt instruments measured at fair value through other comprehensive income: it does not recognize any provision in the statement of financial position because the carrying amount of these assets is their fair value; however, the expected credit loss is presented in other comprehensive income.</w:t>
      </w:r>
    </w:p>
    <w:p>
      <w:pPr>
        <w:spacing w:after="0" w:line="1" w:lineRule="exact"/>
        <w:rPr>
          <w:rFonts w:ascii="Arial" w:cs="Arial" w:eastAsia="Arial" w:hAnsi="Arial"/>
          <w:sz w:val="17"/>
          <w:szCs w:val="17"/>
          <w:color w:val="auto"/>
        </w:rPr>
      </w:pPr>
    </w:p>
    <w:p>
      <w:pPr>
        <w:ind w:left="615" w:hanging="304"/>
        <w:spacing w:after="0"/>
        <w:tabs>
          <w:tab w:leader="none" w:pos="615" w:val="left"/>
        </w:tabs>
        <w:numPr>
          <w:ilvl w:val="1"/>
          <w:numId w:val="47"/>
        </w:numPr>
        <w:rPr>
          <w:rFonts w:ascii="Arial" w:cs="Arial" w:eastAsia="Arial" w:hAnsi="Arial"/>
          <w:sz w:val="17"/>
          <w:szCs w:val="17"/>
          <w:color w:val="auto"/>
        </w:rPr>
      </w:pPr>
      <w:r>
        <w:rPr>
          <w:rFonts w:ascii="Arial" w:cs="Arial" w:eastAsia="Arial" w:hAnsi="Arial"/>
          <w:sz w:val="17"/>
          <w:szCs w:val="17"/>
          <w:color w:val="auto"/>
        </w:rPr>
        <w:t>Indirect loans: the credit loss provision is presented in the item “Other liabilities” of the statement of financial position.</w:t>
      </w:r>
    </w:p>
    <w:p>
      <w:pPr>
        <w:spacing w:after="0" w:line="193" w:lineRule="exact"/>
        <w:rPr>
          <w:rFonts w:ascii="Arial" w:cs="Arial" w:eastAsia="Arial" w:hAnsi="Arial"/>
          <w:sz w:val="17"/>
          <w:szCs w:val="17"/>
          <w:color w:val="auto"/>
        </w:rPr>
      </w:pPr>
    </w:p>
    <w:p>
      <w:pPr>
        <w:ind w:left="315" w:hanging="315"/>
        <w:spacing w:after="0"/>
        <w:tabs>
          <w:tab w:leader="none" w:pos="3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Leases -</w:t>
      </w:r>
    </w:p>
    <w:p>
      <w:pPr>
        <w:spacing w:after="0" w:line="193" w:lineRule="exact"/>
        <w:rPr>
          <w:rFonts w:ascii="Arial" w:cs="Arial" w:eastAsia="Arial" w:hAnsi="Arial"/>
          <w:sz w:val="17"/>
          <w:szCs w:val="17"/>
          <w:color w:val="auto"/>
        </w:rPr>
      </w:pPr>
    </w:p>
    <w:p>
      <w:pPr>
        <w:jc w:val="both"/>
        <w:ind w:left="315"/>
        <w:spacing w:after="0" w:line="243" w:lineRule="auto"/>
        <w:rPr>
          <w:rFonts w:ascii="Arial" w:cs="Arial" w:eastAsia="Arial" w:hAnsi="Arial"/>
          <w:sz w:val="17"/>
          <w:szCs w:val="17"/>
          <w:color w:val="auto"/>
        </w:rPr>
      </w:pPr>
      <w:r>
        <w:rPr>
          <w:rFonts w:ascii="Arial" w:cs="Arial" w:eastAsia="Arial" w:hAnsi="Arial"/>
          <w:sz w:val="17"/>
          <w:szCs w:val="17"/>
          <w:color w:val="auto"/>
        </w:rPr>
        <w:t>As of December 31, 2022 and 2021 the Group mainly maintains mainly leased premises, used as offices and agencies, and servers and technological platforms, which were registered in accordance with the provisions of IFRS 16 “Leases”. This standard considers that a contract is, or contains, a lease if the contract transfers the right to control the use of an identified asset for a period of time in exchange for a consideration.</w:t>
      </w:r>
    </w:p>
    <w:p>
      <w:pPr>
        <w:spacing w:after="0" w:line="153" w:lineRule="exact"/>
        <w:rPr>
          <w:rFonts w:ascii="Arial" w:cs="Arial" w:eastAsia="Arial" w:hAnsi="Arial"/>
          <w:sz w:val="17"/>
          <w:szCs w:val="17"/>
          <w:color w:val="auto"/>
        </w:rPr>
      </w:pPr>
    </w:p>
    <w:p>
      <w:pPr>
        <w:ind w:left="4895" w:hanging="97"/>
        <w:spacing w:after="0"/>
        <w:tabs>
          <w:tab w:leader="none" w:pos="4895" w:val="left"/>
        </w:tabs>
        <w:numPr>
          <w:ilvl w:val="2"/>
          <w:numId w:val="47"/>
        </w:numPr>
        <w:rPr>
          <w:rFonts w:ascii="Arial" w:cs="Arial" w:eastAsia="Arial" w:hAnsi="Arial"/>
          <w:sz w:val="17"/>
          <w:szCs w:val="17"/>
          <w:color w:val="auto"/>
        </w:rPr>
      </w:pPr>
      <w:r>
        <w:rPr>
          <w:rFonts w:ascii="Arial" w:cs="Arial" w:eastAsia="Arial" w:hAnsi="Arial"/>
          <w:sz w:val="17"/>
          <w:szCs w:val="17"/>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46" w:name="page47"/>
    <w:bookmarkEnd w:id="46"/>
    <w:p>
      <w:pPr>
        <w:ind w:left="4"/>
        <w:spacing w:after="0"/>
        <w:rPr>
          <w:sz w:val="20"/>
          <w:szCs w:val="20"/>
          <w:color w:val="auto"/>
        </w:rPr>
      </w:pPr>
      <w:r>
        <w:rPr>
          <w:rFonts w:ascii="Arial" w:cs="Arial" w:eastAsia="Arial" w:hAnsi="Arial"/>
          <w:sz w:val="17"/>
          <w:szCs w:val="17"/>
          <w:color w:val="auto"/>
        </w:rPr>
        <w:t>Initial Recognition -</w:t>
      </w:r>
    </w:p>
    <w:p>
      <w:pPr>
        <w:spacing w:after="0" w:line="192" w:lineRule="exact"/>
        <w:rPr>
          <w:sz w:val="20"/>
          <w:szCs w:val="20"/>
          <w:color w:val="auto"/>
        </w:rPr>
      </w:pPr>
    </w:p>
    <w:p>
      <w:pPr>
        <w:ind w:left="4"/>
        <w:spacing w:after="0" w:line="254" w:lineRule="auto"/>
        <w:rPr>
          <w:sz w:val="20"/>
          <w:szCs w:val="20"/>
          <w:color w:val="auto"/>
        </w:rPr>
      </w:pPr>
      <w:r>
        <w:rPr>
          <w:rFonts w:ascii="Arial" w:cs="Arial" w:eastAsia="Arial" w:hAnsi="Arial"/>
          <w:sz w:val="17"/>
          <w:szCs w:val="17"/>
          <w:color w:val="auto"/>
        </w:rPr>
        <w:t>Leases are recorded in the consolidated statement of financial position as a right-of-use asset and a lease liability on the date the leased asset is available for use.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right-of-use assets are initially recognized at cost including the following:</w:t>
      </w:r>
    </w:p>
    <w:p>
      <w:pPr>
        <w:spacing w:after="0" w:line="192" w:lineRule="exact"/>
        <w:rPr>
          <w:sz w:val="20"/>
          <w:szCs w:val="20"/>
          <w:color w:val="auto"/>
        </w:rPr>
      </w:pPr>
    </w:p>
    <w:p>
      <w:pPr>
        <w:ind w:left="304" w:hanging="304"/>
        <w:spacing w:after="0"/>
        <w:tabs>
          <w:tab w:leader="none" w:pos="3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amount of the initial measurement of the lease liability.</w:t>
      </w:r>
    </w:p>
    <w:p>
      <w:pPr>
        <w:ind w:left="304" w:hanging="304"/>
        <w:spacing w:after="0" w:line="238" w:lineRule="auto"/>
        <w:tabs>
          <w:tab w:leader="none" w:pos="3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lease payment paid to the lessor before the start date or on the same date.</w:t>
      </w:r>
    </w:p>
    <w:p>
      <w:pPr>
        <w:ind w:left="304" w:hanging="304"/>
        <w:spacing w:after="0"/>
        <w:tabs>
          <w:tab w:leader="none" w:pos="3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Direct costs incurred and costs for dismantling or rehabilitation, if any.</w:t>
      </w:r>
    </w:p>
    <w:p>
      <w:pPr>
        <w:spacing w:after="0" w:line="193"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Lease liabilities include the present value of fixed payments and variable lease payments that are based on an index or rate. Lease payments that will be made under renewal options with reasonable certainty of being exercised are included in the measurement of the liability.</w:t>
      </w:r>
    </w:p>
    <w:p>
      <w:pPr>
        <w:spacing w:after="0" w:line="176" w:lineRule="exact"/>
        <w:rPr>
          <w:sz w:val="20"/>
          <w:szCs w:val="20"/>
          <w:color w:val="auto"/>
        </w:rPr>
      </w:pPr>
    </w:p>
    <w:p>
      <w:pPr>
        <w:jc w:val="both"/>
        <w:ind w:left="4"/>
        <w:spacing w:after="0" w:line="243" w:lineRule="auto"/>
        <w:rPr>
          <w:sz w:val="20"/>
          <w:szCs w:val="20"/>
          <w:color w:val="auto"/>
        </w:rPr>
      </w:pPr>
      <w:r>
        <w:rPr>
          <w:rFonts w:ascii="Arial" w:cs="Arial" w:eastAsia="Arial" w:hAnsi="Arial"/>
          <w:sz w:val="17"/>
          <w:szCs w:val="17"/>
          <w:color w:val="auto"/>
        </w:rPr>
        <w:t>Lease payments are discounted using the interest rate implicit in the lease, if that rate could be determined easily, or the incremental interest rate by loans of the lessee, which is the interest rate that the lessee would have to pay for borrowing for a term similar, the funds necessary to obtain an asset of similar value asset by the right-of-use in a similar economic environment with similar terms, guarantees and conditions.</w:t>
      </w:r>
    </w:p>
    <w:p>
      <w:pPr>
        <w:spacing w:after="0" w:line="180"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In determining the term of the lease, Management considers all the facts and circumstances that create an economic incentive to exercise the extension option, or not to exercise a termination option. Likewise, the estimation of the extension or termination options will be revalued only if an event or changes in the circumstances occur within the control of the entity that affects said estimate.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color w:val="auto"/>
        </w:rPr>
        <w:t>Subsequent recognition -</w:t>
      </w:r>
    </w:p>
    <w:p>
      <w:pPr>
        <w:spacing w:after="0" w:line="193"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The right-of-use asset is generally depreciated in a straight-line basis during the shortest period of the asset’s useful life and the lease term. If the Group is reasonably certain of exercising a purchase option, the right-of-use asset depreciates over the useful life of the underlying asset.</w:t>
      </w:r>
    </w:p>
    <w:p>
      <w:pPr>
        <w:spacing w:after="0" w:line="176"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The Group has chosen to measure the asset at cost less depreciation and accumulated impairment loss and adjusting any new measurement of the lease liability. Depreciation is calculated in a straight-line basis within the term of the lease.</w:t>
      </w:r>
    </w:p>
    <w:p>
      <w:pPr>
        <w:spacing w:after="0" w:line="169"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The liability will be recorded at its amortized cost, that is, it will be increased to reflect the accrued interest, recognized in the item “Interest, returns and similar expenses” in the consolidated statement of income, and the fees paid will be subtracted.</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7"/>
          <w:szCs w:val="17"/>
          <w:color w:val="auto"/>
        </w:rPr>
        <w:t>Likewise, the balance of the liability will be reviewed in the following cases:</w:t>
      </w:r>
    </w:p>
    <w:p>
      <w:pPr>
        <w:spacing w:after="0" w:line="192" w:lineRule="exact"/>
        <w:rPr>
          <w:sz w:val="20"/>
          <w:szCs w:val="20"/>
          <w:color w:val="auto"/>
        </w:rPr>
      </w:pPr>
    </w:p>
    <w:p>
      <w:pPr>
        <w:ind w:left="304" w:hanging="304"/>
        <w:spacing w:after="0"/>
        <w:tabs>
          <w:tab w:leader="none" w:pos="3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When there is a change in the expected amount to be paid under a residual value guarantee.</w:t>
      </w:r>
    </w:p>
    <w:p>
      <w:pPr>
        <w:ind w:left="304" w:hanging="304"/>
        <w:spacing w:after="0" w:line="238" w:lineRule="auto"/>
        <w:tabs>
          <w:tab w:leader="none" w:pos="3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When there is a change in future lease installments to reflect the variation in an index or interest rate.</w:t>
      </w:r>
    </w:p>
    <w:p>
      <w:pPr>
        <w:ind w:left="304" w:hanging="304"/>
        <w:spacing w:after="0" w:line="238" w:lineRule="auto"/>
        <w:tabs>
          <w:tab w:leader="none" w:pos="3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When there is a change in the terms of the lease.</w:t>
      </w:r>
    </w:p>
    <w:p>
      <w:pPr>
        <w:ind w:left="304" w:hanging="304"/>
        <w:spacing w:after="0"/>
        <w:tabs>
          <w:tab w:leader="none" w:pos="3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When there is a change in the evaluation of an option to purchase the underlying asset.</w:t>
      </w:r>
    </w:p>
    <w:p>
      <w:pPr>
        <w:spacing w:after="0" w:line="193" w:lineRule="exact"/>
        <w:rPr>
          <w:sz w:val="20"/>
          <w:szCs w:val="20"/>
          <w:color w:val="auto"/>
        </w:rPr>
      </w:pPr>
    </w:p>
    <w:p>
      <w:pPr>
        <w:ind w:left="4"/>
        <w:spacing w:after="0" w:line="254" w:lineRule="auto"/>
        <w:rPr>
          <w:sz w:val="20"/>
          <w:szCs w:val="20"/>
          <w:color w:val="auto"/>
        </w:rPr>
      </w:pPr>
      <w:r>
        <w:rPr>
          <w:rFonts w:ascii="Arial" w:cs="Arial" w:eastAsia="Arial" w:hAnsi="Arial"/>
          <w:sz w:val="17"/>
          <w:szCs w:val="17"/>
          <w:color w:val="auto"/>
        </w:rPr>
        <w:t>The changes will be recorded as an adjustment of the lease liability and the right of use, unless the book value of the right of use has been reduced to zero, in which case it must be recorded against the consolidated statement of income.</w:t>
      </w:r>
    </w:p>
    <w:p>
      <w:pPr>
        <w:spacing w:after="0" w:line="169" w:lineRule="exact"/>
        <w:rPr>
          <w:sz w:val="20"/>
          <w:szCs w:val="20"/>
          <w:color w:val="auto"/>
        </w:rPr>
      </w:pPr>
    </w:p>
    <w:p>
      <w:pPr>
        <w:ind w:left="4"/>
        <w:spacing w:after="0" w:line="254" w:lineRule="auto"/>
        <w:rPr>
          <w:sz w:val="20"/>
          <w:szCs w:val="20"/>
          <w:color w:val="auto"/>
        </w:rPr>
      </w:pPr>
      <w:r>
        <w:rPr>
          <w:rFonts w:ascii="Arial" w:cs="Arial" w:eastAsia="Arial" w:hAnsi="Arial"/>
          <w:sz w:val="17"/>
          <w:szCs w:val="17"/>
          <w:color w:val="auto"/>
        </w:rPr>
        <w:t>Short-term leases with little significant value are recognized in a straight-line basis as an expense in the “Administrative expenses” in the consolidated statement of income.</w:t>
      </w:r>
    </w:p>
    <w:p>
      <w:pPr>
        <w:spacing w:after="0" w:line="143" w:lineRule="exact"/>
        <w:rPr>
          <w:sz w:val="20"/>
          <w:szCs w:val="20"/>
          <w:color w:val="auto"/>
        </w:rPr>
      </w:pPr>
    </w:p>
    <w:p>
      <w:pPr>
        <w:ind w:left="4484"/>
        <w:spacing w:after="0"/>
        <w:rPr>
          <w:sz w:val="20"/>
          <w:szCs w:val="20"/>
          <w:color w:val="auto"/>
        </w:rPr>
      </w:pPr>
      <w:r>
        <w:rPr>
          <w:rFonts w:ascii="Arial" w:cs="Arial" w:eastAsia="Arial" w:hAnsi="Arial"/>
          <w:sz w:val="17"/>
          <w:szCs w:val="17"/>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47" w:name="page48"/>
    <w:bookmarkEnd w:id="47"/>
    <w:p>
      <w:pPr>
        <w:ind w:left="315"/>
        <w:spacing w:after="0" w:line="253" w:lineRule="auto"/>
        <w:rPr>
          <w:sz w:val="20"/>
          <w:szCs w:val="20"/>
          <w:color w:val="auto"/>
        </w:rPr>
      </w:pPr>
      <w:r>
        <w:rPr>
          <w:rFonts w:ascii="Arial" w:cs="Arial" w:eastAsia="Arial" w:hAnsi="Arial"/>
          <w:sz w:val="17"/>
          <w:szCs w:val="17"/>
          <w:color w:val="auto"/>
        </w:rPr>
        <w:t>The accounting treatment of lessors continues with a similar model to that of IAS 17; In that sense, lessors continue to perform a classification test to distinguish between financial and operating leases.</w:t>
      </w:r>
    </w:p>
    <w:p>
      <w:pPr>
        <w:spacing w:after="0" w:line="170" w:lineRule="exact"/>
        <w:rPr>
          <w:sz w:val="20"/>
          <w:szCs w:val="20"/>
          <w:color w:val="auto"/>
        </w:rPr>
      </w:pPr>
    </w:p>
    <w:p>
      <w:pPr>
        <w:ind w:left="315" w:hanging="315"/>
        <w:spacing w:after="0"/>
        <w:tabs>
          <w:tab w:leader="none" w:pos="3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Property, furniture and equipment -</w:t>
      </w:r>
    </w:p>
    <w:p>
      <w:pPr>
        <w:spacing w:after="0" w:line="193" w:lineRule="exact"/>
        <w:rPr>
          <w:rFonts w:ascii="Arial" w:cs="Arial" w:eastAsia="Arial" w:hAnsi="Arial"/>
          <w:sz w:val="17"/>
          <w:szCs w:val="17"/>
          <w:color w:val="auto"/>
        </w:rPr>
      </w:pPr>
    </w:p>
    <w:p>
      <w:pPr>
        <w:jc w:val="both"/>
        <w:ind w:left="315"/>
        <w:spacing w:after="0" w:line="242" w:lineRule="auto"/>
        <w:rPr>
          <w:rFonts w:ascii="Arial" w:cs="Arial" w:eastAsia="Arial" w:hAnsi="Arial"/>
          <w:sz w:val="17"/>
          <w:szCs w:val="17"/>
          <w:color w:val="auto"/>
        </w:rPr>
      </w:pPr>
      <w:r>
        <w:rPr>
          <w:rFonts w:ascii="Arial" w:cs="Arial" w:eastAsia="Arial" w:hAnsi="Arial"/>
          <w:sz w:val="17"/>
          <w:szCs w:val="17"/>
          <w:color w:val="auto"/>
        </w:rPr>
        <w:t>Property, furniture and equipment are recorded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statement of income; significant renewals and improvements are capitalized when it is probable that future economic benefits, more than the originally assessed standard of performance, will flow from the use of the acquired property, furniture or equipment.</w:t>
      </w:r>
    </w:p>
    <w:p>
      <w:pPr>
        <w:spacing w:after="0" w:line="180"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Land is not depreciated. Depreciation is calculated using the straight-line method over the estimated useful lives, which are as follows:</w:t>
      </w:r>
    </w:p>
    <w:p>
      <w:pPr>
        <w:spacing w:after="0" w:line="193" w:lineRule="exact"/>
        <w:rPr>
          <w:sz w:val="20"/>
          <w:szCs w:val="20"/>
          <w:color w:val="auto"/>
        </w:rPr>
      </w:pPr>
    </w:p>
    <w:tbl>
      <w:tblPr>
        <w:tblLayout w:type="fixed"/>
        <w:tblInd w:w="315" w:type="dxa"/>
        <w:tblCellMar>
          <w:top w:w="0" w:type="dxa"/>
          <w:left w:w="0" w:type="dxa"/>
          <w:bottom w:w="0" w:type="dxa"/>
          <w:right w:w="0" w:type="dxa"/>
        </w:tblCellMar>
      </w:tblPr>
      <w:tr>
        <w:trPr>
          <w:trHeight w:val="195"/>
        </w:trPr>
        <w:tc>
          <w:tcPr>
            <w:tcW w:w="6740" w:type="dxa"/>
            <w:vAlign w:val="bottom"/>
            <w:vMerge w:val="restart"/>
          </w:tcPr>
          <w:p>
            <w:pPr>
              <w:spacing w:after="0"/>
              <w:rPr>
                <w:sz w:val="20"/>
                <w:szCs w:val="20"/>
                <w:color w:val="auto"/>
              </w:rPr>
            </w:pPr>
            <w:r>
              <w:rPr>
                <w:rFonts w:ascii="Arial" w:cs="Arial" w:eastAsia="Arial" w:hAnsi="Arial"/>
                <w:sz w:val="17"/>
                <w:szCs w:val="17"/>
                <w:color w:val="auto"/>
              </w:rPr>
              <w:t>Buildings and other construction</w:t>
            </w:r>
          </w:p>
        </w:tc>
        <w:tc>
          <w:tcPr>
            <w:tcW w:w="1140" w:type="dxa"/>
            <w:vAlign w:val="bottom"/>
            <w:gridSpan w:val="2"/>
          </w:tcPr>
          <w:p>
            <w:pPr>
              <w:spacing w:after="0"/>
              <w:rPr>
                <w:sz w:val="20"/>
                <w:szCs w:val="20"/>
                <w:color w:val="auto"/>
              </w:rPr>
            </w:pPr>
            <w:r>
              <w:rPr>
                <w:rFonts w:ascii="Arial" w:cs="Arial" w:eastAsia="Arial" w:hAnsi="Arial"/>
                <w:sz w:val="17"/>
                <w:szCs w:val="17"/>
                <w:color w:val="auto"/>
              </w:rPr>
              <w:t>Years</w:t>
            </w:r>
          </w:p>
        </w:tc>
        <w:tc>
          <w:tcPr>
            <w:tcW w:w="0" w:type="dxa"/>
            <w:vAlign w:val="bottom"/>
          </w:tcPr>
          <w:p>
            <w:pPr>
              <w:spacing w:after="0"/>
              <w:rPr>
                <w:sz w:val="1"/>
                <w:szCs w:val="1"/>
                <w:color w:val="auto"/>
              </w:rPr>
            </w:pPr>
          </w:p>
        </w:tc>
      </w:tr>
      <w:tr>
        <w:trPr>
          <w:trHeight w:val="186"/>
        </w:trPr>
        <w:tc>
          <w:tcPr>
            <w:tcW w:w="6740" w:type="dxa"/>
            <w:vAlign w:val="bottom"/>
            <w:vMerge w:val="continue"/>
          </w:tcPr>
          <w:p>
            <w:pPr>
              <w:spacing w:after="0"/>
              <w:rPr>
                <w:sz w:val="16"/>
                <w:szCs w:val="16"/>
                <w:color w:val="auto"/>
              </w:rPr>
            </w:pPr>
          </w:p>
        </w:tc>
        <w:tc>
          <w:tcPr>
            <w:tcW w:w="112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740" w:type="dxa"/>
            <w:vAlign w:val="bottom"/>
          </w:tcPr>
          <w:p>
            <w:pPr>
              <w:spacing w:after="0" w:line="194" w:lineRule="exact"/>
              <w:rPr>
                <w:sz w:val="20"/>
                <w:szCs w:val="20"/>
                <w:color w:val="auto"/>
              </w:rPr>
            </w:pPr>
            <w:r>
              <w:rPr>
                <w:rFonts w:ascii="Arial" w:cs="Arial" w:eastAsia="Arial" w:hAnsi="Arial"/>
                <w:sz w:val="17"/>
                <w:szCs w:val="17"/>
                <w:color w:val="auto"/>
              </w:rPr>
              <w:t>Facilities</w:t>
            </w:r>
          </w:p>
        </w:tc>
        <w:tc>
          <w:tcPr>
            <w:tcW w:w="11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4"/>
        </w:trPr>
        <w:tc>
          <w:tcPr>
            <w:tcW w:w="6740" w:type="dxa"/>
            <w:vAlign w:val="bottom"/>
          </w:tcPr>
          <w:p>
            <w:pPr>
              <w:spacing w:after="0" w:line="194" w:lineRule="exact"/>
              <w:rPr>
                <w:sz w:val="20"/>
                <w:szCs w:val="20"/>
                <w:color w:val="auto"/>
              </w:rPr>
            </w:pPr>
            <w:r>
              <w:rPr>
                <w:rFonts w:ascii="Arial" w:cs="Arial" w:eastAsia="Arial" w:hAnsi="Arial"/>
                <w:sz w:val="17"/>
                <w:szCs w:val="17"/>
                <w:color w:val="auto"/>
              </w:rPr>
              <w:t>Furniture and fixtures</w:t>
            </w:r>
          </w:p>
        </w:tc>
        <w:tc>
          <w:tcPr>
            <w:tcW w:w="11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4"/>
        </w:trPr>
        <w:tc>
          <w:tcPr>
            <w:tcW w:w="6740" w:type="dxa"/>
            <w:vAlign w:val="bottom"/>
          </w:tcPr>
          <w:p>
            <w:pPr>
              <w:spacing w:after="0" w:line="194" w:lineRule="exact"/>
              <w:rPr>
                <w:sz w:val="20"/>
                <w:szCs w:val="20"/>
                <w:color w:val="auto"/>
              </w:rPr>
            </w:pPr>
            <w:r>
              <w:rPr>
                <w:rFonts w:ascii="Arial" w:cs="Arial" w:eastAsia="Arial" w:hAnsi="Arial"/>
                <w:sz w:val="17"/>
                <w:szCs w:val="17"/>
                <w:color w:val="auto"/>
              </w:rPr>
              <w:t>Vehicles and equipment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740" w:type="dxa"/>
            <w:vAlign w:val="bottom"/>
          </w:tcPr>
          <w:p>
            <w:pPr>
              <w:spacing w:after="0"/>
              <w:rPr>
                <w:sz w:val="20"/>
                <w:szCs w:val="20"/>
                <w:color w:val="auto"/>
              </w:rPr>
            </w:pPr>
            <w:r>
              <w:rPr>
                <w:rFonts w:ascii="Arial" w:cs="Arial" w:eastAsia="Arial" w:hAnsi="Arial"/>
                <w:sz w:val="17"/>
                <w:szCs w:val="17"/>
                <w:color w:val="auto"/>
              </w:rPr>
              <w:t>Computer hardware</w:t>
            </w: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15"/>
        <w:spacing w:after="0" w:line="244" w:lineRule="auto"/>
        <w:rPr>
          <w:sz w:val="20"/>
          <w:szCs w:val="20"/>
          <w:color w:val="auto"/>
        </w:rPr>
      </w:pPr>
      <w:r>
        <w:rPr>
          <w:rFonts w:ascii="Arial" w:cs="Arial" w:eastAsia="Arial" w:hAnsi="Arial"/>
          <w:sz w:val="17"/>
          <w:szCs w:val="17"/>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income.</w:t>
      </w:r>
    </w:p>
    <w:p>
      <w:pPr>
        <w:spacing w:after="0" w:line="375"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Assets’ residual value and the selected useful life are periodically reviewed to ensure that they are consistent with current economic benefits and life expectancy.</w:t>
      </w:r>
    </w:p>
    <w:p>
      <w:pPr>
        <w:spacing w:after="0" w:line="169" w:lineRule="exact"/>
        <w:rPr>
          <w:sz w:val="20"/>
          <w:szCs w:val="20"/>
          <w:color w:val="auto"/>
        </w:rPr>
      </w:pPr>
    </w:p>
    <w:p>
      <w:pPr>
        <w:ind w:left="315" w:hanging="315"/>
        <w:spacing w:after="0"/>
        <w:tabs>
          <w:tab w:leader="none" w:pos="3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Investment properties -</w:t>
      </w:r>
    </w:p>
    <w:p>
      <w:pPr>
        <w:spacing w:after="0" w:line="193"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Investment properties are held for rentals, capital gains, or both rather than for: (a) use in the production or supply or goods or services or for administrative purposes; or (b) sale in the ordinary course of business. Property that is being constructed or developed for future use as investment property is recognized at cost before completion.</w:t>
      </w:r>
    </w:p>
    <w:p>
      <w:pPr>
        <w:spacing w:after="0" w:line="175"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Investment properties are initially measured at fair value, which is the purchase transaction price, unless otherwise indicated. Transaction costs are included in the initial measurement, which includes the purchase price and any other cost directly attributable to the transaction.</w:t>
      </w:r>
    </w:p>
    <w:p>
      <w:pPr>
        <w:spacing w:after="0" w:line="175" w:lineRule="exact"/>
        <w:rPr>
          <w:rFonts w:ascii="Arial" w:cs="Arial" w:eastAsia="Arial" w:hAnsi="Arial"/>
          <w:sz w:val="17"/>
          <w:szCs w:val="17"/>
          <w:color w:val="auto"/>
        </w:rPr>
      </w:pPr>
    </w:p>
    <w:p>
      <w:pPr>
        <w:jc w:val="both"/>
        <w:ind w:left="315"/>
        <w:spacing w:after="0" w:line="243" w:lineRule="auto"/>
        <w:rPr>
          <w:rFonts w:ascii="Arial" w:cs="Arial" w:eastAsia="Arial" w:hAnsi="Arial"/>
          <w:sz w:val="17"/>
          <w:szCs w:val="17"/>
          <w:color w:val="auto"/>
        </w:rPr>
      </w:pPr>
      <w:r>
        <w:rPr>
          <w:rFonts w:ascii="Arial" w:cs="Arial" w:eastAsia="Arial" w:hAnsi="Arial"/>
          <w:sz w:val="17"/>
          <w:szCs w:val="17"/>
          <w:color w:val="auto"/>
        </w:rPr>
        <w:t>For subsequent recognition, an entity shall choose as its accounting policy either the fair value model or the cost model and shall apply that policy to all its investment property. At the date of the consolidated financial statements, the Group has opted for keeping the cost model. Accordingly, investment properties are accounted for at their acquisition cost less accumulated depreciation and the accumulated impairment losses, if any.</w:t>
      </w:r>
    </w:p>
    <w:p>
      <w:pPr>
        <w:spacing w:after="0" w:line="179"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An entity can opt for recognizing and depreciating separately the components of an investment property or as a single unit for recording and depreciation purposes. The Group recognizes as a single unit each of its investment properties and has estimated a useful life of 33 years for purposes of determining depreciation under the straight-line method.</w:t>
      </w:r>
    </w:p>
    <w:p>
      <w:pPr>
        <w:spacing w:after="0" w:line="175"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Rental income is recognized as rents that are accrued under the related rental agreement; depreciation expenses as well as related expenses directly with the maintenance of the leased assets, they are recorded net in the item of “Other Income” in the consolidated statement of</w:t>
      </w:r>
    </w:p>
    <w:p>
      <w:pPr>
        <w:spacing w:after="0" w:line="150" w:lineRule="exact"/>
        <w:rPr>
          <w:rFonts w:ascii="Arial" w:cs="Arial" w:eastAsia="Arial" w:hAnsi="Arial"/>
          <w:sz w:val="17"/>
          <w:szCs w:val="17"/>
          <w:color w:val="auto"/>
        </w:rPr>
      </w:pPr>
    </w:p>
    <w:p>
      <w:pPr>
        <w:ind w:left="4895" w:hanging="97"/>
        <w:spacing w:after="0"/>
        <w:tabs>
          <w:tab w:leader="none" w:pos="4895" w:val="left"/>
        </w:tabs>
        <w:numPr>
          <w:ilvl w:val="1"/>
          <w:numId w:val="51"/>
        </w:numPr>
        <w:rPr>
          <w:rFonts w:ascii="Arial" w:cs="Arial" w:eastAsia="Arial" w:hAnsi="Arial"/>
          <w:sz w:val="17"/>
          <w:szCs w:val="17"/>
          <w:color w:val="auto"/>
        </w:rPr>
      </w:pPr>
      <w:r>
        <w:rPr>
          <w:rFonts w:ascii="Arial" w:cs="Arial" w:eastAsia="Arial" w:hAnsi="Arial"/>
          <w:sz w:val="17"/>
          <w:szCs w:val="17"/>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48" w:name="page49"/>
    <w:bookmarkEnd w:id="48"/>
    <w:p>
      <w:pPr>
        <w:ind w:left="315"/>
        <w:spacing w:after="0"/>
        <w:rPr>
          <w:sz w:val="20"/>
          <w:szCs w:val="20"/>
          <w:color w:val="auto"/>
        </w:rPr>
      </w:pPr>
      <w:r>
        <w:rPr>
          <w:rFonts w:ascii="Arial" w:cs="Arial" w:eastAsia="Arial" w:hAnsi="Arial"/>
          <w:sz w:val="17"/>
          <w:szCs w:val="17"/>
          <w:color w:val="auto"/>
        </w:rPr>
        <w:t>income.</w:t>
      </w:r>
    </w:p>
    <w:p>
      <w:pPr>
        <w:spacing w:after="0" w:line="192" w:lineRule="exact"/>
        <w:rPr>
          <w:sz w:val="20"/>
          <w:szCs w:val="20"/>
          <w:color w:val="auto"/>
        </w:rPr>
      </w:pPr>
    </w:p>
    <w:p>
      <w:pPr>
        <w:ind w:left="315" w:hanging="315"/>
        <w:spacing w:after="0"/>
        <w:tabs>
          <w:tab w:leader="none" w:pos="3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Seized assets, net -</w:t>
      </w:r>
    </w:p>
    <w:p>
      <w:pPr>
        <w:spacing w:after="0" w:line="193"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Seized assets are recorded at the lower of cost or estimated market value, which is obtained from valuations made by independent appraisers. Reductions in book values are recorded in the consolidated statement of income.</w:t>
      </w:r>
    </w:p>
    <w:p>
      <w:pPr>
        <w:spacing w:after="0" w:line="169" w:lineRule="exact"/>
        <w:rPr>
          <w:rFonts w:ascii="Arial" w:cs="Arial" w:eastAsia="Arial" w:hAnsi="Arial"/>
          <w:sz w:val="17"/>
          <w:szCs w:val="17"/>
          <w:color w:val="auto"/>
        </w:rPr>
      </w:pPr>
    </w:p>
    <w:p>
      <w:pPr>
        <w:ind w:left="315" w:hanging="315"/>
        <w:spacing w:after="0"/>
        <w:tabs>
          <w:tab w:leader="none" w:pos="3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Business combination -</w:t>
      </w:r>
    </w:p>
    <w:p>
      <w:pPr>
        <w:spacing w:after="0" w:line="193"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Business combinations made are accounted for using the acquisition method in accordance with IFRS 3 “Business Combination”, regardless of whether they are equity instruments or other acquired assets.</w:t>
      </w:r>
    </w:p>
    <w:p>
      <w:pPr>
        <w:spacing w:after="0" w:line="169" w:lineRule="exact"/>
        <w:rPr>
          <w:rFonts w:ascii="Arial" w:cs="Arial" w:eastAsia="Arial" w:hAnsi="Arial"/>
          <w:sz w:val="17"/>
          <w:szCs w:val="17"/>
          <w:color w:val="auto"/>
        </w:rPr>
      </w:pPr>
    </w:p>
    <w:p>
      <w:pPr>
        <w:jc w:val="both"/>
        <w:ind w:left="315"/>
        <w:spacing w:after="0" w:line="242" w:lineRule="auto"/>
        <w:rPr>
          <w:rFonts w:ascii="Arial" w:cs="Arial" w:eastAsia="Arial" w:hAnsi="Arial"/>
          <w:sz w:val="17"/>
          <w:szCs w:val="17"/>
          <w:color w:val="auto"/>
        </w:rPr>
      </w:pPr>
      <w:r>
        <w:rPr>
          <w:rFonts w:ascii="Arial" w:cs="Arial" w:eastAsia="Arial" w:hAnsi="Arial"/>
          <w:sz w:val="17"/>
          <w:szCs w:val="17"/>
          <w:color w:val="auto"/>
        </w:rPr>
        <w:t>The acquisition cost is the sum of the consideration paid for the acquisition measured at fair value at the acquisition date and the amount of the share in the non-controlling interest acquired. For each business combination the Group decides whether to measure the non-controlling interest in the acquiree at fair value or at the proportional share in the identifiable net assets of the acquired. Acquisition-related costs are recognized as expenses and are included within “Administrative expenses” in the consolidated statement of income.</w:t>
      </w:r>
    </w:p>
    <w:p>
      <w:pPr>
        <w:spacing w:after="0" w:line="377"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When the Group acquires a business, it assesses the financial assets and liabilities assumed for its own classification and denomination according to the contractual terms, economic circumstances and prevailing conditions at the date of acquisition. This includes the separation of embedded derivative contracts signed by the acquiree.</w:t>
      </w:r>
    </w:p>
    <w:p>
      <w:pPr>
        <w:spacing w:after="0" w:line="175" w:lineRule="exact"/>
        <w:rPr>
          <w:rFonts w:ascii="Arial" w:cs="Arial" w:eastAsia="Arial" w:hAnsi="Arial"/>
          <w:sz w:val="17"/>
          <w:szCs w:val="17"/>
          <w:color w:val="auto"/>
        </w:rPr>
      </w:pPr>
    </w:p>
    <w:p>
      <w:pPr>
        <w:jc w:val="both"/>
        <w:ind w:left="315"/>
        <w:spacing w:after="0" w:line="242" w:lineRule="auto"/>
        <w:rPr>
          <w:rFonts w:ascii="Arial" w:cs="Arial" w:eastAsia="Arial" w:hAnsi="Arial"/>
          <w:sz w:val="17"/>
          <w:szCs w:val="17"/>
          <w:color w:val="auto"/>
        </w:rPr>
      </w:pPr>
      <w:r>
        <w:rPr>
          <w:rFonts w:ascii="Arial" w:cs="Arial" w:eastAsia="Arial" w:hAnsi="Arial"/>
          <w:sz w:val="17"/>
          <w:szCs w:val="17"/>
          <w:color w:val="auto"/>
        </w:rPr>
        <w:t>Any contingency transferred by the acquirer is recognized at fair value at the acquisition date. The contingency classified as an asset or liability that is a financial instrument and is within the scope of IFRS 9 “Financial instruments”, is measured at fair value with changes recognized in the consolidated statement of income or consolidated statement of comprehensive income. If the contingency is not within the scope of IFRS 9, it is measured in accordance with the applicable IFRS. A contingency that is classified as equity should not be measured again and its subsequent settlement is accounted for within equity.</w:t>
      </w:r>
    </w:p>
    <w:p>
      <w:pPr>
        <w:spacing w:after="0" w:line="180"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The acquisition of a non-controlling interest is recorded directly in net equity, any difference between the amount paid and the acquired net assets is recorded as an equity transaction. Accordingly, the Group recognizes no additional goodwill after the acquisition of the non-controlling interest, nor does it recognize any profit or loss from the disposal of the non-controlling interest.</w:t>
      </w:r>
    </w:p>
    <w:p>
      <w:pPr>
        <w:spacing w:after="0" w:line="175" w:lineRule="exact"/>
        <w:rPr>
          <w:rFonts w:ascii="Arial" w:cs="Arial" w:eastAsia="Arial" w:hAnsi="Arial"/>
          <w:sz w:val="17"/>
          <w:szCs w:val="17"/>
          <w:color w:val="auto"/>
        </w:rPr>
      </w:pPr>
    </w:p>
    <w:p>
      <w:pPr>
        <w:jc w:val="both"/>
        <w:ind w:left="315"/>
        <w:spacing w:after="0" w:line="242" w:lineRule="auto"/>
        <w:rPr>
          <w:rFonts w:ascii="Arial" w:cs="Arial" w:eastAsia="Arial" w:hAnsi="Arial"/>
          <w:sz w:val="17"/>
          <w:szCs w:val="17"/>
          <w:color w:val="auto"/>
        </w:rPr>
      </w:pPr>
      <w:r>
        <w:rPr>
          <w:rFonts w:ascii="Arial" w:cs="Arial" w:eastAsia="Arial" w:hAnsi="Arial"/>
          <w:sz w:val="17"/>
          <w:szCs w:val="17"/>
          <w:color w:val="auto"/>
        </w:rPr>
        <w:t>If there is a contractual obligation to acquire the shares of the non-controlling interest through a put option, the Group will initially recognize a liability at fair value through profit or loss equivalent to the market value of the interest of the non-controlling interest against the account “Reserves and others” in equity. After its initial recognition, the liability is measured at fair value, recording the changes in the income statement until the option is exercised. If the option expires without being exercised, the liability is derecognized by adjusting the net equity.</w:t>
      </w:r>
    </w:p>
    <w:p>
      <w:pPr>
        <w:spacing w:after="0" w:line="180"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Equity attributable to the non-controlling interest is shown separately in the consolidated statement of financial position. Profit attributable to the non-controlling interest is shown separately in the consolidated statement of income and consolidated statement of comprehensive income.</w:t>
      </w:r>
    </w:p>
    <w:p>
      <w:pPr>
        <w:spacing w:after="0" w:line="175" w:lineRule="exact"/>
        <w:rPr>
          <w:rFonts w:ascii="Arial" w:cs="Arial" w:eastAsia="Arial" w:hAnsi="Arial"/>
          <w:sz w:val="17"/>
          <w:szCs w:val="17"/>
          <w:color w:val="auto"/>
        </w:rPr>
      </w:pPr>
    </w:p>
    <w:p>
      <w:pPr>
        <w:jc w:val="both"/>
        <w:ind w:left="315"/>
        <w:spacing w:after="0" w:line="242" w:lineRule="auto"/>
        <w:rPr>
          <w:rFonts w:ascii="Arial" w:cs="Arial" w:eastAsia="Arial" w:hAnsi="Arial"/>
          <w:sz w:val="17"/>
          <w:szCs w:val="17"/>
          <w:color w:val="auto"/>
        </w:rPr>
      </w:pPr>
      <w:r>
        <w:rPr>
          <w:rFonts w:ascii="Arial" w:cs="Arial" w:eastAsia="Arial" w:hAnsi="Arial"/>
          <w:sz w:val="17"/>
          <w:szCs w:val="17"/>
          <w:color w:val="auto"/>
        </w:rPr>
        <w:t>If a business combination achieved in stages, the acquisition date and the value of the previous participation of the acquirer is measured again at a fair value at the date of acquisition. The gains or losses arising from such remedy are recognized in profit or loss. Likewise, in accordance with IFRS 3, from the date of acquisition of a company that isn’t under common control, the acquirer has a subsequent 12-month period to be able to adjust the initial recognition of goodwill. During 2022 the Group has not carried out business combinations of acquired entities.</w:t>
      </w:r>
    </w:p>
    <w:p>
      <w:pPr>
        <w:spacing w:after="0" w:line="154" w:lineRule="exact"/>
        <w:rPr>
          <w:rFonts w:ascii="Arial" w:cs="Arial" w:eastAsia="Arial" w:hAnsi="Arial"/>
          <w:sz w:val="17"/>
          <w:szCs w:val="17"/>
          <w:color w:val="auto"/>
        </w:rPr>
      </w:pPr>
    </w:p>
    <w:p>
      <w:pPr>
        <w:ind w:left="4895" w:hanging="97"/>
        <w:spacing w:after="0"/>
        <w:tabs>
          <w:tab w:leader="none" w:pos="4895" w:val="left"/>
        </w:tabs>
        <w:numPr>
          <w:ilvl w:val="1"/>
          <w:numId w:val="52"/>
        </w:numPr>
        <w:rPr>
          <w:rFonts w:ascii="Arial" w:cs="Arial" w:eastAsia="Arial" w:hAnsi="Arial"/>
          <w:sz w:val="17"/>
          <w:szCs w:val="17"/>
          <w:color w:val="auto"/>
        </w:rPr>
      </w:pPr>
      <w:r>
        <w:rPr>
          <w:rFonts w:ascii="Arial" w:cs="Arial" w:eastAsia="Arial" w:hAnsi="Arial"/>
          <w:sz w:val="17"/>
          <w:szCs w:val="17"/>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49" w:name="page50"/>
    <w:bookmarkEnd w:id="49"/>
    <w:p>
      <w:pPr>
        <w:ind w:left="315"/>
        <w:spacing w:after="0"/>
        <w:rPr>
          <w:sz w:val="20"/>
          <w:szCs w:val="20"/>
          <w:color w:val="auto"/>
        </w:rPr>
      </w:pPr>
      <w:r>
        <w:rPr>
          <w:rFonts w:ascii="Arial" w:cs="Arial" w:eastAsia="Arial" w:hAnsi="Arial"/>
          <w:sz w:val="17"/>
          <w:szCs w:val="17"/>
          <w:color w:val="auto"/>
        </w:rPr>
        <w:t>Combinations of entities under common control -</w:t>
      </w:r>
    </w:p>
    <w:p>
      <w:pPr>
        <w:spacing w:after="0" w:line="192" w:lineRule="exact"/>
        <w:rPr>
          <w:sz w:val="20"/>
          <w:szCs w:val="20"/>
          <w:color w:val="auto"/>
        </w:rPr>
      </w:pPr>
    </w:p>
    <w:p>
      <w:pPr>
        <w:jc w:val="both"/>
        <w:ind w:left="315"/>
        <w:spacing w:after="0" w:line="242" w:lineRule="auto"/>
        <w:rPr>
          <w:sz w:val="20"/>
          <w:szCs w:val="20"/>
          <w:color w:val="auto"/>
        </w:rPr>
      </w:pPr>
      <w:r>
        <w:rPr>
          <w:rFonts w:ascii="Arial" w:cs="Arial" w:eastAsia="Arial" w:hAnsi="Arial"/>
          <w:sz w:val="17"/>
          <w:szCs w:val="17"/>
          <w:color w:val="auto"/>
        </w:rPr>
        <w:t>A business combination between entities or businesses under common control is outside the scope of IFRS 3, because it comprises a business combination in which all the entities or businesses that are combined are controlled, ultimately, by the same part or parts, before and after the business combination. In these transactions, the Group recognizes the assets acquired under the interest unification method, whereby the assets and liabilities of the combined companies are reflected at their book values and no goodwill is recognized as a result of the combination.</w:t>
      </w:r>
    </w:p>
    <w:p>
      <w:pPr>
        <w:spacing w:after="0" w:line="180" w:lineRule="exact"/>
        <w:rPr>
          <w:sz w:val="20"/>
          <w:szCs w:val="20"/>
          <w:color w:val="auto"/>
        </w:rPr>
      </w:pPr>
    </w:p>
    <w:p>
      <w:pPr>
        <w:ind w:left="315"/>
        <w:spacing w:after="0"/>
        <w:rPr>
          <w:sz w:val="20"/>
          <w:szCs w:val="20"/>
          <w:color w:val="auto"/>
        </w:rPr>
      </w:pPr>
      <w:r>
        <w:rPr>
          <w:rFonts w:ascii="Arial" w:cs="Arial" w:eastAsia="Arial" w:hAnsi="Arial"/>
          <w:sz w:val="17"/>
          <w:szCs w:val="17"/>
          <w:color w:val="auto"/>
        </w:rPr>
        <w:t>The consolidated financial statements of the Group have been presented considering the aforementioned. See Note 2(a).</w:t>
      </w:r>
    </w:p>
    <w:p>
      <w:pPr>
        <w:spacing w:after="0" w:line="193" w:lineRule="exact"/>
        <w:rPr>
          <w:sz w:val="20"/>
          <w:szCs w:val="20"/>
          <w:color w:val="auto"/>
        </w:rPr>
      </w:pPr>
    </w:p>
    <w:p>
      <w:pPr>
        <w:ind w:left="315" w:hanging="315"/>
        <w:spacing w:after="0"/>
        <w:tabs>
          <w:tab w:leader="none" w:pos="3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Intangible assets -</w:t>
      </w:r>
    </w:p>
    <w:p>
      <w:pPr>
        <w:spacing w:after="0" w:line="193"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Comprise internally developed and acquired software licenses used by the Group. Acquired software licenses are measured upon initial recognition at cost and are amortized using the straight-line method over their estimated useful life (between 3 and 5 years).</w:t>
      </w:r>
    </w:p>
    <w:p>
      <w:pPr>
        <w:spacing w:after="0" w:line="169"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Intangible assets identified as a consequence of the acquisition of subsidiaries are recognized in the consolidated statement of financial position at their fair values determined on the acquisition date and are amortized using the straight-line method over their estimated useful life as follows:</w:t>
      </w:r>
    </w:p>
    <w:p>
      <w:pPr>
        <w:spacing w:after="0" w:line="153" w:lineRule="exact"/>
        <w:rPr>
          <w:sz w:val="20"/>
          <w:szCs w:val="20"/>
          <w:color w:val="auto"/>
        </w:rPr>
      </w:pPr>
    </w:p>
    <w:tbl>
      <w:tblPr>
        <w:tblLayout w:type="fixed"/>
        <w:tblInd w:w="355" w:type="dxa"/>
        <w:tblCellMar>
          <w:top w:w="0" w:type="dxa"/>
          <w:left w:w="0" w:type="dxa"/>
          <w:bottom w:w="0" w:type="dxa"/>
          <w:right w:w="0" w:type="dxa"/>
        </w:tblCellMar>
      </w:tblPr>
      <w:tr>
        <w:trPr>
          <w:trHeight w:val="195"/>
        </w:trPr>
        <w:tc>
          <w:tcPr>
            <w:tcW w:w="8380" w:type="dxa"/>
            <w:vAlign w:val="bottom"/>
          </w:tcPr>
          <w:p>
            <w:pPr>
              <w:spacing w:after="0"/>
              <w:rPr>
                <w:sz w:val="16"/>
                <w:szCs w:val="16"/>
                <w:color w:val="auto"/>
              </w:rPr>
            </w:pPr>
          </w:p>
        </w:tc>
        <w:tc>
          <w:tcPr>
            <w:tcW w:w="1700" w:type="dxa"/>
            <w:vAlign w:val="bottom"/>
          </w:tcPr>
          <w:p>
            <w:pPr>
              <w:ind w:left="40"/>
              <w:spacing w:after="0"/>
              <w:rPr>
                <w:sz w:val="20"/>
                <w:szCs w:val="20"/>
                <w:color w:val="auto"/>
              </w:rPr>
            </w:pPr>
            <w:r>
              <w:rPr>
                <w:rFonts w:ascii="Arial" w:cs="Arial" w:eastAsia="Arial" w:hAnsi="Arial"/>
                <w:sz w:val="17"/>
                <w:szCs w:val="17"/>
                <w:b w:val="1"/>
                <w:bCs w:val="1"/>
                <w:color w:val="auto"/>
              </w:rPr>
              <w:t>Estimated useful</w:t>
            </w:r>
          </w:p>
        </w:tc>
      </w:tr>
      <w:tr>
        <w:trPr>
          <w:trHeight w:val="217"/>
        </w:trPr>
        <w:tc>
          <w:tcPr>
            <w:tcW w:w="8380" w:type="dxa"/>
            <w:vAlign w:val="bottom"/>
          </w:tcPr>
          <w:p>
            <w:pPr>
              <w:spacing w:after="0"/>
              <w:rPr>
                <w:sz w:val="18"/>
                <w:szCs w:val="18"/>
                <w:color w:val="auto"/>
              </w:rPr>
            </w:pP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life in years</w:t>
            </w:r>
          </w:p>
        </w:tc>
      </w:tr>
      <w:tr>
        <w:trPr>
          <w:trHeight w:val="381"/>
        </w:trPr>
        <w:tc>
          <w:tcPr>
            <w:tcW w:w="8380" w:type="dxa"/>
            <w:vAlign w:val="bottom"/>
          </w:tcPr>
          <w:p>
            <w:pPr>
              <w:spacing w:after="0"/>
              <w:rPr>
                <w:sz w:val="20"/>
                <w:szCs w:val="20"/>
                <w:color w:val="auto"/>
              </w:rPr>
            </w:pPr>
            <w:r>
              <w:rPr>
                <w:rFonts w:ascii="Arial" w:cs="Arial" w:eastAsia="Arial" w:hAnsi="Arial"/>
                <w:sz w:val="17"/>
                <w:szCs w:val="17"/>
                <w:color w:val="auto"/>
              </w:rPr>
              <w:t>Customer relationship - Prima AFP (AFP Unión Vida)</w:t>
            </w:r>
          </w:p>
        </w:tc>
        <w:tc>
          <w:tcPr>
            <w:tcW w:w="170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Customer relationship - Credicorp Capital Holding Chile (Inversiones IMT)</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22.0</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Customer relationship - Edyficar Peru</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10.0</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Customer relationship - Mibanco</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7.0</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Customer relationship - Ultraserfinco</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9.2</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Brand - Mibanco</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25.0</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Brand - Culqi</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5.0</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Fund manager contract - Credicorp Capital Colombia</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20.0 and 28.0</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Fund manager contract - Credicorp Capital Holding Chile (Inversiones IMT)</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11.0 and 24.0</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Fund manager contract - Ultraserfinco</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23.0</w:t>
            </w:r>
          </w:p>
        </w:tc>
      </w:tr>
      <w:tr>
        <w:trPr>
          <w:trHeight w:val="194"/>
        </w:trPr>
        <w:tc>
          <w:tcPr>
            <w:tcW w:w="8380" w:type="dxa"/>
            <w:vAlign w:val="bottom"/>
          </w:tcPr>
          <w:p>
            <w:pPr>
              <w:spacing w:after="0" w:line="194" w:lineRule="exact"/>
              <w:rPr>
                <w:sz w:val="20"/>
                <w:szCs w:val="20"/>
                <w:color w:val="auto"/>
              </w:rPr>
            </w:pPr>
            <w:r>
              <w:rPr>
                <w:rFonts w:ascii="Arial" w:cs="Arial" w:eastAsia="Arial" w:hAnsi="Arial"/>
                <w:sz w:val="17"/>
                <w:szCs w:val="17"/>
                <w:color w:val="auto"/>
              </w:rPr>
              <w:t>Core deposits - Mibanco</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6.0</w:t>
            </w:r>
          </w:p>
        </w:tc>
      </w:tr>
      <w:tr>
        <w:trPr>
          <w:trHeight w:val="208"/>
        </w:trPr>
        <w:tc>
          <w:tcPr>
            <w:tcW w:w="8380" w:type="dxa"/>
            <w:vAlign w:val="bottom"/>
          </w:tcPr>
          <w:p>
            <w:pPr>
              <w:spacing w:after="0"/>
              <w:rPr>
                <w:sz w:val="20"/>
                <w:szCs w:val="20"/>
                <w:color w:val="auto"/>
              </w:rPr>
            </w:pPr>
            <w:r>
              <w:rPr>
                <w:rFonts w:ascii="Arial" w:cs="Arial" w:eastAsia="Arial" w:hAnsi="Arial"/>
                <w:sz w:val="17"/>
                <w:szCs w:val="17"/>
                <w:color w:val="auto"/>
              </w:rPr>
              <w:t>Others</w:t>
            </w:r>
          </w:p>
        </w:tc>
        <w:tc>
          <w:tcPr>
            <w:tcW w:w="1700" w:type="dxa"/>
            <w:vAlign w:val="bottom"/>
          </w:tcPr>
          <w:p>
            <w:pPr>
              <w:jc w:val="right"/>
              <w:spacing w:after="0"/>
              <w:rPr>
                <w:sz w:val="20"/>
                <w:szCs w:val="20"/>
                <w:color w:val="auto"/>
              </w:rPr>
            </w:pPr>
            <w:r>
              <w:rPr>
                <w:rFonts w:ascii="Arial" w:cs="Arial" w:eastAsia="Arial" w:hAnsi="Arial"/>
                <w:sz w:val="17"/>
                <w:szCs w:val="17"/>
                <w:color w:val="auto"/>
              </w:rPr>
              <w:t>Between 3.0 and 7.5</w:t>
            </w:r>
          </w:p>
        </w:tc>
      </w:tr>
    </w:tbl>
    <w:p>
      <w:pPr>
        <w:spacing w:after="0" w:line="180"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The period and the amortization method, for intangible assets are reviewed at the end of each period. If the expected useful life differs from previous estimates, the amortization period will be changed accordingly. If there has been a change in the expected pattern of conduct of the future economic benefits embodied in the asset, the amortization method shall be amended to reflect these changes.</w:t>
      </w:r>
    </w:p>
    <w:p>
      <w:pPr>
        <w:spacing w:after="0" w:line="176"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statement of income when the asset is derecognized.</w:t>
      </w:r>
    </w:p>
    <w:p>
      <w:pPr>
        <w:spacing w:after="0" w:line="143" w:lineRule="exact"/>
        <w:rPr>
          <w:sz w:val="20"/>
          <w:szCs w:val="20"/>
          <w:color w:val="auto"/>
        </w:rPr>
      </w:pPr>
    </w:p>
    <w:p>
      <w:pPr>
        <w:ind w:left="4795"/>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50" w:name="page51"/>
    <w:bookmarkEnd w:id="50"/>
    <w:p>
      <w:pPr>
        <w:ind w:left="315" w:hanging="315"/>
        <w:spacing w:after="0"/>
        <w:tabs>
          <w:tab w:leader="none" w:pos="3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Goodwill -</w:t>
      </w:r>
    </w:p>
    <w:p>
      <w:pPr>
        <w:spacing w:after="0" w:line="192"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Goodwill is the excess of the aggregate of the consideration transferred and the fair value recognized for the acquisition of the net value of the identifiable net assets acquired and liabilities assumed. If the fair value of the net assets acquired exceeds the aggregate consideration transferred, then the gain is recognized in the consolidated statement of income.</w:t>
      </w:r>
    </w:p>
    <w:p>
      <w:pPr>
        <w:spacing w:after="0" w:line="175" w:lineRule="exact"/>
        <w:rPr>
          <w:rFonts w:ascii="Arial" w:cs="Arial" w:eastAsia="Arial" w:hAnsi="Arial"/>
          <w:sz w:val="17"/>
          <w:szCs w:val="17"/>
          <w:color w:val="auto"/>
        </w:rPr>
      </w:pPr>
    </w:p>
    <w:p>
      <w:pPr>
        <w:jc w:val="both"/>
        <w:ind w:left="315"/>
        <w:spacing w:after="0" w:line="243" w:lineRule="auto"/>
        <w:rPr>
          <w:rFonts w:ascii="Arial" w:cs="Arial" w:eastAsia="Arial" w:hAnsi="Arial"/>
          <w:sz w:val="17"/>
          <w:szCs w:val="17"/>
          <w:color w:val="auto"/>
        </w:rPr>
      </w:pPr>
      <w:r>
        <w:rPr>
          <w:rFonts w:ascii="Arial" w:cs="Arial" w:eastAsia="Arial" w:hAnsi="Arial"/>
          <w:sz w:val="17"/>
          <w:szCs w:val="17"/>
          <w:color w:val="auto"/>
        </w:rPr>
        <w:t>After initial recognition, goodwill is measured at cost less any accumulated impairment losses. For the purpose of impairment testing, goodwill acquired in a business combination is, from the acquisition date, allocated to each of the Group’s cash-generating units (CGU) that are expected to benefit from the combination, irrespective of whether other assets or liabilities of the acquiree are assigned to these units.</w:t>
      </w:r>
    </w:p>
    <w:p>
      <w:pPr>
        <w:spacing w:after="0" w:line="179"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If goodwill has been allocated to a CGU and part of the operation within that unit is disposed of , the goodwill and the disposed assets are included in the carrying amount of the operation when determining the gain or loss on disposal. Goodwill disposed of in these circumstances is measured based on the relative values of the disposed operation and the portion of the cash-generating unit retained.</w:t>
      </w:r>
    </w:p>
    <w:p>
      <w:pPr>
        <w:spacing w:after="0" w:line="175"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175" w:lineRule="exact"/>
        <w:rPr>
          <w:rFonts w:ascii="Arial" w:cs="Arial" w:eastAsia="Arial" w:hAnsi="Arial"/>
          <w:sz w:val="17"/>
          <w:szCs w:val="17"/>
          <w:color w:val="auto"/>
        </w:rPr>
      </w:pPr>
    </w:p>
    <w:p>
      <w:pPr>
        <w:ind w:left="315" w:hanging="315"/>
        <w:spacing w:after="0"/>
        <w:tabs>
          <w:tab w:leader="none" w:pos="3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Impairment of non-financial assets -</w:t>
      </w:r>
    </w:p>
    <w:p>
      <w:pPr>
        <w:spacing w:after="0" w:line="193" w:lineRule="exact"/>
        <w:rPr>
          <w:rFonts w:ascii="Arial" w:cs="Arial" w:eastAsia="Arial" w:hAnsi="Arial"/>
          <w:sz w:val="17"/>
          <w:szCs w:val="17"/>
          <w:color w:val="auto"/>
        </w:rPr>
      </w:pPr>
    </w:p>
    <w:p>
      <w:pPr>
        <w:jc w:val="both"/>
        <w:ind w:left="315"/>
        <w:spacing w:after="0" w:line="243" w:lineRule="auto"/>
        <w:rPr>
          <w:rFonts w:ascii="Arial" w:cs="Arial" w:eastAsia="Arial" w:hAnsi="Arial"/>
          <w:sz w:val="17"/>
          <w:szCs w:val="17"/>
          <w:color w:val="auto"/>
        </w:rPr>
      </w:pPr>
      <w:r>
        <w:rPr>
          <w:rFonts w:ascii="Arial" w:cs="Arial" w:eastAsia="Arial" w:hAnsi="Arial"/>
          <w:sz w:val="17"/>
          <w:szCs w:val="17"/>
          <w:color w:val="auto"/>
        </w:rPr>
        <w:t>The Group assesses at each reporting date, whether there is an indicator that an asset may be impaired. If any indication exists, or when annual impairment testing for an asset is required, the Group estimates the asset’s recoverable amount. An asset’s recoverable amount is the higher of the value of the asset or the CGU less costs to sell and its value in use and is determined for each individual asset, unless the asset does not generate cash inflows that are largely independent of those from other assets or groups of assets.</w:t>
      </w:r>
    </w:p>
    <w:p>
      <w:pPr>
        <w:spacing w:after="0" w:line="179" w:lineRule="exact"/>
        <w:rPr>
          <w:rFonts w:ascii="Arial" w:cs="Arial" w:eastAsia="Arial" w:hAnsi="Arial"/>
          <w:sz w:val="17"/>
          <w:szCs w:val="17"/>
          <w:color w:val="auto"/>
        </w:rPr>
      </w:pPr>
    </w:p>
    <w:p>
      <w:pPr>
        <w:jc w:val="both"/>
        <w:ind w:left="315"/>
        <w:spacing w:after="0" w:line="241" w:lineRule="auto"/>
        <w:rPr>
          <w:rFonts w:ascii="Arial" w:cs="Arial" w:eastAsia="Arial" w:hAnsi="Arial"/>
          <w:sz w:val="17"/>
          <w:szCs w:val="17"/>
          <w:color w:val="auto"/>
        </w:rPr>
      </w:pPr>
      <w:r>
        <w:rPr>
          <w:rFonts w:ascii="Arial" w:cs="Arial" w:eastAsia="Arial" w:hAnsi="Arial"/>
          <w:sz w:val="17"/>
          <w:szCs w:val="17"/>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recent market transactions are considered, if any. If this kind of transactions cannot be identified, an appropriate valuation model is used. These calculations are verified against valuation multiples, quoted share prices for publicly traded subsidiaries or other available fair value indicators.</w:t>
      </w:r>
    </w:p>
    <w:p>
      <w:pPr>
        <w:spacing w:after="0" w:line="182" w:lineRule="exact"/>
        <w:rPr>
          <w:rFonts w:ascii="Arial" w:cs="Arial" w:eastAsia="Arial" w:hAnsi="Arial"/>
          <w:sz w:val="17"/>
          <w:szCs w:val="17"/>
          <w:color w:val="auto"/>
        </w:rPr>
      </w:pPr>
    </w:p>
    <w:p>
      <w:pPr>
        <w:jc w:val="both"/>
        <w:ind w:left="315"/>
        <w:spacing w:after="0" w:line="243" w:lineRule="auto"/>
        <w:rPr>
          <w:rFonts w:ascii="Arial" w:cs="Arial" w:eastAsia="Arial" w:hAnsi="Arial"/>
          <w:sz w:val="17"/>
          <w:szCs w:val="17"/>
          <w:color w:val="auto"/>
        </w:rPr>
      </w:pPr>
      <w:r>
        <w:rPr>
          <w:rFonts w:ascii="Arial" w:cs="Arial" w:eastAsia="Arial" w:hAnsi="Arial"/>
          <w:sz w:val="17"/>
          <w:szCs w:val="17"/>
          <w:color w:val="auto"/>
        </w:rPr>
        <w:t>For non-financial assets, excluding goodwill, an assessment is made at each reporting date of whether there is an indication that previously recognized impairment losses may no longer exist or may have decreased. If such indication exists, the Group estimates the recoverable amount. A previously recognized impairment loss is reversed only if there has been a change in the estimates used to determine the asset’s recoverable amount since the last impairment loss was recognized.</w:t>
      </w:r>
    </w:p>
    <w:p>
      <w:pPr>
        <w:spacing w:after="0" w:line="179"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income.</w:t>
      </w:r>
    </w:p>
    <w:p>
      <w:pPr>
        <w:spacing w:after="0" w:line="150" w:lineRule="exact"/>
        <w:rPr>
          <w:rFonts w:ascii="Arial" w:cs="Arial" w:eastAsia="Arial" w:hAnsi="Arial"/>
          <w:sz w:val="17"/>
          <w:szCs w:val="17"/>
          <w:color w:val="auto"/>
        </w:rPr>
      </w:pPr>
    </w:p>
    <w:p>
      <w:pPr>
        <w:ind w:left="4895" w:hanging="97"/>
        <w:spacing w:after="0"/>
        <w:tabs>
          <w:tab w:leader="none" w:pos="4895" w:val="left"/>
        </w:tabs>
        <w:numPr>
          <w:ilvl w:val="1"/>
          <w:numId w:val="54"/>
        </w:numPr>
        <w:rPr>
          <w:rFonts w:ascii="Arial" w:cs="Arial" w:eastAsia="Arial" w:hAnsi="Arial"/>
          <w:sz w:val="17"/>
          <w:szCs w:val="17"/>
          <w:color w:val="auto"/>
        </w:rPr>
      </w:pPr>
      <w:r>
        <w:rPr>
          <w:rFonts w:ascii="Arial" w:cs="Arial" w:eastAsia="Arial" w:hAnsi="Arial"/>
          <w:sz w:val="17"/>
          <w:szCs w:val="17"/>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51" w:name="page52"/>
    <w:bookmarkEnd w:id="51"/>
    <w:p>
      <w:pPr>
        <w:ind w:left="315" w:hanging="315"/>
        <w:spacing w:after="0"/>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Due from customers on banker’s acceptances -</w:t>
      </w:r>
    </w:p>
    <w:p>
      <w:pPr>
        <w:spacing w:after="0" w:line="192" w:lineRule="exact"/>
        <w:rPr>
          <w:rFonts w:ascii="Arial" w:cs="Arial" w:eastAsia="Arial" w:hAnsi="Arial"/>
          <w:sz w:val="17"/>
          <w:szCs w:val="17"/>
          <w:color w:val="auto"/>
        </w:rPr>
      </w:pPr>
    </w:p>
    <w:p>
      <w:pPr>
        <w:jc w:val="both"/>
        <w:ind w:left="315"/>
        <w:spacing w:after="0" w:line="254" w:lineRule="auto"/>
        <w:rPr>
          <w:rFonts w:ascii="Arial" w:cs="Arial" w:eastAsia="Arial" w:hAnsi="Arial"/>
          <w:sz w:val="17"/>
          <w:szCs w:val="17"/>
          <w:color w:val="auto"/>
        </w:rPr>
      </w:pPr>
      <w:r>
        <w:rPr>
          <w:rFonts w:ascii="Arial" w:cs="Arial" w:eastAsia="Arial" w:hAnsi="Arial"/>
          <w:sz w:val="17"/>
          <w:szCs w:val="17"/>
          <w:color w:val="auto"/>
        </w:rPr>
        <w:t>Due from customers on banker’s comprises accounts payable from customers for import and export transactions, whose obligations have been accepted by the Group. The obligations that must be assumed by the Group for such transactions are recorded as liabilities.</w:t>
      </w:r>
    </w:p>
    <w:p>
      <w:pPr>
        <w:spacing w:after="0" w:line="169" w:lineRule="exact"/>
        <w:rPr>
          <w:rFonts w:ascii="Arial" w:cs="Arial" w:eastAsia="Arial" w:hAnsi="Arial"/>
          <w:sz w:val="17"/>
          <w:szCs w:val="17"/>
          <w:color w:val="auto"/>
        </w:rPr>
      </w:pPr>
    </w:p>
    <w:p>
      <w:pPr>
        <w:ind w:left="315" w:hanging="315"/>
        <w:spacing w:after="0"/>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Financial guarantees -</w:t>
      </w:r>
    </w:p>
    <w:p>
      <w:pPr>
        <w:spacing w:after="0" w:line="193" w:lineRule="exact"/>
        <w:rPr>
          <w:rFonts w:ascii="Arial" w:cs="Arial" w:eastAsia="Arial" w:hAnsi="Arial"/>
          <w:sz w:val="17"/>
          <w:szCs w:val="17"/>
          <w:color w:val="auto"/>
        </w:rPr>
      </w:pPr>
    </w:p>
    <w:p>
      <w:pPr>
        <w:jc w:val="both"/>
        <w:ind w:left="315"/>
        <w:spacing w:after="0" w:line="241" w:lineRule="auto"/>
        <w:rPr>
          <w:rFonts w:ascii="Arial" w:cs="Arial" w:eastAsia="Arial" w:hAnsi="Arial"/>
          <w:sz w:val="17"/>
          <w:szCs w:val="17"/>
          <w:color w:val="auto"/>
        </w:rPr>
      </w:pPr>
      <w:r>
        <w:rPr>
          <w:rFonts w:ascii="Arial" w:cs="Arial" w:eastAsia="Arial" w:hAnsi="Arial"/>
          <w:sz w:val="17"/>
          <w:szCs w:val="17"/>
          <w:color w:val="auto"/>
        </w:rPr>
        <w:t>In the ordinary course of business, the Group issues financial guarantees, such as letters of credit, guarantees and banker’s acceptances. Financial guarantees are initially recognized at fair value, which is equivalent to the commission initially received, also, letters of credit and guarantees are recorded in the item “Other liabilities” in the consolidated statement of financial position and banker’s acceptances are presented in the consolidated statement of financial position. Subsequent to initial recognition, the Group’s liability under each guarantee is measured at the higher of the amount initially recognized less, when appropriate, cumulative amortization recognized in the consolidated statement of income, and the best estimate of expenditure required to settle any financial obligation arising as a result of the financial guarantee.</w:t>
      </w:r>
    </w:p>
    <w:p>
      <w:pPr>
        <w:spacing w:after="0" w:line="180"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Any increase in the liability relating to a financial guarantee is included in the consolidated statement of income. The commission received is recognized in “Commissions and fees” in the consolidated statement of income on a straight-line basis over the life of the granted financial guarantee.</w:t>
      </w:r>
    </w:p>
    <w:p>
      <w:pPr>
        <w:spacing w:after="0" w:line="175" w:lineRule="exact"/>
        <w:rPr>
          <w:rFonts w:ascii="Arial" w:cs="Arial" w:eastAsia="Arial" w:hAnsi="Arial"/>
          <w:sz w:val="17"/>
          <w:szCs w:val="17"/>
          <w:color w:val="auto"/>
        </w:rPr>
      </w:pPr>
    </w:p>
    <w:p>
      <w:pPr>
        <w:ind w:left="315" w:hanging="315"/>
        <w:spacing w:after="0"/>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Provisions -</w:t>
      </w:r>
    </w:p>
    <w:p>
      <w:pPr>
        <w:spacing w:after="0" w:line="193"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Provisions are recognized when the Group has a present obligation (legal or implicit) as a result of a past event, and it is probable that resources embodying economic benefits will be required to settle said obligation and the amount can be reliable determined.</w:t>
      </w:r>
    </w:p>
    <w:p>
      <w:pPr>
        <w:spacing w:after="0" w:line="169"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The expense relating to any provision is presented in the consolidated statement of income net of any reimbursement. If the effect of the time value of money is material, provisions are discounted using a current pre-tax rate that reflects, where appropriate, the specific risks of the liability. When discounting is used, the increase in the provision due to the passage of time is recognized as a finance cost.</w:t>
      </w:r>
    </w:p>
    <w:p>
      <w:pPr>
        <w:spacing w:after="0" w:line="175" w:lineRule="exact"/>
        <w:rPr>
          <w:rFonts w:ascii="Arial" w:cs="Arial" w:eastAsia="Arial" w:hAnsi="Arial"/>
          <w:sz w:val="17"/>
          <w:szCs w:val="17"/>
          <w:color w:val="auto"/>
        </w:rPr>
      </w:pPr>
    </w:p>
    <w:p>
      <w:pPr>
        <w:ind w:left="315" w:hanging="315"/>
        <w:spacing w:after="0"/>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Contingencies -</w:t>
      </w:r>
    </w:p>
    <w:p>
      <w:pPr>
        <w:spacing w:after="0" w:line="193"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Contingent liabilities are not recognized in the consolidated financial statements. They are disclosed in the notes, unless the probability of an outflow of resources is remote. Contingent assets are not recorded in the financial statements; they are disclosed if it is probable that an inflow of economic benefits will be realized.</w:t>
      </w:r>
    </w:p>
    <w:p>
      <w:pPr>
        <w:spacing w:after="0" w:line="175" w:lineRule="exact"/>
        <w:rPr>
          <w:rFonts w:ascii="Arial" w:cs="Arial" w:eastAsia="Arial" w:hAnsi="Arial"/>
          <w:sz w:val="17"/>
          <w:szCs w:val="17"/>
          <w:color w:val="auto"/>
        </w:rPr>
      </w:pPr>
    </w:p>
    <w:p>
      <w:pPr>
        <w:ind w:left="315" w:hanging="315"/>
        <w:spacing w:after="0"/>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Income tax -</w:t>
      </w:r>
    </w:p>
    <w:p>
      <w:pPr>
        <w:spacing w:after="0" w:line="193"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Income tax is computed based on the individual financial statements of each of the Group’s members.</w:t>
      </w:r>
    </w:p>
    <w:p>
      <w:pPr>
        <w:spacing w:after="0" w:line="193" w:lineRule="exact"/>
        <w:rPr>
          <w:rFonts w:ascii="Arial" w:cs="Arial" w:eastAsia="Arial" w:hAnsi="Arial"/>
          <w:sz w:val="17"/>
          <w:szCs w:val="17"/>
          <w:color w:val="auto"/>
        </w:rPr>
      </w:pPr>
    </w:p>
    <w:p>
      <w:pPr>
        <w:jc w:val="both"/>
        <w:ind w:left="315"/>
        <w:spacing w:after="0" w:line="241" w:lineRule="auto"/>
        <w:rPr>
          <w:rFonts w:ascii="Arial" w:cs="Arial" w:eastAsia="Arial" w:hAnsi="Arial"/>
          <w:sz w:val="17"/>
          <w:szCs w:val="17"/>
          <w:color w:val="auto"/>
        </w:rPr>
      </w:pPr>
      <w:r>
        <w:rPr>
          <w:rFonts w:ascii="Arial" w:cs="Arial" w:eastAsia="Arial" w:hAnsi="Arial"/>
          <w:sz w:val="17"/>
          <w:szCs w:val="17"/>
          <w:color w:val="auto"/>
        </w:rPr>
        <w:t>Deferred income tax reflects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 of financial position, to recover or settle the carrying amount of its assets and liabilities.</w:t>
      </w:r>
    </w:p>
    <w:p>
      <w:pPr>
        <w:spacing w:after="0" w:line="352" w:lineRule="exact"/>
        <w:rPr>
          <w:rFonts w:ascii="Arial" w:cs="Arial" w:eastAsia="Arial" w:hAnsi="Arial"/>
          <w:sz w:val="17"/>
          <w:szCs w:val="17"/>
          <w:color w:val="auto"/>
        </w:rPr>
      </w:pPr>
    </w:p>
    <w:p>
      <w:pPr>
        <w:ind w:left="4895" w:hanging="97"/>
        <w:spacing w:after="0"/>
        <w:tabs>
          <w:tab w:leader="none" w:pos="4895" w:val="left"/>
        </w:tabs>
        <w:numPr>
          <w:ilvl w:val="1"/>
          <w:numId w:val="55"/>
        </w:numPr>
        <w:rPr>
          <w:rFonts w:ascii="Arial" w:cs="Arial" w:eastAsia="Arial" w:hAnsi="Arial"/>
          <w:sz w:val="17"/>
          <w:szCs w:val="17"/>
          <w:color w:val="auto"/>
        </w:rPr>
      </w:pPr>
      <w:r>
        <w:rPr>
          <w:rFonts w:ascii="Arial" w:cs="Arial" w:eastAsia="Arial" w:hAnsi="Arial"/>
          <w:sz w:val="17"/>
          <w:szCs w:val="17"/>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52" w:name="page53"/>
    <w:bookmarkEnd w:id="52"/>
    <w:p>
      <w:pPr>
        <w:jc w:val="both"/>
        <w:ind w:left="315"/>
        <w:spacing w:after="0" w:line="243" w:lineRule="auto"/>
        <w:rPr>
          <w:sz w:val="20"/>
          <w:szCs w:val="20"/>
          <w:color w:val="auto"/>
        </w:rPr>
      </w:pPr>
      <w:r>
        <w:rPr>
          <w:rFonts w:ascii="Arial" w:cs="Arial" w:eastAsia="Arial" w:hAnsi="Arial"/>
          <w:sz w:val="17"/>
          <w:szCs w:val="17"/>
          <w:color w:val="auto"/>
        </w:rPr>
        <w:t>The carrying amount of deferred tax assets and liabilities may change, even though there is no change in the amount of the related temporary differences, due to a change in the income tax rate. In this case, the resulting change in deferred tax, corresponding to the change in rate, will be recognized in profit or loss, except to the extent that it relates to items previously recognized outside of the consolidated income statement (either in other comprehensive income or directly in equity).</w:t>
      </w:r>
    </w:p>
    <w:p>
      <w:pPr>
        <w:spacing w:after="0" w:line="179" w:lineRule="exact"/>
        <w:rPr>
          <w:sz w:val="20"/>
          <w:szCs w:val="20"/>
          <w:color w:val="auto"/>
        </w:rPr>
      </w:pPr>
    </w:p>
    <w:p>
      <w:pPr>
        <w:jc w:val="both"/>
        <w:ind w:left="315"/>
        <w:spacing w:after="0" w:line="243" w:lineRule="auto"/>
        <w:rPr>
          <w:sz w:val="20"/>
          <w:szCs w:val="20"/>
          <w:color w:val="auto"/>
        </w:rPr>
      </w:pPr>
      <w:r>
        <w:rPr>
          <w:rFonts w:ascii="Arial" w:cs="Arial" w:eastAsia="Arial" w:hAnsi="Arial"/>
          <w:sz w:val="17"/>
          <w:szCs w:val="17"/>
          <w:color w:val="auto"/>
        </w:rPr>
        <w:t>Deferred tax assets and liabilities are recognized regardless of when the timing differences are likely to reverse. Deferred tax assets are recognized when it is likely to exist sufficient tax benefits for the application of temporary difference. At the date of the consolidated statement of financial position, Credicorp and its Subsidiaries assess unrecognized deferred assets and the carrying amount of recognized deferred assets.</w:t>
      </w:r>
    </w:p>
    <w:p>
      <w:pPr>
        <w:spacing w:after="0" w:line="180"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Credicorp and its Subsidiaries determine their deferred income tax based on the tax rate applicable to their undistributed earnings; any additional tax on dividend distribution is recorded on the date a liability is recognized.</w:t>
      </w:r>
    </w:p>
    <w:p>
      <w:pPr>
        <w:spacing w:after="0" w:line="169"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Deferred tax assets and liabilities are offset if there is a legal right of offset, and the deferred taxes are related to the same taxpaying entity and the same tax authority.</w:t>
      </w:r>
    </w:p>
    <w:p>
      <w:pPr>
        <w:spacing w:after="0" w:line="169" w:lineRule="exact"/>
        <w:rPr>
          <w:sz w:val="20"/>
          <w:szCs w:val="20"/>
          <w:color w:val="auto"/>
        </w:rPr>
      </w:pPr>
    </w:p>
    <w:p>
      <w:pPr>
        <w:ind w:left="315" w:hanging="315"/>
        <w:spacing w:after="0"/>
        <w:tabs>
          <w:tab w:leader="none" w:pos="3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Earnings per share -</w:t>
      </w:r>
    </w:p>
    <w:p>
      <w:pPr>
        <w:spacing w:after="0" w:line="193"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75" w:lineRule="exact"/>
        <w:rPr>
          <w:rFonts w:ascii="Arial" w:cs="Arial" w:eastAsia="Arial" w:hAnsi="Arial"/>
          <w:sz w:val="17"/>
          <w:szCs w:val="17"/>
          <w:color w:val="auto"/>
        </w:rPr>
      </w:pPr>
    </w:p>
    <w:p>
      <w:pPr>
        <w:jc w:val="both"/>
        <w:ind w:left="315"/>
        <w:spacing w:after="0" w:line="243" w:lineRule="auto"/>
        <w:rPr>
          <w:rFonts w:ascii="Arial" w:cs="Arial" w:eastAsia="Arial" w:hAnsi="Arial"/>
          <w:sz w:val="17"/>
          <w:szCs w:val="17"/>
          <w:color w:val="auto"/>
        </w:rPr>
      </w:pPr>
      <w:r>
        <w:rPr>
          <w:rFonts w:ascii="Arial" w:cs="Arial" w:eastAsia="Arial" w:hAnsi="Arial"/>
          <w:sz w:val="17"/>
          <w:szCs w:val="17"/>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have been issued if all potential ordinary shares with dilutive effect have been converted into ordinary shares.</w:t>
      </w:r>
    </w:p>
    <w:p>
      <w:pPr>
        <w:spacing w:after="0" w:line="179" w:lineRule="exact"/>
        <w:rPr>
          <w:rFonts w:ascii="Arial" w:cs="Arial" w:eastAsia="Arial" w:hAnsi="Arial"/>
          <w:sz w:val="17"/>
          <w:szCs w:val="17"/>
          <w:color w:val="auto"/>
        </w:rPr>
      </w:pPr>
    </w:p>
    <w:p>
      <w:pPr>
        <w:ind w:left="315" w:hanging="315"/>
        <w:spacing w:after="0"/>
        <w:tabs>
          <w:tab w:leader="none" w:pos="3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Share-based payment transactions -</w:t>
      </w:r>
    </w:p>
    <w:p>
      <w:pPr>
        <w:spacing w:after="0" w:line="193"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The cost of the Group’s remuneration plan is recognized, together with a corresponding increase in equity, over the period in which the service conditions are fulfilled, ending on the date on which the relevant employees become fully entitled to the award (‘the vesting date”).</w:t>
      </w:r>
    </w:p>
    <w:p>
      <w:pPr>
        <w:spacing w:after="0" w:line="175"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The cumulative expense recognized for equity-settled liquidations at each reporting date until the vesting date reflects the extent to which the vesting period has expired and the Group’s best estimate of the number of equity instruments that will ultimately vest. The expense is recorded in “Salaries and employee benefits” in the consolidated statement of income.</w:t>
      </w:r>
    </w:p>
    <w:p>
      <w:pPr>
        <w:spacing w:after="0" w:line="175"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When the terms of a share-based liquidation are modified, the minimum expense recognized is maintained as if the terms had not been modified. An additional expense is recognized for any modification which increases the total fair value of the share-based payment arrangement, or which is otherwise beneficial to the employee as measured at the date of modification.</w:t>
      </w:r>
    </w:p>
    <w:p>
      <w:pPr>
        <w:spacing w:after="0" w:line="175"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The dilutive effect of the shares granted under this plan is reflected as a share dilution in the computation of diluted earnings per share, see paragraph (w) above.</w:t>
      </w:r>
    </w:p>
    <w:p>
      <w:pPr>
        <w:spacing w:after="0" w:line="169" w:lineRule="exact"/>
        <w:rPr>
          <w:rFonts w:ascii="Arial" w:cs="Arial" w:eastAsia="Arial" w:hAnsi="Arial"/>
          <w:sz w:val="17"/>
          <w:szCs w:val="17"/>
          <w:color w:val="auto"/>
        </w:rPr>
      </w:pPr>
    </w:p>
    <w:p>
      <w:pPr>
        <w:ind w:left="315" w:right="6060" w:hanging="315"/>
        <w:spacing w:after="0" w:line="477" w:lineRule="auto"/>
        <w:tabs>
          <w:tab w:leader="none" w:pos="3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Derivative financial instruments and hedge accounting - Trading -</w:t>
      </w: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The Group negotiates derivative financial instruments in order to meet its customers needs. The Group may also take positions with the expectation of profiting from favorable movements in prices, rates or indexes.</w:t>
      </w:r>
    </w:p>
    <w:p>
      <w:pPr>
        <w:spacing w:after="0" w:line="143" w:lineRule="exact"/>
        <w:rPr>
          <w:rFonts w:ascii="Arial" w:cs="Arial" w:eastAsia="Arial" w:hAnsi="Arial"/>
          <w:sz w:val="17"/>
          <w:szCs w:val="17"/>
          <w:color w:val="auto"/>
        </w:rPr>
      </w:pPr>
    </w:p>
    <w:p>
      <w:pPr>
        <w:ind w:left="4895" w:hanging="97"/>
        <w:spacing w:after="0"/>
        <w:tabs>
          <w:tab w:leader="none" w:pos="4895" w:val="left"/>
        </w:tabs>
        <w:numPr>
          <w:ilvl w:val="1"/>
          <w:numId w:val="56"/>
        </w:numPr>
        <w:rPr>
          <w:rFonts w:ascii="Arial" w:cs="Arial" w:eastAsia="Arial" w:hAnsi="Arial"/>
          <w:sz w:val="17"/>
          <w:szCs w:val="17"/>
          <w:color w:val="auto"/>
        </w:rPr>
      </w:pPr>
      <w:r>
        <w:rPr>
          <w:rFonts w:ascii="Arial" w:cs="Arial" w:eastAsia="Arial" w:hAnsi="Arial"/>
          <w:sz w:val="17"/>
          <w:szCs w:val="17"/>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53" w:name="page54"/>
    <w:bookmarkEnd w:id="53"/>
    <w:p>
      <w:pPr>
        <w:jc w:val="both"/>
        <w:ind w:left="4"/>
        <w:spacing w:after="0" w:line="253" w:lineRule="auto"/>
        <w:rPr>
          <w:sz w:val="20"/>
          <w:szCs w:val="20"/>
          <w:color w:val="auto"/>
        </w:rPr>
      </w:pPr>
      <w:r>
        <w:rPr>
          <w:rFonts w:ascii="Arial" w:cs="Arial" w:eastAsia="Arial" w:hAnsi="Arial"/>
          <w:sz w:val="17"/>
          <w:szCs w:val="17"/>
          <w:color w:val="auto"/>
        </w:rPr>
        <w:t>Part of the transactions with derivatives, which provide effective economic hedges under the Group’s risk management positions, do not qualify for hedge accounting under the specific rules of IFRS 9 and are, therefore, treated as trading derivatives.</w:t>
      </w:r>
    </w:p>
    <w:p>
      <w:pPr>
        <w:spacing w:after="0" w:line="170" w:lineRule="exact"/>
        <w:rPr>
          <w:sz w:val="20"/>
          <w:szCs w:val="20"/>
          <w:color w:val="auto"/>
        </w:rPr>
      </w:pPr>
    </w:p>
    <w:p>
      <w:pPr>
        <w:jc w:val="both"/>
        <w:ind w:left="4"/>
        <w:spacing w:after="0" w:line="243" w:lineRule="auto"/>
        <w:rPr>
          <w:sz w:val="20"/>
          <w:szCs w:val="20"/>
          <w:color w:val="auto"/>
        </w:rPr>
      </w:pPr>
      <w:r>
        <w:rPr>
          <w:rFonts w:ascii="Arial" w:cs="Arial" w:eastAsia="Arial" w:hAnsi="Arial"/>
          <w:sz w:val="17"/>
          <w:szCs w:val="17"/>
          <w:color w:val="auto"/>
        </w:rPr>
        <w:t>Derivative financial instruments are initially recognized at fair value in the consolidated statement of financial position and subsequently are remeasured at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 of income.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color w:val="auto"/>
        </w:rPr>
        <w:t>Hedging -</w:t>
      </w:r>
    </w:p>
    <w:p>
      <w:pPr>
        <w:spacing w:after="0" w:line="193"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The Group uses derivative instruments to manage exposures to interest rate and foreign currency. To manage particular risks, the Group applies hedge accounting for transactions which meet the specified criteria.</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accordance with IFRS 9, to qualify as hedging operations, all the following conditions must be met:</w:t>
      </w:r>
    </w:p>
    <w:p>
      <w:pPr>
        <w:spacing w:after="0" w:line="193" w:lineRule="exact"/>
        <w:rPr>
          <w:sz w:val="20"/>
          <w:szCs w:val="20"/>
          <w:color w:val="auto"/>
        </w:rPr>
      </w:pPr>
    </w:p>
    <w:p>
      <w:pPr>
        <w:ind w:left="304" w:hanging="304"/>
        <w:spacing w:after="0"/>
        <w:tabs>
          <w:tab w:leader="none" w:pos="30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hedging relationship consists only of hedging instruments and eligible hedged items.</w:t>
      </w:r>
    </w:p>
    <w:p>
      <w:pPr>
        <w:spacing w:after="0" w:line="193" w:lineRule="exact"/>
        <w:rPr>
          <w:rFonts w:ascii="Arial" w:cs="Arial" w:eastAsia="Arial" w:hAnsi="Arial"/>
          <w:sz w:val="17"/>
          <w:szCs w:val="17"/>
          <w:color w:val="auto"/>
        </w:rPr>
      </w:pPr>
    </w:p>
    <w:p>
      <w:pPr>
        <w:ind w:left="304" w:right="220" w:hanging="304"/>
        <w:spacing w:after="0" w:line="243" w:lineRule="auto"/>
        <w:tabs>
          <w:tab w:leader="none" w:pos="304" w:val="left"/>
        </w:tabs>
        <w:numPr>
          <w:ilvl w:val="0"/>
          <w:numId w:val="57"/>
        </w:numPr>
        <w:rPr>
          <w:rFonts w:ascii="Arial" w:cs="Arial" w:eastAsia="Arial" w:hAnsi="Arial"/>
          <w:sz w:val="17"/>
          <w:szCs w:val="17"/>
          <w:color w:val="auto"/>
        </w:rPr>
      </w:pPr>
      <w:r>
        <w:rPr>
          <w:rFonts w:ascii="Arial" w:cs="Arial" w:eastAsia="Arial" w:hAnsi="Arial"/>
          <w:sz w:val="17"/>
          <w:szCs w:val="17"/>
          <w:color w:val="auto"/>
        </w:rPr>
        <w:t>At the inception of the hedging relationship, there is a designation and formal documentation of the hedging relationship and the entity’s risk management objective and strategy for undertaking the hedging. That documentation will include identification of the hedging instrument, the hedged item, the nature of the risk being hedged, and how the entity will assess whether the hedging relationship meets the hedge effectiveness requirements.</w:t>
      </w:r>
    </w:p>
    <w:p>
      <w:pPr>
        <w:spacing w:after="0" w:line="179" w:lineRule="exact"/>
        <w:rPr>
          <w:rFonts w:ascii="Arial" w:cs="Arial" w:eastAsia="Arial" w:hAnsi="Arial"/>
          <w:sz w:val="17"/>
          <w:szCs w:val="17"/>
          <w:color w:val="auto"/>
        </w:rPr>
      </w:pPr>
    </w:p>
    <w:p>
      <w:pPr>
        <w:ind w:left="304" w:hanging="304"/>
        <w:spacing w:after="0"/>
        <w:tabs>
          <w:tab w:leader="none" w:pos="30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hedge relationship meets all the following hedge effectiveness requirements:</w:t>
      </w:r>
    </w:p>
    <w:p>
      <w:pPr>
        <w:spacing w:after="0" w:line="191" w:lineRule="exact"/>
        <w:rPr>
          <w:rFonts w:ascii="Arial" w:cs="Arial" w:eastAsia="Arial" w:hAnsi="Arial"/>
          <w:sz w:val="17"/>
          <w:szCs w:val="17"/>
          <w:color w:val="auto"/>
        </w:rPr>
      </w:pPr>
    </w:p>
    <w:p>
      <w:pPr>
        <w:ind w:left="624" w:hanging="313"/>
        <w:spacing w:after="0"/>
        <w:tabs>
          <w:tab w:leader="none" w:pos="624"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There is an economic relationship between the hedged item and the hedging instrument.</w:t>
      </w:r>
    </w:p>
    <w:p>
      <w:pPr>
        <w:ind w:left="624" w:hanging="313"/>
        <w:spacing w:after="0" w:line="238" w:lineRule="auto"/>
        <w:tabs>
          <w:tab w:leader="none" w:pos="624"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effect of credit risk does not predominate over the changes in value that come from that economic relationship.</w:t>
      </w:r>
    </w:p>
    <w:p>
      <w:pPr>
        <w:ind w:left="624" w:right="200" w:hanging="313"/>
        <w:spacing w:after="0" w:line="246" w:lineRule="auto"/>
        <w:tabs>
          <w:tab w:leader="none" w:pos="624"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coverage ratio of the hedging relationship is the same as that derived from the amount of the hedged item that the entity actually hedges and the amount of the hedging instrument that the entity actually uses to hedge that amount of the hedged item.</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accounting treatment is established based on the nature of the hedged item and compliance with hedging criteria.</w:t>
      </w:r>
    </w:p>
    <w:p>
      <w:pPr>
        <w:spacing w:after="0" w:line="193" w:lineRule="exact"/>
        <w:rPr>
          <w:sz w:val="20"/>
          <w:szCs w:val="20"/>
          <w:color w:val="auto"/>
        </w:rPr>
      </w:pPr>
    </w:p>
    <w:p>
      <w:pPr>
        <w:ind w:left="304" w:hanging="304"/>
        <w:spacing w:after="0"/>
        <w:tabs>
          <w:tab w:leader="none" w:pos="304" w:val="left"/>
        </w:tabs>
        <w:numPr>
          <w:ilvl w:val="0"/>
          <w:numId w:val="58"/>
        </w:numPr>
        <w:rPr>
          <w:rFonts w:ascii="Arial" w:cs="Arial" w:eastAsia="Arial" w:hAnsi="Arial"/>
          <w:sz w:val="17"/>
          <w:szCs w:val="17"/>
          <w:color w:val="auto"/>
        </w:rPr>
      </w:pPr>
      <w:r>
        <w:rPr>
          <w:rFonts w:ascii="Arial" w:cs="Arial" w:eastAsia="Arial" w:hAnsi="Arial"/>
          <w:sz w:val="17"/>
          <w:szCs w:val="17"/>
          <w:color w:val="auto"/>
        </w:rPr>
        <w:t>Cash flow hedges -</w:t>
      </w:r>
    </w:p>
    <w:p>
      <w:pPr>
        <w:spacing w:after="0" w:line="193" w:lineRule="exact"/>
        <w:rPr>
          <w:rFonts w:ascii="Arial" w:cs="Arial" w:eastAsia="Arial" w:hAnsi="Arial"/>
          <w:sz w:val="17"/>
          <w:szCs w:val="17"/>
          <w:color w:val="auto"/>
        </w:rPr>
      </w:pPr>
    </w:p>
    <w:p>
      <w:pPr>
        <w:jc w:val="both"/>
        <w:ind w:left="304"/>
        <w:spacing w:after="0" w:line="243" w:lineRule="auto"/>
        <w:rPr>
          <w:rFonts w:ascii="Arial" w:cs="Arial" w:eastAsia="Arial" w:hAnsi="Arial"/>
          <w:sz w:val="17"/>
          <w:szCs w:val="17"/>
          <w:color w:val="auto"/>
        </w:rPr>
      </w:pPr>
      <w:r>
        <w:rPr>
          <w:rFonts w:ascii="Arial" w:cs="Arial" w:eastAsia="Arial" w:hAnsi="Arial"/>
          <w:sz w:val="17"/>
          <w:szCs w:val="17"/>
          <w:color w:val="auto"/>
        </w:rPr>
        <w:t>The effective portion of the accumulated gain or loss on the hedging instrument is recognized directly as part of other comprehensive income in “Cash flow hedge reserve” in the consolidated statement of changes in equity, and it is reclassified to the consolidated statement of income in the same period or periods in which the covered operation affects results; that is, when income or financial expenses related with coverage are registered, or when a forecasted transaction occurs.</w:t>
      </w:r>
    </w:p>
    <w:p>
      <w:pPr>
        <w:spacing w:after="0" w:line="179"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The part of the gain or loss in derivatives that represents the ineffective portion is recognized immediately in the consolidated statement of income.</w:t>
      </w:r>
    </w:p>
    <w:p>
      <w:pPr>
        <w:spacing w:after="0" w:line="169"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Amounts originally recognized in other comprehensive income and subsequently reclassified to the consolidated statement of income are registered as expenses or income in the cases in which the hedged item is reported.</w:t>
      </w:r>
    </w:p>
    <w:p>
      <w:pPr>
        <w:spacing w:after="0" w:line="143" w:lineRule="exact"/>
        <w:rPr>
          <w:rFonts w:ascii="Arial" w:cs="Arial" w:eastAsia="Arial" w:hAnsi="Arial"/>
          <w:sz w:val="17"/>
          <w:szCs w:val="17"/>
          <w:color w:val="auto"/>
        </w:rPr>
      </w:pPr>
    </w:p>
    <w:p>
      <w:pPr>
        <w:ind w:left="4584" w:hanging="97"/>
        <w:spacing w:after="0"/>
        <w:tabs>
          <w:tab w:leader="none" w:pos="4584" w:val="left"/>
        </w:tabs>
        <w:numPr>
          <w:ilvl w:val="1"/>
          <w:numId w:val="58"/>
        </w:numPr>
        <w:rPr>
          <w:rFonts w:ascii="Arial" w:cs="Arial" w:eastAsia="Arial" w:hAnsi="Arial"/>
          <w:sz w:val="17"/>
          <w:szCs w:val="17"/>
          <w:color w:val="auto"/>
        </w:rPr>
      </w:pPr>
      <w:r>
        <w:rPr>
          <w:rFonts w:ascii="Arial" w:cs="Arial" w:eastAsia="Arial" w:hAnsi="Arial"/>
          <w:sz w:val="17"/>
          <w:szCs w:val="17"/>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54" w:name="page55"/>
    <w:bookmarkEnd w:id="54"/>
    <w:p>
      <w:pPr>
        <w:jc w:val="both"/>
        <w:ind w:left="304"/>
        <w:spacing w:after="0" w:line="242" w:lineRule="auto"/>
        <w:rPr>
          <w:sz w:val="20"/>
          <w:szCs w:val="20"/>
          <w:color w:val="auto"/>
        </w:rPr>
      </w:pPr>
      <w:r>
        <w:rPr>
          <w:rFonts w:ascii="Arial" w:cs="Arial" w:eastAsia="Arial" w:hAnsi="Arial"/>
          <w:sz w:val="17"/>
          <w:szCs w:val="17"/>
          <w:color w:val="auto"/>
        </w:rPr>
        <w:t>If the forecasted transaction or firm commitment is no longer expected to occur, the accumulated gain or loss previously recognized in the cash flow hedge reserve is transferred to the consolidated statement of income. If the hedging instrument expires or is sold, terminated or exercised without replacement or rollover, or if its designation as a hedge is revoked, any unrealized accumulated gain or loss previously in the cash flow hedge reserve remains in said reserve until the planned transaction or firm commitment affects profit or loss. At the same time, the derivative is recorded as a trading derivative.</w:t>
      </w:r>
    </w:p>
    <w:p>
      <w:pPr>
        <w:spacing w:after="0" w:line="179" w:lineRule="exact"/>
        <w:rPr>
          <w:sz w:val="20"/>
          <w:szCs w:val="20"/>
          <w:color w:val="auto"/>
        </w:rPr>
      </w:pPr>
    </w:p>
    <w:p>
      <w:pPr>
        <w:ind w:left="304" w:hanging="304"/>
        <w:spacing w:after="0"/>
        <w:tabs>
          <w:tab w:leader="none" w:pos="3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Fair value hedges -</w:t>
      </w:r>
    </w:p>
    <w:p>
      <w:pPr>
        <w:spacing w:after="0" w:line="193"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The change in the fair value of a fair value hedge and the change in the fair value of the hedged item attributable to the risk hedged are recorded as a part of the carrying amount of the hedged item and recognized in the consolidated statement of income.</w:t>
      </w:r>
    </w:p>
    <w:p>
      <w:pPr>
        <w:spacing w:after="0" w:line="169" w:lineRule="exact"/>
        <w:rPr>
          <w:rFonts w:ascii="Arial" w:cs="Arial" w:eastAsia="Arial" w:hAnsi="Arial"/>
          <w:sz w:val="17"/>
          <w:szCs w:val="17"/>
          <w:color w:val="auto"/>
        </w:rPr>
      </w:pPr>
    </w:p>
    <w:p>
      <w:pPr>
        <w:jc w:val="both"/>
        <w:ind w:left="304"/>
        <w:spacing w:after="0" w:line="243" w:lineRule="auto"/>
        <w:rPr>
          <w:rFonts w:ascii="Arial" w:cs="Arial" w:eastAsia="Arial" w:hAnsi="Arial"/>
          <w:sz w:val="17"/>
          <w:szCs w:val="17"/>
          <w:color w:val="auto"/>
        </w:rPr>
      </w:pPr>
      <w:r>
        <w:rPr>
          <w:rFonts w:ascii="Arial" w:cs="Arial" w:eastAsia="Arial" w:hAnsi="Arial"/>
          <w:sz w:val="17"/>
          <w:szCs w:val="17"/>
          <w:color w:val="auto"/>
        </w:rPr>
        <w:t>For fair value hedges relating to items carried at amortized cost, any adjustment to the carrying amount of these items, as a result of discontinuation of the hedge, will be amortized through the consolidated statement of income over the remaining life of the hedge. Amortization may begin as soon as an adjustment exists and no later than when the hedged item ceases to be adjusted for changes in its fair value attributable to the risk being hedged.</w:t>
      </w:r>
    </w:p>
    <w:p>
      <w:pPr>
        <w:spacing w:after="0" w:line="179" w:lineRule="exact"/>
        <w:rPr>
          <w:rFonts w:ascii="Arial" w:cs="Arial" w:eastAsia="Arial" w:hAnsi="Arial"/>
          <w:sz w:val="17"/>
          <w:szCs w:val="17"/>
          <w:color w:val="auto"/>
        </w:rPr>
      </w:pPr>
    </w:p>
    <w:p>
      <w:pPr>
        <w:ind w:left="304"/>
        <w:spacing w:after="0" w:line="247" w:lineRule="auto"/>
        <w:rPr>
          <w:rFonts w:ascii="Arial" w:cs="Arial" w:eastAsia="Arial" w:hAnsi="Arial"/>
          <w:sz w:val="17"/>
          <w:szCs w:val="17"/>
          <w:color w:val="auto"/>
        </w:rPr>
      </w:pPr>
      <w:r>
        <w:rPr>
          <w:rFonts w:ascii="Arial" w:cs="Arial" w:eastAsia="Arial" w:hAnsi="Arial"/>
          <w:sz w:val="17"/>
          <w:szCs w:val="17"/>
          <w:color w:val="auto"/>
        </w:rPr>
        <w:t>If the hedged item is derecognized, the unamortized fair amount is recognized immediately in the consolidated statement of income.</w:t>
      </w:r>
    </w:p>
    <w:p>
      <w:pPr>
        <w:spacing w:after="0" w:line="381" w:lineRule="exact"/>
        <w:rPr>
          <w:rFonts w:ascii="Arial" w:cs="Arial" w:eastAsia="Arial" w:hAnsi="Arial"/>
          <w:sz w:val="17"/>
          <w:szCs w:val="17"/>
          <w:color w:val="auto"/>
        </w:rPr>
      </w:pPr>
    </w:p>
    <w:p>
      <w:pPr>
        <w:jc w:val="both"/>
        <w:ind w:left="304"/>
        <w:spacing w:after="0" w:line="241" w:lineRule="auto"/>
        <w:rPr>
          <w:rFonts w:ascii="Arial" w:cs="Arial" w:eastAsia="Arial" w:hAnsi="Arial"/>
          <w:sz w:val="17"/>
          <w:szCs w:val="17"/>
          <w:color w:val="auto"/>
        </w:rPr>
      </w:pPr>
      <w:r>
        <w:rPr>
          <w:rFonts w:ascii="Arial" w:cs="Arial" w:eastAsia="Arial" w:hAnsi="Arial"/>
          <w:sz w:val="17"/>
          <w:szCs w:val="17"/>
          <w:color w:val="auto"/>
        </w:rPr>
        <w:t>The hedge relationship is terminated when the hedging instrument expires or is sold, terminated or exercised, or when the hedge no longer meets the criteria for hedge accounting, the hedge relationship is terminated. For fair value hedges related to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statement of income. At the same time, the derivative is recorded as a trading derivative.</w:t>
      </w:r>
    </w:p>
    <w:p>
      <w:pPr>
        <w:spacing w:after="0" w:line="182" w:lineRule="exact"/>
        <w:rPr>
          <w:rFonts w:ascii="Arial" w:cs="Arial" w:eastAsia="Arial" w:hAnsi="Arial"/>
          <w:sz w:val="17"/>
          <w:szCs w:val="17"/>
          <w:color w:val="auto"/>
        </w:rPr>
      </w:pPr>
    </w:p>
    <w:p>
      <w:pPr>
        <w:ind w:left="304" w:hanging="304"/>
        <w:spacing w:after="0"/>
        <w:tabs>
          <w:tab w:leader="none" w:pos="3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Hedges of net investments in foreign businesses -</w:t>
      </w:r>
    </w:p>
    <w:p>
      <w:pPr>
        <w:spacing w:after="0" w:line="193"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Hedges of net investments in foreign operations are recognized for in a similar manner to cash flow hedges.</w:t>
      </w:r>
    </w:p>
    <w:p>
      <w:pPr>
        <w:spacing w:after="0" w:line="193" w:lineRule="exact"/>
        <w:rPr>
          <w:rFonts w:ascii="Arial" w:cs="Arial" w:eastAsia="Arial" w:hAnsi="Arial"/>
          <w:sz w:val="17"/>
          <w:szCs w:val="17"/>
          <w:color w:val="auto"/>
        </w:rPr>
      </w:pPr>
    </w:p>
    <w:p>
      <w:pPr>
        <w:jc w:val="both"/>
        <w:ind w:left="304"/>
        <w:spacing w:after="0" w:line="243" w:lineRule="auto"/>
        <w:rPr>
          <w:rFonts w:ascii="Arial" w:cs="Arial" w:eastAsia="Arial" w:hAnsi="Arial"/>
          <w:sz w:val="17"/>
          <w:szCs w:val="17"/>
          <w:color w:val="auto"/>
        </w:rPr>
      </w:pPr>
      <w:r>
        <w:rPr>
          <w:rFonts w:ascii="Arial" w:cs="Arial" w:eastAsia="Arial" w:hAnsi="Arial"/>
          <w:sz w:val="17"/>
          <w:szCs w:val="17"/>
          <w:color w:val="auto"/>
        </w:rPr>
        <w:t>Any gain or loss on the hedging instrument related to the effective portion of the hedge is recognized in other comprehensive income and accumulated in the item “Exchange differences on translation of foreign operations” in the consolidated statement of changes in net equity. The gain or loss related to the ineffective portion is recognized immediately in the consolidated statement of income under “Other income” or “Other expenses”.</w:t>
      </w:r>
    </w:p>
    <w:p>
      <w:pPr>
        <w:spacing w:after="0" w:line="179"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Accumulated gains and losses in the consolidated statement of changes in net equity are reclassified to the consolidated statement of income when the net investment abroad is disposed or sold partially.</w:t>
      </w:r>
    </w:p>
    <w:p>
      <w:pPr>
        <w:spacing w:after="0" w:line="169" w:lineRule="exact"/>
        <w:rPr>
          <w:rFonts w:ascii="Arial" w:cs="Arial" w:eastAsia="Arial" w:hAnsi="Arial"/>
          <w:sz w:val="17"/>
          <w:szCs w:val="17"/>
          <w:color w:val="auto"/>
        </w:rPr>
      </w:pPr>
    </w:p>
    <w:p>
      <w:pPr>
        <w:ind w:left="304" w:hanging="304"/>
        <w:spacing w:after="0"/>
        <w:tabs>
          <w:tab w:leader="none" w:pos="3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Embedded derivatives -</w:t>
      </w:r>
    </w:p>
    <w:p>
      <w:pPr>
        <w:spacing w:after="0" w:line="193" w:lineRule="exact"/>
        <w:rPr>
          <w:rFonts w:ascii="Arial" w:cs="Arial" w:eastAsia="Arial" w:hAnsi="Arial"/>
          <w:sz w:val="17"/>
          <w:szCs w:val="17"/>
          <w:color w:val="auto"/>
        </w:rPr>
      </w:pPr>
    </w:p>
    <w:p>
      <w:pPr>
        <w:jc w:val="both"/>
        <w:ind w:left="304"/>
        <w:spacing w:after="0" w:line="246" w:lineRule="auto"/>
        <w:rPr>
          <w:rFonts w:ascii="Arial" w:cs="Arial" w:eastAsia="Arial" w:hAnsi="Arial"/>
          <w:sz w:val="17"/>
          <w:szCs w:val="17"/>
          <w:color w:val="auto"/>
        </w:rPr>
      </w:pPr>
      <w:r>
        <w:rPr>
          <w:rFonts w:ascii="Arial" w:cs="Arial" w:eastAsia="Arial" w:hAnsi="Arial"/>
          <w:sz w:val="17"/>
          <w:szCs w:val="17"/>
          <w:color w:val="auto"/>
        </w:rPr>
        <w:t>Derivatives embedded in host contracts are accounted for as separate derivatives and recorded at fair value if their economic characteristics and risks are not closely related to those of the host contract and said host contract is not held for trading or designated at fair value through profit or loss.</w:t>
      </w:r>
    </w:p>
    <w:p>
      <w:pPr>
        <w:spacing w:after="0" w:line="150" w:lineRule="exact"/>
        <w:rPr>
          <w:rFonts w:ascii="Arial" w:cs="Arial" w:eastAsia="Arial" w:hAnsi="Arial"/>
          <w:sz w:val="17"/>
          <w:szCs w:val="17"/>
          <w:color w:val="auto"/>
        </w:rPr>
      </w:pPr>
    </w:p>
    <w:p>
      <w:pPr>
        <w:ind w:left="4584" w:hanging="97"/>
        <w:spacing w:after="0"/>
        <w:tabs>
          <w:tab w:leader="none" w:pos="4584" w:val="left"/>
        </w:tabs>
        <w:numPr>
          <w:ilvl w:val="1"/>
          <w:numId w:val="59"/>
        </w:numPr>
        <w:rPr>
          <w:rFonts w:ascii="Arial" w:cs="Arial" w:eastAsia="Arial" w:hAnsi="Arial"/>
          <w:sz w:val="17"/>
          <w:szCs w:val="17"/>
          <w:color w:val="auto"/>
        </w:rPr>
      </w:pPr>
      <w:r>
        <w:rPr>
          <w:rFonts w:ascii="Arial" w:cs="Arial" w:eastAsia="Arial" w:hAnsi="Arial"/>
          <w:sz w:val="17"/>
          <w:szCs w:val="17"/>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55" w:name="page56"/>
    <w:bookmarkEnd w:id="55"/>
    <w:p>
      <w:pPr>
        <w:ind w:left="315" w:hanging="315"/>
        <w:spacing w:after="0"/>
        <w:tabs>
          <w:tab w:leader="none" w:pos="315" w:val="left"/>
        </w:tabs>
        <w:numPr>
          <w:ilvl w:val="0"/>
          <w:numId w:val="60"/>
        </w:numPr>
        <w:rPr>
          <w:rFonts w:ascii="Arial" w:cs="Arial" w:eastAsia="Arial" w:hAnsi="Arial"/>
          <w:sz w:val="17"/>
          <w:szCs w:val="17"/>
          <w:color w:val="auto"/>
        </w:rPr>
      </w:pPr>
      <w:r>
        <w:rPr>
          <w:rFonts w:ascii="Arial" w:cs="Arial" w:eastAsia="Arial" w:hAnsi="Arial"/>
          <w:sz w:val="17"/>
          <w:szCs w:val="17"/>
          <w:color w:val="auto"/>
        </w:rPr>
        <w:t>Fair value measurement -</w:t>
      </w:r>
    </w:p>
    <w:p>
      <w:pPr>
        <w:spacing w:after="0" w:line="192" w:lineRule="exact"/>
        <w:rPr>
          <w:rFonts w:ascii="Arial" w:cs="Arial" w:eastAsia="Arial" w:hAnsi="Arial"/>
          <w:sz w:val="17"/>
          <w:szCs w:val="17"/>
          <w:color w:val="auto"/>
        </w:rPr>
      </w:pPr>
    </w:p>
    <w:p>
      <w:pPr>
        <w:jc w:val="both"/>
        <w:ind w:left="315"/>
        <w:spacing w:after="0" w:line="246" w:lineRule="auto"/>
        <w:rPr>
          <w:rFonts w:ascii="Arial" w:cs="Arial" w:eastAsia="Arial" w:hAnsi="Arial"/>
          <w:sz w:val="17"/>
          <w:szCs w:val="17"/>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74" w:lineRule="exact"/>
        <w:rPr>
          <w:rFonts w:ascii="Arial" w:cs="Arial" w:eastAsia="Arial" w:hAnsi="Arial"/>
          <w:sz w:val="17"/>
          <w:szCs w:val="17"/>
          <w:color w:val="auto"/>
        </w:rPr>
      </w:pPr>
    </w:p>
    <w:p>
      <w:pPr>
        <w:ind w:left="615" w:hanging="304"/>
        <w:spacing w:after="0"/>
        <w:tabs>
          <w:tab w:leader="none" w:pos="615" w:val="left"/>
        </w:tabs>
        <w:numPr>
          <w:ilvl w:val="1"/>
          <w:numId w:val="60"/>
        </w:numPr>
        <w:rPr>
          <w:rFonts w:ascii="Arial" w:cs="Arial" w:eastAsia="Arial" w:hAnsi="Arial"/>
          <w:sz w:val="17"/>
          <w:szCs w:val="17"/>
          <w:color w:val="auto"/>
        </w:rPr>
      </w:pPr>
      <w:r>
        <w:rPr>
          <w:rFonts w:ascii="Arial" w:cs="Arial" w:eastAsia="Arial" w:hAnsi="Arial"/>
          <w:sz w:val="17"/>
          <w:szCs w:val="17"/>
          <w:color w:val="auto"/>
        </w:rPr>
        <w:t>In the principal market for the asset or liability, or</w:t>
      </w:r>
    </w:p>
    <w:p>
      <w:pPr>
        <w:ind w:left="615" w:hanging="304"/>
        <w:spacing w:after="0"/>
        <w:tabs>
          <w:tab w:leader="none" w:pos="615" w:val="left"/>
        </w:tabs>
        <w:numPr>
          <w:ilvl w:val="1"/>
          <w:numId w:val="60"/>
        </w:numPr>
        <w:rPr>
          <w:rFonts w:ascii="Arial" w:cs="Arial" w:eastAsia="Arial" w:hAnsi="Arial"/>
          <w:sz w:val="17"/>
          <w:szCs w:val="17"/>
          <w:color w:val="auto"/>
        </w:rPr>
      </w:pPr>
      <w:r>
        <w:rPr>
          <w:rFonts w:ascii="Arial" w:cs="Arial" w:eastAsia="Arial" w:hAnsi="Arial"/>
          <w:sz w:val="17"/>
          <w:szCs w:val="17"/>
          <w:color w:val="auto"/>
        </w:rPr>
        <w:t>In the absence of a principal market, in the most advantageous market for the asset or liability.</w:t>
      </w:r>
    </w:p>
    <w:p>
      <w:pPr>
        <w:spacing w:after="0" w:line="193"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The principal or the most advantageous market must be accessible by the Group. Also, the fair value of a liability reflects its non-performance risk.</w:t>
      </w:r>
    </w:p>
    <w:p>
      <w:pPr>
        <w:spacing w:after="0" w:line="169"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When available, the Group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76"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If there is no quoted price in an active market, then the Group uses valuation techniques that maximize the use of relevant observable inputs and minimize the use of unobservable inputs.</w:t>
      </w:r>
    </w:p>
    <w:p>
      <w:pPr>
        <w:spacing w:after="0" w:line="169" w:lineRule="exact"/>
        <w:rPr>
          <w:sz w:val="20"/>
          <w:szCs w:val="20"/>
          <w:color w:val="auto"/>
        </w:rPr>
      </w:pPr>
    </w:p>
    <w:p>
      <w:pPr>
        <w:ind w:left="315"/>
        <w:spacing w:after="0"/>
        <w:rPr>
          <w:sz w:val="20"/>
          <w:szCs w:val="20"/>
          <w:color w:val="auto"/>
        </w:rPr>
      </w:pPr>
      <w:r>
        <w:rPr>
          <w:rFonts w:ascii="Arial" w:cs="Arial" w:eastAsia="Arial" w:hAnsi="Arial"/>
          <w:sz w:val="17"/>
          <w:szCs w:val="17"/>
          <w:color w:val="auto"/>
        </w:rPr>
        <w:t>The chosen valuation technique incorporates all of the factors that market participants would take into account in pricing a transaction.</w:t>
      </w:r>
    </w:p>
    <w:p>
      <w:pPr>
        <w:spacing w:after="0" w:line="193"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All assets and liabilities for which fair value is measured or disclosed in the consolidated financial statements are categorized within the fair value hierarchy, described as follows, based on the lowest level of input used that is significant to the fair value measurement as a whole:</w:t>
      </w:r>
    </w:p>
    <w:p>
      <w:pPr>
        <w:spacing w:after="0" w:line="176" w:lineRule="exact"/>
        <w:rPr>
          <w:sz w:val="20"/>
          <w:szCs w:val="20"/>
          <w:color w:val="auto"/>
        </w:rPr>
      </w:pPr>
    </w:p>
    <w:p>
      <w:pPr>
        <w:ind w:left="615" w:hanging="304"/>
        <w:spacing w:after="0"/>
        <w:tabs>
          <w:tab w:leader="none" w:pos="6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Level 1: Quoted (unadjusted) market prices in active markets for identical assets or liabilities.</w:t>
      </w:r>
    </w:p>
    <w:p>
      <w:pPr>
        <w:spacing w:after="0" w:line="193" w:lineRule="exact"/>
        <w:rPr>
          <w:rFonts w:ascii="Arial" w:cs="Arial" w:eastAsia="Arial" w:hAnsi="Arial"/>
          <w:sz w:val="17"/>
          <w:szCs w:val="17"/>
          <w:color w:val="auto"/>
        </w:rPr>
      </w:pPr>
    </w:p>
    <w:p>
      <w:pPr>
        <w:ind w:left="615" w:hanging="304"/>
        <w:spacing w:after="0" w:line="254" w:lineRule="auto"/>
        <w:tabs>
          <w:tab w:leader="none" w:pos="6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Level 2: Valuation techniques for which the lowest level input that is significant to the fair value measurement is directly or indirectly observable.</w:t>
      </w:r>
    </w:p>
    <w:p>
      <w:pPr>
        <w:spacing w:after="0" w:line="169" w:lineRule="exact"/>
        <w:rPr>
          <w:rFonts w:ascii="Arial" w:cs="Arial" w:eastAsia="Arial" w:hAnsi="Arial"/>
          <w:sz w:val="17"/>
          <w:szCs w:val="17"/>
          <w:color w:val="auto"/>
        </w:rPr>
      </w:pPr>
    </w:p>
    <w:p>
      <w:pPr>
        <w:ind w:left="615" w:hanging="304"/>
        <w:spacing w:after="0"/>
        <w:tabs>
          <w:tab w:leader="none" w:pos="6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Level 3: Valuation techniques for which the lowest level input that is significant to the fair value measurement is unobservable.</w:t>
      </w:r>
    </w:p>
    <w:p>
      <w:pPr>
        <w:spacing w:after="0" w:line="193"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For assets and liabilities that are recognized at fair value in the consolidated financial statements on a recurring basis, the Group determines whether transfers have occurred between levels in the hierarchy by re-assessing categorization at the end of each reporting period.</w:t>
      </w:r>
    </w:p>
    <w:p>
      <w:pPr>
        <w:spacing w:after="0" w:line="176" w:lineRule="exact"/>
        <w:rPr>
          <w:sz w:val="20"/>
          <w:szCs w:val="20"/>
          <w:color w:val="auto"/>
        </w:rPr>
      </w:pPr>
    </w:p>
    <w:p>
      <w:pPr>
        <w:jc w:val="both"/>
        <w:ind w:left="315"/>
        <w:spacing w:after="0" w:line="254" w:lineRule="auto"/>
        <w:rPr>
          <w:sz w:val="20"/>
          <w:szCs w:val="20"/>
          <w:color w:val="auto"/>
        </w:rPr>
      </w:pPr>
      <w:r>
        <w:rPr>
          <w:rFonts w:ascii="Arial" w:cs="Arial" w:eastAsia="Arial" w:hAnsi="Arial"/>
          <w:sz w:val="17"/>
          <w:szCs w:val="17"/>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169" w:lineRule="exact"/>
        <w:rPr>
          <w:sz w:val="20"/>
          <w:szCs w:val="20"/>
          <w:color w:val="auto"/>
        </w:rPr>
      </w:pPr>
    </w:p>
    <w:p>
      <w:pPr>
        <w:ind w:left="315"/>
        <w:spacing w:after="0"/>
        <w:rPr>
          <w:sz w:val="20"/>
          <w:szCs w:val="20"/>
          <w:color w:val="auto"/>
        </w:rPr>
      </w:pPr>
      <w:r>
        <w:rPr>
          <w:rFonts w:ascii="Arial" w:cs="Arial" w:eastAsia="Arial" w:hAnsi="Arial"/>
          <w:sz w:val="17"/>
          <w:szCs w:val="17"/>
          <w:color w:val="auto"/>
        </w:rPr>
        <w:t>Also, fair value of financial instruments measured at amortized cost is disclosed in Note 34.8(b).</w:t>
      </w:r>
    </w:p>
    <w:p>
      <w:pPr>
        <w:spacing w:after="0" w:line="193" w:lineRule="exact"/>
        <w:rPr>
          <w:sz w:val="20"/>
          <w:szCs w:val="20"/>
          <w:color w:val="auto"/>
        </w:rPr>
      </w:pPr>
    </w:p>
    <w:p>
      <w:pPr>
        <w:ind w:left="315" w:hanging="315"/>
        <w:spacing w:after="0"/>
        <w:tabs>
          <w:tab w:leader="none" w:pos="315"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Segment reporting -</w:t>
      </w:r>
    </w:p>
    <w:p>
      <w:pPr>
        <w:spacing w:after="0" w:line="193"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The Group reports financial and descriptive information about its reportable segments. Reportable segments are operating segments or aggregations of operating segments that meet specified criteria.</w:t>
      </w:r>
    </w:p>
    <w:p>
      <w:pPr>
        <w:spacing w:after="0" w:line="143" w:lineRule="exact"/>
        <w:rPr>
          <w:rFonts w:ascii="Arial" w:cs="Arial" w:eastAsia="Arial" w:hAnsi="Arial"/>
          <w:sz w:val="17"/>
          <w:szCs w:val="17"/>
          <w:color w:val="auto"/>
        </w:rPr>
      </w:pPr>
    </w:p>
    <w:p>
      <w:pPr>
        <w:ind w:left="4895" w:hanging="97"/>
        <w:spacing w:after="0"/>
        <w:tabs>
          <w:tab w:leader="none" w:pos="4895" w:val="left"/>
        </w:tabs>
        <w:numPr>
          <w:ilvl w:val="1"/>
          <w:numId w:val="62"/>
        </w:numPr>
        <w:rPr>
          <w:rFonts w:ascii="Arial" w:cs="Arial" w:eastAsia="Arial" w:hAnsi="Arial"/>
          <w:sz w:val="17"/>
          <w:szCs w:val="17"/>
          <w:color w:val="auto"/>
        </w:rPr>
      </w:pPr>
      <w:r>
        <w:rPr>
          <w:rFonts w:ascii="Arial" w:cs="Arial" w:eastAsia="Arial" w:hAnsi="Arial"/>
          <w:sz w:val="17"/>
          <w:szCs w:val="17"/>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56" w:name="page57"/>
    <w:bookmarkEnd w:id="56"/>
    <w:p>
      <w:pPr>
        <w:jc w:val="both"/>
        <w:ind w:left="320"/>
        <w:spacing w:after="0" w:line="243" w:lineRule="auto"/>
        <w:rPr>
          <w:sz w:val="20"/>
          <w:szCs w:val="20"/>
          <w:color w:val="auto"/>
        </w:rPr>
      </w:pPr>
      <w:r>
        <w:rPr>
          <w:rFonts w:ascii="Arial" w:cs="Arial" w:eastAsia="Arial" w:hAnsi="Arial"/>
          <w:sz w:val="17"/>
          <w:szCs w:val="17"/>
          <w:color w:val="auto"/>
        </w:rPr>
        <w:t>Operating segments are a component of an entity for which separate financial information is available that is evaluated regularly by the entity’s Chief Operating Decision Maker (“CODM”) in making decisions about how to allocate resources and in assessing performance. The Group reported, financial information is required to be reported on the same basis as it is used internally for evaluating operating segments’ performance and deciding how to allocate resources to segments, Note 31.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ab) Fiduciary activities, fund management of funds and pension funds -</w:t>
      </w:r>
    </w:p>
    <w:p>
      <w:pPr>
        <w:spacing w:after="0" w:line="193" w:lineRule="exact"/>
        <w:rPr>
          <w:sz w:val="20"/>
          <w:szCs w:val="20"/>
          <w:color w:val="auto"/>
        </w:rPr>
      </w:pPr>
    </w:p>
    <w:p>
      <w:pPr>
        <w:jc w:val="both"/>
        <w:ind w:left="320"/>
        <w:spacing w:after="0" w:line="246" w:lineRule="auto"/>
        <w:rPr>
          <w:sz w:val="20"/>
          <w:szCs w:val="20"/>
          <w:color w:val="auto"/>
        </w:rPr>
      </w:pPr>
      <w:r>
        <w:rPr>
          <w:rFonts w:ascii="Arial" w:cs="Arial" w:eastAsia="Arial" w:hAnsi="Arial"/>
          <w:sz w:val="17"/>
          <w:szCs w:val="17"/>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34.9.</w:t>
      </w:r>
    </w:p>
    <w:p>
      <w:pPr>
        <w:spacing w:after="0" w:line="176" w:lineRule="exact"/>
        <w:rPr>
          <w:sz w:val="20"/>
          <w:szCs w:val="20"/>
          <w:color w:val="auto"/>
        </w:rPr>
      </w:pPr>
    </w:p>
    <w:p>
      <w:pPr>
        <w:ind w:right="740" w:firstLine="311"/>
        <w:spacing w:after="0" w:line="477" w:lineRule="auto"/>
        <w:rPr>
          <w:sz w:val="20"/>
          <w:szCs w:val="20"/>
          <w:color w:val="auto"/>
        </w:rPr>
      </w:pPr>
      <w:r>
        <w:rPr>
          <w:rFonts w:ascii="Arial" w:cs="Arial" w:eastAsia="Arial" w:hAnsi="Arial"/>
          <w:sz w:val="17"/>
          <w:szCs w:val="17"/>
          <w:color w:val="auto"/>
        </w:rPr>
        <w:t>Commissions generated for these activities are included as “Commissions and fees” in the consolidated statement of income. ac) Cash and cash equivalents -</w:t>
      </w:r>
    </w:p>
    <w:p>
      <w:pPr>
        <w:jc w:val="both"/>
        <w:ind w:left="320"/>
        <w:spacing w:after="0" w:line="246" w:lineRule="auto"/>
        <w:rPr>
          <w:sz w:val="20"/>
          <w:szCs w:val="20"/>
          <w:color w:val="auto"/>
        </w:rPr>
      </w:pPr>
      <w:r>
        <w:rPr>
          <w:rFonts w:ascii="Arial" w:cs="Arial" w:eastAsia="Arial" w:hAnsi="Arial"/>
          <w:sz w:val="17"/>
          <w:szCs w:val="17"/>
          <w:color w:val="auto"/>
        </w:rPr>
        <w:t>For the purpose of the consolidated statement of cash flows, cash and cash equivalents comprise balances of cash and non-restricted balances with central banks, overnight deposits, interbank funds, time deposits with maturities of three months or less from the date of acquisition, excluding restricted cash, see Note 4(a).</w:t>
      </w:r>
    </w:p>
    <w:p>
      <w:pPr>
        <w:spacing w:after="0" w:line="176" w:lineRule="exact"/>
        <w:rPr>
          <w:sz w:val="20"/>
          <w:szCs w:val="20"/>
          <w:color w:val="auto"/>
        </w:rPr>
      </w:pPr>
    </w:p>
    <w:p>
      <w:pPr>
        <w:jc w:val="both"/>
        <w:ind w:left="320"/>
        <w:spacing w:after="0" w:line="254" w:lineRule="auto"/>
        <w:rPr>
          <w:sz w:val="20"/>
          <w:szCs w:val="20"/>
          <w:color w:val="auto"/>
        </w:rPr>
      </w:pPr>
      <w:r>
        <w:rPr>
          <w:rFonts w:ascii="Arial" w:cs="Arial" w:eastAsia="Arial" w:hAnsi="Arial"/>
          <w:sz w:val="17"/>
          <w:szCs w:val="17"/>
          <w:color w:val="auto"/>
        </w:rPr>
        <w:t>Cash collateral pledged as a part of a repurchase agreement is presented in “Cash collateral, reverse repurchase agreement and securities borrowings” in the consolidated statement of financial position, see Note 5(a).</w:t>
      </w:r>
    </w:p>
    <w:p>
      <w:pPr>
        <w:spacing w:after="0" w:line="169" w:lineRule="exact"/>
        <w:rPr>
          <w:sz w:val="20"/>
          <w:szCs w:val="20"/>
          <w:color w:val="auto"/>
        </w:rPr>
      </w:pPr>
    </w:p>
    <w:p>
      <w:pPr>
        <w:jc w:val="both"/>
        <w:ind w:left="320"/>
        <w:spacing w:after="0" w:line="254" w:lineRule="auto"/>
        <w:rPr>
          <w:sz w:val="20"/>
          <w:szCs w:val="20"/>
          <w:color w:val="auto"/>
        </w:rPr>
      </w:pPr>
      <w:r>
        <w:rPr>
          <w:rFonts w:ascii="Arial" w:cs="Arial" w:eastAsia="Arial" w:hAnsi="Arial"/>
          <w:sz w:val="17"/>
          <w:szCs w:val="17"/>
          <w:color w:val="auto"/>
        </w:rPr>
        <w:t>Cash collateral pledged in the negotiation of derivative financial instrument and others are presented in “Other assets” in the consolidated statement of financial position, See Note 13.</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ad) Repurchase and reverse repurchase agreements and securities lending and borrowing –</w:t>
      </w:r>
    </w:p>
    <w:p>
      <w:pPr>
        <w:spacing w:after="0" w:line="193" w:lineRule="exact"/>
        <w:rPr>
          <w:sz w:val="20"/>
          <w:szCs w:val="20"/>
          <w:color w:val="auto"/>
        </w:rPr>
      </w:pPr>
    </w:p>
    <w:p>
      <w:pPr>
        <w:jc w:val="both"/>
        <w:ind w:left="320"/>
        <w:spacing w:after="0" w:line="241" w:lineRule="auto"/>
        <w:rPr>
          <w:sz w:val="20"/>
          <w:szCs w:val="20"/>
          <w:color w:val="auto"/>
        </w:rPr>
      </w:pPr>
      <w:r>
        <w:rPr>
          <w:rFonts w:ascii="Arial" w:cs="Arial" w:eastAsia="Arial" w:hAnsi="Arial"/>
          <w:sz w:val="17"/>
          <w:szCs w:val="17"/>
          <w:color w:val="auto"/>
        </w:rPr>
        <w:t>Securities sold under repurchase agreements at a specified future date are not derecognized from the consolidated statement of financial position as the Group retains substantially all of the risks and rewards of ownership. The cash received is recorded as an asset in “Cash and due from banks” and the corresponding obligation to return it is recognized too, including accrued interest, as a liability in “Payables from repurchase agreements and securities lending”, reflecting the transaction’s economic substance as a loan to the Group. The difference between the sale and repurchase price was treated as interest expense and accrued over the life of the agreement using the effective interest rate and was recognized in “Interest and similar expenses” in the consolidated statement of income.</w:t>
      </w:r>
    </w:p>
    <w:p>
      <w:pPr>
        <w:spacing w:after="0" w:line="376" w:lineRule="exact"/>
        <w:rPr>
          <w:sz w:val="20"/>
          <w:szCs w:val="20"/>
          <w:color w:val="auto"/>
        </w:rPr>
      </w:pPr>
    </w:p>
    <w:p>
      <w:pPr>
        <w:jc w:val="both"/>
        <w:ind w:left="320"/>
        <w:spacing w:after="0"/>
        <w:rPr>
          <w:sz w:val="20"/>
          <w:szCs w:val="20"/>
          <w:color w:val="auto"/>
        </w:rPr>
      </w:pPr>
      <w:r>
        <w:rPr>
          <w:rFonts w:ascii="Arial" w:cs="Arial" w:eastAsia="Arial" w:hAnsi="Arial"/>
          <w:sz w:val="17"/>
          <w:szCs w:val="17"/>
          <w:color w:val="auto"/>
        </w:rPr>
        <w:t>As part of this transaction the Group grants assets as collateral. When the counterparty receives securities and has the right to sell or re-pledge, the Group reclassifies those securities in “Investments at fair value through other comprehensive income pledged as collateral” or “Amortized cost investments pledged as collateral”, as appropriate, in the consolidated statement of financial position. When the counterparty receives cash as collateral that will be restricted until the maturity of the contract, the Group reclassifies the cash in “Cash collateral, reverse repurchase agreements and securities borrowings” in the consolidated statement of financial position, which includes accrued interest that is calculated according to the effective interest rate method. Likewise, when the counterparty receives a loan portfolio, the Group maintains these loans in “Loan portfolio, net” in the statement of financial position, whose control is kept in off-balance sheet accounts.</w:t>
      </w:r>
    </w:p>
    <w:p>
      <w:pPr>
        <w:spacing w:after="0" w:line="159"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140" w:right="339" w:bottom="1440" w:gutter="0" w:footer="0" w:header="0"/>
        </w:sectPr>
      </w:pPr>
    </w:p>
    <w:bookmarkStart w:id="57" w:name="page58"/>
    <w:bookmarkEnd w:id="57"/>
    <w:p>
      <w:pPr>
        <w:jc w:val="both"/>
        <w:ind w:left="320"/>
        <w:spacing w:after="0" w:line="241" w:lineRule="auto"/>
        <w:rPr>
          <w:sz w:val="20"/>
          <w:szCs w:val="20"/>
          <w:color w:val="auto"/>
        </w:rPr>
      </w:pPr>
      <w:r>
        <w:rPr>
          <w:rFonts w:ascii="Arial" w:cs="Arial" w:eastAsia="Arial" w:hAnsi="Arial"/>
          <w:sz w:val="17"/>
          <w:szCs w:val="17"/>
          <w:color w:val="auto"/>
        </w:rPr>
        <w:t>On the other hand, securities purchased under reverse repurchase agreements on a specified future date are not recognized in the consolidated statement of financial position. Cash granted is recorded as an outgoing asset in “Cash and due from banks” account and the corresponding right to charge it, including accrued interest, is recorded in “Cash collateral, reverse repurchase agreements and securities borrowing”, reflecting the transaction’s economic substance as a loan granted by the Group. The difference between the purchase and resale price is recorded in “Interest and similar income” in the consolidated statement of income and is accrued over the life of the agreement using the effective interest rate method.</w:t>
      </w:r>
    </w:p>
    <w:p>
      <w:pPr>
        <w:spacing w:after="0" w:line="181" w:lineRule="exact"/>
        <w:rPr>
          <w:sz w:val="20"/>
          <w:szCs w:val="20"/>
          <w:color w:val="auto"/>
        </w:rPr>
      </w:pPr>
    </w:p>
    <w:p>
      <w:pPr>
        <w:jc w:val="both"/>
        <w:ind w:left="320"/>
        <w:spacing w:after="0" w:line="244" w:lineRule="auto"/>
        <w:rPr>
          <w:sz w:val="20"/>
          <w:szCs w:val="20"/>
          <w:color w:val="auto"/>
        </w:rPr>
      </w:pPr>
      <w:r>
        <w:rPr>
          <w:rFonts w:ascii="Arial" w:cs="Arial" w:eastAsia="Arial" w:hAnsi="Arial"/>
          <w:sz w:val="17"/>
          <w:szCs w:val="17"/>
          <w:color w:val="auto"/>
        </w:rPr>
        <w:t>If securities purchased under reverse repurchase agreement are subsequently sold to third parties, the obligation to return the securities is recorded as a short sale in the consolidated statement of financial position as “Financial liabilities at fair value through profit or loss” and measured at fair value, with any gains or losses included in the consolidated statement of income as “Net gain on securities”.</w:t>
      </w:r>
    </w:p>
    <w:p>
      <w:pPr>
        <w:spacing w:after="0" w:line="375" w:lineRule="exact"/>
        <w:rPr>
          <w:sz w:val="20"/>
          <w:szCs w:val="20"/>
          <w:color w:val="auto"/>
        </w:rPr>
      </w:pPr>
    </w:p>
    <w:p>
      <w:pPr>
        <w:jc w:val="both"/>
        <w:ind w:left="320"/>
        <w:spacing w:after="0" w:line="254" w:lineRule="auto"/>
        <w:rPr>
          <w:sz w:val="20"/>
          <w:szCs w:val="20"/>
          <w:color w:val="auto"/>
        </w:rPr>
      </w:pPr>
      <w:r>
        <w:rPr>
          <w:rFonts w:ascii="Arial" w:cs="Arial" w:eastAsia="Arial" w:hAnsi="Arial"/>
          <w:sz w:val="17"/>
          <w:szCs w:val="17"/>
          <w:color w:val="auto"/>
        </w:rPr>
        <w:t>Loans and borrowing transactions are usually collateralized by securities. The transfer of the securities to counterparties is only reflected in the consolidated statement of financial position if the risks and rewards of ownership are also transferred.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ae) International Financial Reporting Standards issued but not yet effective -</w:t>
      </w:r>
    </w:p>
    <w:p>
      <w:pPr>
        <w:spacing w:after="0" w:line="193" w:lineRule="exact"/>
        <w:rPr>
          <w:sz w:val="20"/>
          <w:szCs w:val="20"/>
          <w:color w:val="auto"/>
        </w:rPr>
      </w:pPr>
    </w:p>
    <w:p>
      <w:pPr>
        <w:jc w:val="both"/>
        <w:ind w:left="320"/>
        <w:spacing w:after="0" w:line="254" w:lineRule="auto"/>
        <w:rPr>
          <w:sz w:val="20"/>
          <w:szCs w:val="20"/>
          <w:color w:val="auto"/>
        </w:rPr>
      </w:pPr>
      <w:r>
        <w:rPr>
          <w:rFonts w:ascii="Arial" w:cs="Arial" w:eastAsia="Arial" w:hAnsi="Arial"/>
          <w:sz w:val="17"/>
          <w:szCs w:val="17"/>
          <w:color w:val="auto"/>
        </w:rPr>
        <w:t>The Group decided not to early adopt the following standards and interpretations that were issued but are not effective as of December 31, 2022:</w:t>
      </w:r>
    </w:p>
    <w:p>
      <w:pPr>
        <w:spacing w:after="0" w:line="169" w:lineRule="exact"/>
        <w:rPr>
          <w:sz w:val="20"/>
          <w:szCs w:val="20"/>
          <w:color w:val="auto"/>
        </w:rPr>
      </w:pPr>
    </w:p>
    <w:p>
      <w:pPr>
        <w:ind w:left="620" w:hanging="304"/>
        <w:spacing w:after="0"/>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IFRS 17 “Insurance Contracts” -</w:t>
      </w:r>
    </w:p>
    <w:p>
      <w:pPr>
        <w:spacing w:after="0" w:line="193" w:lineRule="exact"/>
        <w:rPr>
          <w:rFonts w:ascii="Arial" w:cs="Arial" w:eastAsia="Arial" w:hAnsi="Arial"/>
          <w:sz w:val="17"/>
          <w:szCs w:val="17"/>
          <w:color w:val="auto"/>
        </w:rPr>
      </w:pPr>
    </w:p>
    <w:p>
      <w:pPr>
        <w:jc w:val="both"/>
        <w:ind w:left="620"/>
        <w:spacing w:after="0" w:line="254" w:lineRule="auto"/>
        <w:rPr>
          <w:rFonts w:ascii="Arial" w:cs="Arial" w:eastAsia="Arial" w:hAnsi="Arial"/>
          <w:sz w:val="17"/>
          <w:szCs w:val="17"/>
          <w:color w:val="auto"/>
        </w:rPr>
      </w:pPr>
      <w:r>
        <w:rPr>
          <w:rFonts w:ascii="Arial" w:cs="Arial" w:eastAsia="Arial" w:hAnsi="Arial"/>
          <w:sz w:val="17"/>
          <w:szCs w:val="17"/>
          <w:color w:val="auto"/>
        </w:rPr>
        <w:t>IFRS 17 was issued in May 2017 as a replacement for IFRS 4 “Insurance Contracts”. This standard requires a current measurement model where estimates are remeasured in each reporting period. Contracts are measured using the components of:</w:t>
      </w:r>
    </w:p>
    <w:p>
      <w:pPr>
        <w:spacing w:after="0" w:line="167" w:lineRule="exact"/>
        <w:rPr>
          <w:rFonts w:ascii="Arial" w:cs="Arial" w:eastAsia="Arial" w:hAnsi="Arial"/>
          <w:sz w:val="17"/>
          <w:szCs w:val="17"/>
          <w:color w:val="auto"/>
        </w:rPr>
      </w:pPr>
    </w:p>
    <w:p>
      <w:pPr>
        <w:ind w:left="940" w:hanging="313"/>
        <w:spacing w:after="0"/>
        <w:tabs>
          <w:tab w:leader="none" w:pos="9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Discounted probability weighted cash flows.</w:t>
      </w:r>
    </w:p>
    <w:p>
      <w:pPr>
        <w:ind w:left="940" w:hanging="313"/>
        <w:spacing w:after="0" w:line="238" w:lineRule="auto"/>
        <w:tabs>
          <w:tab w:leader="none" w:pos="9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An explicit risk adjustment, and.</w:t>
      </w:r>
    </w:p>
    <w:p>
      <w:pPr>
        <w:ind w:left="940" w:right="480" w:hanging="313"/>
        <w:spacing w:after="0" w:line="254" w:lineRule="auto"/>
        <w:tabs>
          <w:tab w:leader="none" w:pos="9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 contractual service margin that represents the unearned technical utility of the contract which is recognized as revenue during the coverage period.</w:t>
      </w:r>
    </w:p>
    <w:p>
      <w:pPr>
        <w:spacing w:after="0" w:line="169" w:lineRule="exact"/>
        <w:rPr>
          <w:sz w:val="20"/>
          <w:szCs w:val="20"/>
          <w:color w:val="auto"/>
        </w:rPr>
      </w:pPr>
    </w:p>
    <w:p>
      <w:pPr>
        <w:jc w:val="both"/>
        <w:ind w:left="620"/>
        <w:spacing w:after="0" w:line="242" w:lineRule="auto"/>
        <w:rPr>
          <w:sz w:val="20"/>
          <w:szCs w:val="20"/>
          <w:color w:val="auto"/>
        </w:rPr>
      </w:pPr>
      <w:r>
        <w:rPr>
          <w:rFonts w:ascii="Arial" w:cs="Arial" w:eastAsia="Arial" w:hAnsi="Arial"/>
          <w:sz w:val="17"/>
          <w:szCs w:val="17"/>
          <w:color w:val="auto"/>
        </w:rPr>
        <w:t>IFRS 17 applies to all types of insurance contracts (life insurance, non-life insurance and reinsurance), regardless of the type of entities that issue them, as well as certain guarantees and financial instruments with certain characteristics of discretionary participation. The general objective of IFRS 17 is to provide an accounting model that is more useful and uniform for insurance entities. Unlike IFRS 4, which relies heavily on the application of existing local accounting policies, IFRS 17 provides a comprehensive model for insurance contracts, covering all relevant accounting aspects.</w:t>
      </w:r>
    </w:p>
    <w:p>
      <w:pPr>
        <w:spacing w:after="0" w:line="180" w:lineRule="exact"/>
        <w:rPr>
          <w:sz w:val="20"/>
          <w:szCs w:val="20"/>
          <w:color w:val="auto"/>
        </w:rPr>
      </w:pPr>
    </w:p>
    <w:p>
      <w:pPr>
        <w:jc w:val="both"/>
        <w:ind w:left="620"/>
        <w:spacing w:after="0" w:line="241" w:lineRule="auto"/>
        <w:rPr>
          <w:sz w:val="20"/>
          <w:szCs w:val="20"/>
          <w:color w:val="auto"/>
        </w:rPr>
      </w:pPr>
      <w:r>
        <w:rPr>
          <w:rFonts w:ascii="Arial" w:cs="Arial" w:eastAsia="Arial" w:hAnsi="Arial"/>
          <w:sz w:val="17"/>
          <w:szCs w:val="17"/>
          <w:color w:val="auto"/>
        </w:rPr>
        <w:t>IFRS 17 will imply fundamental changes in the recognition, measurement, presentation and disclosure of information in insurance and reinsurance contracts, as well as in their related processes. Insurance contracts combine financial and service characteristics, and in many cases, generate long-term variable cash flows. To adequately reflect these characteristics, IFRS 17 combines the measurement of future cash flows with the recording of the results of the insurance contract, during the period in which the service is provided, and requires the separate presentation of the financial results of the results of the provision of the service, allowing the Companies, through the election of an accounting policy option, to recognize such financial results in the income statement or in other comprehensive income.</w:t>
      </w:r>
    </w:p>
    <w:p>
      <w:pPr>
        <w:spacing w:after="0" w:line="180"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Under strict governance and participation of the units involved in the processes involved, the Group has made adjustments to its processes, architecture, controls and corporate governance in order to implement the standard, as well as have the necessary financial and management reports.</w:t>
      </w:r>
    </w:p>
    <w:p>
      <w:pPr>
        <w:spacing w:after="0" w:line="150"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140" w:right="339" w:bottom="1440" w:gutter="0" w:footer="0" w:header="0"/>
        </w:sectPr>
      </w:pPr>
    </w:p>
    <w:bookmarkStart w:id="58" w:name="page59"/>
    <w:bookmarkEnd w:id="58"/>
    <w:p>
      <w:pPr>
        <w:jc w:val="both"/>
        <w:ind w:left="304"/>
        <w:spacing w:after="0" w:line="243" w:lineRule="auto"/>
        <w:rPr>
          <w:sz w:val="20"/>
          <w:szCs w:val="20"/>
          <w:color w:val="auto"/>
        </w:rPr>
      </w:pPr>
      <w:r>
        <w:rPr>
          <w:rFonts w:ascii="Arial" w:cs="Arial" w:eastAsia="Arial" w:hAnsi="Arial"/>
          <w:sz w:val="17"/>
          <w:szCs w:val="17"/>
          <w:color w:val="auto"/>
        </w:rPr>
        <w:t>In this process, the Group made the decision to use the computer platform of the provider specialized in insurance business worldwide, Fidelity National Information Services - FIS, and has been supported by renowned international consultants. The implementation includes extensive tests carried out and related to the validation of insurance contracts under IFRS 17 in order to ensure the accuracy and completeness of the information to be recorded in the Financial Statements.</w:t>
      </w:r>
    </w:p>
    <w:p>
      <w:pPr>
        <w:spacing w:after="0" w:line="179" w:lineRule="exact"/>
        <w:rPr>
          <w:sz w:val="20"/>
          <w:szCs w:val="20"/>
          <w:color w:val="auto"/>
        </w:rPr>
      </w:pPr>
    </w:p>
    <w:p>
      <w:pPr>
        <w:ind w:left="304"/>
        <w:spacing w:after="0"/>
        <w:rPr>
          <w:sz w:val="20"/>
          <w:szCs w:val="20"/>
          <w:color w:val="auto"/>
        </w:rPr>
      </w:pPr>
      <w:r>
        <w:rPr>
          <w:rFonts w:ascii="Arial" w:cs="Arial" w:eastAsia="Arial" w:hAnsi="Arial"/>
          <w:sz w:val="17"/>
          <w:szCs w:val="17"/>
          <w:color w:val="auto"/>
        </w:rPr>
        <w:t>The adoption of IFRS 17 will have the following impacts depending on the type of risk in which the Group operates:</w:t>
      </w:r>
    </w:p>
    <w:p>
      <w:pPr>
        <w:spacing w:after="0" w:line="193" w:lineRule="exact"/>
        <w:rPr>
          <w:sz w:val="20"/>
          <w:szCs w:val="20"/>
          <w:color w:val="auto"/>
        </w:rPr>
      </w:pPr>
    </w:p>
    <w:p>
      <w:pPr>
        <w:ind w:left="304"/>
        <w:spacing w:after="0"/>
        <w:rPr>
          <w:sz w:val="20"/>
          <w:szCs w:val="20"/>
          <w:color w:val="auto"/>
        </w:rPr>
      </w:pPr>
      <w:r>
        <w:rPr>
          <w:rFonts w:ascii="Arial" w:cs="Arial" w:eastAsia="Arial" w:hAnsi="Arial"/>
          <w:sz w:val="17"/>
          <w:szCs w:val="17"/>
          <w:color w:val="auto"/>
        </w:rPr>
        <w:t>Equity Risks:</w:t>
      </w:r>
    </w:p>
    <w:p>
      <w:pPr>
        <w:spacing w:after="0" w:line="193"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The Group expects a reduction in insurance liabilities as a result of the projection of the claims reserve and its subsequent discount, and a low impact is estimated given the current interest rate environment, as well as the nature of this risk insofar as to the duration of the reservation.</w:t>
      </w:r>
    </w:p>
    <w:p>
      <w:pPr>
        <w:spacing w:after="0" w:line="176" w:lineRule="exact"/>
        <w:rPr>
          <w:sz w:val="20"/>
          <w:szCs w:val="20"/>
          <w:color w:val="auto"/>
        </w:rPr>
      </w:pPr>
    </w:p>
    <w:p>
      <w:pPr>
        <w:ind w:left="304"/>
        <w:spacing w:after="0"/>
        <w:rPr>
          <w:sz w:val="20"/>
          <w:szCs w:val="20"/>
          <w:color w:val="auto"/>
        </w:rPr>
      </w:pPr>
      <w:r>
        <w:rPr>
          <w:rFonts w:ascii="Arial" w:cs="Arial" w:eastAsia="Arial" w:hAnsi="Arial"/>
          <w:sz w:val="17"/>
          <w:szCs w:val="17"/>
          <w:color w:val="auto"/>
        </w:rPr>
        <w:t>Life Risks:</w:t>
      </w:r>
    </w:p>
    <w:p>
      <w:pPr>
        <w:spacing w:after="0" w:line="193"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Regarding the Life businesses, the Group considers that there will be an increase in insurance liabilities due to the effect of interest rates and also, mainly, due to the establishment of an explicit future profit margin known as the contractual service margin.</w:t>
      </w:r>
    </w:p>
    <w:p>
      <w:pPr>
        <w:spacing w:after="0" w:line="169"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The Group decided to recognize market changes in interest rates in equity. The choice reflects how the Group accounts for its financial assets under IFRS 9.</w:t>
      </w:r>
    </w:p>
    <w:p>
      <w:pPr>
        <w:spacing w:after="0" w:line="169"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IFRS 17 is effective from the financial statements beginning on January 1, 2023, and the effects of applying it for the first time will be recognized in our consolidated statement of financial position on January 1, 2023, date of initial application, restating the financial information of the comparative period.</w:t>
      </w:r>
    </w:p>
    <w:p>
      <w:pPr>
        <w:spacing w:after="0" w:line="176" w:lineRule="exact"/>
        <w:rPr>
          <w:sz w:val="20"/>
          <w:szCs w:val="20"/>
          <w:color w:val="auto"/>
        </w:rPr>
      </w:pPr>
    </w:p>
    <w:p>
      <w:pPr>
        <w:ind w:left="304"/>
        <w:spacing w:after="0"/>
        <w:rPr>
          <w:sz w:val="20"/>
          <w:szCs w:val="20"/>
          <w:color w:val="auto"/>
        </w:rPr>
      </w:pPr>
      <w:r>
        <w:rPr>
          <w:rFonts w:ascii="Arial" w:cs="Arial" w:eastAsia="Arial" w:hAnsi="Arial"/>
          <w:sz w:val="17"/>
          <w:szCs w:val="17"/>
          <w:color w:val="auto"/>
        </w:rPr>
        <w:t>Based on current estimates, the adoption of IFRS 17 is not expected to have a significant impact on net equity on January 1, 2023.</w:t>
      </w:r>
    </w:p>
    <w:p>
      <w:pPr>
        <w:spacing w:after="0" w:line="193" w:lineRule="exact"/>
        <w:rPr>
          <w:sz w:val="20"/>
          <w:szCs w:val="20"/>
          <w:color w:val="auto"/>
        </w:rPr>
      </w:pPr>
    </w:p>
    <w:p>
      <w:pPr>
        <w:ind w:left="304" w:hanging="304"/>
        <w:spacing w:after="0"/>
        <w:tabs>
          <w:tab w:leader="none" w:pos="304" w:val="left"/>
        </w:tabs>
        <w:numPr>
          <w:ilvl w:val="0"/>
          <w:numId w:val="64"/>
        </w:numPr>
        <w:rPr>
          <w:rFonts w:ascii="Arial" w:cs="Arial" w:eastAsia="Arial" w:hAnsi="Arial"/>
          <w:sz w:val="17"/>
          <w:szCs w:val="17"/>
          <w:color w:val="auto"/>
        </w:rPr>
      </w:pPr>
      <w:r>
        <w:rPr>
          <w:rFonts w:ascii="Arial" w:cs="Arial" w:eastAsia="Arial" w:hAnsi="Arial"/>
          <w:sz w:val="17"/>
          <w:szCs w:val="17"/>
          <w:color w:val="auto"/>
        </w:rPr>
        <w:t>Disclosure of Accounting Policies - Amendments to IAS 1 and Practice Statement N° 2 -</w:t>
      </w:r>
    </w:p>
    <w:p>
      <w:pPr>
        <w:spacing w:after="0" w:line="193" w:lineRule="exact"/>
        <w:rPr>
          <w:rFonts w:ascii="Arial" w:cs="Arial" w:eastAsia="Arial" w:hAnsi="Arial"/>
          <w:sz w:val="17"/>
          <w:szCs w:val="17"/>
          <w:color w:val="auto"/>
        </w:rPr>
      </w:pPr>
    </w:p>
    <w:p>
      <w:pPr>
        <w:jc w:val="both"/>
        <w:ind w:left="304"/>
        <w:spacing w:after="0" w:line="241" w:lineRule="auto"/>
        <w:rPr>
          <w:rFonts w:ascii="Arial" w:cs="Arial" w:eastAsia="Arial" w:hAnsi="Arial"/>
          <w:sz w:val="17"/>
          <w:szCs w:val="17"/>
          <w:color w:val="auto"/>
        </w:rPr>
      </w:pPr>
      <w:r>
        <w:rPr>
          <w:rFonts w:ascii="Arial" w:cs="Arial" w:eastAsia="Arial" w:hAnsi="Arial"/>
          <w:sz w:val="17"/>
          <w:szCs w:val="17"/>
          <w:color w:val="auto"/>
        </w:rPr>
        <w:t>IAS stipulated that “significant” accounting policies must be disclosed. With this amendment, there is a specification that disclosure must be for “material” accounting policies. This amendment incorporates the definition of what is considered “information on material accounting policies” and explains how to identify this type of information. Additionally, the amendment clarifies that it is not necessary to divulge information on immaterial accounting policies and if the same is divulged, it should not create confusion about what truly constitutes important accounting information. Consistently, Practice Statement N° 2 was also amended to express judgements on materiality to provide a guide to apply the concept of materiality in accounting policy disclosures.</w:t>
      </w:r>
    </w:p>
    <w:p>
      <w:pPr>
        <w:spacing w:after="0" w:line="182"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These amendments will be effective for the annual reporting periods beginning on or after January 1, 2023 with early adoption permitted.</w:t>
      </w:r>
    </w:p>
    <w:p>
      <w:pPr>
        <w:spacing w:after="0" w:line="169"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The Group is currently assessing the impact on the disclosure of the accounting policies.</w:t>
      </w:r>
    </w:p>
    <w:p>
      <w:pPr>
        <w:spacing w:after="0" w:line="167" w:lineRule="exact"/>
        <w:rPr>
          <w:rFonts w:ascii="Arial" w:cs="Arial" w:eastAsia="Arial" w:hAnsi="Arial"/>
          <w:sz w:val="17"/>
          <w:szCs w:val="17"/>
          <w:color w:val="auto"/>
        </w:rPr>
      </w:pPr>
    </w:p>
    <w:p>
      <w:pPr>
        <w:ind w:left="4584" w:hanging="97"/>
        <w:spacing w:after="0"/>
        <w:tabs>
          <w:tab w:leader="none" w:pos="4584" w:val="left"/>
        </w:tabs>
        <w:numPr>
          <w:ilvl w:val="1"/>
          <w:numId w:val="64"/>
        </w:numPr>
        <w:rPr>
          <w:rFonts w:ascii="Arial" w:cs="Arial" w:eastAsia="Arial" w:hAnsi="Arial"/>
          <w:sz w:val="17"/>
          <w:szCs w:val="17"/>
          <w:color w:val="auto"/>
        </w:rPr>
      </w:pPr>
      <w:r>
        <w:rPr>
          <w:rFonts w:ascii="Arial" w:cs="Arial" w:eastAsia="Arial" w:hAnsi="Arial"/>
          <w:sz w:val="17"/>
          <w:szCs w:val="17"/>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59" w:name="page60"/>
    <w:bookmarkEnd w:id="59"/>
    <w:p>
      <w:pPr>
        <w:ind w:left="304" w:hanging="304"/>
        <w:spacing w:after="0"/>
        <w:tabs>
          <w:tab w:leader="none" w:pos="304" w:val="left"/>
        </w:tabs>
        <w:numPr>
          <w:ilvl w:val="0"/>
          <w:numId w:val="65"/>
        </w:numPr>
        <w:rPr>
          <w:rFonts w:ascii="Arial" w:cs="Arial" w:eastAsia="Arial" w:hAnsi="Arial"/>
          <w:sz w:val="17"/>
          <w:szCs w:val="17"/>
          <w:color w:val="auto"/>
        </w:rPr>
      </w:pPr>
      <w:r>
        <w:rPr>
          <w:rFonts w:ascii="Arial" w:cs="Arial" w:eastAsia="Arial" w:hAnsi="Arial"/>
          <w:sz w:val="17"/>
          <w:szCs w:val="17"/>
          <w:color w:val="auto"/>
        </w:rPr>
        <w:t>Amendments to IAS 8 - Definition of Accounting Estimates –</w:t>
      </w:r>
    </w:p>
    <w:p>
      <w:pPr>
        <w:spacing w:after="0" w:line="192" w:lineRule="exact"/>
        <w:rPr>
          <w:rFonts w:ascii="Arial" w:cs="Arial" w:eastAsia="Arial" w:hAnsi="Arial"/>
          <w:sz w:val="17"/>
          <w:szCs w:val="17"/>
          <w:color w:val="auto"/>
        </w:rPr>
      </w:pPr>
    </w:p>
    <w:p>
      <w:pPr>
        <w:jc w:val="both"/>
        <w:ind w:left="304"/>
        <w:spacing w:after="0" w:line="243" w:lineRule="auto"/>
        <w:rPr>
          <w:rFonts w:ascii="Arial" w:cs="Arial" w:eastAsia="Arial" w:hAnsi="Arial"/>
          <w:sz w:val="17"/>
          <w:szCs w:val="17"/>
          <w:color w:val="auto"/>
        </w:rPr>
      </w:pPr>
      <w:r>
        <w:rPr>
          <w:rFonts w:ascii="Arial" w:cs="Arial" w:eastAsia="Arial" w:hAnsi="Arial"/>
          <w:sz w:val="17"/>
          <w:szCs w:val="17"/>
          <w:color w:val="auto"/>
        </w:rPr>
        <w:t>This amendment clarifies how to distinguish changes in accounting policies from changes in accounting estimates. The distinction is important when defining accounting treatment given that changes in accounting estimates recognize future transactions and events prospectively while changes in accounting policies generally apply to past transactions and events retroactively, as is the case with the current period.</w:t>
      </w:r>
    </w:p>
    <w:p>
      <w:pPr>
        <w:spacing w:after="0" w:line="179"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Amendments will be in effect for the annual periods reported beginning on or after January 1, 2023 and anticipated adoption is permitted.</w:t>
      </w:r>
    </w:p>
    <w:p>
      <w:pPr>
        <w:spacing w:after="0" w:line="169"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The Group is currently assessing the impact that this amendment will have on its consolidated financial statements.</w:t>
      </w:r>
    </w:p>
    <w:p>
      <w:pPr>
        <w:spacing w:after="0" w:line="193" w:lineRule="exact"/>
        <w:rPr>
          <w:rFonts w:ascii="Arial" w:cs="Arial" w:eastAsia="Arial" w:hAnsi="Arial"/>
          <w:sz w:val="17"/>
          <w:szCs w:val="17"/>
          <w:color w:val="auto"/>
        </w:rPr>
      </w:pPr>
    </w:p>
    <w:p>
      <w:pPr>
        <w:ind w:left="304" w:hanging="304"/>
        <w:spacing w:after="0"/>
        <w:tabs>
          <w:tab w:leader="none" w:pos="304" w:val="left"/>
        </w:tabs>
        <w:numPr>
          <w:ilvl w:val="0"/>
          <w:numId w:val="65"/>
        </w:numPr>
        <w:rPr>
          <w:rFonts w:ascii="Arial" w:cs="Arial" w:eastAsia="Arial" w:hAnsi="Arial"/>
          <w:sz w:val="17"/>
          <w:szCs w:val="17"/>
          <w:color w:val="auto"/>
        </w:rPr>
      </w:pPr>
      <w:r>
        <w:rPr>
          <w:rFonts w:ascii="Arial" w:cs="Arial" w:eastAsia="Arial" w:hAnsi="Arial"/>
          <w:sz w:val="17"/>
          <w:szCs w:val="17"/>
          <w:color w:val="auto"/>
        </w:rPr>
        <w:t>Amendments to IAS 12, Deferred Tax related to Assets and Liabilities Arising from a Single Transaction –</w:t>
      </w:r>
    </w:p>
    <w:p>
      <w:pPr>
        <w:spacing w:after="0" w:line="193" w:lineRule="exact"/>
        <w:rPr>
          <w:rFonts w:ascii="Arial" w:cs="Arial" w:eastAsia="Arial" w:hAnsi="Arial"/>
          <w:sz w:val="17"/>
          <w:szCs w:val="17"/>
          <w:color w:val="auto"/>
        </w:rPr>
      </w:pPr>
    </w:p>
    <w:p>
      <w:pPr>
        <w:jc w:val="both"/>
        <w:ind w:left="304"/>
        <w:spacing w:after="0" w:line="241" w:lineRule="auto"/>
        <w:rPr>
          <w:rFonts w:ascii="Arial" w:cs="Arial" w:eastAsia="Arial" w:hAnsi="Arial"/>
          <w:sz w:val="17"/>
          <w:szCs w:val="17"/>
          <w:color w:val="auto"/>
        </w:rPr>
      </w:pPr>
      <w:r>
        <w:rPr>
          <w:rFonts w:ascii="Arial" w:cs="Arial" w:eastAsia="Arial" w:hAnsi="Arial"/>
          <w:sz w:val="17"/>
          <w:szCs w:val="17"/>
          <w:color w:val="auto"/>
        </w:rPr>
        <w:t>These amendments specify that deferred taxes that arise from a single transaction should be recognized if, in their initial recognition, temporary taxable differences and deductibles for the same value arise. This will generally apply to transactions such as leasing (for lessees) and obligation to dismantle or remediate in those situations that will require recognition of deferred tax assets and liabilities. These amendments must apply to transactions that occur on or after the beginning of the comparative period presented. Additionally, it is necessary to recognize deferred tax assets (to the extent that it is probable that they will be utilized) and deferred tax liabilities at the beginning of the first comparative period for all deductible or taxable temporary differences associated with:</w:t>
      </w:r>
    </w:p>
    <w:p>
      <w:pPr>
        <w:spacing w:after="0" w:line="375" w:lineRule="exact"/>
        <w:rPr>
          <w:rFonts w:ascii="Arial" w:cs="Arial" w:eastAsia="Arial" w:hAnsi="Arial"/>
          <w:sz w:val="17"/>
          <w:szCs w:val="17"/>
          <w:color w:val="auto"/>
        </w:rPr>
      </w:pPr>
    </w:p>
    <w:p>
      <w:pPr>
        <w:ind w:left="624" w:hanging="313"/>
        <w:spacing w:after="0"/>
        <w:tabs>
          <w:tab w:leader="none" w:pos="624" w:val="left"/>
        </w:tabs>
        <w:numPr>
          <w:ilvl w:val="1"/>
          <w:numId w:val="65"/>
        </w:numPr>
        <w:rPr>
          <w:rFonts w:ascii="Arial" w:cs="Arial" w:eastAsia="Arial" w:hAnsi="Arial"/>
          <w:sz w:val="17"/>
          <w:szCs w:val="17"/>
          <w:color w:val="auto"/>
        </w:rPr>
      </w:pPr>
      <w:r>
        <w:rPr>
          <w:rFonts w:ascii="Arial" w:cs="Arial" w:eastAsia="Arial" w:hAnsi="Arial"/>
          <w:sz w:val="17"/>
          <w:szCs w:val="17"/>
          <w:color w:val="auto"/>
        </w:rPr>
        <w:t>Right of use assets and lease liabilities, and</w:t>
      </w:r>
    </w:p>
    <w:p>
      <w:pPr>
        <w:ind w:left="624" w:right="420" w:hanging="313"/>
        <w:spacing w:after="0" w:line="254" w:lineRule="auto"/>
        <w:tabs>
          <w:tab w:leader="none" w:pos="624" w:val="left"/>
        </w:tabs>
        <w:numPr>
          <w:ilvl w:val="1"/>
          <w:numId w:val="65"/>
        </w:numPr>
        <w:rPr>
          <w:rFonts w:ascii="Arial" w:cs="Arial" w:eastAsia="Arial" w:hAnsi="Arial"/>
          <w:sz w:val="17"/>
          <w:szCs w:val="17"/>
          <w:color w:val="auto"/>
        </w:rPr>
      </w:pPr>
      <w:r>
        <w:rPr>
          <w:rFonts w:ascii="Arial" w:cs="Arial" w:eastAsia="Arial" w:hAnsi="Arial"/>
          <w:sz w:val="17"/>
          <w:szCs w:val="17"/>
          <w:color w:val="auto"/>
        </w:rPr>
        <w:t>Liabilities for dismantling, restoration and similar and the corresponding contributions are recognized as part of the cost of related assets.</w:t>
      </w:r>
    </w:p>
    <w:p>
      <w:pPr>
        <w:spacing w:after="0" w:line="169"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The accumulated effect of these adjustments is recognized in retained earnings or through another component of equity as applicable.</w:t>
      </w:r>
    </w:p>
    <w:p>
      <w:pPr>
        <w:spacing w:after="0" w:line="169"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Previously, IAS 12 did not establish any particular accounting treatment for the tax effects of leases that are recognized in the balance sheet and for similar transactions; as such, different approaches are considered acceptable. The entities that are already recognizing deferred taxes on these transactions will not see impacts on their financial statements.</w:t>
      </w:r>
    </w:p>
    <w:p>
      <w:pPr>
        <w:spacing w:after="0" w:line="176" w:lineRule="exact"/>
        <w:rPr>
          <w:sz w:val="20"/>
          <w:szCs w:val="20"/>
          <w:color w:val="auto"/>
        </w:rPr>
      </w:pPr>
    </w:p>
    <w:p>
      <w:pPr>
        <w:jc w:val="both"/>
        <w:ind w:left="304"/>
        <w:spacing w:after="0" w:line="254" w:lineRule="auto"/>
        <w:rPr>
          <w:sz w:val="20"/>
          <w:szCs w:val="20"/>
          <w:color w:val="auto"/>
        </w:rPr>
      </w:pPr>
      <w:r>
        <w:rPr>
          <w:rFonts w:ascii="Arial" w:cs="Arial" w:eastAsia="Arial" w:hAnsi="Arial"/>
          <w:sz w:val="17"/>
          <w:szCs w:val="17"/>
          <w:color w:val="auto"/>
        </w:rPr>
        <w:t>Amendments will be effective for the annual reported periods beginning or after January 1, 2023 and anticipated adoption is permitted.</w:t>
      </w:r>
    </w:p>
    <w:p>
      <w:pPr>
        <w:spacing w:after="0" w:line="169" w:lineRule="exact"/>
        <w:rPr>
          <w:sz w:val="20"/>
          <w:szCs w:val="20"/>
          <w:color w:val="auto"/>
        </w:rPr>
      </w:pPr>
    </w:p>
    <w:p>
      <w:pPr>
        <w:ind w:left="304"/>
        <w:spacing w:after="0"/>
        <w:rPr>
          <w:sz w:val="20"/>
          <w:szCs w:val="20"/>
          <w:color w:val="auto"/>
        </w:rPr>
      </w:pPr>
      <w:r>
        <w:rPr>
          <w:rFonts w:ascii="Arial" w:cs="Arial" w:eastAsia="Arial" w:hAnsi="Arial"/>
          <w:sz w:val="17"/>
          <w:szCs w:val="17"/>
          <w:color w:val="auto"/>
        </w:rPr>
        <w:t>The Group is currently assessing the impact that this amendment may have on their consolidated financial statements.</w:t>
      </w:r>
    </w:p>
    <w:p>
      <w:pPr>
        <w:spacing w:after="0" w:line="193" w:lineRule="exact"/>
        <w:rPr>
          <w:sz w:val="20"/>
          <w:szCs w:val="20"/>
          <w:color w:val="auto"/>
        </w:rPr>
      </w:pPr>
    </w:p>
    <w:p>
      <w:pPr>
        <w:ind w:left="304" w:hanging="304"/>
        <w:spacing w:after="0"/>
        <w:tabs>
          <w:tab w:leader="none" w:pos="304" w:val="left"/>
        </w:tabs>
        <w:numPr>
          <w:ilvl w:val="0"/>
          <w:numId w:val="66"/>
        </w:numPr>
        <w:rPr>
          <w:rFonts w:ascii="Arial" w:cs="Arial" w:eastAsia="Arial" w:hAnsi="Arial"/>
          <w:sz w:val="17"/>
          <w:szCs w:val="17"/>
          <w:color w:val="auto"/>
        </w:rPr>
      </w:pPr>
      <w:r>
        <w:rPr>
          <w:rFonts w:ascii="Arial" w:cs="Arial" w:eastAsia="Arial" w:hAnsi="Arial"/>
          <w:sz w:val="17"/>
          <w:szCs w:val="17"/>
          <w:color w:val="auto"/>
        </w:rPr>
        <w:t>Amendment to IFRS 10 and IAS 28 - Sale or contribution of assets that takes place an investor and its associate or joint venture -</w:t>
      </w:r>
    </w:p>
    <w:p>
      <w:pPr>
        <w:spacing w:after="0" w:line="193"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The IASB has made modifications of limited scope to IFRS 10 “Consolidated Financial Statements” and IAS 28 “Investments in Associates and Joint Ventures”.</w:t>
      </w:r>
    </w:p>
    <w:p>
      <w:pPr>
        <w:spacing w:after="0" w:line="143" w:lineRule="exact"/>
        <w:rPr>
          <w:rFonts w:ascii="Arial" w:cs="Arial" w:eastAsia="Arial" w:hAnsi="Arial"/>
          <w:sz w:val="17"/>
          <w:szCs w:val="17"/>
          <w:color w:val="auto"/>
        </w:rPr>
      </w:pPr>
    </w:p>
    <w:p>
      <w:pPr>
        <w:ind w:left="4584" w:hanging="97"/>
        <w:spacing w:after="0"/>
        <w:tabs>
          <w:tab w:leader="none" w:pos="4584" w:val="left"/>
        </w:tabs>
        <w:numPr>
          <w:ilvl w:val="1"/>
          <w:numId w:val="66"/>
        </w:numPr>
        <w:rPr>
          <w:rFonts w:ascii="Arial" w:cs="Arial" w:eastAsia="Arial" w:hAnsi="Arial"/>
          <w:sz w:val="17"/>
          <w:szCs w:val="17"/>
          <w:color w:val="auto"/>
        </w:rPr>
      </w:pPr>
      <w:r>
        <w:rPr>
          <w:rFonts w:ascii="Arial" w:cs="Arial" w:eastAsia="Arial" w:hAnsi="Arial"/>
          <w:sz w:val="17"/>
          <w:szCs w:val="17"/>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60" w:name="page61"/>
    <w:bookmarkEnd w:id="60"/>
    <w:p>
      <w:pPr>
        <w:jc w:val="both"/>
        <w:ind w:left="1240"/>
        <w:spacing w:after="0" w:line="241" w:lineRule="auto"/>
        <w:rPr>
          <w:sz w:val="20"/>
          <w:szCs w:val="20"/>
          <w:color w:val="auto"/>
        </w:rPr>
      </w:pPr>
      <w:r>
        <w:rPr>
          <w:rFonts w:ascii="Arial" w:cs="Arial" w:eastAsia="Arial" w:hAnsi="Arial"/>
          <w:sz w:val="17"/>
          <w:szCs w:val="17"/>
          <w:color w:val="auto"/>
        </w:rPr>
        <w:t>Amendments clarify the accounting treatment of asset sales or contributions between an investor and its associates or joint ventures. They further confirm that the accounting treatment will depend on whether the non-monetary assets sold or contributed to an associate or joint venture constitute a “business” (as defined in IFRS 3 “Business Combinations”). When non-monetary assets constitute a business, the investor will recognize the total gain or loss from the sale or contribution of the assets. If the assets do not meet the definition of a business, the gain or loss is recognized by the investor only in proportion to the investment of the other investors in the joint venture associate. These modifications will be applied prospectively.</w:t>
      </w:r>
    </w:p>
    <w:p>
      <w:pPr>
        <w:spacing w:after="0" w:line="181" w:lineRule="exact"/>
        <w:rPr>
          <w:sz w:val="20"/>
          <w:szCs w:val="20"/>
          <w:color w:val="auto"/>
        </w:rPr>
      </w:pPr>
    </w:p>
    <w:p>
      <w:pPr>
        <w:jc w:val="both"/>
        <w:ind w:left="1240"/>
        <w:spacing w:after="0" w:line="254" w:lineRule="auto"/>
        <w:rPr>
          <w:sz w:val="20"/>
          <w:szCs w:val="20"/>
          <w:color w:val="auto"/>
        </w:rPr>
      </w:pPr>
      <w:r>
        <w:rPr>
          <w:rFonts w:ascii="Arial" w:cs="Arial" w:eastAsia="Arial" w:hAnsi="Arial"/>
          <w:sz w:val="17"/>
          <w:szCs w:val="17"/>
          <w:color w:val="auto"/>
        </w:rPr>
        <w:t>In December 2015, IASB decided to postpone the date of application of this amendment until its research project on the equity method has been completed.</w:t>
      </w:r>
    </w:p>
    <w:p>
      <w:pPr>
        <w:spacing w:after="0" w:line="169" w:lineRule="exact"/>
        <w:rPr>
          <w:sz w:val="20"/>
          <w:szCs w:val="20"/>
          <w:color w:val="auto"/>
        </w:rPr>
      </w:pPr>
    </w:p>
    <w:p>
      <w:pPr>
        <w:jc w:val="both"/>
        <w:ind w:left="1240"/>
        <w:spacing w:after="0" w:line="246" w:lineRule="auto"/>
        <w:rPr>
          <w:sz w:val="20"/>
          <w:szCs w:val="20"/>
          <w:color w:val="auto"/>
        </w:rPr>
      </w:pPr>
      <w:r>
        <w:rPr>
          <w:rFonts w:ascii="Arial" w:cs="Arial" w:eastAsia="Arial" w:hAnsi="Arial"/>
          <w:sz w:val="17"/>
          <w:szCs w:val="17"/>
          <w:color w:val="auto"/>
        </w:rPr>
        <w:t>Amendments will be effective for annual reporting periods on or after January 1, 2023 and should be applied retrospectively to property, plant and equipment that are made available for use on or after the beginning of the first period in which the entity first applies the amendment.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Group is currently assessing the impact that this amendment may have on their consolidated financial statements.</w:t>
      </w:r>
    </w:p>
    <w:p>
      <w:pPr>
        <w:spacing w:after="0" w:line="193" w:lineRule="exact"/>
        <w:rPr>
          <w:sz w:val="20"/>
          <w:szCs w:val="20"/>
          <w:color w:val="auto"/>
        </w:rPr>
      </w:pPr>
    </w:p>
    <w:p>
      <w:pPr>
        <w:ind w:left="940"/>
        <w:spacing w:after="0" w:line="254" w:lineRule="auto"/>
        <w:rPr>
          <w:sz w:val="20"/>
          <w:szCs w:val="20"/>
          <w:color w:val="auto"/>
        </w:rPr>
      </w:pPr>
      <w:r>
        <w:rPr>
          <w:rFonts w:ascii="Arial" w:cs="Arial" w:eastAsia="Arial" w:hAnsi="Arial"/>
          <w:sz w:val="17"/>
          <w:szCs w:val="17"/>
          <w:color w:val="auto"/>
        </w:rPr>
        <w:t>There are no other standards and amendments to standardsthat have not yet become effective and are expected to have a significant impact on the Group, either in the current or future periods, as well as on foreseeable future transactions.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4</w:t>
            </w:r>
          </w:p>
        </w:tc>
        <w:tc>
          <w:tcPr>
            <w:tcW w:w="8320" w:type="dxa"/>
            <w:vAlign w:val="bottom"/>
          </w:tcPr>
          <w:p>
            <w:pPr>
              <w:ind w:left="260"/>
              <w:spacing w:after="0"/>
              <w:rPr>
                <w:sz w:val="20"/>
                <w:szCs w:val="20"/>
                <w:color w:val="auto"/>
              </w:rPr>
            </w:pPr>
            <w:r>
              <w:rPr>
                <w:rFonts w:ascii="Arial" w:cs="Arial" w:eastAsia="Arial" w:hAnsi="Arial"/>
                <w:sz w:val="17"/>
                <w:szCs w:val="17"/>
                <w:b w:val="1"/>
                <w:bCs w:val="1"/>
                <w:color w:val="auto"/>
              </w:rPr>
              <w:t>CASH AND DUE FROM BANKS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89"/>
        </w:trPr>
        <w:tc>
          <w:tcPr>
            <w:tcW w:w="360" w:type="dxa"/>
            <w:vAlign w:val="bottom"/>
          </w:tcPr>
          <w:p>
            <w:pPr>
              <w:spacing w:after="0"/>
              <w:rPr>
                <w:sz w:val="24"/>
                <w:szCs w:val="24"/>
                <w:color w:val="auto"/>
              </w:rPr>
            </w:pPr>
          </w:p>
        </w:tc>
        <w:tc>
          <w:tcPr>
            <w:tcW w:w="8320" w:type="dxa"/>
            <w:vAlign w:val="bottom"/>
          </w:tcPr>
          <w:p>
            <w:pPr>
              <w:ind w:left="260"/>
              <w:spacing w:after="0"/>
              <w:rPr>
                <w:sz w:val="20"/>
                <w:szCs w:val="20"/>
                <w:color w:val="auto"/>
              </w:rPr>
            </w:pPr>
            <w:r>
              <w:rPr>
                <w:rFonts w:ascii="Arial" w:cs="Arial" w:eastAsia="Arial" w:hAnsi="Arial"/>
                <w:sz w:val="17"/>
                <w:szCs w:val="17"/>
                <w:color w:val="auto"/>
              </w:rPr>
              <w:t>a)  This item comprises the following:</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8"/>
        </w:trPr>
        <w:tc>
          <w:tcPr>
            <w:tcW w:w="3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4"/>
                <w:szCs w:val="2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r>
      <w:tr>
        <w:trPr>
          <w:trHeight w:val="223"/>
        </w:trPr>
        <w:tc>
          <w:tcPr>
            <w:tcW w:w="36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360" w:type="dxa"/>
            <w:vAlign w:val="bottom"/>
          </w:tcPr>
          <w:p>
            <w:pPr>
              <w:spacing w:after="0"/>
              <w:rPr>
                <w:sz w:val="24"/>
                <w:szCs w:val="24"/>
                <w:color w:val="auto"/>
              </w:rPr>
            </w:pPr>
          </w:p>
        </w:tc>
        <w:tc>
          <w:tcPr>
            <w:tcW w:w="8320" w:type="dxa"/>
            <w:vAlign w:val="bottom"/>
          </w:tcPr>
          <w:p>
            <w:pPr>
              <w:ind w:left="580"/>
              <w:spacing w:after="0"/>
              <w:rPr>
                <w:sz w:val="20"/>
                <w:szCs w:val="20"/>
                <w:color w:val="auto"/>
              </w:rPr>
            </w:pPr>
            <w:r>
              <w:rPr>
                <w:rFonts w:ascii="Arial" w:cs="Arial" w:eastAsia="Arial" w:hAnsi="Arial"/>
                <w:sz w:val="17"/>
                <w:szCs w:val="17"/>
                <w:color w:val="auto"/>
              </w:rPr>
              <w:t>Cash and clearing (b)</w:t>
            </w:r>
          </w:p>
        </w:tc>
        <w:tc>
          <w:tcPr>
            <w:tcW w:w="1120" w:type="dxa"/>
            <w:vAlign w:val="bottom"/>
          </w:tcPr>
          <w:p>
            <w:pPr>
              <w:jc w:val="right"/>
              <w:spacing w:after="0"/>
              <w:rPr>
                <w:sz w:val="20"/>
                <w:szCs w:val="20"/>
                <w:color w:val="auto"/>
              </w:rPr>
            </w:pPr>
            <w:r>
              <w:rPr>
                <w:rFonts w:ascii="Arial" w:cs="Arial" w:eastAsia="Arial" w:hAnsi="Arial"/>
                <w:sz w:val="17"/>
                <w:szCs w:val="17"/>
                <w:color w:val="auto"/>
              </w:rPr>
              <w:t>5,410,519</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4,973,247</w:t>
            </w:r>
          </w:p>
        </w:tc>
      </w:tr>
      <w:tr>
        <w:trPr>
          <w:trHeight w:val="194"/>
        </w:trPr>
        <w:tc>
          <w:tcPr>
            <w:tcW w:w="360" w:type="dxa"/>
            <w:vAlign w:val="bottom"/>
          </w:tcPr>
          <w:p>
            <w:pPr>
              <w:spacing w:after="0"/>
              <w:rPr>
                <w:sz w:val="16"/>
                <w:szCs w:val="16"/>
                <w:color w:val="auto"/>
              </w:rPr>
            </w:pPr>
          </w:p>
        </w:tc>
        <w:tc>
          <w:tcPr>
            <w:tcW w:w="8320" w:type="dxa"/>
            <w:vAlign w:val="bottom"/>
          </w:tcPr>
          <w:p>
            <w:pPr>
              <w:ind w:left="580"/>
              <w:spacing w:after="0" w:line="194" w:lineRule="exact"/>
              <w:rPr>
                <w:sz w:val="20"/>
                <w:szCs w:val="20"/>
                <w:color w:val="auto"/>
              </w:rPr>
            </w:pPr>
            <w:r>
              <w:rPr>
                <w:rFonts w:ascii="Arial" w:cs="Arial" w:eastAsia="Arial" w:hAnsi="Arial"/>
                <w:sz w:val="17"/>
                <w:szCs w:val="17"/>
                <w:color w:val="auto"/>
              </w:rPr>
              <w:t>Deposits with Central Reserve Bank of Peru (BCRP) (b)</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24,176,551</w:t>
            </w:r>
          </w:p>
        </w:tc>
        <w:tc>
          <w:tcPr>
            <w:tcW w:w="1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25,363,770</w:t>
            </w:r>
          </w:p>
        </w:tc>
      </w:tr>
      <w:tr>
        <w:trPr>
          <w:trHeight w:val="194"/>
        </w:trPr>
        <w:tc>
          <w:tcPr>
            <w:tcW w:w="360" w:type="dxa"/>
            <w:vAlign w:val="bottom"/>
          </w:tcPr>
          <w:p>
            <w:pPr>
              <w:spacing w:after="0"/>
              <w:rPr>
                <w:sz w:val="16"/>
                <w:szCs w:val="16"/>
                <w:color w:val="auto"/>
              </w:rPr>
            </w:pPr>
          </w:p>
        </w:tc>
        <w:tc>
          <w:tcPr>
            <w:tcW w:w="8320" w:type="dxa"/>
            <w:vAlign w:val="bottom"/>
          </w:tcPr>
          <w:p>
            <w:pPr>
              <w:ind w:left="580"/>
              <w:spacing w:after="0" w:line="194" w:lineRule="exact"/>
              <w:rPr>
                <w:sz w:val="20"/>
                <w:szCs w:val="20"/>
                <w:color w:val="auto"/>
              </w:rPr>
            </w:pPr>
            <w:r>
              <w:rPr>
                <w:rFonts w:ascii="Arial" w:cs="Arial" w:eastAsia="Arial" w:hAnsi="Arial"/>
                <w:sz w:val="17"/>
                <w:szCs w:val="17"/>
                <w:color w:val="auto"/>
              </w:rPr>
              <w:t>Deposits with Central Bank of Bolivia and Colombia (b)</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634,684</w:t>
            </w:r>
          </w:p>
        </w:tc>
        <w:tc>
          <w:tcPr>
            <w:tcW w:w="1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913,377</w:t>
            </w:r>
          </w:p>
        </w:tc>
      </w:tr>
      <w:tr>
        <w:trPr>
          <w:trHeight w:val="194"/>
        </w:trPr>
        <w:tc>
          <w:tcPr>
            <w:tcW w:w="360" w:type="dxa"/>
            <w:vAlign w:val="bottom"/>
          </w:tcPr>
          <w:p>
            <w:pPr>
              <w:spacing w:after="0"/>
              <w:rPr>
                <w:sz w:val="16"/>
                <w:szCs w:val="16"/>
                <w:color w:val="auto"/>
              </w:rPr>
            </w:pPr>
          </w:p>
        </w:tc>
        <w:tc>
          <w:tcPr>
            <w:tcW w:w="8320" w:type="dxa"/>
            <w:vAlign w:val="bottom"/>
          </w:tcPr>
          <w:p>
            <w:pPr>
              <w:ind w:left="580"/>
              <w:spacing w:after="0" w:line="194" w:lineRule="exact"/>
              <w:rPr>
                <w:sz w:val="20"/>
                <w:szCs w:val="20"/>
                <w:color w:val="auto"/>
              </w:rPr>
            </w:pPr>
            <w:r>
              <w:rPr>
                <w:rFonts w:ascii="Arial" w:cs="Arial" w:eastAsia="Arial" w:hAnsi="Arial"/>
                <w:sz w:val="17"/>
                <w:szCs w:val="17"/>
                <w:color w:val="auto"/>
              </w:rPr>
              <w:t>Deposits with foreign banks (c)</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2,610,460</w:t>
            </w:r>
          </w:p>
        </w:tc>
        <w:tc>
          <w:tcPr>
            <w:tcW w:w="1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6,727,250</w:t>
            </w:r>
          </w:p>
        </w:tc>
      </w:tr>
      <w:tr>
        <w:trPr>
          <w:trHeight w:val="194"/>
        </w:trPr>
        <w:tc>
          <w:tcPr>
            <w:tcW w:w="360" w:type="dxa"/>
            <w:vAlign w:val="bottom"/>
          </w:tcPr>
          <w:p>
            <w:pPr>
              <w:spacing w:after="0"/>
              <w:rPr>
                <w:sz w:val="16"/>
                <w:szCs w:val="16"/>
                <w:color w:val="auto"/>
              </w:rPr>
            </w:pPr>
          </w:p>
        </w:tc>
        <w:tc>
          <w:tcPr>
            <w:tcW w:w="8320" w:type="dxa"/>
            <w:vAlign w:val="bottom"/>
          </w:tcPr>
          <w:p>
            <w:pPr>
              <w:ind w:left="580"/>
              <w:spacing w:after="0" w:line="194" w:lineRule="exact"/>
              <w:rPr>
                <w:sz w:val="20"/>
                <w:szCs w:val="20"/>
                <w:color w:val="auto"/>
              </w:rPr>
            </w:pPr>
            <w:r>
              <w:rPr>
                <w:rFonts w:ascii="Arial" w:cs="Arial" w:eastAsia="Arial" w:hAnsi="Arial"/>
                <w:sz w:val="17"/>
                <w:szCs w:val="17"/>
                <w:color w:val="auto"/>
              </w:rPr>
              <w:t>Deposits with local banks (c)</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1,009,997</w:t>
            </w:r>
          </w:p>
        </w:tc>
        <w:tc>
          <w:tcPr>
            <w:tcW w:w="1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1,316,292</w:t>
            </w:r>
          </w:p>
        </w:tc>
      </w:tr>
      <w:tr>
        <w:trPr>
          <w:trHeight w:val="194"/>
        </w:trPr>
        <w:tc>
          <w:tcPr>
            <w:tcW w:w="360" w:type="dxa"/>
            <w:vAlign w:val="bottom"/>
          </w:tcPr>
          <w:p>
            <w:pPr>
              <w:spacing w:after="0"/>
              <w:rPr>
                <w:sz w:val="16"/>
                <w:szCs w:val="16"/>
                <w:color w:val="auto"/>
              </w:rPr>
            </w:pPr>
          </w:p>
        </w:tc>
        <w:tc>
          <w:tcPr>
            <w:tcW w:w="8320" w:type="dxa"/>
            <w:vAlign w:val="bottom"/>
          </w:tcPr>
          <w:p>
            <w:pPr>
              <w:ind w:left="580"/>
              <w:spacing w:after="0" w:line="194" w:lineRule="exact"/>
              <w:rPr>
                <w:sz w:val="20"/>
                <w:szCs w:val="20"/>
                <w:color w:val="auto"/>
              </w:rPr>
            </w:pPr>
            <w:r>
              <w:rPr>
                <w:rFonts w:ascii="Arial" w:cs="Arial" w:eastAsia="Arial" w:hAnsi="Arial"/>
                <w:sz w:val="17"/>
                <w:szCs w:val="17"/>
                <w:color w:val="auto"/>
              </w:rPr>
              <w:t>Interbank funds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269,314</w:t>
            </w:r>
          </w:p>
        </w:tc>
        <w:tc>
          <w:tcPr>
            <w:tcW w:w="1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2,943</w:t>
            </w:r>
          </w:p>
        </w:tc>
      </w:tr>
      <w:tr>
        <w:trPr>
          <w:trHeight w:val="208"/>
        </w:trPr>
        <w:tc>
          <w:tcPr>
            <w:tcW w:w="360" w:type="dxa"/>
            <w:vAlign w:val="bottom"/>
          </w:tcPr>
          <w:p>
            <w:pPr>
              <w:spacing w:after="0"/>
              <w:rPr>
                <w:sz w:val="18"/>
                <w:szCs w:val="18"/>
                <w:color w:val="auto"/>
              </w:rPr>
            </w:pPr>
          </w:p>
        </w:tc>
        <w:tc>
          <w:tcPr>
            <w:tcW w:w="8320" w:type="dxa"/>
            <w:vAlign w:val="bottom"/>
          </w:tcPr>
          <w:p>
            <w:pPr>
              <w:ind w:left="580"/>
              <w:spacing w:after="0"/>
              <w:rPr>
                <w:sz w:val="20"/>
                <w:szCs w:val="20"/>
                <w:color w:val="auto"/>
              </w:rPr>
            </w:pPr>
            <w:r>
              <w:rPr>
                <w:rFonts w:ascii="Arial" w:cs="Arial" w:eastAsia="Arial" w:hAnsi="Arial"/>
                <w:sz w:val="17"/>
                <w:szCs w:val="17"/>
                <w:color w:val="auto"/>
              </w:rPr>
              <w:t>Accrued interest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53,112</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1,347</w:t>
            </w:r>
          </w:p>
        </w:tc>
      </w:tr>
      <w:tr>
        <w:trPr>
          <w:trHeight w:val="186"/>
        </w:trPr>
        <w:tc>
          <w:tcPr>
            <w:tcW w:w="360" w:type="dxa"/>
            <w:vAlign w:val="bottom"/>
          </w:tcPr>
          <w:p>
            <w:pPr>
              <w:spacing w:after="0"/>
              <w:rPr>
                <w:sz w:val="16"/>
                <w:szCs w:val="16"/>
                <w:color w:val="auto"/>
              </w:rPr>
            </w:pPr>
          </w:p>
        </w:tc>
        <w:tc>
          <w:tcPr>
            <w:tcW w:w="8320" w:type="dxa"/>
            <w:vAlign w:val="bottom"/>
          </w:tcPr>
          <w:p>
            <w:pPr>
              <w:ind w:left="580"/>
              <w:spacing w:after="0" w:line="186" w:lineRule="exact"/>
              <w:rPr>
                <w:sz w:val="20"/>
                <w:szCs w:val="20"/>
                <w:color w:val="auto"/>
              </w:rPr>
            </w:pPr>
            <w:r>
              <w:rPr>
                <w:rFonts w:ascii="Arial" w:cs="Arial" w:eastAsia="Arial" w:hAnsi="Arial"/>
                <w:sz w:val="17"/>
                <w:szCs w:val="17"/>
                <w:color w:val="auto"/>
              </w:rPr>
              <w:t>Total cash and cash equivalents</w:t>
            </w:r>
          </w:p>
        </w:tc>
        <w:tc>
          <w:tcPr>
            <w:tcW w:w="1120" w:type="dxa"/>
            <w:vAlign w:val="bottom"/>
          </w:tcPr>
          <w:p>
            <w:pPr>
              <w:jc w:val="right"/>
              <w:spacing w:after="0" w:line="186" w:lineRule="exact"/>
              <w:rPr>
                <w:sz w:val="20"/>
                <w:szCs w:val="20"/>
                <w:color w:val="auto"/>
              </w:rPr>
            </w:pPr>
            <w:r>
              <w:rPr>
                <w:rFonts w:ascii="Arial" w:cs="Arial" w:eastAsia="Arial" w:hAnsi="Arial"/>
                <w:sz w:val="17"/>
                <w:szCs w:val="17"/>
                <w:color w:val="auto"/>
              </w:rPr>
              <w:t>34,164,637</w:t>
            </w:r>
          </w:p>
        </w:tc>
        <w:tc>
          <w:tcPr>
            <w:tcW w:w="120" w:type="dxa"/>
            <w:vAlign w:val="bottom"/>
          </w:tcPr>
          <w:p>
            <w:pPr>
              <w:spacing w:after="0"/>
              <w:rPr>
                <w:sz w:val="16"/>
                <w:szCs w:val="16"/>
                <w:color w:val="auto"/>
              </w:rPr>
            </w:pP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39,298,226</w:t>
            </w:r>
          </w:p>
        </w:tc>
      </w:tr>
      <w:tr>
        <w:trPr>
          <w:trHeight w:val="208"/>
        </w:trPr>
        <w:tc>
          <w:tcPr>
            <w:tcW w:w="360" w:type="dxa"/>
            <w:vAlign w:val="bottom"/>
          </w:tcPr>
          <w:p>
            <w:pPr>
              <w:spacing w:after="0"/>
              <w:rPr>
                <w:sz w:val="18"/>
                <w:szCs w:val="18"/>
                <w:color w:val="auto"/>
              </w:rPr>
            </w:pPr>
          </w:p>
        </w:tc>
        <w:tc>
          <w:tcPr>
            <w:tcW w:w="8320" w:type="dxa"/>
            <w:vAlign w:val="bottom"/>
          </w:tcPr>
          <w:p>
            <w:pPr>
              <w:ind w:left="580"/>
              <w:spacing w:after="0"/>
              <w:rPr>
                <w:sz w:val="20"/>
                <w:szCs w:val="20"/>
                <w:color w:val="auto"/>
              </w:rPr>
            </w:pPr>
            <w:r>
              <w:rPr>
                <w:rFonts w:ascii="Arial" w:cs="Arial" w:eastAsia="Arial" w:hAnsi="Arial"/>
                <w:sz w:val="17"/>
                <w:szCs w:val="17"/>
                <w:color w:val="auto"/>
              </w:rPr>
              <w:t>Restricted funds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19,203</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22,514</w:t>
            </w:r>
          </w:p>
        </w:tc>
      </w:tr>
      <w:tr>
        <w:trPr>
          <w:trHeight w:val="193"/>
        </w:trPr>
        <w:tc>
          <w:tcPr>
            <w:tcW w:w="360" w:type="dxa"/>
            <w:vAlign w:val="bottom"/>
          </w:tcPr>
          <w:p>
            <w:pPr>
              <w:spacing w:after="0"/>
              <w:rPr>
                <w:sz w:val="16"/>
                <w:szCs w:val="16"/>
                <w:color w:val="auto"/>
              </w:rPr>
            </w:pPr>
          </w:p>
        </w:tc>
        <w:tc>
          <w:tcPr>
            <w:tcW w:w="8320" w:type="dxa"/>
            <w:vAlign w:val="bottom"/>
          </w:tcPr>
          <w:p>
            <w:pPr>
              <w:ind w:left="580"/>
              <w:spacing w:after="0" w:line="187" w:lineRule="exact"/>
              <w:rPr>
                <w:sz w:val="20"/>
                <w:szCs w:val="20"/>
                <w:color w:val="auto"/>
              </w:rPr>
            </w:pPr>
            <w:r>
              <w:rPr>
                <w:rFonts w:ascii="Arial" w:cs="Arial" w:eastAsia="Arial" w:hAnsi="Arial"/>
                <w:sz w:val="17"/>
                <w:szCs w:val="17"/>
                <w:b w:val="1"/>
                <w:bCs w:val="1"/>
                <w:color w:val="auto"/>
              </w:rPr>
              <w:t>Total cash</w:t>
            </w: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34,183,840</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39,320,740</w:t>
            </w:r>
          </w:p>
        </w:tc>
      </w:tr>
    </w:tbl>
    <w:p>
      <w:pPr>
        <w:spacing w:after="0" w:line="193" w:lineRule="exact"/>
        <w:rPr>
          <w:sz w:val="20"/>
          <w:szCs w:val="20"/>
          <w:color w:val="auto"/>
        </w:rPr>
      </w:pPr>
    </w:p>
    <w:p>
      <w:pPr>
        <w:jc w:val="center"/>
        <w:ind w:right="20"/>
        <w:spacing w:after="0" w:line="460" w:lineRule="auto"/>
        <w:rPr>
          <w:sz w:val="20"/>
          <w:szCs w:val="20"/>
          <w:color w:val="auto"/>
        </w:rPr>
      </w:pPr>
      <w:r>
        <w:rPr>
          <w:rFonts w:ascii="Arial" w:cs="Arial" w:eastAsia="Arial" w:hAnsi="Arial"/>
          <w:sz w:val="17"/>
          <w:szCs w:val="17"/>
          <w:color w:val="auto"/>
        </w:rPr>
        <w:t>Cash and cash equivalents presented in the consolidated statement of cash flows exclude restricted funds, see note 3(ac). - 56 -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713803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ind w:left="315" w:hanging="315"/>
        <w:spacing w:after="0"/>
        <w:tabs>
          <w:tab w:leader="none" w:pos="3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Cash, clearing and deposits with Central Banks and Bank of the Republic -</w:t>
      </w:r>
    </w:p>
    <w:p>
      <w:pPr>
        <w:spacing w:after="0" w:line="192"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These accounts mainly include the legal cash requirements that Credicorp Subsidiaries must maintain for their obligations to the public. This item comprises the following:</w:t>
      </w:r>
    </w:p>
    <w:p>
      <w:pPr>
        <w:spacing w:after="0" w:line="147" w:lineRule="exact"/>
        <w:rPr>
          <w:sz w:val="20"/>
          <w:szCs w:val="20"/>
          <w:color w:val="auto"/>
        </w:rPr>
      </w:pPr>
    </w:p>
    <w:tbl>
      <w:tblPr>
        <w:tblLayout w:type="fixed"/>
        <w:tblInd w:w="315"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352"/>
        </w:trPr>
        <w:tc>
          <w:tcPr>
            <w:tcW w:w="7700" w:type="dxa"/>
            <w:vAlign w:val="bottom"/>
          </w:tcPr>
          <w:p>
            <w:pPr>
              <w:spacing w:after="0"/>
              <w:rPr>
                <w:sz w:val="20"/>
                <w:szCs w:val="20"/>
                <w:color w:val="auto"/>
              </w:rPr>
            </w:pPr>
            <w:r>
              <w:rPr>
                <w:rFonts w:ascii="Arial" w:cs="Arial" w:eastAsia="Arial" w:hAnsi="Arial"/>
                <w:sz w:val="17"/>
                <w:szCs w:val="17"/>
                <w:b w:val="1"/>
                <w:bCs w:val="1"/>
                <w:color w:val="auto"/>
              </w:rPr>
              <w:t>Legal cash requirements (i)</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Deposits with Central Reserve Bank of Perú</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21,103,687</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19,383,577</w:t>
            </w:r>
          </w:p>
        </w:tc>
        <w:tc>
          <w:tcPr>
            <w:tcW w:w="0" w:type="dxa"/>
            <w:vAlign w:val="bottom"/>
          </w:tcPr>
          <w:p>
            <w:pPr>
              <w:spacing w:after="0"/>
              <w:rPr>
                <w:sz w:val="1"/>
                <w:szCs w:val="1"/>
                <w:color w:val="auto"/>
              </w:rPr>
            </w:pP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Deposits with Central Bank of Bolivia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628,399</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905,309</w:t>
            </w:r>
          </w:p>
        </w:tc>
        <w:tc>
          <w:tcPr>
            <w:tcW w:w="0" w:type="dxa"/>
            <w:vAlign w:val="bottom"/>
          </w:tcPr>
          <w:p>
            <w:pPr>
              <w:spacing w:after="0"/>
              <w:rPr>
                <w:sz w:val="1"/>
                <w:szCs w:val="1"/>
                <w:color w:val="auto"/>
              </w:rPr>
            </w:pP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Deposits with Republic Bank of Colombia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6,285</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8,068</w:t>
            </w:r>
          </w:p>
        </w:tc>
        <w:tc>
          <w:tcPr>
            <w:tcW w:w="0" w:type="dxa"/>
            <w:vAlign w:val="bottom"/>
          </w:tcPr>
          <w:p>
            <w:pPr>
              <w:spacing w:after="0"/>
              <w:rPr>
                <w:sz w:val="1"/>
                <w:szCs w:val="1"/>
                <w:color w:val="auto"/>
              </w:rPr>
            </w:pPr>
          </w:p>
        </w:tc>
      </w:tr>
      <w:tr>
        <w:trPr>
          <w:trHeight w:val="195"/>
        </w:trPr>
        <w:tc>
          <w:tcPr>
            <w:tcW w:w="7700" w:type="dxa"/>
            <w:vAlign w:val="bottom"/>
          </w:tcPr>
          <w:p>
            <w:pPr>
              <w:spacing w:after="0"/>
              <w:rPr>
                <w:sz w:val="20"/>
                <w:szCs w:val="20"/>
                <w:color w:val="auto"/>
              </w:rPr>
            </w:pPr>
            <w:r>
              <w:rPr>
                <w:rFonts w:ascii="Arial" w:cs="Arial" w:eastAsia="Arial" w:hAnsi="Arial"/>
                <w:sz w:val="17"/>
                <w:szCs w:val="17"/>
                <w:color w:val="auto"/>
              </w:rPr>
              <w:t>Cash in vaults of Bank</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4,714,275</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4,275,997</w:t>
            </w:r>
          </w:p>
        </w:tc>
        <w:tc>
          <w:tcPr>
            <w:tcW w:w="0" w:type="dxa"/>
            <w:vAlign w:val="bottom"/>
          </w:tcPr>
          <w:p>
            <w:pPr>
              <w:spacing w:after="0"/>
              <w:rPr>
                <w:sz w:val="1"/>
                <w:szCs w:val="1"/>
                <w:color w:val="auto"/>
              </w:rPr>
            </w:pPr>
          </w:p>
        </w:tc>
      </w:tr>
      <w:tr>
        <w:trPr>
          <w:trHeight w:val="193"/>
        </w:trPr>
        <w:tc>
          <w:tcPr>
            <w:tcW w:w="7700" w:type="dxa"/>
            <w:vAlign w:val="bottom"/>
          </w:tcPr>
          <w:p>
            <w:pPr>
              <w:spacing w:after="0" w:line="187" w:lineRule="exact"/>
              <w:rPr>
                <w:sz w:val="20"/>
                <w:szCs w:val="20"/>
                <w:color w:val="auto"/>
              </w:rPr>
            </w:pPr>
            <w:r>
              <w:rPr>
                <w:rFonts w:ascii="Arial" w:cs="Arial" w:eastAsia="Arial" w:hAnsi="Arial"/>
                <w:sz w:val="17"/>
                <w:szCs w:val="17"/>
                <w:b w:val="1"/>
                <w:bCs w:val="1"/>
                <w:color w:val="auto"/>
              </w:rPr>
              <w:t>Total legal cash requirements</w:t>
            </w: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26,452,646</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24,572,951</w:t>
            </w:r>
          </w:p>
        </w:tc>
        <w:tc>
          <w:tcPr>
            <w:tcW w:w="0" w:type="dxa"/>
            <w:vAlign w:val="bottom"/>
          </w:tcPr>
          <w:p>
            <w:pPr>
              <w:spacing w:after="0"/>
              <w:rPr>
                <w:sz w:val="1"/>
                <w:szCs w:val="1"/>
                <w:color w:val="auto"/>
              </w:rPr>
            </w:pPr>
          </w:p>
        </w:tc>
      </w:tr>
      <w:tr>
        <w:trPr>
          <w:trHeight w:val="388"/>
        </w:trPr>
        <w:tc>
          <w:tcPr>
            <w:tcW w:w="7700" w:type="dxa"/>
            <w:vAlign w:val="bottom"/>
          </w:tcPr>
          <w:p>
            <w:pPr>
              <w:spacing w:after="0"/>
              <w:rPr>
                <w:sz w:val="20"/>
                <w:szCs w:val="20"/>
                <w:color w:val="auto"/>
              </w:rPr>
            </w:pPr>
            <w:r>
              <w:rPr>
                <w:rFonts w:ascii="Arial" w:cs="Arial" w:eastAsia="Arial" w:hAnsi="Arial"/>
                <w:sz w:val="17"/>
                <w:szCs w:val="17"/>
                <w:b w:val="1"/>
                <w:bCs w:val="1"/>
                <w:color w:val="auto"/>
              </w:rPr>
              <w:t>Additional funds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Overnight deposits with Central Reserve Bank of Perú (ii)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2,013,703</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4,536,379</w:t>
            </w:r>
          </w:p>
        </w:tc>
        <w:tc>
          <w:tcPr>
            <w:tcW w:w="0" w:type="dxa"/>
            <w:vAlign w:val="bottom"/>
          </w:tcPr>
          <w:p>
            <w:pPr>
              <w:spacing w:after="0"/>
              <w:rPr>
                <w:sz w:val="1"/>
                <w:szCs w:val="1"/>
                <w:color w:val="auto"/>
              </w:rPr>
            </w:pP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Term deposits with Central Reserve Bank of Perú (iii)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545,000</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1,260,000</w:t>
            </w:r>
          </w:p>
        </w:tc>
        <w:tc>
          <w:tcPr>
            <w:tcW w:w="0" w:type="dxa"/>
            <w:vAlign w:val="bottom"/>
          </w:tcPr>
          <w:p>
            <w:pPr>
              <w:spacing w:after="0"/>
              <w:rPr>
                <w:sz w:val="1"/>
                <w:szCs w:val="1"/>
                <w:color w:val="auto"/>
              </w:rPr>
            </w:pP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Cash in vaults of Bank and others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696,244</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697,250</w:t>
            </w:r>
          </w:p>
        </w:tc>
        <w:tc>
          <w:tcPr>
            <w:tcW w:w="0" w:type="dxa"/>
            <w:vAlign w:val="bottom"/>
          </w:tcPr>
          <w:p>
            <w:pPr>
              <w:spacing w:after="0"/>
              <w:rPr>
                <w:sz w:val="1"/>
                <w:szCs w:val="1"/>
                <w:color w:val="auto"/>
              </w:rPr>
            </w:pPr>
          </w:p>
        </w:tc>
      </w:tr>
      <w:tr>
        <w:trPr>
          <w:trHeight w:val="172"/>
        </w:trPr>
        <w:tc>
          <w:tcPr>
            <w:tcW w:w="7700" w:type="dxa"/>
            <w:vAlign w:val="bottom"/>
          </w:tcPr>
          <w:p>
            <w:pPr>
              <w:spacing w:after="0" w:line="172" w:lineRule="exact"/>
              <w:rPr>
                <w:sz w:val="20"/>
                <w:szCs w:val="20"/>
                <w:color w:val="auto"/>
              </w:rPr>
            </w:pPr>
            <w:r>
              <w:rPr>
                <w:rFonts w:ascii="Arial" w:cs="Arial" w:eastAsia="Arial" w:hAnsi="Arial"/>
                <w:sz w:val="17"/>
                <w:szCs w:val="17"/>
                <w:color w:val="auto"/>
              </w:rPr>
              <w:t>Other Deposits BCRP</w:t>
            </w:r>
          </w:p>
        </w:tc>
        <w:tc>
          <w:tcPr>
            <w:tcW w:w="1120" w:type="dxa"/>
            <w:vAlign w:val="bottom"/>
          </w:tcPr>
          <w:p>
            <w:pPr>
              <w:jc w:val="right"/>
              <w:spacing w:after="0" w:line="172" w:lineRule="exact"/>
              <w:rPr>
                <w:sz w:val="20"/>
                <w:szCs w:val="20"/>
                <w:color w:val="auto"/>
              </w:rPr>
            </w:pPr>
            <w:r>
              <w:rPr>
                <w:rFonts w:ascii="Arial" w:cs="Arial" w:eastAsia="Arial" w:hAnsi="Arial"/>
                <w:sz w:val="17"/>
                <w:szCs w:val="17"/>
                <w:color w:val="auto"/>
              </w:rPr>
              <w:t>514,161</w:t>
            </w:r>
          </w:p>
        </w:tc>
        <w:tc>
          <w:tcPr>
            <w:tcW w:w="16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Arial" w:cs="Arial" w:eastAsia="Arial" w:hAnsi="Arial"/>
                <w:sz w:val="17"/>
                <w:szCs w:val="17"/>
                <w:color w:val="auto"/>
              </w:rPr>
              <w:t>183,814</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Arial" w:cs="Arial" w:eastAsia="Arial" w:hAnsi="Arial"/>
                <w:sz w:val="17"/>
                <w:szCs w:val="17"/>
                <w:b w:val="1"/>
                <w:bCs w:val="1"/>
                <w:color w:val="auto"/>
              </w:rPr>
              <w:t>Total additional funds</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700" w:type="dxa"/>
            <w:vAlign w:val="bottom"/>
            <w:vMerge w:val="continue"/>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3,769,108</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6,677,443</w:t>
            </w:r>
          </w:p>
        </w:tc>
        <w:tc>
          <w:tcPr>
            <w:tcW w:w="0" w:type="dxa"/>
            <w:vAlign w:val="bottom"/>
          </w:tcPr>
          <w:p>
            <w:pPr>
              <w:spacing w:after="0"/>
              <w:rPr>
                <w:sz w:val="1"/>
                <w:szCs w:val="1"/>
                <w:color w:val="auto"/>
              </w:rPr>
            </w:pPr>
          </w:p>
        </w:tc>
      </w:tr>
      <w:tr>
        <w:trPr>
          <w:trHeight w:val="193"/>
        </w:trPr>
        <w:tc>
          <w:tcPr>
            <w:tcW w:w="770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30,221,754</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31,250,394</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615" w:hanging="304"/>
        <w:spacing w:after="0" w:line="246" w:lineRule="auto"/>
        <w:tabs>
          <w:tab w:leader="none" w:pos="6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of December 31, 2022 cash and deposits that generate interest subject to legal cash requirements in local and foreign currency are subject to an implicit rate of 6.01 percent and 34.55 percent, respectively, on the total balance of obligations subject to legal cash requirements, as required by the BCRP; as of December 31, 2021, 4.77 percent and 33.17 percent, respectively.</w:t>
      </w:r>
    </w:p>
    <w:p>
      <w:pPr>
        <w:spacing w:after="0" w:line="175" w:lineRule="exact"/>
        <w:rPr>
          <w:rFonts w:ascii="Arial" w:cs="Arial" w:eastAsia="Arial" w:hAnsi="Arial"/>
          <w:sz w:val="17"/>
          <w:szCs w:val="17"/>
          <w:color w:val="auto"/>
        </w:rPr>
      </w:pPr>
    </w:p>
    <w:p>
      <w:pPr>
        <w:ind w:left="615" w:right="200"/>
        <w:spacing w:after="0" w:line="254" w:lineRule="auto"/>
        <w:rPr>
          <w:rFonts w:ascii="Arial" w:cs="Arial" w:eastAsia="Arial" w:hAnsi="Arial"/>
          <w:sz w:val="17"/>
          <w:szCs w:val="17"/>
          <w:color w:val="auto"/>
        </w:rPr>
      </w:pPr>
      <w:r>
        <w:rPr>
          <w:rFonts w:ascii="Arial" w:cs="Arial" w:eastAsia="Arial" w:hAnsi="Arial"/>
          <w:sz w:val="17"/>
          <w:szCs w:val="17"/>
          <w:color w:val="auto"/>
        </w:rPr>
        <w:t>The reserve funds, which represent the minimum mandatory, do not earn interest; however, the excess of the mandatory reserve deposited in BCRP, earns interests at a nominal rate established by BCRP.</w:t>
      </w:r>
    </w:p>
    <w:p>
      <w:pPr>
        <w:spacing w:after="0" w:line="169" w:lineRule="exact"/>
        <w:rPr>
          <w:rFonts w:ascii="Arial" w:cs="Arial" w:eastAsia="Arial" w:hAnsi="Arial"/>
          <w:sz w:val="17"/>
          <w:szCs w:val="17"/>
          <w:color w:val="auto"/>
        </w:rPr>
      </w:pPr>
    </w:p>
    <w:p>
      <w:pPr>
        <w:ind w:left="615" w:right="600"/>
        <w:spacing w:after="0" w:line="254" w:lineRule="auto"/>
        <w:rPr>
          <w:rFonts w:ascii="Arial" w:cs="Arial" w:eastAsia="Arial" w:hAnsi="Arial"/>
          <w:sz w:val="17"/>
          <w:szCs w:val="17"/>
          <w:color w:val="auto"/>
        </w:rPr>
      </w:pPr>
      <w:r>
        <w:rPr>
          <w:rFonts w:ascii="Arial" w:cs="Arial" w:eastAsia="Arial" w:hAnsi="Arial"/>
          <w:sz w:val="17"/>
          <w:szCs w:val="17"/>
          <w:color w:val="auto"/>
        </w:rPr>
        <w:t>Management considers that the Group has complied with the requirements established by current regulations related to the calculation of the legal reserve.</w:t>
      </w:r>
    </w:p>
    <w:p>
      <w:pPr>
        <w:spacing w:after="0" w:line="169" w:lineRule="exact"/>
        <w:rPr>
          <w:rFonts w:ascii="Arial" w:cs="Arial" w:eastAsia="Arial" w:hAnsi="Arial"/>
          <w:sz w:val="17"/>
          <w:szCs w:val="17"/>
          <w:color w:val="auto"/>
        </w:rPr>
      </w:pPr>
    </w:p>
    <w:p>
      <w:pPr>
        <w:jc w:val="both"/>
        <w:ind w:left="615" w:hanging="304"/>
        <w:spacing w:after="0" w:line="243" w:lineRule="auto"/>
        <w:tabs>
          <w:tab w:leader="none" w:pos="6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of December 31, 2022, the Group maintains three “overnight” deposits with the BCRP, of which one is denominated in soles for a total of S/35.0 million and two are denominated in U.S. dollar for a total of US$518.8 million, equivalent to S/1,978.7 million. To that date, the deposit in soles and deposits in U.S. dollar accrue interest at annual rates of 5.25 percent and 4.39 percent, respectively, and have maturities at 4 days.</w:t>
      </w:r>
    </w:p>
    <w:p>
      <w:pPr>
        <w:spacing w:after="0" w:line="179" w:lineRule="exact"/>
        <w:rPr>
          <w:rFonts w:ascii="Arial" w:cs="Arial" w:eastAsia="Arial" w:hAnsi="Arial"/>
          <w:sz w:val="17"/>
          <w:szCs w:val="17"/>
          <w:color w:val="auto"/>
        </w:rPr>
      </w:pPr>
    </w:p>
    <w:p>
      <w:pPr>
        <w:ind w:left="615" w:right="80"/>
        <w:spacing w:after="0" w:line="243" w:lineRule="auto"/>
        <w:rPr>
          <w:rFonts w:ascii="Arial" w:cs="Arial" w:eastAsia="Arial" w:hAnsi="Arial"/>
          <w:sz w:val="17"/>
          <w:szCs w:val="17"/>
          <w:color w:val="auto"/>
        </w:rPr>
      </w:pPr>
      <w:r>
        <w:rPr>
          <w:rFonts w:ascii="Arial" w:cs="Arial" w:eastAsia="Arial" w:hAnsi="Arial"/>
          <w:sz w:val="17"/>
          <w:szCs w:val="17"/>
          <w:color w:val="auto"/>
        </w:rPr>
        <w:t>As of December 31, 2021, the Group maintained four “overnight” deposits with the BCRP, which two were denominated in soles in amount of S/690.0 million and two in U.S. Dollar in amount of US$964.7 million, equivalent to S/3,846.4 million. At said date, deposits in soles and deposits in U.S. Dollar accrued interest at annual rates of 1.85 percent and 0.05 percent, respectively, and had maturities at 3 days.</w:t>
      </w:r>
    </w:p>
    <w:p>
      <w:pPr>
        <w:spacing w:after="0" w:line="153" w:lineRule="exact"/>
        <w:rPr>
          <w:rFonts w:ascii="Arial" w:cs="Arial" w:eastAsia="Arial" w:hAnsi="Arial"/>
          <w:sz w:val="17"/>
          <w:szCs w:val="17"/>
          <w:color w:val="auto"/>
        </w:rPr>
      </w:pPr>
    </w:p>
    <w:p>
      <w:pPr>
        <w:ind w:left="4895" w:hanging="97"/>
        <w:spacing w:after="0"/>
        <w:tabs>
          <w:tab w:leader="none" w:pos="4895" w:val="left"/>
        </w:tabs>
        <w:numPr>
          <w:ilvl w:val="1"/>
          <w:numId w:val="68"/>
        </w:numPr>
        <w:rPr>
          <w:rFonts w:ascii="Arial" w:cs="Arial" w:eastAsia="Arial" w:hAnsi="Arial"/>
          <w:sz w:val="17"/>
          <w:szCs w:val="17"/>
          <w:color w:val="auto"/>
        </w:rPr>
      </w:pPr>
      <w:r>
        <w:rPr>
          <w:rFonts w:ascii="Arial" w:cs="Arial" w:eastAsia="Arial" w:hAnsi="Arial"/>
          <w:sz w:val="17"/>
          <w:szCs w:val="17"/>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62" w:name="page63"/>
    <w:bookmarkEnd w:id="62"/>
    <w:p>
      <w:pPr>
        <w:jc w:val="both"/>
        <w:ind w:left="615" w:hanging="304"/>
        <w:spacing w:after="0" w:line="241" w:lineRule="auto"/>
        <w:tabs>
          <w:tab w:leader="none" w:pos="615" w:val="left"/>
        </w:tabs>
        <w:numPr>
          <w:ilvl w:val="1"/>
          <w:numId w:val="69"/>
        </w:numPr>
        <w:rPr>
          <w:rFonts w:ascii="Arial" w:cs="Arial" w:eastAsia="Arial" w:hAnsi="Arial"/>
          <w:sz w:val="17"/>
          <w:szCs w:val="17"/>
          <w:color w:val="auto"/>
        </w:rPr>
      </w:pPr>
      <w:r>
        <w:rPr>
          <w:rFonts w:ascii="Arial" w:cs="Arial" w:eastAsia="Arial" w:hAnsi="Arial"/>
          <w:sz w:val="17"/>
          <w:szCs w:val="17"/>
          <w:color w:val="auto"/>
        </w:rPr>
        <w:t>As of December 31, 2022, the Group maintains four term deposits, which are denominated in soles, accrue interest at an annual rate between 7.30 percent and 7.49 percent and expires on January 3, 2023. As of December 31, 2021, the Group held four term deposits denominated in soles, accruing interest at an annual rate between 2.48 percent and 2.49 percent and expired between January 3 and January 4, 2022. The decrease in term deposits at the BCRP is mainly influenced by higher rate levels at the market level, this generates a lower surplus to place in term deposits with the BCRP and, in general, a lower level of liquidity at the bank level.</w:t>
      </w:r>
    </w:p>
    <w:p>
      <w:pPr>
        <w:spacing w:after="0" w:line="181" w:lineRule="exact"/>
        <w:rPr>
          <w:rFonts w:ascii="Arial" w:cs="Arial" w:eastAsia="Arial" w:hAnsi="Arial"/>
          <w:sz w:val="17"/>
          <w:szCs w:val="17"/>
          <w:color w:val="auto"/>
        </w:rPr>
      </w:pPr>
    </w:p>
    <w:p>
      <w:pPr>
        <w:ind w:left="315" w:hanging="315"/>
        <w:spacing w:after="0"/>
        <w:tabs>
          <w:tab w:leader="none" w:pos="315" w:val="left"/>
        </w:tabs>
        <w:numPr>
          <w:ilvl w:val="0"/>
          <w:numId w:val="70"/>
        </w:numPr>
        <w:rPr>
          <w:rFonts w:ascii="Arial" w:cs="Arial" w:eastAsia="Arial" w:hAnsi="Arial"/>
          <w:sz w:val="17"/>
          <w:szCs w:val="17"/>
          <w:color w:val="auto"/>
        </w:rPr>
      </w:pPr>
      <w:r>
        <w:rPr>
          <w:rFonts w:ascii="Arial" w:cs="Arial" w:eastAsia="Arial" w:hAnsi="Arial"/>
          <w:sz w:val="17"/>
          <w:szCs w:val="17"/>
          <w:color w:val="auto"/>
        </w:rPr>
        <w:t>Deposits with local and foreign banks -</w:t>
      </w:r>
    </w:p>
    <w:p>
      <w:pPr>
        <w:spacing w:after="0" w:line="193" w:lineRule="exact"/>
        <w:rPr>
          <w:rFonts w:ascii="Arial" w:cs="Arial" w:eastAsia="Arial" w:hAnsi="Arial"/>
          <w:sz w:val="17"/>
          <w:szCs w:val="17"/>
          <w:color w:val="auto"/>
        </w:rPr>
      </w:pPr>
    </w:p>
    <w:p>
      <w:pPr>
        <w:ind w:left="315" w:right="160"/>
        <w:spacing w:after="0" w:line="254" w:lineRule="auto"/>
        <w:rPr>
          <w:rFonts w:ascii="Arial" w:cs="Arial" w:eastAsia="Arial" w:hAnsi="Arial"/>
          <w:sz w:val="17"/>
          <w:szCs w:val="17"/>
          <w:color w:val="auto"/>
        </w:rPr>
      </w:pPr>
      <w:r>
        <w:rPr>
          <w:rFonts w:ascii="Arial" w:cs="Arial" w:eastAsia="Arial" w:hAnsi="Arial"/>
          <w:sz w:val="17"/>
          <w:szCs w:val="17"/>
          <w:color w:val="auto"/>
        </w:rPr>
        <w:t>Deposits with local and foreign banks mainly consist of balances in soles and U.S. Dollar; these are cash in hand and earn interest at market rates. As of December 31, 2022 and 2021 Credicorp and its Subsidiaries do not maintain significant deposits with any bank.</w:t>
      </w:r>
    </w:p>
    <w:p>
      <w:pPr>
        <w:spacing w:after="0" w:line="143" w:lineRule="exact"/>
        <w:rPr>
          <w:rFonts w:ascii="Arial" w:cs="Arial" w:eastAsia="Arial" w:hAnsi="Arial"/>
          <w:sz w:val="17"/>
          <w:szCs w:val="17"/>
          <w:color w:val="auto"/>
        </w:rPr>
      </w:pPr>
    </w:p>
    <w:p>
      <w:pPr>
        <w:ind w:left="4895" w:hanging="97"/>
        <w:spacing w:after="0"/>
        <w:tabs>
          <w:tab w:leader="none" w:pos="4895" w:val="left"/>
        </w:tabs>
        <w:numPr>
          <w:ilvl w:val="2"/>
          <w:numId w:val="70"/>
        </w:numPr>
        <w:rPr>
          <w:rFonts w:ascii="Arial" w:cs="Arial" w:eastAsia="Arial" w:hAnsi="Arial"/>
          <w:sz w:val="17"/>
          <w:szCs w:val="17"/>
          <w:color w:val="auto"/>
        </w:rPr>
      </w:pPr>
      <w:r>
        <w:rPr>
          <w:rFonts w:ascii="Arial" w:cs="Arial" w:eastAsia="Arial" w:hAnsi="Arial"/>
          <w:sz w:val="17"/>
          <w:szCs w:val="17"/>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63" w:name="page64"/>
    <w:bookmarkEnd w:id="63"/>
    <w:p>
      <w:pPr>
        <w:ind w:left="616" w:right="900" w:hanging="616"/>
        <w:spacing w:after="0" w:line="280" w:lineRule="auto"/>
        <w:tabs>
          <w:tab w:leader="none" w:pos="616"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CASH COLLATERAL, REVERSE REPURCHASE AGREEMENTS AND SECURITIES BORROWING AND PAYABLES FROM REPURCHASE AGREEMENTS AND SECURITIES LENDING</w:t>
      </w:r>
    </w:p>
    <w:p>
      <w:pPr>
        <w:spacing w:after="0" w:line="147" w:lineRule="exact"/>
        <w:rPr>
          <w:rFonts w:ascii="Arial" w:cs="Arial" w:eastAsia="Arial" w:hAnsi="Arial"/>
          <w:sz w:val="17"/>
          <w:szCs w:val="17"/>
          <w:b w:val="1"/>
          <w:bCs w:val="1"/>
          <w:color w:val="auto"/>
        </w:rPr>
      </w:pPr>
    </w:p>
    <w:p>
      <w:pPr>
        <w:ind w:left="936" w:hanging="315"/>
        <w:spacing w:after="0"/>
        <w:tabs>
          <w:tab w:leader="none" w:pos="936" w:val="left"/>
        </w:tabs>
        <w:numPr>
          <w:ilvl w:val="1"/>
          <w:numId w:val="71"/>
        </w:numPr>
        <w:rPr>
          <w:rFonts w:ascii="Arial" w:cs="Arial" w:eastAsia="Arial" w:hAnsi="Arial"/>
          <w:sz w:val="17"/>
          <w:szCs w:val="17"/>
          <w:color w:val="auto"/>
        </w:rPr>
      </w:pPr>
      <w:r>
        <w:rPr>
          <w:rFonts w:ascii="Arial" w:cs="Arial" w:eastAsia="Arial" w:hAnsi="Arial"/>
          <w:sz w:val="17"/>
          <w:szCs w:val="17"/>
          <w:color w:val="auto"/>
        </w:rPr>
        <w:t>We present below the composition of cash collateral, reverse repurchase agreements and securities borrowing:</w:t>
      </w:r>
    </w:p>
    <w:p>
      <w:pPr>
        <w:spacing w:after="0" w:line="171" w:lineRule="exact"/>
        <w:rPr>
          <w:sz w:val="20"/>
          <w:szCs w:val="20"/>
          <w:color w:val="auto"/>
        </w:rPr>
      </w:pPr>
    </w:p>
    <w:tbl>
      <w:tblPr>
        <w:tblLayout w:type="fixed"/>
        <w:tblInd w:w="936" w:type="dxa"/>
        <w:tblCellMar>
          <w:top w:w="0" w:type="dxa"/>
          <w:left w:w="0" w:type="dxa"/>
          <w:bottom w:w="0" w:type="dxa"/>
          <w:right w:w="0" w:type="dxa"/>
        </w:tblCellMar>
      </w:tblPr>
      <w:tr>
        <w:trPr>
          <w:trHeight w:val="217"/>
        </w:trPr>
        <w:tc>
          <w:tcPr>
            <w:tcW w:w="6580" w:type="dxa"/>
            <w:vAlign w:val="bottom"/>
          </w:tcPr>
          <w:p>
            <w:pPr>
              <w:spacing w:after="0"/>
              <w:rPr>
                <w:sz w:val="18"/>
                <w:szCs w:val="18"/>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18"/>
                <w:szCs w:val="18"/>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r>
      <w:tr>
        <w:trPr>
          <w:trHeight w:val="223"/>
        </w:trPr>
        <w:tc>
          <w:tcPr>
            <w:tcW w:w="6580" w:type="dxa"/>
            <w:vAlign w:val="bottom"/>
          </w:tcPr>
          <w:p>
            <w:pPr>
              <w:spacing w:after="0"/>
              <w:rPr>
                <w:sz w:val="19"/>
                <w:szCs w:val="19"/>
                <w:color w:val="auto"/>
              </w:rPr>
            </w:pPr>
          </w:p>
        </w:tc>
        <w:tc>
          <w:tcPr>
            <w:tcW w:w="110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120" w:type="dxa"/>
            <w:vAlign w:val="bottom"/>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6580" w:type="dxa"/>
            <w:vAlign w:val="bottom"/>
          </w:tcPr>
          <w:p>
            <w:pPr>
              <w:spacing w:after="0"/>
              <w:rPr>
                <w:sz w:val="20"/>
                <w:szCs w:val="20"/>
                <w:color w:val="auto"/>
              </w:rPr>
            </w:pPr>
            <w:r>
              <w:rPr>
                <w:rFonts w:ascii="Arial" w:cs="Arial" w:eastAsia="Arial" w:hAnsi="Arial"/>
                <w:sz w:val="17"/>
                <w:szCs w:val="17"/>
                <w:color w:val="auto"/>
              </w:rPr>
              <w:t>Cash collateral on repurchase agreements and security lendings (i)</w:t>
            </w:r>
          </w:p>
        </w:tc>
        <w:tc>
          <w:tcPr>
            <w:tcW w:w="1100" w:type="dxa"/>
            <w:vAlign w:val="bottom"/>
          </w:tcPr>
          <w:p>
            <w:pPr>
              <w:jc w:val="right"/>
              <w:spacing w:after="0"/>
              <w:rPr>
                <w:sz w:val="20"/>
                <w:szCs w:val="20"/>
                <w:color w:val="auto"/>
              </w:rPr>
            </w:pPr>
            <w:r>
              <w:rPr>
                <w:rFonts w:ascii="Arial" w:cs="Arial" w:eastAsia="Arial" w:hAnsi="Arial"/>
                <w:sz w:val="17"/>
                <w:szCs w:val="17"/>
                <w:color w:val="auto"/>
              </w:rPr>
              <w:t>649,769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1,080,616</w:t>
            </w:r>
          </w:p>
        </w:tc>
      </w:tr>
      <w:tr>
        <w:trPr>
          <w:trHeight w:val="194"/>
        </w:trPr>
        <w:tc>
          <w:tcPr>
            <w:tcW w:w="6580" w:type="dxa"/>
            <w:vAlign w:val="bottom"/>
          </w:tcPr>
          <w:p>
            <w:pPr>
              <w:spacing w:after="0" w:line="194" w:lineRule="exact"/>
              <w:rPr>
                <w:sz w:val="20"/>
                <w:szCs w:val="20"/>
                <w:color w:val="auto"/>
              </w:rPr>
            </w:pPr>
            <w:r>
              <w:rPr>
                <w:rFonts w:ascii="Arial" w:cs="Arial" w:eastAsia="Arial" w:hAnsi="Arial"/>
                <w:sz w:val="17"/>
                <w:szCs w:val="17"/>
                <w:color w:val="auto"/>
              </w:rPr>
              <w:t>Reverse repurchase agreement and security borrowings (ii)</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452,087</w:t>
            </w:r>
          </w:p>
        </w:tc>
        <w:tc>
          <w:tcPr>
            <w:tcW w:w="18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654,783</w:t>
            </w:r>
          </w:p>
        </w:tc>
      </w:tr>
      <w:tr>
        <w:trPr>
          <w:trHeight w:val="195"/>
        </w:trPr>
        <w:tc>
          <w:tcPr>
            <w:tcW w:w="6580" w:type="dxa"/>
            <w:vAlign w:val="bottom"/>
          </w:tcPr>
          <w:p>
            <w:pPr>
              <w:spacing w:after="0"/>
              <w:rPr>
                <w:sz w:val="20"/>
                <w:szCs w:val="20"/>
                <w:color w:val="auto"/>
              </w:rPr>
            </w:pPr>
            <w:r>
              <w:rPr>
                <w:rFonts w:ascii="Arial" w:cs="Arial" w:eastAsia="Arial" w:hAnsi="Arial"/>
                <w:sz w:val="17"/>
                <w:szCs w:val="17"/>
                <w:color w:val="auto"/>
              </w:rPr>
              <w:t>Receivables for short sales</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31,549</w:t>
            </w:r>
          </w:p>
        </w:tc>
      </w:tr>
      <w:tr>
        <w:trPr>
          <w:trHeight w:val="193"/>
        </w:trPr>
        <w:tc>
          <w:tcPr>
            <w:tcW w:w="658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1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1,101,856</w:t>
            </w:r>
          </w:p>
        </w:tc>
        <w:tc>
          <w:tcPr>
            <w:tcW w:w="1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1,766,948</w:t>
            </w:r>
          </w:p>
        </w:tc>
      </w:tr>
    </w:tbl>
    <w:p>
      <w:pPr>
        <w:spacing w:after="0" w:line="193" w:lineRule="exact"/>
        <w:rPr>
          <w:sz w:val="20"/>
          <w:szCs w:val="20"/>
          <w:color w:val="auto"/>
        </w:rPr>
      </w:pPr>
    </w:p>
    <w:p>
      <w:pPr>
        <w:ind w:left="1236" w:right="120" w:hanging="304"/>
        <w:spacing w:after="0" w:line="242" w:lineRule="auto"/>
        <w:tabs>
          <w:tab w:leader="none" w:pos="12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As of December 31, 2022, the balance mainly comprises cash guarantees in U.S. dollar and Bolivianos. Cash guarantees were delivered to the Central Bank of Bolivia, received in Bolivians and U.S. dollar for the equivalent of S/424.8 million (S/736.2 million, as of December 31, 2021). Likewise, cash guarantees were delivered to the BCRP for US$52.5 million, equivalent to S/200.4 million, to guarantee debts with this same institution for approximately S/185.0 million, (as of December 31, 2021, cash guarantee for approximately US$82.4 million, equivalent to S/328.4 million to guarantee a debt in soles of approximately S/285.0 million).</w:t>
      </w:r>
    </w:p>
    <w:p>
      <w:pPr>
        <w:spacing w:after="0" w:line="180" w:lineRule="exact"/>
        <w:rPr>
          <w:rFonts w:ascii="Arial" w:cs="Arial" w:eastAsia="Arial" w:hAnsi="Arial"/>
          <w:sz w:val="17"/>
          <w:szCs w:val="17"/>
          <w:color w:val="auto"/>
        </w:rPr>
      </w:pPr>
    </w:p>
    <w:p>
      <w:pPr>
        <w:ind w:left="1236"/>
        <w:spacing w:after="0" w:line="246" w:lineRule="auto"/>
        <w:rPr>
          <w:rFonts w:ascii="Arial" w:cs="Arial" w:eastAsia="Arial" w:hAnsi="Arial"/>
          <w:sz w:val="17"/>
          <w:szCs w:val="17"/>
          <w:color w:val="auto"/>
        </w:rPr>
      </w:pPr>
      <w:r>
        <w:rPr>
          <w:rFonts w:ascii="Arial" w:cs="Arial" w:eastAsia="Arial" w:hAnsi="Arial"/>
          <w:sz w:val="17"/>
          <w:szCs w:val="17"/>
          <w:color w:val="auto"/>
        </w:rPr>
        <w:t>Cash collateral granted bears interest at an average annual effective interest rate according to market rates. The related liability is presented in “Payables from repurchase agreements and securities lending” in the consolidated statement of financial position, see paragraph (c) below.</w:t>
      </w:r>
    </w:p>
    <w:p>
      <w:pPr>
        <w:spacing w:after="0" w:line="150" w:lineRule="exact"/>
        <w:rPr>
          <w:rFonts w:ascii="Arial" w:cs="Arial" w:eastAsia="Arial" w:hAnsi="Arial"/>
          <w:sz w:val="17"/>
          <w:szCs w:val="17"/>
          <w:color w:val="auto"/>
        </w:rPr>
      </w:pPr>
    </w:p>
    <w:p>
      <w:pPr>
        <w:ind w:left="5516" w:hanging="97"/>
        <w:spacing w:after="0"/>
        <w:tabs>
          <w:tab w:leader="none" w:pos="5516" w:val="left"/>
        </w:tabs>
        <w:numPr>
          <w:ilvl w:val="1"/>
          <w:numId w:val="72"/>
        </w:numPr>
        <w:rPr>
          <w:rFonts w:ascii="Arial" w:cs="Arial" w:eastAsia="Arial" w:hAnsi="Arial"/>
          <w:sz w:val="17"/>
          <w:szCs w:val="17"/>
          <w:color w:val="auto"/>
        </w:rPr>
      </w:pPr>
      <w:r>
        <w:rPr>
          <w:rFonts w:ascii="Arial" w:cs="Arial" w:eastAsia="Arial" w:hAnsi="Arial"/>
          <w:sz w:val="17"/>
          <w:szCs w:val="17"/>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3803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6"/>
          </w:cols>
          <w:pgMar w:left="324" w:top="118" w:right="339" w:bottom="1440" w:gutter="0" w:footer="0" w:header="0"/>
        </w:sectPr>
      </w:pPr>
    </w:p>
    <w:bookmarkStart w:id="64" w:name="page65"/>
    <w:bookmarkEnd w:id="64"/>
    <w:p>
      <w:pPr>
        <w:ind w:left="615" w:right="360" w:hanging="304"/>
        <w:spacing w:after="0" w:line="253" w:lineRule="auto"/>
        <w:tabs>
          <w:tab w:leader="none" w:pos="615" w:val="left"/>
        </w:tabs>
        <w:numPr>
          <w:ilvl w:val="0"/>
          <w:numId w:val="73"/>
        </w:numPr>
        <w:rPr>
          <w:rFonts w:ascii="Arial" w:cs="Arial" w:eastAsia="Arial" w:hAnsi="Arial"/>
          <w:sz w:val="17"/>
          <w:szCs w:val="17"/>
          <w:color w:val="auto"/>
        </w:rPr>
      </w:pPr>
      <w:r>
        <w:rPr>
          <w:rFonts w:ascii="Arial" w:cs="Arial" w:eastAsia="Arial" w:hAnsi="Arial"/>
          <w:sz w:val="17"/>
          <w:szCs w:val="17"/>
          <w:color w:val="auto"/>
        </w:rPr>
        <w:t>Credicorp, through its subsidiaries, provides financing to its customers through reverse repurchase agreements and securities borrowing, in which a financial instrument serves as collateral. Details of said transactions are as follows:</w:t>
      </w:r>
    </w:p>
    <w:p>
      <w:pPr>
        <w:spacing w:after="0" w:line="159" w:lineRule="exact"/>
        <w:rPr>
          <w:sz w:val="20"/>
          <w:szCs w:val="20"/>
          <w:color w:val="auto"/>
        </w:rPr>
      </w:pPr>
    </w:p>
    <w:tbl>
      <w:tblPr>
        <w:tblLayout w:type="fixed"/>
        <w:tblInd w:w="615" w:type="dxa"/>
        <w:tblCellMar>
          <w:top w:w="0" w:type="dxa"/>
          <w:left w:w="0" w:type="dxa"/>
          <w:bottom w:w="0" w:type="dxa"/>
          <w:right w:w="0" w:type="dxa"/>
        </w:tblCellMar>
      </w:tblPr>
      <w:tr>
        <w:trPr>
          <w:trHeight w:val="167"/>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More</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ind w:left="80"/>
              <w:spacing w:after="0" w:line="137" w:lineRule="exact"/>
              <w:rPr>
                <w:sz w:val="20"/>
                <w:szCs w:val="20"/>
                <w:color w:val="auto"/>
              </w:rPr>
            </w:pPr>
            <w:r>
              <w:rPr>
                <w:rFonts w:ascii="Arial" w:cs="Arial" w:eastAsia="Arial" w:hAnsi="Arial"/>
                <w:sz w:val="14"/>
                <w:szCs w:val="14"/>
                <w:b w:val="1"/>
                <w:bCs w:val="1"/>
                <w:color w:val="auto"/>
              </w:rPr>
              <w:t>More</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w w:val="94"/>
              </w:rPr>
              <w:t>Average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From 3</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rPr>
              <w:t>than</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line="155" w:lineRule="exact"/>
              <w:rPr>
                <w:sz w:val="20"/>
                <w:szCs w:val="20"/>
                <w:color w:val="auto"/>
              </w:rPr>
            </w:pPr>
            <w:r>
              <w:rPr>
                <w:rFonts w:ascii="Arial" w:cs="Arial" w:eastAsia="Arial" w:hAnsi="Arial"/>
                <w:sz w:val="14"/>
                <w:szCs w:val="14"/>
                <w:b w:val="1"/>
                <w:bCs w:val="1"/>
                <w:color w:val="auto"/>
              </w:rPr>
              <w:t>of</w:t>
            </w:r>
          </w:p>
        </w:tc>
        <w:tc>
          <w:tcPr>
            <w:tcW w:w="80" w:type="dxa"/>
            <w:vAlign w:val="bottom"/>
          </w:tcPr>
          <w:p>
            <w:pPr>
              <w:spacing w:after="0"/>
              <w:rPr>
                <w:sz w:val="13"/>
                <w:szCs w:val="13"/>
                <w:color w:val="auto"/>
              </w:rPr>
            </w:pPr>
          </w:p>
        </w:tc>
        <w:tc>
          <w:tcPr>
            <w:tcW w:w="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Average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line="155" w:lineRule="exact"/>
              <w:rPr>
                <w:sz w:val="20"/>
                <w:szCs w:val="20"/>
                <w:color w:val="auto"/>
              </w:rPr>
            </w:pPr>
            <w:r>
              <w:rPr>
                <w:rFonts w:ascii="Arial" w:cs="Arial" w:eastAsia="Arial" w:hAnsi="Arial"/>
                <w:sz w:val="14"/>
                <w:szCs w:val="14"/>
                <w:b w:val="1"/>
                <w:bCs w:val="1"/>
                <w:color w:val="auto"/>
              </w:rPr>
              <w:t>From 3</w:t>
            </w:r>
          </w:p>
        </w:tc>
        <w:tc>
          <w:tcPr>
            <w:tcW w:w="5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than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line="155"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interest</w:t>
            </w:r>
          </w:p>
        </w:tc>
        <w:tc>
          <w:tcPr>
            <w:tcW w:w="6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Up to 3</w:t>
            </w:r>
          </w:p>
        </w:tc>
        <w:tc>
          <w:tcPr>
            <w:tcW w:w="7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to 30</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rPr>
              <w:t>30</w:t>
            </w:r>
          </w:p>
        </w:tc>
        <w:tc>
          <w:tcPr>
            <w:tcW w:w="7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Carrying</w:t>
            </w:r>
          </w:p>
        </w:tc>
        <w:tc>
          <w:tcPr>
            <w:tcW w:w="720" w:type="dxa"/>
            <w:vAlign w:val="bottom"/>
          </w:tcPr>
          <w:p>
            <w:pPr>
              <w:spacing w:after="0" w:line="155" w:lineRule="exact"/>
              <w:rPr>
                <w:sz w:val="20"/>
                <w:szCs w:val="20"/>
                <w:color w:val="auto"/>
              </w:rPr>
            </w:pPr>
            <w:r>
              <w:rPr>
                <w:rFonts w:ascii="Arial" w:cs="Arial" w:eastAsia="Arial" w:hAnsi="Arial"/>
                <w:sz w:val="14"/>
                <w:szCs w:val="14"/>
                <w:b w:val="1"/>
                <w:bCs w:val="1"/>
                <w:color w:val="auto"/>
                <w:w w:val="97"/>
              </w:rPr>
              <w:t>underlying</w:t>
            </w:r>
          </w:p>
        </w:tc>
        <w:tc>
          <w:tcPr>
            <w:tcW w:w="80" w:type="dxa"/>
            <w:vAlign w:val="bottom"/>
          </w:tcPr>
          <w:p>
            <w:pPr>
              <w:spacing w:after="0"/>
              <w:rPr>
                <w:sz w:val="13"/>
                <w:szCs w:val="13"/>
                <w:color w:val="auto"/>
              </w:rPr>
            </w:pPr>
          </w:p>
        </w:tc>
        <w:tc>
          <w:tcPr>
            <w:tcW w:w="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interest</w:t>
            </w:r>
          </w:p>
        </w:tc>
        <w:tc>
          <w:tcPr>
            <w:tcW w:w="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Up to 3</w:t>
            </w:r>
          </w:p>
        </w:tc>
        <w:tc>
          <w:tcPr>
            <w:tcW w:w="540" w:type="dxa"/>
            <w:vAlign w:val="bottom"/>
          </w:tcPr>
          <w:p>
            <w:pPr>
              <w:spacing w:after="0" w:line="155" w:lineRule="exact"/>
              <w:rPr>
                <w:sz w:val="20"/>
                <w:szCs w:val="20"/>
                <w:color w:val="auto"/>
              </w:rPr>
            </w:pPr>
            <w:r>
              <w:rPr>
                <w:rFonts w:ascii="Arial" w:cs="Arial" w:eastAsia="Arial" w:hAnsi="Arial"/>
                <w:sz w:val="14"/>
                <w:szCs w:val="14"/>
                <w:b w:val="1"/>
                <w:bCs w:val="1"/>
                <w:color w:val="auto"/>
              </w:rPr>
              <w:t>to 30</w:t>
            </w:r>
          </w:p>
        </w:tc>
        <w:tc>
          <w:tcPr>
            <w:tcW w:w="5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30</w:t>
            </w:r>
          </w:p>
        </w:tc>
        <w:tc>
          <w:tcPr>
            <w:tcW w:w="7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Carrying</w:t>
            </w:r>
          </w:p>
        </w:tc>
        <w:tc>
          <w:tcPr>
            <w:tcW w:w="700" w:type="dxa"/>
            <w:vAlign w:val="bottom"/>
          </w:tcPr>
          <w:p>
            <w:pPr>
              <w:spacing w:after="0" w:line="155" w:lineRule="exact"/>
              <w:rPr>
                <w:sz w:val="20"/>
                <w:szCs w:val="20"/>
                <w:color w:val="auto"/>
              </w:rPr>
            </w:pPr>
            <w:r>
              <w:rPr>
                <w:rFonts w:ascii="Arial" w:cs="Arial" w:eastAsia="Arial" w:hAnsi="Arial"/>
                <w:sz w:val="14"/>
                <w:szCs w:val="14"/>
                <w:b w:val="1"/>
                <w:bCs w:val="1"/>
                <w:color w:val="auto"/>
                <w:w w:val="94"/>
              </w:rPr>
              <w:t>underlying</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Currency</w:t>
            </w: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w:t>
            </w: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days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days</w:t>
            </w:r>
          </w:p>
        </w:tc>
        <w:tc>
          <w:tcPr>
            <w:tcW w:w="480" w:type="dxa"/>
            <w:vAlign w:val="bottom"/>
          </w:tcPr>
          <w:p>
            <w:pPr>
              <w:spacing w:after="0"/>
              <w:rPr>
                <w:sz w:val="20"/>
                <w:szCs w:val="20"/>
                <w:color w:val="auto"/>
              </w:rPr>
            </w:pPr>
            <w:r>
              <w:rPr>
                <w:rFonts w:ascii="Arial" w:cs="Arial" w:eastAsia="Arial" w:hAnsi="Arial"/>
                <w:sz w:val="14"/>
                <w:szCs w:val="14"/>
                <w:b w:val="1"/>
                <w:bCs w:val="1"/>
                <w:color w:val="auto"/>
              </w:rPr>
              <w:t>days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rate</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days</w:t>
            </w:r>
          </w:p>
        </w:tc>
        <w:tc>
          <w:tcPr>
            <w:tcW w:w="540" w:type="dxa"/>
            <w:vAlign w:val="bottom"/>
          </w:tcPr>
          <w:p>
            <w:pPr>
              <w:spacing w:after="0"/>
              <w:rPr>
                <w:sz w:val="20"/>
                <w:szCs w:val="20"/>
                <w:color w:val="auto"/>
              </w:rPr>
            </w:pPr>
            <w:r>
              <w:rPr>
                <w:rFonts w:ascii="Arial" w:cs="Arial" w:eastAsia="Arial" w:hAnsi="Arial"/>
                <w:sz w:val="14"/>
                <w:szCs w:val="14"/>
                <w:b w:val="1"/>
                <w:bCs w:val="1"/>
                <w:color w:val="auto"/>
              </w:rPr>
              <w:t>days</w:t>
            </w: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days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74"/>
        </w:trPr>
        <w:tc>
          <w:tcPr>
            <w:tcW w:w="1340" w:type="dxa"/>
            <w:vAlign w:val="bottom"/>
            <w:vMerge w:val="restart"/>
          </w:tcPr>
          <w:p>
            <w:pPr>
              <w:spacing w:after="0"/>
              <w:rPr>
                <w:sz w:val="20"/>
                <w:szCs w:val="20"/>
                <w:color w:val="auto"/>
              </w:rPr>
            </w:pPr>
            <w:r>
              <w:rPr>
                <w:rFonts w:ascii="Arial" w:cs="Arial" w:eastAsia="Arial" w:hAnsi="Arial"/>
                <w:sz w:val="14"/>
                <w:szCs w:val="14"/>
                <w:color w:val="auto"/>
              </w:rPr>
              <w:t>Instruments issued</w:t>
            </w:r>
          </w:p>
        </w:tc>
        <w:tc>
          <w:tcPr>
            <w:tcW w:w="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34"/>
        </w:trPr>
        <w:tc>
          <w:tcPr>
            <w:tcW w:w="1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line="155" w:lineRule="exact"/>
              <w:rPr>
                <w:sz w:val="20"/>
                <w:szCs w:val="20"/>
                <w:color w:val="auto"/>
              </w:rPr>
            </w:pPr>
            <w:r>
              <w:rPr>
                <w:rFonts w:ascii="Arial" w:cs="Arial" w:eastAsia="Arial" w:hAnsi="Arial"/>
                <w:sz w:val="14"/>
                <w:szCs w:val="14"/>
                <w:color w:val="auto"/>
              </w:rPr>
              <w:t>by the Colombian</w:t>
            </w: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color w:val="auto"/>
                <w:w w:val="95"/>
              </w:rPr>
              <w:t>Colombian</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line="155" w:lineRule="exact"/>
              <w:rPr>
                <w:sz w:val="20"/>
                <w:szCs w:val="20"/>
                <w:color w:val="auto"/>
              </w:rPr>
            </w:pPr>
            <w:r>
              <w:rPr>
                <w:rFonts w:ascii="Arial" w:cs="Arial" w:eastAsia="Arial" w:hAnsi="Arial"/>
                <w:sz w:val="14"/>
                <w:szCs w:val="14"/>
                <w:color w:val="auto"/>
              </w:rPr>
              <w:t>Government</w:t>
            </w: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peso</w:t>
            </w:r>
          </w:p>
        </w:tc>
        <w:tc>
          <w:tcPr>
            <w:tcW w:w="6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4.66</w:t>
            </w: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205,480</w:t>
            </w:r>
          </w:p>
        </w:tc>
        <w:tc>
          <w:tcPr>
            <w:tcW w:w="80" w:type="dxa"/>
            <w:vAlign w:val="bottom"/>
          </w:tcPr>
          <w:p>
            <w:pPr>
              <w:spacing w:after="0"/>
              <w:rPr>
                <w:sz w:val="13"/>
                <w:szCs w:val="13"/>
                <w:color w:val="auto"/>
              </w:rPr>
            </w:pPr>
          </w:p>
        </w:tc>
        <w:tc>
          <w:tcPr>
            <w:tcW w:w="480" w:type="dxa"/>
            <w:vAlign w:val="bottom"/>
          </w:tcPr>
          <w:p>
            <w:pPr>
              <w:spacing w:after="0" w:line="155" w:lineRule="exact"/>
              <w:rPr>
                <w:sz w:val="20"/>
                <w:szCs w:val="20"/>
                <w:color w:val="auto"/>
              </w:rPr>
            </w:pPr>
            <w:r>
              <w:rPr>
                <w:rFonts w:ascii="Arial" w:cs="Arial" w:eastAsia="Arial" w:hAnsi="Arial"/>
                <w:sz w:val="14"/>
                <w:szCs w:val="14"/>
                <w:color w:val="auto"/>
              </w:rPr>
              <w:t>26,979</w:t>
            </w:r>
          </w:p>
        </w:tc>
        <w:tc>
          <w:tcPr>
            <w:tcW w:w="6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232,459</w:t>
            </w:r>
          </w:p>
        </w:tc>
        <w:tc>
          <w:tcPr>
            <w:tcW w:w="80" w:type="dxa"/>
            <w:vAlign w:val="bottom"/>
          </w:tcPr>
          <w:p>
            <w:pPr>
              <w:spacing w:after="0"/>
              <w:rPr>
                <w:sz w:val="13"/>
                <w:szCs w:val="13"/>
                <w:color w:val="auto"/>
              </w:rPr>
            </w:pPr>
          </w:p>
        </w:tc>
        <w:tc>
          <w:tcPr>
            <w:tcW w:w="720" w:type="dxa"/>
            <w:vAlign w:val="bottom"/>
          </w:tcPr>
          <w:p>
            <w:pPr>
              <w:ind w:left="160"/>
              <w:spacing w:after="0" w:line="155" w:lineRule="exact"/>
              <w:rPr>
                <w:sz w:val="20"/>
                <w:szCs w:val="20"/>
                <w:color w:val="auto"/>
              </w:rPr>
            </w:pPr>
            <w:r>
              <w:rPr>
                <w:rFonts w:ascii="Arial" w:cs="Arial" w:eastAsia="Arial" w:hAnsi="Arial"/>
                <w:sz w:val="14"/>
                <w:szCs w:val="14"/>
                <w:color w:val="auto"/>
              </w:rPr>
              <w:t>254,226</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5.89</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spacing w:after="0" w:line="155" w:lineRule="exact"/>
              <w:rPr>
                <w:sz w:val="20"/>
                <w:szCs w:val="20"/>
                <w:color w:val="auto"/>
              </w:rPr>
            </w:pPr>
            <w:r>
              <w:rPr>
                <w:rFonts w:ascii="Arial" w:cs="Arial" w:eastAsia="Arial" w:hAnsi="Arial"/>
                <w:sz w:val="14"/>
                <w:szCs w:val="14"/>
                <w:color w:val="auto"/>
              </w:rPr>
              <w:t>321,196</w:t>
            </w:r>
          </w:p>
        </w:tc>
        <w:tc>
          <w:tcPr>
            <w:tcW w:w="80" w:type="dxa"/>
            <w:vAlign w:val="bottom"/>
          </w:tcPr>
          <w:p>
            <w:pPr>
              <w:spacing w:after="0"/>
              <w:rPr>
                <w:sz w:val="13"/>
                <w:szCs w:val="13"/>
                <w:color w:val="auto"/>
              </w:rPr>
            </w:pPr>
          </w:p>
        </w:tc>
        <w:tc>
          <w:tcPr>
            <w:tcW w:w="480" w:type="dxa"/>
            <w:vAlign w:val="bottom"/>
          </w:tcPr>
          <w:p>
            <w:pPr>
              <w:ind w:left="36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321,196</w:t>
            </w:r>
          </w:p>
        </w:tc>
        <w:tc>
          <w:tcPr>
            <w:tcW w:w="80" w:type="dxa"/>
            <w:vAlign w:val="bottom"/>
          </w:tcPr>
          <w:p>
            <w:pPr>
              <w:spacing w:after="0"/>
              <w:rPr>
                <w:sz w:val="13"/>
                <w:szCs w:val="13"/>
                <w:color w:val="auto"/>
              </w:rPr>
            </w:pPr>
          </w:p>
        </w:tc>
        <w:tc>
          <w:tcPr>
            <w:tcW w:w="700" w:type="dxa"/>
            <w:vAlign w:val="bottom"/>
          </w:tcPr>
          <w:p>
            <w:pPr>
              <w:ind w:left="160"/>
              <w:spacing w:after="0" w:line="155" w:lineRule="exact"/>
              <w:rPr>
                <w:sz w:val="20"/>
                <w:szCs w:val="20"/>
                <w:color w:val="auto"/>
              </w:rPr>
            </w:pPr>
            <w:r>
              <w:rPr>
                <w:rFonts w:ascii="Arial" w:cs="Arial" w:eastAsia="Arial" w:hAnsi="Arial"/>
                <w:sz w:val="14"/>
                <w:szCs w:val="14"/>
                <w:color w:val="auto"/>
              </w:rPr>
              <w:t>361,337</w:t>
            </w:r>
          </w:p>
        </w:tc>
        <w:tc>
          <w:tcPr>
            <w:tcW w:w="0" w:type="dxa"/>
            <w:vAlign w:val="bottom"/>
          </w:tcPr>
          <w:p>
            <w:pPr>
              <w:spacing w:after="0"/>
              <w:rPr>
                <w:sz w:val="1"/>
                <w:szCs w:val="1"/>
                <w:color w:val="auto"/>
              </w:rPr>
            </w:pPr>
          </w:p>
        </w:tc>
      </w:tr>
      <w:tr>
        <w:trPr>
          <w:trHeight w:val="151"/>
        </w:trPr>
        <w:tc>
          <w:tcPr>
            <w:tcW w:w="1340" w:type="dxa"/>
            <w:vAlign w:val="bottom"/>
          </w:tcPr>
          <w:p>
            <w:pPr>
              <w:spacing w:after="0" w:line="151" w:lineRule="exact"/>
              <w:rPr>
                <w:sz w:val="20"/>
                <w:szCs w:val="20"/>
                <w:color w:val="auto"/>
              </w:rPr>
            </w:pPr>
            <w:r>
              <w:rPr>
                <w:rFonts w:ascii="Arial" w:cs="Arial" w:eastAsia="Arial" w:hAnsi="Arial"/>
                <w:sz w:val="14"/>
                <w:szCs w:val="14"/>
                <w:color w:val="auto"/>
              </w:rPr>
              <w:t>Other instruments (*)</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00"/>
              <w:spacing w:after="0" w:line="151" w:lineRule="exact"/>
              <w:rPr>
                <w:sz w:val="20"/>
                <w:szCs w:val="20"/>
                <w:color w:val="auto"/>
              </w:rPr>
            </w:pPr>
            <w:r>
              <w:rPr>
                <w:rFonts w:ascii="Arial" w:cs="Arial" w:eastAsia="Arial" w:hAnsi="Arial"/>
                <w:sz w:val="14"/>
                <w:szCs w:val="14"/>
                <w:color w:val="auto"/>
              </w:rPr>
              <w:t>1.69</w:t>
            </w:r>
          </w:p>
        </w:tc>
        <w:tc>
          <w:tcPr>
            <w:tcW w:w="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42,616</w:t>
            </w:r>
          </w:p>
        </w:tc>
        <w:tc>
          <w:tcPr>
            <w:tcW w:w="80" w:type="dxa"/>
            <w:vAlign w:val="bottom"/>
          </w:tcPr>
          <w:p>
            <w:pPr>
              <w:spacing w:after="0"/>
              <w:rPr>
                <w:sz w:val="13"/>
                <w:szCs w:val="13"/>
                <w:color w:val="auto"/>
              </w:rPr>
            </w:pPr>
          </w:p>
        </w:tc>
        <w:tc>
          <w:tcPr>
            <w:tcW w:w="560" w:type="dxa"/>
            <w:vAlign w:val="bottom"/>
          </w:tcPr>
          <w:p>
            <w:pPr>
              <w:ind w:left="20"/>
              <w:spacing w:after="0" w:line="151" w:lineRule="exact"/>
              <w:rPr>
                <w:sz w:val="20"/>
                <w:szCs w:val="20"/>
                <w:color w:val="auto"/>
              </w:rPr>
            </w:pPr>
            <w:r>
              <w:rPr>
                <w:rFonts w:ascii="Arial" w:cs="Arial" w:eastAsia="Arial" w:hAnsi="Arial"/>
                <w:sz w:val="14"/>
                <w:szCs w:val="14"/>
                <w:color w:val="auto"/>
              </w:rPr>
              <w:t>128,232</w:t>
            </w:r>
          </w:p>
        </w:tc>
        <w:tc>
          <w:tcPr>
            <w:tcW w:w="80" w:type="dxa"/>
            <w:vAlign w:val="bottom"/>
          </w:tcPr>
          <w:p>
            <w:pPr>
              <w:spacing w:after="0"/>
              <w:rPr>
                <w:sz w:val="13"/>
                <w:szCs w:val="13"/>
                <w:color w:val="auto"/>
              </w:rPr>
            </w:pPr>
          </w:p>
        </w:tc>
        <w:tc>
          <w:tcPr>
            <w:tcW w:w="480" w:type="dxa"/>
            <w:vAlign w:val="bottom"/>
          </w:tcPr>
          <w:p>
            <w:pPr>
              <w:spacing w:after="0" w:line="151" w:lineRule="exact"/>
              <w:rPr>
                <w:sz w:val="20"/>
                <w:szCs w:val="20"/>
                <w:color w:val="auto"/>
              </w:rPr>
            </w:pPr>
            <w:r>
              <w:rPr>
                <w:rFonts w:ascii="Arial" w:cs="Arial" w:eastAsia="Arial" w:hAnsi="Arial"/>
                <w:sz w:val="14"/>
                <w:szCs w:val="14"/>
                <w:color w:val="auto"/>
              </w:rPr>
              <w:t>48,780</w:t>
            </w:r>
          </w:p>
        </w:tc>
        <w:tc>
          <w:tcPr>
            <w:tcW w:w="80" w:type="dxa"/>
            <w:vAlign w:val="bottom"/>
          </w:tcPr>
          <w:p>
            <w:pPr>
              <w:spacing w:after="0"/>
              <w:rPr>
                <w:sz w:val="13"/>
                <w:szCs w:val="13"/>
                <w:color w:val="auto"/>
              </w:rPr>
            </w:pPr>
          </w:p>
        </w:tc>
        <w:tc>
          <w:tcPr>
            <w:tcW w:w="560" w:type="dxa"/>
            <w:vAlign w:val="bottom"/>
          </w:tcPr>
          <w:p>
            <w:pPr>
              <w:ind w:left="20"/>
              <w:spacing w:after="0" w:line="151" w:lineRule="exact"/>
              <w:rPr>
                <w:sz w:val="20"/>
                <w:szCs w:val="20"/>
                <w:color w:val="auto"/>
              </w:rPr>
            </w:pPr>
            <w:r>
              <w:rPr>
                <w:rFonts w:ascii="Arial" w:cs="Arial" w:eastAsia="Arial" w:hAnsi="Arial"/>
                <w:sz w:val="14"/>
                <w:szCs w:val="14"/>
                <w:color w:val="auto"/>
              </w:rPr>
              <w:t>219,628</w:t>
            </w:r>
          </w:p>
        </w:tc>
        <w:tc>
          <w:tcPr>
            <w:tcW w:w="80" w:type="dxa"/>
            <w:vAlign w:val="bottom"/>
          </w:tcPr>
          <w:p>
            <w:pPr>
              <w:spacing w:after="0"/>
              <w:rPr>
                <w:sz w:val="13"/>
                <w:szCs w:val="13"/>
                <w:color w:val="auto"/>
              </w:rPr>
            </w:pPr>
          </w:p>
        </w:tc>
        <w:tc>
          <w:tcPr>
            <w:tcW w:w="720" w:type="dxa"/>
            <w:vAlign w:val="bottom"/>
          </w:tcPr>
          <w:p>
            <w:pPr>
              <w:ind w:left="160"/>
              <w:spacing w:after="0" w:line="151" w:lineRule="exact"/>
              <w:rPr>
                <w:sz w:val="20"/>
                <w:szCs w:val="20"/>
                <w:color w:val="auto"/>
              </w:rPr>
            </w:pPr>
            <w:r>
              <w:rPr>
                <w:rFonts w:ascii="Arial" w:cs="Arial" w:eastAsia="Arial" w:hAnsi="Arial"/>
                <w:sz w:val="14"/>
                <w:szCs w:val="14"/>
                <w:color w:val="auto"/>
              </w:rPr>
              <w:t>218,859</w:t>
            </w:r>
          </w:p>
        </w:tc>
        <w:tc>
          <w:tcPr>
            <w:tcW w:w="1220" w:type="dxa"/>
            <w:vAlign w:val="bottom"/>
            <w:gridSpan w:val="4"/>
          </w:tcPr>
          <w:p>
            <w:pPr>
              <w:jc w:val="right"/>
              <w:spacing w:after="0" w:line="151" w:lineRule="exact"/>
              <w:rPr>
                <w:sz w:val="20"/>
                <w:szCs w:val="20"/>
                <w:color w:val="auto"/>
              </w:rPr>
            </w:pPr>
            <w:r>
              <w:rPr>
                <w:rFonts w:ascii="Arial" w:cs="Arial" w:eastAsia="Arial" w:hAnsi="Arial"/>
                <w:sz w:val="14"/>
                <w:szCs w:val="14"/>
                <w:color w:val="auto"/>
              </w:rPr>
              <w:t>2.83  31,736</w:t>
            </w:r>
          </w:p>
        </w:tc>
        <w:tc>
          <w:tcPr>
            <w:tcW w:w="80" w:type="dxa"/>
            <w:vAlign w:val="bottom"/>
          </w:tcPr>
          <w:p>
            <w:pPr>
              <w:spacing w:after="0"/>
              <w:rPr>
                <w:sz w:val="13"/>
                <w:szCs w:val="13"/>
                <w:color w:val="auto"/>
              </w:rPr>
            </w:pPr>
          </w:p>
        </w:tc>
        <w:tc>
          <w:tcPr>
            <w:tcW w:w="1760" w:type="dxa"/>
            <w:vAlign w:val="bottom"/>
            <w:gridSpan w:val="5"/>
          </w:tcPr>
          <w:p>
            <w:pPr>
              <w:spacing w:after="0" w:line="151" w:lineRule="exact"/>
              <w:rPr>
                <w:sz w:val="20"/>
                <w:szCs w:val="20"/>
                <w:color w:val="auto"/>
              </w:rPr>
            </w:pPr>
            <w:r>
              <w:rPr>
                <w:rFonts w:ascii="Arial" w:cs="Arial" w:eastAsia="Arial" w:hAnsi="Arial"/>
                <w:sz w:val="14"/>
                <w:szCs w:val="14"/>
                <w:color w:val="auto"/>
              </w:rPr>
              <w:t>256,874  44,977  333,587</w:t>
            </w:r>
          </w:p>
        </w:tc>
        <w:tc>
          <w:tcPr>
            <w:tcW w:w="80" w:type="dxa"/>
            <w:vAlign w:val="bottom"/>
          </w:tcPr>
          <w:p>
            <w:pPr>
              <w:spacing w:after="0"/>
              <w:rPr>
                <w:sz w:val="13"/>
                <w:szCs w:val="13"/>
                <w:color w:val="auto"/>
              </w:rPr>
            </w:pPr>
          </w:p>
        </w:tc>
        <w:tc>
          <w:tcPr>
            <w:tcW w:w="700" w:type="dxa"/>
            <w:vAlign w:val="bottom"/>
          </w:tcPr>
          <w:p>
            <w:pPr>
              <w:ind w:left="160"/>
              <w:spacing w:after="0" w:line="151" w:lineRule="exact"/>
              <w:rPr>
                <w:sz w:val="20"/>
                <w:szCs w:val="20"/>
                <w:color w:val="auto"/>
              </w:rPr>
            </w:pPr>
            <w:r>
              <w:rPr>
                <w:rFonts w:ascii="Arial" w:cs="Arial" w:eastAsia="Arial" w:hAnsi="Arial"/>
                <w:sz w:val="14"/>
                <w:szCs w:val="14"/>
                <w:color w:val="auto"/>
              </w:rPr>
              <w:t>292,414</w:t>
            </w: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42,616</w:t>
            </w: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333,712</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75,759</w:t>
            </w: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452,087</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473,085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31,736</w:t>
            </w: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578,070</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44,977</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654,783</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653,751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35" w:hanging="313"/>
        <w:spacing w:after="0"/>
        <w:tabs>
          <w:tab w:leader="none" w:pos="935" w:val="left"/>
        </w:tabs>
        <w:numPr>
          <w:ilvl w:val="1"/>
          <w:numId w:val="74"/>
        </w:numPr>
        <w:rPr>
          <w:rFonts w:ascii="Arial" w:cs="Arial" w:eastAsia="Arial" w:hAnsi="Arial"/>
          <w:sz w:val="17"/>
          <w:szCs w:val="17"/>
          <w:color w:val="auto"/>
        </w:rPr>
      </w:pPr>
      <w:r>
        <w:rPr>
          <w:rFonts w:ascii="Arial" w:cs="Arial" w:eastAsia="Arial" w:hAnsi="Arial"/>
          <w:sz w:val="17"/>
          <w:szCs w:val="17"/>
          <w:color w:val="auto"/>
        </w:rPr>
        <w:t>Corporate and financial system instruments.</w:t>
      </w:r>
    </w:p>
    <w:p>
      <w:pPr>
        <w:spacing w:after="0" w:line="193" w:lineRule="exact"/>
        <w:rPr>
          <w:rFonts w:ascii="Arial" w:cs="Arial" w:eastAsia="Arial" w:hAnsi="Arial"/>
          <w:sz w:val="17"/>
          <w:szCs w:val="17"/>
          <w:color w:val="auto"/>
        </w:rPr>
      </w:pPr>
    </w:p>
    <w:p>
      <w:pPr>
        <w:ind w:left="315" w:hanging="315"/>
        <w:spacing w:after="0" w:line="246" w:lineRule="auto"/>
        <w:tabs>
          <w:tab w:leader="none" w:pos="3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Credicorp, through its subsidiaries, obtains financing through “Payables from repurchase agreements and securities lending” by selling financial instruments and committing to repurchase them at future dates, including interest at a fixed rate. The details of said transactions are as follows:</w:t>
      </w:r>
    </w:p>
    <w:p>
      <w:pPr>
        <w:spacing w:after="0" w:line="165" w:lineRule="exact"/>
        <w:rPr>
          <w:sz w:val="20"/>
          <w:szCs w:val="20"/>
          <w:color w:val="auto"/>
        </w:rPr>
      </w:pPr>
    </w:p>
    <w:tbl>
      <w:tblPr>
        <w:tblLayout w:type="fixed"/>
        <w:tblInd w:w="315" w:type="dxa"/>
        <w:tblCellMar>
          <w:top w:w="0" w:type="dxa"/>
          <w:left w:w="0" w:type="dxa"/>
          <w:bottom w:w="0" w:type="dxa"/>
          <w:right w:w="0" w:type="dxa"/>
        </w:tblCellMar>
      </w:tblPr>
      <w:tr>
        <w:trPr>
          <w:trHeight w:val="167"/>
        </w:trPr>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7"/>
        </w:trPr>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Fair value</w:t>
            </w:r>
          </w:p>
        </w:tc>
      </w:tr>
      <w:tr>
        <w:trPr>
          <w:trHeight w:val="155"/>
        </w:trPr>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Average</w:t>
            </w:r>
          </w:p>
        </w:tc>
        <w:tc>
          <w:tcPr>
            <w:tcW w:w="500" w:type="dxa"/>
            <w:vAlign w:val="bottom"/>
          </w:tcPr>
          <w:p>
            <w:pPr>
              <w:spacing w:after="0"/>
              <w:rPr>
                <w:sz w:val="13"/>
                <w:szCs w:val="13"/>
                <w:color w:val="auto"/>
              </w:rPr>
            </w:pPr>
          </w:p>
        </w:tc>
        <w:tc>
          <w:tcPr>
            <w:tcW w:w="6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From 3</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of</w:t>
            </w:r>
          </w:p>
        </w:tc>
        <w:tc>
          <w:tcPr>
            <w:tcW w:w="6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w w:val="94"/>
              </w:rPr>
              <w:t>Average</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of</w:t>
            </w:r>
          </w:p>
        </w:tc>
      </w:tr>
      <w:tr>
        <w:trPr>
          <w:trHeight w:val="155"/>
        </w:trPr>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interest</w:t>
            </w:r>
          </w:p>
        </w:tc>
        <w:tc>
          <w:tcPr>
            <w:tcW w:w="500" w:type="dxa"/>
            <w:vAlign w:val="bottom"/>
          </w:tcPr>
          <w:p>
            <w:pPr>
              <w:spacing w:after="0" w:line="155" w:lineRule="exact"/>
              <w:rPr>
                <w:sz w:val="20"/>
                <w:szCs w:val="20"/>
                <w:color w:val="auto"/>
              </w:rPr>
            </w:pPr>
            <w:r>
              <w:rPr>
                <w:rFonts w:ascii="Arial" w:cs="Arial" w:eastAsia="Arial" w:hAnsi="Arial"/>
                <w:sz w:val="14"/>
                <w:szCs w:val="14"/>
                <w:b w:val="1"/>
                <w:bCs w:val="1"/>
                <w:color w:val="auto"/>
              </w:rPr>
              <w:t>Up to 3</w:t>
            </w:r>
          </w:p>
        </w:tc>
        <w:tc>
          <w:tcPr>
            <w:tcW w:w="6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to 30</w:t>
            </w:r>
          </w:p>
        </w:tc>
        <w:tc>
          <w:tcPr>
            <w:tcW w:w="8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More than</w:t>
            </w: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Carrying</w:t>
            </w: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underlying</w:t>
            </w:r>
          </w:p>
        </w:tc>
        <w:tc>
          <w:tcPr>
            <w:tcW w:w="6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interest</w:t>
            </w:r>
          </w:p>
        </w:tc>
        <w:tc>
          <w:tcPr>
            <w:tcW w:w="126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Up to 3 From 3 to</w:t>
            </w:r>
          </w:p>
        </w:tc>
        <w:tc>
          <w:tcPr>
            <w:tcW w:w="86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More than</w:t>
            </w: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3"/>
                <w:szCs w:val="13"/>
                <w:color w:val="auto"/>
              </w:rPr>
            </w:pP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underlying</w:t>
            </w:r>
          </w:p>
        </w:tc>
      </w:tr>
      <w:tr>
        <w:trPr>
          <w:trHeight w:val="167"/>
        </w:trPr>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Currency</w:t>
            </w: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rate</w:t>
            </w:r>
          </w:p>
        </w:tc>
        <w:tc>
          <w:tcPr>
            <w:tcW w:w="500" w:type="dxa"/>
            <w:vAlign w:val="bottom"/>
          </w:tcPr>
          <w:p>
            <w:pPr>
              <w:spacing w:after="0"/>
              <w:rPr>
                <w:sz w:val="20"/>
                <w:szCs w:val="20"/>
                <w:color w:val="auto"/>
              </w:rPr>
            </w:pPr>
            <w:r>
              <w:rPr>
                <w:rFonts w:ascii="Arial" w:cs="Arial" w:eastAsia="Arial" w:hAnsi="Arial"/>
                <w:sz w:val="14"/>
                <w:szCs w:val="14"/>
                <w:b w:val="1"/>
                <w:bCs w:val="1"/>
                <w:color w:val="auto"/>
              </w:rPr>
              <w:t>days</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days</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30 days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rate</w:t>
            </w: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days</w:t>
            </w:r>
          </w:p>
        </w:tc>
        <w:tc>
          <w:tcPr>
            <w:tcW w:w="72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30 days</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30 days</w:t>
            </w:r>
          </w:p>
        </w:tc>
        <w:tc>
          <w:tcPr>
            <w:tcW w:w="76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assets</w:t>
            </w:r>
          </w:p>
        </w:tc>
      </w:tr>
      <w:tr>
        <w:trPr>
          <w:trHeight w:val="174"/>
        </w:trPr>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S/(000)</w:t>
            </w:r>
          </w:p>
        </w:tc>
        <w:tc>
          <w:tcPr>
            <w:tcW w:w="60" w:type="dxa"/>
            <w:vAlign w:val="bottom"/>
          </w:tcPr>
          <w:p>
            <w:pPr>
              <w:spacing w:after="0"/>
              <w:rPr>
                <w:sz w:val="15"/>
                <w:szCs w:val="15"/>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6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1"/>
              </w:rPr>
              <w:t>S/(000)</w:t>
            </w: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5"/>
                <w:szCs w:val="15"/>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5"/>
                <w:szCs w:val="15"/>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Debt</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instruments,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cash and</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loans (c)</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64,273</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12,268,416</w:t>
            </w:r>
          </w:p>
        </w:tc>
        <w:tc>
          <w:tcPr>
            <w:tcW w:w="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6"/>
              </w:rPr>
              <w:t>12,332,689</w:t>
            </w:r>
          </w:p>
        </w:tc>
        <w:tc>
          <w:tcPr>
            <w:tcW w:w="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6"/>
              </w:rPr>
              <w:t>12,449,218</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204,916</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20,986,894</w:t>
            </w:r>
          </w:p>
        </w:tc>
        <w:tc>
          <w:tcPr>
            <w:tcW w:w="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6"/>
              </w:rPr>
              <w:t>21,191,810</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21,362,884</w:t>
            </w: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Instruments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issued by the</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Colombian</w:t>
            </w:r>
          </w:p>
        </w:tc>
        <w:tc>
          <w:tcPr>
            <w:tcW w:w="680" w:type="dxa"/>
            <w:vAlign w:val="bottom"/>
          </w:tcPr>
          <w:p>
            <w:pPr>
              <w:spacing w:after="0" w:line="155" w:lineRule="exact"/>
              <w:rPr>
                <w:sz w:val="20"/>
                <w:szCs w:val="20"/>
                <w:color w:val="auto"/>
              </w:rPr>
            </w:pPr>
            <w:r>
              <w:rPr>
                <w:rFonts w:ascii="Arial" w:cs="Arial" w:eastAsia="Arial" w:hAnsi="Arial"/>
                <w:sz w:val="14"/>
                <w:szCs w:val="14"/>
                <w:color w:val="auto"/>
                <w:w w:val="98"/>
              </w:rPr>
              <w:t>Colombian</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Government</w:t>
            </w:r>
          </w:p>
        </w:tc>
        <w:tc>
          <w:tcPr>
            <w:tcW w:w="680" w:type="dxa"/>
            <w:vAlign w:val="bottom"/>
          </w:tcPr>
          <w:p>
            <w:pPr>
              <w:spacing w:after="0" w:line="155" w:lineRule="exact"/>
              <w:rPr>
                <w:sz w:val="20"/>
                <w:szCs w:val="20"/>
                <w:color w:val="auto"/>
              </w:rPr>
            </w:pPr>
            <w:r>
              <w:rPr>
                <w:rFonts w:ascii="Arial" w:cs="Arial" w:eastAsia="Arial" w:hAnsi="Arial"/>
                <w:sz w:val="14"/>
                <w:szCs w:val="14"/>
                <w:color w:val="auto"/>
              </w:rPr>
              <w:t>pesos</w:t>
            </w: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6.12</w:t>
            </w:r>
          </w:p>
        </w:tc>
        <w:tc>
          <w:tcPr>
            <w:tcW w:w="6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539,731</w:t>
            </w:r>
          </w:p>
        </w:tc>
        <w:tc>
          <w:tcPr>
            <w:tcW w:w="40" w:type="dxa"/>
            <w:vAlign w:val="bottom"/>
          </w:tcPr>
          <w:p>
            <w:pPr>
              <w:spacing w:after="0"/>
              <w:rPr>
                <w:sz w:val="13"/>
                <w:szCs w:val="13"/>
                <w:color w:val="auto"/>
              </w:rPr>
            </w:pP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539,731</w:t>
            </w:r>
          </w:p>
        </w:tc>
        <w:tc>
          <w:tcPr>
            <w:tcW w:w="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536,398</w:t>
            </w:r>
          </w:p>
        </w:tc>
        <w:tc>
          <w:tcPr>
            <w:tcW w:w="60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5.36</w:t>
            </w:r>
          </w:p>
        </w:tc>
        <w:tc>
          <w:tcPr>
            <w:tcW w:w="60" w:type="dxa"/>
            <w:vAlign w:val="bottom"/>
          </w:tcPr>
          <w:p>
            <w:pPr>
              <w:spacing w:after="0"/>
              <w:rPr>
                <w:sz w:val="13"/>
                <w:szCs w:val="13"/>
                <w:color w:val="auto"/>
              </w:rPr>
            </w:pPr>
          </w:p>
        </w:tc>
        <w:tc>
          <w:tcPr>
            <w:tcW w:w="48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676,361</w:t>
            </w:r>
          </w:p>
        </w:tc>
        <w:tc>
          <w:tcPr>
            <w:tcW w:w="60" w:type="dxa"/>
            <w:vAlign w:val="bottom"/>
          </w:tcPr>
          <w:p>
            <w:pPr>
              <w:spacing w:after="0"/>
              <w:rPr>
                <w:sz w:val="13"/>
                <w:szCs w:val="13"/>
                <w:color w:val="auto"/>
              </w:rPr>
            </w:pP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676,361</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676,300</w:t>
            </w: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Instruments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issued by the</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Chilean</w:t>
            </w:r>
          </w:p>
        </w:tc>
        <w:tc>
          <w:tcPr>
            <w:tcW w:w="680" w:type="dxa"/>
            <w:vAlign w:val="bottom"/>
          </w:tcPr>
          <w:p>
            <w:pPr>
              <w:spacing w:after="0" w:line="155" w:lineRule="exact"/>
              <w:rPr>
                <w:sz w:val="20"/>
                <w:szCs w:val="20"/>
                <w:color w:val="auto"/>
              </w:rPr>
            </w:pPr>
            <w:r>
              <w:rPr>
                <w:rFonts w:ascii="Arial" w:cs="Arial" w:eastAsia="Arial" w:hAnsi="Arial"/>
                <w:sz w:val="14"/>
                <w:szCs w:val="14"/>
                <w:color w:val="auto"/>
              </w:rPr>
              <w:t>Chilean</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Government</w:t>
            </w:r>
          </w:p>
        </w:tc>
        <w:tc>
          <w:tcPr>
            <w:tcW w:w="680" w:type="dxa"/>
            <w:vAlign w:val="bottom"/>
          </w:tcPr>
          <w:p>
            <w:pPr>
              <w:spacing w:after="0" w:line="155" w:lineRule="exact"/>
              <w:rPr>
                <w:sz w:val="20"/>
                <w:szCs w:val="20"/>
                <w:color w:val="auto"/>
              </w:rPr>
            </w:pPr>
            <w:r>
              <w:rPr>
                <w:rFonts w:ascii="Arial" w:cs="Arial" w:eastAsia="Arial" w:hAnsi="Arial"/>
                <w:sz w:val="14"/>
                <w:szCs w:val="14"/>
                <w:color w:val="auto"/>
              </w:rPr>
              <w:t>pesos</w:t>
            </w: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0.96</w:t>
            </w:r>
          </w:p>
        </w:tc>
        <w:tc>
          <w:tcPr>
            <w:tcW w:w="6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38,192</w:t>
            </w:r>
          </w:p>
        </w:tc>
        <w:tc>
          <w:tcPr>
            <w:tcW w:w="6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38,192</w:t>
            </w:r>
          </w:p>
        </w:tc>
        <w:tc>
          <w:tcPr>
            <w:tcW w:w="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38,192</w:t>
            </w:r>
          </w:p>
        </w:tc>
        <w:tc>
          <w:tcPr>
            <w:tcW w:w="60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0.31</w:t>
            </w:r>
          </w:p>
        </w:tc>
        <w:tc>
          <w:tcPr>
            <w:tcW w:w="60" w:type="dxa"/>
            <w:vAlign w:val="bottom"/>
          </w:tcPr>
          <w:p>
            <w:pPr>
              <w:spacing w:after="0"/>
              <w:rPr>
                <w:sz w:val="13"/>
                <w:szCs w:val="13"/>
                <w:color w:val="auto"/>
              </w:rPr>
            </w:pPr>
          </w:p>
        </w:tc>
        <w:tc>
          <w:tcPr>
            <w:tcW w:w="48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74,218</w:t>
            </w:r>
          </w:p>
        </w:tc>
        <w:tc>
          <w:tcPr>
            <w:tcW w:w="60" w:type="dxa"/>
            <w:vAlign w:val="bottom"/>
          </w:tcPr>
          <w:p>
            <w:pPr>
              <w:spacing w:after="0"/>
              <w:rPr>
                <w:sz w:val="13"/>
                <w:szCs w:val="13"/>
                <w:color w:val="auto"/>
              </w:rPr>
            </w:pP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74,218</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74,216</w:t>
            </w:r>
          </w:p>
        </w:tc>
      </w:tr>
      <w:tr>
        <w:trPr>
          <w:trHeight w:val="155"/>
        </w:trPr>
        <w:tc>
          <w:tcPr>
            <w:tcW w:w="880" w:type="dxa"/>
            <w:vAlign w:val="bottom"/>
          </w:tcPr>
          <w:p>
            <w:pPr>
              <w:spacing w:after="0" w:line="155" w:lineRule="exact"/>
              <w:rPr>
                <w:sz w:val="20"/>
                <w:szCs w:val="20"/>
                <w:color w:val="auto"/>
              </w:rPr>
            </w:pPr>
            <w:r>
              <w:rPr>
                <w:rFonts w:ascii="Arial" w:cs="Arial" w:eastAsia="Arial" w:hAnsi="Arial"/>
                <w:sz w:val="14"/>
                <w:szCs w:val="14"/>
                <w:color w:val="auto"/>
              </w:rPr>
              <w:t>Other</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1"/>
        </w:trPr>
        <w:tc>
          <w:tcPr>
            <w:tcW w:w="880" w:type="dxa"/>
            <w:vAlign w:val="bottom"/>
          </w:tcPr>
          <w:p>
            <w:pPr>
              <w:spacing w:after="0" w:line="151" w:lineRule="exact"/>
              <w:rPr>
                <w:sz w:val="20"/>
                <w:szCs w:val="20"/>
                <w:color w:val="auto"/>
              </w:rPr>
            </w:pPr>
            <w:r>
              <w:rPr>
                <w:rFonts w:ascii="Arial" w:cs="Arial" w:eastAsia="Arial" w:hAnsi="Arial"/>
                <w:sz w:val="14"/>
                <w:szCs w:val="14"/>
                <w:color w:val="auto"/>
              </w:rPr>
              <w:t>instruments</w:t>
            </w:r>
          </w:p>
        </w:tc>
        <w:tc>
          <w:tcPr>
            <w:tcW w:w="680" w:type="dxa"/>
            <w:vAlign w:val="bottom"/>
          </w:tcPr>
          <w:p>
            <w:pPr>
              <w:spacing w:after="0"/>
              <w:rPr>
                <w:sz w:val="13"/>
                <w:szCs w:val="13"/>
                <w:color w:val="auto"/>
              </w:rPr>
            </w:pPr>
          </w:p>
        </w:tc>
        <w:tc>
          <w:tcPr>
            <w:tcW w:w="5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3.77</w:t>
            </w:r>
          </w:p>
        </w:tc>
        <w:tc>
          <w:tcPr>
            <w:tcW w:w="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15,840</w:t>
            </w:r>
          </w:p>
        </w:tc>
        <w:tc>
          <w:tcPr>
            <w:tcW w:w="6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40,273</w:t>
            </w:r>
          </w:p>
        </w:tc>
        <w:tc>
          <w:tcPr>
            <w:tcW w:w="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56,113</w:t>
            </w:r>
          </w:p>
        </w:tc>
        <w:tc>
          <w:tcPr>
            <w:tcW w:w="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56,193</w:t>
            </w:r>
          </w:p>
        </w:tc>
        <w:tc>
          <w:tcPr>
            <w:tcW w:w="600" w:type="dxa"/>
            <w:vAlign w:val="bottom"/>
            <w:gridSpan w:val="2"/>
          </w:tcPr>
          <w:p>
            <w:pPr>
              <w:ind w:left="280"/>
              <w:spacing w:after="0" w:line="151" w:lineRule="exact"/>
              <w:rPr>
                <w:sz w:val="20"/>
                <w:szCs w:val="20"/>
                <w:color w:val="auto"/>
              </w:rPr>
            </w:pPr>
            <w:r>
              <w:rPr>
                <w:rFonts w:ascii="Arial" w:cs="Arial" w:eastAsia="Arial" w:hAnsi="Arial"/>
                <w:sz w:val="14"/>
                <w:szCs w:val="14"/>
                <w:color w:val="auto"/>
              </w:rPr>
              <w:t>2.91</w:t>
            </w:r>
          </w:p>
        </w:tc>
        <w:tc>
          <w:tcPr>
            <w:tcW w:w="60" w:type="dxa"/>
            <w:vAlign w:val="bottom"/>
          </w:tcPr>
          <w:p>
            <w:pPr>
              <w:spacing w:after="0"/>
              <w:rPr>
                <w:sz w:val="13"/>
                <w:szCs w:val="13"/>
                <w:color w:val="auto"/>
              </w:rPr>
            </w:pPr>
          </w:p>
        </w:tc>
        <w:tc>
          <w:tcPr>
            <w:tcW w:w="480" w:type="dxa"/>
            <w:vAlign w:val="bottom"/>
            <w:tcBorders>
              <w:bottom w:val="single" w:sz="8" w:color="auto"/>
            </w:tcBorders>
          </w:tcPr>
          <w:p>
            <w:pPr>
              <w:ind w:left="340"/>
              <w:spacing w:after="0" w:line="15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71,477</w:t>
            </w:r>
          </w:p>
        </w:tc>
        <w:tc>
          <w:tcPr>
            <w:tcW w:w="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71,477</w:t>
            </w:r>
          </w:p>
        </w:tc>
        <w:tc>
          <w:tcPr>
            <w:tcW w:w="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71,431</w:t>
            </w:r>
          </w:p>
        </w:tc>
      </w:tr>
      <w:tr>
        <w:trPr>
          <w:trHeight w:val="148"/>
        </w:trPr>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54,032</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644,277</w:t>
            </w:r>
          </w:p>
        </w:tc>
        <w:tc>
          <w:tcPr>
            <w:tcW w:w="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6"/>
              </w:rPr>
              <w:t>12,268,416</w:t>
            </w:r>
          </w:p>
        </w:tc>
        <w:tc>
          <w:tcPr>
            <w:tcW w:w="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6"/>
              </w:rPr>
              <w:t>12,966,725</w:t>
            </w:r>
          </w:p>
        </w:tc>
        <w:tc>
          <w:tcPr>
            <w:tcW w:w="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6"/>
              </w:rPr>
              <w:t>13,080,001</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1,026,972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20,986,894</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6"/>
              </w:rPr>
              <w:t>22,013,866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22,184,831</w:t>
            </w:r>
          </w:p>
        </w:tc>
      </w:tr>
      <w:tr>
        <w:trPr>
          <w:trHeight w:val="26"/>
        </w:trPr>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168" w:lineRule="exact"/>
        <w:rPr>
          <w:sz w:val="20"/>
          <w:szCs w:val="20"/>
          <w:color w:val="auto"/>
        </w:rPr>
      </w:pPr>
    </w:p>
    <w:p>
      <w:pPr>
        <w:ind w:left="4795"/>
        <w:spacing w:after="0"/>
        <w:rPr>
          <w:sz w:val="20"/>
          <w:szCs w:val="20"/>
          <w:color w:val="auto"/>
        </w:rPr>
      </w:pPr>
      <w:r>
        <w:rPr>
          <w:rFonts w:ascii="Arial" w:cs="Arial" w:eastAsia="Arial" w:hAnsi="Arial"/>
          <w:sz w:val="17"/>
          <w:szCs w:val="17"/>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75"/>
          </w:cols>
          <w:pgMar w:left="945" w:top="140" w:right="379" w:bottom="1440" w:gutter="0" w:footer="0" w:header="0"/>
        </w:sectPr>
      </w:pPr>
    </w:p>
    <w:bookmarkStart w:id="65" w:name="page66"/>
    <w:bookmarkEnd w:id="65"/>
    <w:p>
      <w:pPr>
        <w:ind w:left="315" w:hanging="315"/>
        <w:spacing w:after="0" w:line="253" w:lineRule="auto"/>
        <w:tabs>
          <w:tab w:leader="none" w:pos="31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of December 31, 2022, and 2021 the Group has repurchase agreements secured with: (i) cash, see note 5(a), (ii) investments, see note 6(b), and (iii) loans, see note 7(a). This item consists of the following:</w:t>
      </w:r>
    </w:p>
    <w:p>
      <w:pPr>
        <w:spacing w:after="0" w:line="148" w:lineRule="exact"/>
        <w:rPr>
          <w:sz w:val="20"/>
          <w:szCs w:val="20"/>
          <w:color w:val="auto"/>
        </w:rPr>
      </w:pPr>
    </w:p>
    <w:tbl>
      <w:tblPr>
        <w:tblLayout w:type="fixed"/>
        <w:tblInd w:w="315" w:type="dxa"/>
        <w:tblCellMar>
          <w:top w:w="0" w:type="dxa"/>
          <w:left w:w="0" w:type="dxa"/>
          <w:bottom w:w="0" w:type="dxa"/>
          <w:right w:w="0" w:type="dxa"/>
        </w:tblCellMar>
      </w:tblPr>
      <w:tr>
        <w:trPr>
          <w:trHeight w:val="217"/>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64"/>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40"/>
              <w:spacing w:after="0" w:line="164" w:lineRule="exact"/>
              <w:rPr>
                <w:sz w:val="20"/>
                <w:szCs w:val="20"/>
                <w:color w:val="auto"/>
              </w:rPr>
            </w:pPr>
            <w:r>
              <w:rPr>
                <w:rFonts w:ascii="Arial" w:cs="Arial" w:eastAsia="Arial" w:hAnsi="Arial"/>
                <w:sz w:val="17"/>
                <w:szCs w:val="17"/>
                <w:b w:val="1"/>
                <w:bCs w:val="1"/>
                <w:color w:val="auto"/>
              </w:rPr>
              <w:t>Carrying</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ind w:left="60"/>
              <w:spacing w:after="0" w:line="164" w:lineRule="exact"/>
              <w:rPr>
                <w:sz w:val="20"/>
                <w:szCs w:val="20"/>
                <w:color w:val="auto"/>
              </w:rPr>
            </w:pPr>
            <w:r>
              <w:rPr>
                <w:rFonts w:ascii="Arial" w:cs="Arial" w:eastAsia="Arial" w:hAnsi="Arial"/>
                <w:sz w:val="17"/>
                <w:szCs w:val="17"/>
                <w:b w:val="1"/>
                <w:bCs w:val="1"/>
                <w:color w:val="auto"/>
              </w:rPr>
              <w:t>Carrying</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7"/>
        </w:trPr>
        <w:tc>
          <w:tcPr>
            <w:tcW w:w="1740" w:type="dxa"/>
            <w:vAlign w:val="bottom"/>
            <w:gridSpan w:val="2"/>
          </w:tcPr>
          <w:p>
            <w:pPr>
              <w:ind w:left="40"/>
              <w:spacing w:after="0"/>
              <w:rPr>
                <w:sz w:val="20"/>
                <w:szCs w:val="20"/>
                <w:color w:val="auto"/>
              </w:rPr>
            </w:pPr>
            <w:r>
              <w:rPr>
                <w:rFonts w:ascii="Arial" w:cs="Arial" w:eastAsia="Arial" w:hAnsi="Arial"/>
                <w:sz w:val="17"/>
                <w:szCs w:val="17"/>
                <w:b w:val="1"/>
                <w:bCs w:val="1"/>
                <w:color w:val="auto"/>
              </w:rPr>
              <w:t>Counterparties</w:t>
            </w:r>
          </w:p>
        </w:tc>
        <w:tc>
          <w:tcPr>
            <w:tcW w:w="1020" w:type="dxa"/>
            <w:vAlign w:val="bottom"/>
            <w:gridSpan w:val="2"/>
          </w:tcPr>
          <w:p>
            <w:pPr>
              <w:ind w:left="60"/>
              <w:spacing w:after="0"/>
              <w:rPr>
                <w:sz w:val="20"/>
                <w:szCs w:val="20"/>
                <w:color w:val="auto"/>
              </w:rPr>
            </w:pPr>
            <w:r>
              <w:rPr>
                <w:rFonts w:ascii="Arial" w:cs="Arial" w:eastAsia="Arial" w:hAnsi="Arial"/>
                <w:sz w:val="17"/>
                <w:szCs w:val="17"/>
                <w:b w:val="1"/>
                <w:bCs w:val="1"/>
                <w:color w:val="auto"/>
              </w:rPr>
              <w:t>Currency</w:t>
            </w:r>
          </w:p>
        </w:tc>
        <w:tc>
          <w:tcPr>
            <w:tcW w:w="1440" w:type="dxa"/>
            <w:vAlign w:val="bottom"/>
            <w:gridSpan w:val="2"/>
          </w:tcPr>
          <w:p>
            <w:pPr>
              <w:ind w:left="40"/>
              <w:spacing w:after="0"/>
              <w:rPr>
                <w:sz w:val="20"/>
                <w:szCs w:val="20"/>
                <w:color w:val="auto"/>
              </w:rPr>
            </w:pPr>
            <w:r>
              <w:rPr>
                <w:rFonts w:ascii="Arial" w:cs="Arial" w:eastAsia="Arial" w:hAnsi="Arial"/>
                <w:sz w:val="17"/>
                <w:szCs w:val="17"/>
                <w:b w:val="1"/>
                <w:bCs w:val="1"/>
                <w:color w:val="auto"/>
              </w:rPr>
              <w:t>Maturity</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amount</w:t>
            </w:r>
          </w:p>
        </w:tc>
        <w:tc>
          <w:tcPr>
            <w:tcW w:w="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b w:val="1"/>
                <w:bCs w:val="1"/>
                <w:color w:val="auto"/>
              </w:rPr>
              <w:t>Collateral</w:t>
            </w:r>
          </w:p>
        </w:tc>
        <w:tc>
          <w:tcPr>
            <w:tcW w:w="1420" w:type="dxa"/>
            <w:vAlign w:val="bottom"/>
            <w:gridSpan w:val="2"/>
          </w:tcPr>
          <w:p>
            <w:pPr>
              <w:ind w:left="40"/>
              <w:spacing w:after="0"/>
              <w:rPr>
                <w:sz w:val="20"/>
                <w:szCs w:val="20"/>
                <w:color w:val="auto"/>
              </w:rPr>
            </w:pPr>
            <w:r>
              <w:rPr>
                <w:rFonts w:ascii="Arial" w:cs="Arial" w:eastAsia="Arial" w:hAnsi="Arial"/>
                <w:sz w:val="17"/>
                <w:szCs w:val="17"/>
                <w:b w:val="1"/>
                <w:bCs w:val="1"/>
                <w:color w:val="auto"/>
              </w:rPr>
              <w:t>Maturity</w:t>
            </w:r>
          </w:p>
        </w:tc>
        <w:tc>
          <w:tcPr>
            <w:tcW w:w="980" w:type="dxa"/>
            <w:vAlign w:val="bottom"/>
          </w:tcPr>
          <w:p>
            <w:pPr>
              <w:ind w:left="60"/>
              <w:spacing w:after="0"/>
              <w:rPr>
                <w:sz w:val="20"/>
                <w:szCs w:val="20"/>
                <w:color w:val="auto"/>
              </w:rPr>
            </w:pPr>
            <w:r>
              <w:rPr>
                <w:rFonts w:ascii="Arial" w:cs="Arial" w:eastAsia="Arial" w:hAnsi="Arial"/>
                <w:sz w:val="17"/>
                <w:szCs w:val="17"/>
                <w:b w:val="1"/>
                <w:bCs w:val="1"/>
                <w:color w:val="auto"/>
              </w:rPr>
              <w:t>amount</w:t>
            </w:r>
          </w:p>
        </w:tc>
        <w:tc>
          <w:tcPr>
            <w:tcW w:w="8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7"/>
                <w:szCs w:val="17"/>
                <w:b w:val="1"/>
                <w:bCs w:val="1"/>
                <w:color w:val="auto"/>
              </w:rPr>
              <w:t>Collateral</w:t>
            </w:r>
          </w:p>
        </w:tc>
      </w:tr>
      <w:tr>
        <w:trPr>
          <w:trHeight w:val="223"/>
        </w:trPr>
        <w:tc>
          <w:tcPr>
            <w:tcW w:w="1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352"/>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Loans</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17"/>
                <w:szCs w:val="17"/>
                <w:color w:val="auto"/>
              </w:rPr>
              <w:t>Loans</w:t>
            </w:r>
          </w:p>
        </w:tc>
      </w:tr>
      <w:tr>
        <w:trPr>
          <w:trHeight w:val="19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guaranteed</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guaranteed</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BCRP - Reactiva</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May 2023 /</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by National</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May 2023 /</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by National</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Perú (*)</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Sol</w:t>
            </w: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December 2025</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6,981,698</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Government</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December 2025</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14,994,230</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Government</w:t>
            </w:r>
          </w:p>
        </w:tc>
      </w:tr>
      <w:tr>
        <w:trPr>
          <w:trHeight w:val="19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January 2023 /</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January 2022 /</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September</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September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BCRP</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Sol</w:t>
            </w:r>
          </w:p>
        </w:tc>
        <w:tc>
          <w:tcPr>
            <w:tcW w:w="1360" w:type="dxa"/>
            <w:vAlign w:val="bottom"/>
          </w:tcPr>
          <w:p>
            <w:pPr>
              <w:ind w:left="40"/>
              <w:spacing w:after="0" w:line="194" w:lineRule="exact"/>
              <w:rPr>
                <w:sz w:val="20"/>
                <w:szCs w:val="20"/>
                <w:color w:val="auto"/>
              </w:rPr>
            </w:pPr>
            <w:r>
              <w:rPr>
                <w:rFonts w:ascii="Arial" w:cs="Arial" w:eastAsia="Arial" w:hAnsi="Arial"/>
                <w:sz w:val="17"/>
                <w:szCs w:val="17"/>
                <w:color w:val="auto"/>
              </w:rPr>
              <w:t>2025</w:t>
            </w:r>
          </w:p>
        </w:tc>
        <w:tc>
          <w:tcPr>
            <w:tcW w:w="8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3,263,472</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Investments</w:t>
            </w:r>
          </w:p>
        </w:tc>
        <w:tc>
          <w:tcPr>
            <w:tcW w:w="1360" w:type="dxa"/>
            <w:vAlign w:val="bottom"/>
          </w:tcPr>
          <w:p>
            <w:pPr>
              <w:ind w:left="40"/>
              <w:spacing w:after="0" w:line="194" w:lineRule="exact"/>
              <w:rPr>
                <w:sz w:val="20"/>
                <w:szCs w:val="20"/>
                <w:color w:val="auto"/>
              </w:rPr>
            </w:pPr>
            <w:r>
              <w:rPr>
                <w:rFonts w:ascii="Arial" w:cs="Arial" w:eastAsia="Arial" w:hAnsi="Arial"/>
                <w:sz w:val="17"/>
                <w:szCs w:val="17"/>
                <w:color w:val="auto"/>
              </w:rPr>
              <w:t>2025</w:t>
            </w:r>
          </w:p>
        </w:tc>
        <w:tc>
          <w:tcPr>
            <w:tcW w:w="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2,938,683</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Investments</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Banco Central de</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January 2023 /</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February 2022 /</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Bolivia</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Boliviano</w:t>
            </w: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December 2023</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424,822</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Cash</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December 2022</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736,155</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Cash</w:t>
            </w:r>
          </w:p>
        </w:tc>
      </w:tr>
      <w:tr>
        <w:trPr>
          <w:trHeight w:val="19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Loans</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Loans</w:t>
            </w:r>
          </w:p>
        </w:tc>
      </w:tr>
      <w:tr>
        <w:trPr>
          <w:trHeight w:val="19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guaranteed</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guaranteed</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BCRP - Reactiva</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June 2023 /</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by National</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June 2023 /</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by National</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Perú Especial (*)</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Sol</w:t>
            </w: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December 2025</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793,734</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Government</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December 2025</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1,408,018</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Government</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Natixis S.A.</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Sol</w:t>
            </w: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August 2028</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270,000</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Investments</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August 2028</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270,000</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Investments</w:t>
            </w:r>
          </w:p>
        </w:tc>
      </w:tr>
      <w:tr>
        <w:trPr>
          <w:trHeight w:val="19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Cash with</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March 2022 /</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Cash with</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BCRP, Note 5(a)(i)</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Sol</w:t>
            </w: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March 2023</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185,000</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BCRP</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March 2023</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285,000</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BCRP</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Citigroup Global</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U.S.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Markets Limited (i)</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Dollar</w:t>
            </w: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August 2026</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171,630</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Investments</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August 2026</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179,415</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Investments</w:t>
            </w:r>
          </w:p>
        </w:tc>
      </w:tr>
      <w:tr>
        <w:trPr>
          <w:trHeight w:val="19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U.S.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Natixis S.A. (ii)</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Dollar</w:t>
            </w: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August 2026</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95,350</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Investments</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August 2026</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99,675</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Investments</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Banco de la</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Colombian</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República</w:t>
            </w:r>
          </w:p>
        </w:tc>
        <w:tc>
          <w:tcPr>
            <w:tcW w:w="102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peso</w:t>
            </w: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January 2023</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58,955</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Investments</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January 2022</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203,026</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Investments</w:t>
            </w:r>
          </w:p>
        </w:tc>
      </w:tr>
      <w:tr>
        <w:trPr>
          <w:trHeight w:val="194"/>
        </w:trPr>
        <w:tc>
          <w:tcPr>
            <w:tcW w:w="17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Other minors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January 2023</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5,099</w:t>
            </w:r>
          </w:p>
        </w:tc>
        <w:tc>
          <w:tcPr>
            <w:tcW w:w="8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color w:val="auto"/>
              </w:rPr>
              <w:t>Investments</w:t>
            </w:r>
          </w:p>
        </w:tc>
        <w:tc>
          <w:tcPr>
            <w:tcW w:w="1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January 2022</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1,848</w:t>
            </w:r>
          </w:p>
        </w:tc>
        <w:tc>
          <w:tcPr>
            <w:tcW w:w="8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Arial" w:cs="Arial" w:eastAsia="Arial" w:hAnsi="Arial"/>
                <w:sz w:val="17"/>
                <w:szCs w:val="17"/>
                <w:color w:val="auto"/>
              </w:rPr>
              <w:t>Investments</w:t>
            </w:r>
          </w:p>
        </w:tc>
      </w:tr>
      <w:tr>
        <w:trPr>
          <w:trHeight w:val="208"/>
        </w:trPr>
        <w:tc>
          <w:tcPr>
            <w:tcW w:w="1740" w:type="dxa"/>
            <w:vAlign w:val="bottom"/>
            <w:gridSpan w:val="2"/>
          </w:tcPr>
          <w:p>
            <w:pPr>
              <w:ind w:left="40"/>
              <w:spacing w:after="0"/>
              <w:rPr>
                <w:sz w:val="20"/>
                <w:szCs w:val="20"/>
                <w:color w:val="auto"/>
              </w:rPr>
            </w:pPr>
            <w:r>
              <w:rPr>
                <w:rFonts w:ascii="Arial" w:cs="Arial" w:eastAsia="Arial" w:hAnsi="Arial"/>
                <w:sz w:val="17"/>
                <w:szCs w:val="17"/>
                <w:color w:val="auto"/>
              </w:rPr>
              <w:t>Accrued interest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82,929</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75,760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1"/>
        </w:trPr>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3"/>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12,332,689</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21,191,810</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193" w:lineRule="exact"/>
        <w:rPr>
          <w:sz w:val="20"/>
          <w:szCs w:val="20"/>
          <w:color w:val="auto"/>
        </w:rPr>
      </w:pPr>
    </w:p>
    <w:p>
      <w:pPr>
        <w:jc w:val="both"/>
        <w:ind w:left="615" w:hanging="304"/>
        <w:spacing w:after="0" w:line="241" w:lineRule="auto"/>
        <w:tabs>
          <w:tab w:leader="none" w:pos="615"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Comprised Agreement Transactions where BCP and MiBanco sell representing credit securities guaranteed by the BCRP, they receive soles and are obliged to buy them back at a later date. The credit representing securities with guarantee of the National Government may have the form of a portfolio of credit representing titles or of Certificates of Participation in trustee of the loan portfolio guaranteed by the National Government (Reactiva Especial). The BCRP will charge a fixed interest annual rate in soles of 0.5 percent for the operation and will include a grace period of twelve months without payment of interest or principal. As of December 2022, the total credits granted through the Reactiva Perú program is S/8,877.2 million (S/18,404.6 million, as of December 31, 2021), see Note 7(a).</w:t>
      </w:r>
    </w:p>
    <w:p>
      <w:pPr>
        <w:spacing w:after="0" w:line="180"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As of December 31, 2022, said operations accrue interest at fixed and variable rates between 0.50 percent and 12.84 percent and between Libor 6M + 1.68 percent and Libor 6M + 1.90 percent, respectively, (between 0.50 percent and 6.73 percent and between Libor 6M + 1.68 percent and Libor 6M + 1.90 percent , respectively, as of December 31, 2021).</w:t>
      </w:r>
    </w:p>
    <w:p>
      <w:pPr>
        <w:spacing w:after="0" w:line="176" w:lineRule="exact"/>
        <w:rPr>
          <w:sz w:val="20"/>
          <w:szCs w:val="20"/>
          <w:color w:val="auto"/>
        </w:rPr>
      </w:pPr>
    </w:p>
    <w:p>
      <w:pPr>
        <w:ind w:left="315"/>
        <w:spacing w:after="0"/>
        <w:rPr>
          <w:sz w:val="20"/>
          <w:szCs w:val="20"/>
          <w:color w:val="auto"/>
        </w:rPr>
      </w:pPr>
      <w:r>
        <w:rPr>
          <w:rFonts w:ascii="Arial" w:cs="Arial" w:eastAsia="Arial" w:hAnsi="Arial"/>
          <w:sz w:val="17"/>
          <w:szCs w:val="17"/>
          <w:color w:val="auto"/>
        </w:rPr>
        <w:t>Certain repurchase agreements were hedged using cross-currency swaps (CCS), as detailed below:</w:t>
      </w:r>
    </w:p>
    <w:p>
      <w:pPr>
        <w:spacing w:after="0" w:line="193" w:lineRule="exact"/>
        <w:rPr>
          <w:sz w:val="20"/>
          <w:szCs w:val="20"/>
          <w:color w:val="auto"/>
        </w:rPr>
      </w:pPr>
    </w:p>
    <w:p>
      <w:pPr>
        <w:ind w:left="615" w:right="420" w:hanging="304"/>
        <w:spacing w:after="0" w:line="243" w:lineRule="auto"/>
        <w:tabs>
          <w:tab w:leader="none" w:pos="615"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of December 31, 2022 the Group maintains cross currency swaps (CCS) which were designated as a cash flow hedge of certain repurchase agreements in U.S. Dollar at variable rate for a notional amount of US$45.0 million, equivalent to S/171.6 million (approximately US$45.0 million, equivalent to S/179.4 million, as ofDecember 31, 2021). By means of these CCS, said repurchase agreements were economically converted to soles, see note 13(c).</w:t>
      </w:r>
    </w:p>
    <w:p>
      <w:pPr>
        <w:spacing w:after="0" w:line="179" w:lineRule="exact"/>
        <w:rPr>
          <w:rFonts w:ascii="Arial" w:cs="Arial" w:eastAsia="Arial" w:hAnsi="Arial"/>
          <w:sz w:val="17"/>
          <w:szCs w:val="17"/>
          <w:color w:val="auto"/>
        </w:rPr>
      </w:pPr>
    </w:p>
    <w:p>
      <w:pPr>
        <w:ind w:left="615" w:right="120" w:hanging="304"/>
        <w:spacing w:after="0" w:line="243" w:lineRule="auto"/>
        <w:tabs>
          <w:tab w:leader="none" w:pos="615"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of December 31, 2022, the Group maintains a CCS which was designated as a cash flow hedge of a repurchase agreement in U.S. dollar at variable rate for a total notional amount of US$25.0 million, equivalent to S/95.3 million (approximately US$25.0 million, equivalent to S/99.7 million, as of December 31, 2021). By means of the CCS, said repurchase agreement was economically converted to soles at a fixed interest rate; see note 13(c).</w:t>
      </w:r>
    </w:p>
    <w:p>
      <w:pPr>
        <w:spacing w:after="0" w:line="153" w:lineRule="exact"/>
        <w:rPr>
          <w:rFonts w:ascii="Arial" w:cs="Arial" w:eastAsia="Arial" w:hAnsi="Arial"/>
          <w:sz w:val="17"/>
          <w:szCs w:val="17"/>
          <w:color w:val="auto"/>
        </w:rPr>
      </w:pPr>
    </w:p>
    <w:p>
      <w:pPr>
        <w:ind w:left="4895" w:hanging="97"/>
        <w:spacing w:after="0"/>
        <w:tabs>
          <w:tab w:leader="none" w:pos="4895" w:val="left"/>
        </w:tabs>
        <w:numPr>
          <w:ilvl w:val="1"/>
          <w:numId w:val="77"/>
        </w:numPr>
        <w:rPr>
          <w:rFonts w:ascii="Arial" w:cs="Arial" w:eastAsia="Arial" w:hAnsi="Arial"/>
          <w:sz w:val="17"/>
          <w:szCs w:val="17"/>
          <w:color w:val="auto"/>
        </w:rPr>
      </w:pPr>
      <w:r>
        <w:rPr>
          <w:rFonts w:ascii="Arial" w:cs="Arial" w:eastAsia="Arial" w:hAnsi="Arial"/>
          <w:sz w:val="17"/>
          <w:szCs w:val="17"/>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66" w:name="page67"/>
    <w:bookmarkEnd w:id="66"/>
    <w:p>
      <w:pPr>
        <w:ind w:left="620" w:hanging="616"/>
        <w:spacing w:after="0"/>
        <w:tabs>
          <w:tab w:leader="none" w:pos="62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w:t>
      </w:r>
    </w:p>
    <w:p>
      <w:pPr>
        <w:spacing w:after="0" w:line="214" w:lineRule="exact"/>
        <w:rPr>
          <w:rFonts w:ascii="Arial" w:cs="Arial" w:eastAsia="Arial" w:hAnsi="Arial"/>
          <w:sz w:val="17"/>
          <w:szCs w:val="17"/>
          <w:b w:val="1"/>
          <w:bCs w:val="1"/>
          <w:color w:val="auto"/>
        </w:rPr>
      </w:pPr>
    </w:p>
    <w:p>
      <w:pPr>
        <w:ind w:left="940" w:hanging="315"/>
        <w:spacing w:after="0"/>
        <w:tabs>
          <w:tab w:leader="none" w:pos="9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Investment at fair value through profit or loss comprises the following:</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r>
      <w:tr>
        <w:trPr>
          <w:trHeight w:val="223"/>
        </w:trPr>
        <w:tc>
          <w:tcPr>
            <w:tcW w:w="77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7700" w:type="dxa"/>
            <w:vAlign w:val="bottom"/>
          </w:tcPr>
          <w:p>
            <w:pPr>
              <w:spacing w:after="0"/>
              <w:rPr>
                <w:sz w:val="20"/>
                <w:szCs w:val="20"/>
                <w:color w:val="auto"/>
              </w:rPr>
            </w:pPr>
            <w:r>
              <w:rPr>
                <w:rFonts w:ascii="Arial" w:cs="Arial" w:eastAsia="Arial" w:hAnsi="Arial"/>
                <w:sz w:val="17"/>
                <w:szCs w:val="17"/>
                <w:color w:val="auto"/>
              </w:rPr>
              <w:t>Mutual funds (i)</w:t>
            </w:r>
          </w:p>
        </w:tc>
        <w:tc>
          <w:tcPr>
            <w:tcW w:w="1120" w:type="dxa"/>
            <w:vAlign w:val="bottom"/>
          </w:tcPr>
          <w:p>
            <w:pPr>
              <w:jc w:val="right"/>
              <w:spacing w:after="0"/>
              <w:rPr>
                <w:sz w:val="20"/>
                <w:szCs w:val="20"/>
                <w:color w:val="auto"/>
              </w:rPr>
            </w:pPr>
            <w:r>
              <w:rPr>
                <w:rFonts w:ascii="Arial" w:cs="Arial" w:eastAsia="Arial" w:hAnsi="Arial"/>
                <w:sz w:val="17"/>
                <w:szCs w:val="17"/>
                <w:color w:val="auto"/>
              </w:rPr>
              <w:t>1,582,050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1,574,233</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Investment funds (ii)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885,574</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531,847</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Government Bonds (iii)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651,219</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1,185,541</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Restricted mutual funds (iv)</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351,317</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365,954</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Central Bank of Chile bonds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202,986</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32,761</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Participation in RAL Funds (v)</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167,781</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323,139</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Corporate bonds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103,330</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172,857</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Subordinated bonds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84,121</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110,484</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Shares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47,820</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90,728</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Multilateral organization bonds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47,770</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33,082</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ETF (Exchange - Traded Fund)</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25,042</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105,305</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Certificates of deposit BCRP (vi)</w:t>
            </w:r>
          </w:p>
        </w:tc>
        <w:tc>
          <w:tcPr>
            <w:tcW w:w="12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1,111,142</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Hedge funds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280</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176,816</w:t>
            </w:r>
          </w:p>
        </w:tc>
      </w:tr>
      <w:tr>
        <w:trPr>
          <w:trHeight w:val="195"/>
        </w:trPr>
        <w:tc>
          <w:tcPr>
            <w:tcW w:w="7700" w:type="dxa"/>
            <w:vAlign w:val="bottom"/>
          </w:tcPr>
          <w:p>
            <w:pPr>
              <w:spacing w:after="0"/>
              <w:rPr>
                <w:sz w:val="20"/>
                <w:szCs w:val="20"/>
                <w:color w:val="auto"/>
              </w:rPr>
            </w:pPr>
            <w:r>
              <w:rPr>
                <w:rFonts w:ascii="Arial" w:cs="Arial" w:eastAsia="Arial" w:hAnsi="Arial"/>
                <w:sz w:val="17"/>
                <w:szCs w:val="17"/>
                <w:color w:val="auto"/>
              </w:rPr>
              <w:t>Others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48,269</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105,351</w:t>
            </w:r>
          </w:p>
        </w:tc>
      </w:tr>
      <w:tr>
        <w:trPr>
          <w:trHeight w:val="186"/>
        </w:trPr>
        <w:tc>
          <w:tcPr>
            <w:tcW w:w="7700" w:type="dxa"/>
            <w:vAlign w:val="bottom"/>
          </w:tcPr>
          <w:p>
            <w:pPr>
              <w:spacing w:after="0" w:line="186" w:lineRule="exact"/>
              <w:rPr>
                <w:sz w:val="20"/>
                <w:szCs w:val="20"/>
                <w:color w:val="auto"/>
              </w:rPr>
            </w:pPr>
            <w:r>
              <w:rPr>
                <w:rFonts w:ascii="Arial" w:cs="Arial" w:eastAsia="Arial" w:hAnsi="Arial"/>
                <w:sz w:val="17"/>
                <w:szCs w:val="17"/>
                <w:color w:val="auto"/>
              </w:rPr>
              <w:t>Balance before accrued interest</w:t>
            </w:r>
          </w:p>
        </w:tc>
        <w:tc>
          <w:tcPr>
            <w:tcW w:w="1120" w:type="dxa"/>
            <w:vAlign w:val="bottom"/>
          </w:tcPr>
          <w:p>
            <w:pPr>
              <w:jc w:val="right"/>
              <w:spacing w:after="0" w:line="186" w:lineRule="exact"/>
              <w:rPr>
                <w:sz w:val="20"/>
                <w:szCs w:val="20"/>
                <w:color w:val="auto"/>
              </w:rPr>
            </w:pPr>
            <w:r>
              <w:rPr>
                <w:rFonts w:ascii="Arial" w:cs="Arial" w:eastAsia="Arial" w:hAnsi="Arial"/>
                <w:sz w:val="17"/>
                <w:szCs w:val="17"/>
                <w:color w:val="auto"/>
              </w:rPr>
              <w:t>4,197,559</w:t>
            </w:r>
          </w:p>
        </w:tc>
        <w:tc>
          <w:tcPr>
            <w:tcW w:w="160" w:type="dxa"/>
            <w:vAlign w:val="bottom"/>
          </w:tcPr>
          <w:p>
            <w:pPr>
              <w:spacing w:after="0"/>
              <w:rPr>
                <w:sz w:val="16"/>
                <w:szCs w:val="16"/>
                <w:color w:val="auto"/>
              </w:rPr>
            </w:pP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5,919,240</w:t>
            </w:r>
          </w:p>
        </w:tc>
      </w:tr>
      <w:tr>
        <w:trPr>
          <w:trHeight w:val="195"/>
        </w:trPr>
        <w:tc>
          <w:tcPr>
            <w:tcW w:w="7700" w:type="dxa"/>
            <w:vAlign w:val="bottom"/>
          </w:tcPr>
          <w:p>
            <w:pPr>
              <w:spacing w:after="0"/>
              <w:rPr>
                <w:sz w:val="20"/>
                <w:szCs w:val="20"/>
                <w:color w:val="auto"/>
              </w:rPr>
            </w:pPr>
            <w:r>
              <w:rPr>
                <w:rFonts w:ascii="Arial" w:cs="Arial" w:eastAsia="Arial" w:hAnsi="Arial"/>
                <w:sz w:val="17"/>
                <w:szCs w:val="17"/>
                <w:color w:val="auto"/>
              </w:rPr>
              <w:t>Accrued interest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1,775</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9,298</w:t>
            </w:r>
          </w:p>
        </w:tc>
      </w:tr>
      <w:tr>
        <w:trPr>
          <w:trHeight w:val="193"/>
        </w:trPr>
        <w:tc>
          <w:tcPr>
            <w:tcW w:w="770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4,199,334</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5,928,538</w:t>
            </w:r>
          </w:p>
        </w:tc>
      </w:tr>
    </w:tbl>
    <w:p>
      <w:pPr>
        <w:spacing w:after="0" w:line="193" w:lineRule="exact"/>
        <w:rPr>
          <w:sz w:val="20"/>
          <w:szCs w:val="20"/>
          <w:color w:val="auto"/>
        </w:rPr>
      </w:pPr>
    </w:p>
    <w:p>
      <w:pPr>
        <w:ind w:left="1240" w:right="60" w:hanging="304"/>
        <w:spacing w:after="0" w:line="243" w:lineRule="auto"/>
        <w:tabs>
          <w:tab w:leader="none" w:pos="12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 of December 31, 2022, the balance comprises mutual funds from Luxembourg, Bolivia, Peru, and other countries, which represent 64.2 percent, 23.5 percent, 4.8 percent, and 7.5 percent of the total, respectively. As of December 31, 2021, the balance comprises to mutual funds from Luxembourg, Bolivia, Ireland, and other countries, which represent 70.5 percent, 21.5 percent, 3.8 percent, and 4.2 percent of the total, respectively.</w:t>
      </w:r>
    </w:p>
    <w:p>
      <w:pPr>
        <w:spacing w:after="0" w:line="179" w:lineRule="exact"/>
        <w:rPr>
          <w:rFonts w:ascii="Arial" w:cs="Arial" w:eastAsia="Arial" w:hAnsi="Arial"/>
          <w:sz w:val="17"/>
          <w:szCs w:val="17"/>
          <w:color w:val="auto"/>
        </w:rPr>
      </w:pPr>
    </w:p>
    <w:p>
      <w:pPr>
        <w:ind w:left="1240" w:right="120" w:hanging="304"/>
        <w:spacing w:after="0" w:line="243" w:lineRule="auto"/>
        <w:tabs>
          <w:tab w:leader="none" w:pos="12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 of December 31, 2022, the balance mainly comprises investment funds in Peru, the United States of America, and Colombia, which represent 44.3 percent, 30.8 percent, and 15.5 percent, respectively, among other countries. As of December 31, 2021, the balance mainly comprises investment funds in Peru and the United States of America, which represented 40.6 percent and 55.6 percent, respectively.</w:t>
      </w:r>
    </w:p>
    <w:p>
      <w:pPr>
        <w:spacing w:after="0" w:line="179" w:lineRule="exact"/>
        <w:rPr>
          <w:rFonts w:ascii="Arial" w:cs="Arial" w:eastAsia="Arial" w:hAnsi="Arial"/>
          <w:sz w:val="17"/>
          <w:szCs w:val="17"/>
          <w:color w:val="auto"/>
        </w:rPr>
      </w:pPr>
    </w:p>
    <w:p>
      <w:pPr>
        <w:ind w:left="1240" w:hanging="304"/>
        <w:spacing w:after="0"/>
        <w:tabs>
          <w:tab w:leader="none" w:pos="12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 of December 31, 2022, and 2021 the balance of these instruments includes the following government treasury bonds: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18"/>
                <w:szCs w:val="18"/>
                <w:color w:val="auto"/>
              </w:rPr>
            </w:pPr>
          </w:p>
        </w:tc>
        <w:tc>
          <w:tcPr>
            <w:tcW w:w="4520" w:type="dxa"/>
            <w:vAlign w:val="bottom"/>
            <w:gridSpan w:val="2"/>
          </w:tcPr>
          <w:p>
            <w:pPr>
              <w:ind w:left="3520"/>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7"/>
                <w:szCs w:val="17"/>
                <w:b w:val="1"/>
                <w:bCs w:val="1"/>
                <w:color w:val="auto"/>
              </w:rPr>
              <w:t>2021</w:t>
            </w:r>
          </w:p>
        </w:tc>
        <w:tc>
          <w:tcPr>
            <w:tcW w:w="440" w:type="dxa"/>
            <w:vAlign w:val="bottom"/>
          </w:tcPr>
          <w:p>
            <w:pPr>
              <w:spacing w:after="0"/>
              <w:rPr>
                <w:sz w:val="18"/>
                <w:szCs w:val="18"/>
                <w:color w:val="auto"/>
              </w:rPr>
            </w:pPr>
          </w:p>
        </w:tc>
      </w:tr>
      <w:tr>
        <w:trPr>
          <w:trHeight w:val="223"/>
        </w:trPr>
        <w:tc>
          <w:tcPr>
            <w:tcW w:w="50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10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440" w:type="dxa"/>
            <w:vAlign w:val="bottom"/>
          </w:tcPr>
          <w:p>
            <w:pPr>
              <w:spacing w:after="0"/>
              <w:rPr>
                <w:sz w:val="19"/>
                <w:szCs w:val="19"/>
                <w:color w:val="auto"/>
              </w:rPr>
            </w:pPr>
          </w:p>
        </w:tc>
      </w:tr>
      <w:tr>
        <w:trPr>
          <w:trHeight w:val="352"/>
        </w:trPr>
        <w:tc>
          <w:tcPr>
            <w:tcW w:w="5060" w:type="dxa"/>
            <w:vAlign w:val="bottom"/>
          </w:tcPr>
          <w:p>
            <w:pPr>
              <w:ind w:left="1240"/>
              <w:spacing w:after="0"/>
              <w:rPr>
                <w:sz w:val="20"/>
                <w:szCs w:val="20"/>
                <w:color w:val="auto"/>
              </w:rPr>
            </w:pPr>
            <w:r>
              <w:rPr>
                <w:rFonts w:ascii="Arial" w:cs="Arial" w:eastAsia="Arial" w:hAnsi="Arial"/>
                <w:sz w:val="17"/>
                <w:szCs w:val="17"/>
                <w:color w:val="auto"/>
              </w:rPr>
              <w:t>Colombian Government Bonds</w:t>
            </w:r>
          </w:p>
        </w:tc>
        <w:tc>
          <w:tcPr>
            <w:tcW w:w="4520" w:type="dxa"/>
            <w:vAlign w:val="bottom"/>
            <w:gridSpan w:val="2"/>
          </w:tcPr>
          <w:p>
            <w:pPr>
              <w:jc w:val="right"/>
              <w:spacing w:after="0"/>
              <w:rPr>
                <w:sz w:val="20"/>
                <w:szCs w:val="20"/>
                <w:color w:val="auto"/>
              </w:rPr>
            </w:pPr>
            <w:r>
              <w:rPr>
                <w:rFonts w:ascii="Arial" w:cs="Arial" w:eastAsia="Arial" w:hAnsi="Arial"/>
                <w:sz w:val="17"/>
                <w:szCs w:val="17"/>
                <w:color w:val="auto"/>
              </w:rPr>
              <w:t>609,255</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898,733</w:t>
            </w:r>
          </w:p>
        </w:tc>
        <w:tc>
          <w:tcPr>
            <w:tcW w:w="440" w:type="dxa"/>
            <w:vAlign w:val="bottom"/>
          </w:tcPr>
          <w:p>
            <w:pPr>
              <w:spacing w:after="0"/>
              <w:rPr>
                <w:sz w:val="24"/>
                <w:szCs w:val="24"/>
                <w:color w:val="auto"/>
              </w:rPr>
            </w:pPr>
          </w:p>
        </w:tc>
      </w:tr>
      <w:tr>
        <w:trPr>
          <w:trHeight w:val="194"/>
        </w:trPr>
        <w:tc>
          <w:tcPr>
            <w:tcW w:w="5060" w:type="dxa"/>
            <w:vAlign w:val="bottom"/>
          </w:tcPr>
          <w:p>
            <w:pPr>
              <w:ind w:left="1240"/>
              <w:spacing w:after="0" w:line="194" w:lineRule="exact"/>
              <w:rPr>
                <w:sz w:val="20"/>
                <w:szCs w:val="20"/>
                <w:color w:val="auto"/>
              </w:rPr>
            </w:pPr>
            <w:r>
              <w:rPr>
                <w:rFonts w:ascii="Arial" w:cs="Arial" w:eastAsia="Arial" w:hAnsi="Arial"/>
                <w:sz w:val="17"/>
                <w:szCs w:val="17"/>
                <w:color w:val="auto"/>
              </w:rPr>
              <w:t>Chilean Government Bonds</w:t>
            </w:r>
          </w:p>
        </w:tc>
        <w:tc>
          <w:tcPr>
            <w:tcW w:w="45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38,153</w:t>
            </w:r>
          </w:p>
        </w:tc>
        <w:tc>
          <w:tcPr>
            <w:tcW w:w="14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66,643</w:t>
            </w:r>
          </w:p>
        </w:tc>
        <w:tc>
          <w:tcPr>
            <w:tcW w:w="440" w:type="dxa"/>
            <w:vAlign w:val="bottom"/>
          </w:tcPr>
          <w:p>
            <w:pPr>
              <w:spacing w:after="0"/>
              <w:rPr>
                <w:sz w:val="16"/>
                <w:szCs w:val="16"/>
                <w:color w:val="auto"/>
              </w:rPr>
            </w:pPr>
          </w:p>
        </w:tc>
      </w:tr>
      <w:tr>
        <w:trPr>
          <w:trHeight w:val="194"/>
        </w:trPr>
        <w:tc>
          <w:tcPr>
            <w:tcW w:w="5060" w:type="dxa"/>
            <w:vAlign w:val="bottom"/>
          </w:tcPr>
          <w:p>
            <w:pPr>
              <w:ind w:left="1240"/>
              <w:spacing w:after="0" w:line="194" w:lineRule="exact"/>
              <w:rPr>
                <w:sz w:val="20"/>
                <w:szCs w:val="20"/>
                <w:color w:val="auto"/>
              </w:rPr>
            </w:pPr>
            <w:r>
              <w:rPr>
                <w:rFonts w:ascii="Arial" w:cs="Arial" w:eastAsia="Arial" w:hAnsi="Arial"/>
                <w:sz w:val="17"/>
                <w:szCs w:val="17"/>
                <w:color w:val="auto"/>
              </w:rPr>
              <w:t>United States of America Government Bonds</w:t>
            </w:r>
          </w:p>
        </w:tc>
        <w:tc>
          <w:tcPr>
            <w:tcW w:w="45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3,811</w:t>
            </w:r>
          </w:p>
        </w:tc>
        <w:tc>
          <w:tcPr>
            <w:tcW w:w="14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7,948</w:t>
            </w:r>
          </w:p>
        </w:tc>
        <w:tc>
          <w:tcPr>
            <w:tcW w:w="440" w:type="dxa"/>
            <w:vAlign w:val="bottom"/>
          </w:tcPr>
          <w:p>
            <w:pPr>
              <w:spacing w:after="0"/>
              <w:rPr>
                <w:sz w:val="16"/>
                <w:szCs w:val="16"/>
                <w:color w:val="auto"/>
              </w:rPr>
            </w:pPr>
          </w:p>
        </w:tc>
      </w:tr>
      <w:tr>
        <w:trPr>
          <w:trHeight w:val="194"/>
        </w:trPr>
        <w:tc>
          <w:tcPr>
            <w:tcW w:w="5060" w:type="dxa"/>
            <w:vAlign w:val="bottom"/>
          </w:tcPr>
          <w:p>
            <w:pPr>
              <w:ind w:left="1240"/>
              <w:spacing w:after="0" w:line="194" w:lineRule="exact"/>
              <w:rPr>
                <w:sz w:val="20"/>
                <w:szCs w:val="20"/>
                <w:color w:val="auto"/>
              </w:rPr>
            </w:pPr>
            <w:r>
              <w:rPr>
                <w:rFonts w:ascii="Arial" w:cs="Arial" w:eastAsia="Arial" w:hAnsi="Arial"/>
                <w:sz w:val="17"/>
                <w:szCs w:val="17"/>
                <w:color w:val="auto"/>
              </w:rPr>
              <w:t>Peru Government Bonds</w:t>
            </w:r>
          </w:p>
        </w:tc>
        <w:tc>
          <w:tcPr>
            <w:tcW w:w="3460" w:type="dxa"/>
            <w:vAlign w:val="bottom"/>
          </w:tcPr>
          <w:p>
            <w:pPr>
              <w:spacing w:after="0"/>
              <w:rPr>
                <w:sz w:val="16"/>
                <w:szCs w:val="16"/>
                <w:color w:val="auto"/>
              </w:rPr>
            </w:pPr>
          </w:p>
        </w:tc>
        <w:tc>
          <w:tcPr>
            <w:tcW w:w="12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211,571</w:t>
            </w:r>
          </w:p>
        </w:tc>
        <w:tc>
          <w:tcPr>
            <w:tcW w:w="440" w:type="dxa"/>
            <w:vAlign w:val="bottom"/>
          </w:tcPr>
          <w:p>
            <w:pPr>
              <w:spacing w:after="0"/>
              <w:rPr>
                <w:sz w:val="16"/>
                <w:szCs w:val="16"/>
                <w:color w:val="auto"/>
              </w:rPr>
            </w:pPr>
          </w:p>
        </w:tc>
      </w:tr>
      <w:tr>
        <w:trPr>
          <w:trHeight w:val="195"/>
        </w:trPr>
        <w:tc>
          <w:tcPr>
            <w:tcW w:w="5060" w:type="dxa"/>
            <w:vAlign w:val="bottom"/>
          </w:tcPr>
          <w:p>
            <w:pPr>
              <w:ind w:left="1240"/>
              <w:spacing w:after="0"/>
              <w:rPr>
                <w:sz w:val="20"/>
                <w:szCs w:val="20"/>
                <w:color w:val="auto"/>
              </w:rPr>
            </w:pPr>
            <w:r>
              <w:rPr>
                <w:rFonts w:ascii="Arial" w:cs="Arial" w:eastAsia="Arial" w:hAnsi="Arial"/>
                <w:sz w:val="17"/>
                <w:szCs w:val="17"/>
                <w:color w:val="auto"/>
              </w:rPr>
              <w:t>Brazilian Government Bonds</w:t>
            </w:r>
          </w:p>
        </w:tc>
        <w:tc>
          <w:tcPr>
            <w:tcW w:w="346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646</w:t>
            </w:r>
          </w:p>
        </w:tc>
        <w:tc>
          <w:tcPr>
            <w:tcW w:w="440" w:type="dxa"/>
            <w:vAlign w:val="bottom"/>
          </w:tcPr>
          <w:p>
            <w:pPr>
              <w:spacing w:after="0"/>
              <w:rPr>
                <w:sz w:val="16"/>
                <w:szCs w:val="16"/>
                <w:color w:val="auto"/>
              </w:rPr>
            </w:pPr>
          </w:p>
        </w:tc>
      </w:tr>
      <w:tr>
        <w:trPr>
          <w:trHeight w:val="193"/>
        </w:trPr>
        <w:tc>
          <w:tcPr>
            <w:tcW w:w="5060" w:type="dxa"/>
            <w:vAlign w:val="bottom"/>
          </w:tcPr>
          <w:p>
            <w:pPr>
              <w:ind w:left="1240"/>
              <w:spacing w:after="0" w:line="187" w:lineRule="exact"/>
              <w:rPr>
                <w:sz w:val="20"/>
                <w:szCs w:val="20"/>
                <w:color w:val="auto"/>
              </w:rPr>
            </w:pPr>
            <w:r>
              <w:rPr>
                <w:rFonts w:ascii="Arial" w:cs="Arial" w:eastAsia="Arial" w:hAnsi="Arial"/>
                <w:sz w:val="17"/>
                <w:szCs w:val="17"/>
                <w:b w:val="1"/>
                <w:bCs w:val="1"/>
                <w:color w:val="auto"/>
              </w:rPr>
              <w:t>Total</w:t>
            </w:r>
          </w:p>
        </w:tc>
        <w:tc>
          <w:tcPr>
            <w:tcW w:w="346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651,219</w:t>
            </w:r>
          </w:p>
        </w:tc>
        <w:tc>
          <w:tcPr>
            <w:tcW w:w="14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1,185,541</w:t>
            </w:r>
          </w:p>
        </w:tc>
        <w:tc>
          <w:tcPr>
            <w:tcW w:w="440" w:type="dxa"/>
            <w:vAlign w:val="bottom"/>
          </w:tcPr>
          <w:p>
            <w:pPr>
              <w:spacing w:after="0"/>
              <w:rPr>
                <w:sz w:val="16"/>
                <w:szCs w:val="16"/>
                <w:color w:val="auto"/>
              </w:rPr>
            </w:pPr>
          </w:p>
        </w:tc>
      </w:tr>
      <w:tr>
        <w:trPr>
          <w:trHeight w:val="376"/>
        </w:trPr>
        <w:tc>
          <w:tcPr>
            <w:tcW w:w="5060" w:type="dxa"/>
            <w:vAlign w:val="bottom"/>
          </w:tcPr>
          <w:p>
            <w:pPr>
              <w:spacing w:after="0"/>
              <w:rPr>
                <w:sz w:val="24"/>
                <w:szCs w:val="24"/>
                <w:color w:val="auto"/>
              </w:rPr>
            </w:pPr>
          </w:p>
        </w:tc>
        <w:tc>
          <w:tcPr>
            <w:tcW w:w="3460" w:type="dxa"/>
            <w:vAlign w:val="bottom"/>
          </w:tcPr>
          <w:p>
            <w:pPr>
              <w:jc w:val="right"/>
              <w:ind w:right="2614"/>
              <w:spacing w:after="0"/>
              <w:rPr>
                <w:sz w:val="20"/>
                <w:szCs w:val="20"/>
                <w:color w:val="auto"/>
              </w:rPr>
            </w:pPr>
            <w:r>
              <w:rPr>
                <w:rFonts w:ascii="Arial" w:cs="Arial" w:eastAsia="Arial" w:hAnsi="Arial"/>
                <w:sz w:val="17"/>
                <w:szCs w:val="17"/>
                <w:color w:val="auto"/>
              </w:rPr>
              <w:t>- 62 -</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5"/>
        </w:trPr>
        <w:tc>
          <w:tcPr>
            <w:tcW w:w="506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67" w:name="page68"/>
    <w:bookmarkEnd w:id="67"/>
    <w:p>
      <w:pPr>
        <w:jc w:val="both"/>
        <w:ind w:left="304" w:hanging="304"/>
        <w:spacing w:after="0" w:line="245" w:lineRule="auto"/>
        <w:tabs>
          <w:tab w:leader="none" w:pos="304"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restricted mutual funds comprise the participation quotas in the private pension funds managed by Prima AFP and are maintained in compliance with the legal regulations in Peru. Their availability is restricted, and the yield received is the same as that received by the private pension funds managed.</w:t>
      </w:r>
    </w:p>
    <w:p>
      <w:pPr>
        <w:spacing w:after="0" w:line="177" w:lineRule="exact"/>
        <w:rPr>
          <w:rFonts w:ascii="Arial" w:cs="Arial" w:eastAsia="Arial" w:hAnsi="Arial"/>
          <w:sz w:val="17"/>
          <w:szCs w:val="17"/>
          <w:color w:val="auto"/>
        </w:rPr>
      </w:pPr>
    </w:p>
    <w:p>
      <w:pPr>
        <w:ind w:left="304" w:right="20" w:hanging="304"/>
        <w:spacing w:after="0" w:line="242" w:lineRule="auto"/>
        <w:tabs>
          <w:tab w:leader="none" w:pos="304" w:val="left"/>
        </w:tabs>
        <w:numPr>
          <w:ilvl w:val="0"/>
          <w:numId w:val="80"/>
        </w:numPr>
        <w:rPr>
          <w:rFonts w:ascii="Arial" w:cs="Arial" w:eastAsia="Arial" w:hAnsi="Arial"/>
          <w:sz w:val="17"/>
          <w:szCs w:val="17"/>
          <w:color w:val="auto"/>
        </w:rPr>
      </w:pPr>
      <w:r>
        <w:rPr>
          <w:rFonts w:ascii="Arial" w:cs="Arial" w:eastAsia="Arial" w:hAnsi="Arial"/>
          <w:sz w:val="17"/>
          <w:szCs w:val="17"/>
          <w:color w:val="auto"/>
        </w:rPr>
        <w:t>As of December 31, 2022 these funds are approximately Bs218.7 million, equivalent to S/121.7 million, and US$12.1 million, equivalent to S/46.1 million. As of December 31, 2021, these funds amounted to approximately Bs346.1 million, equivalent to S/202.3 million, and US$30.3 million, equivalent to S/120.8 million; and include investments made by the Group in the Central Bank of Bolivia as a guarantee for deposits received from the public. These funds have restrictions on their use and are required of all banks in Bolivia.</w:t>
      </w:r>
    </w:p>
    <w:p>
      <w:pPr>
        <w:spacing w:after="0" w:line="180" w:lineRule="exact"/>
        <w:rPr>
          <w:rFonts w:ascii="Arial" w:cs="Arial" w:eastAsia="Arial" w:hAnsi="Arial"/>
          <w:sz w:val="17"/>
          <w:szCs w:val="17"/>
          <w:color w:val="auto"/>
        </w:rPr>
      </w:pPr>
    </w:p>
    <w:p>
      <w:pPr>
        <w:jc w:val="both"/>
        <w:ind w:left="304" w:right="60" w:hanging="304"/>
        <w:spacing w:after="0" w:line="254" w:lineRule="auto"/>
        <w:tabs>
          <w:tab w:leader="none" w:pos="304" w:val="left"/>
        </w:tabs>
        <w:numPr>
          <w:ilvl w:val="0"/>
          <w:numId w:val="80"/>
        </w:numPr>
        <w:rPr>
          <w:rFonts w:ascii="Arial" w:cs="Arial" w:eastAsia="Arial" w:hAnsi="Arial"/>
          <w:sz w:val="17"/>
          <w:szCs w:val="17"/>
          <w:color w:val="auto"/>
        </w:rPr>
      </w:pPr>
      <w:r>
        <w:rPr>
          <w:rFonts w:ascii="Arial" w:cs="Arial" w:eastAsia="Arial" w:hAnsi="Arial"/>
          <w:sz w:val="17"/>
          <w:szCs w:val="17"/>
          <w:color w:val="auto"/>
        </w:rPr>
        <w:t>As of December 31, 2021 the balance comprises 2,789 certificates of deposit for US$278.7 million, equivalent to S/1,111.1 million, which accrue interest at an effective annual rate of 0.67 percent to 0.70 percent, and with maturity from January to February 2022.</w:t>
      </w:r>
    </w:p>
    <w:p>
      <w:pPr>
        <w:spacing w:after="0" w:line="143" w:lineRule="exact"/>
        <w:rPr>
          <w:rFonts w:ascii="Arial" w:cs="Arial" w:eastAsia="Arial" w:hAnsi="Arial"/>
          <w:sz w:val="17"/>
          <w:szCs w:val="17"/>
          <w:color w:val="auto"/>
        </w:rPr>
      </w:pPr>
    </w:p>
    <w:p>
      <w:pPr>
        <w:ind w:left="4584" w:hanging="97"/>
        <w:spacing w:after="0"/>
        <w:tabs>
          <w:tab w:leader="none" w:pos="4584" w:val="left"/>
        </w:tabs>
        <w:numPr>
          <w:ilvl w:val="1"/>
          <w:numId w:val="80"/>
        </w:numPr>
        <w:rPr>
          <w:rFonts w:ascii="Arial" w:cs="Arial" w:eastAsia="Arial" w:hAnsi="Arial"/>
          <w:sz w:val="17"/>
          <w:szCs w:val="17"/>
          <w:color w:val="auto"/>
        </w:rPr>
      </w:pPr>
      <w:r>
        <w:rPr>
          <w:rFonts w:ascii="Arial" w:cs="Arial" w:eastAsia="Arial" w:hAnsi="Arial"/>
          <w:sz w:val="17"/>
          <w:szCs w:val="17"/>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68" w:name="page69"/>
    <w:bookmarkEnd w:id="68"/>
    <w:p>
      <w:pPr>
        <w:spacing w:after="0"/>
        <w:tabs>
          <w:tab w:leader="none" w:pos="300" w:val="left"/>
        </w:tabs>
        <w:rPr>
          <w:sz w:val="20"/>
          <w:szCs w:val="20"/>
          <w:color w:val="auto"/>
        </w:rPr>
      </w:pPr>
      <w:r>
        <w:rPr>
          <w:rFonts w:ascii="Arial" w:cs="Arial" w:eastAsia="Arial" w:hAnsi="Arial"/>
          <w:sz w:val="17"/>
          <w:szCs w:val="17"/>
          <w:color w:val="auto"/>
        </w:rPr>
        <w:t>b)</w:t>
        <w:tab/>
        <w:t>Investments at fair value through other comprehensive income comprises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7"/>
                <w:szCs w:val="17"/>
                <w:b w:val="1"/>
                <w:bCs w:val="1"/>
                <w:color w:val="auto"/>
              </w:rPr>
              <w:t>2022</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4"/>
          </w:tcPr>
          <w:p>
            <w:pPr>
              <w:jc w:val="center"/>
              <w:ind w:right="60"/>
              <w:spacing w:after="0" w:line="164" w:lineRule="exact"/>
              <w:rPr>
                <w:sz w:val="20"/>
                <w:szCs w:val="20"/>
                <w:color w:val="auto"/>
              </w:rPr>
            </w:pPr>
            <w:r>
              <w:rPr>
                <w:rFonts w:ascii="Arial" w:cs="Arial" w:eastAsia="Arial" w:hAnsi="Arial"/>
                <w:sz w:val="17"/>
                <w:szCs w:val="17"/>
                <w:b w:val="1"/>
                <w:bCs w:val="1"/>
                <w:color w:val="auto"/>
              </w:rPr>
              <w:t>Unrealized gross</w:t>
            </w: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4"/>
          </w:tcPr>
          <w:p>
            <w:pPr>
              <w:jc w:val="right"/>
              <w:ind w:right="280"/>
              <w:spacing w:after="0" w:line="164" w:lineRule="exact"/>
              <w:rPr>
                <w:sz w:val="20"/>
                <w:szCs w:val="20"/>
                <w:color w:val="auto"/>
              </w:rPr>
            </w:pPr>
            <w:r>
              <w:rPr>
                <w:rFonts w:ascii="Arial" w:cs="Arial" w:eastAsia="Arial" w:hAnsi="Arial"/>
                <w:sz w:val="17"/>
                <w:szCs w:val="17"/>
                <w:b w:val="1"/>
                <w:bCs w:val="1"/>
                <w:color w:val="auto"/>
              </w:rPr>
              <w:t>Unrealized gross</w:t>
            </w: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rPr>
              <w:t>amount</w:t>
            </w:r>
          </w:p>
        </w:tc>
        <w:tc>
          <w:tcPr>
            <w:tcW w:w="9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Estimated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4"/>
          </w:tcPr>
          <w:p>
            <w:pPr>
              <w:ind w:left="600"/>
              <w:spacing w:after="0"/>
              <w:rPr>
                <w:sz w:val="20"/>
                <w:szCs w:val="20"/>
                <w:color w:val="auto"/>
              </w:rPr>
            </w:pPr>
            <w:r>
              <w:rPr>
                <w:rFonts w:ascii="Arial" w:cs="Arial" w:eastAsia="Arial" w:hAnsi="Arial"/>
                <w:sz w:val="17"/>
                <w:szCs w:val="17"/>
                <w:b w:val="1"/>
                <w:bCs w:val="1"/>
                <w:color w:val="auto"/>
              </w:rPr>
              <w:t>amount</w:t>
            </w:r>
          </w:p>
        </w:tc>
        <w:tc>
          <w:tcPr>
            <w:tcW w:w="9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Estimated</w:t>
            </w:r>
          </w:p>
        </w:tc>
        <w:tc>
          <w:tcPr>
            <w:tcW w:w="0" w:type="dxa"/>
            <w:vAlign w:val="bottom"/>
          </w:tcPr>
          <w:p>
            <w:pPr>
              <w:spacing w:after="0"/>
              <w:rPr>
                <w:sz w:val="1"/>
                <w:szCs w:val="1"/>
                <w:color w:val="auto"/>
              </w:rPr>
            </w:pPr>
          </w:p>
        </w:tc>
      </w:tr>
      <w:tr>
        <w:trPr>
          <w:trHeight w:val="151"/>
        </w:trPr>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7"/>
                <w:szCs w:val="17"/>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7"/>
                <w:szCs w:val="17"/>
                <w:b w:val="1"/>
                <w:bCs w:val="1"/>
                <w:color w:val="auto"/>
              </w:rPr>
              <w:t>Profits</w:t>
            </w:r>
          </w:p>
        </w:tc>
        <w:tc>
          <w:tcPr>
            <w:tcW w:w="1080" w:type="dxa"/>
            <w:vAlign w:val="bottom"/>
            <w:gridSpan w:val="2"/>
          </w:tcPr>
          <w:p>
            <w:pPr>
              <w:ind w:left="60"/>
              <w:spacing w:after="0"/>
              <w:rPr>
                <w:sz w:val="20"/>
                <w:szCs w:val="20"/>
                <w:color w:val="auto"/>
              </w:rPr>
            </w:pPr>
            <w:r>
              <w:rPr>
                <w:rFonts w:ascii="Arial" w:cs="Arial" w:eastAsia="Arial" w:hAnsi="Arial"/>
                <w:sz w:val="17"/>
                <w:szCs w:val="17"/>
                <w:b w:val="1"/>
                <w:bCs w:val="1"/>
                <w:color w:val="auto"/>
              </w:rPr>
              <w:t>Losses</w:t>
            </w:r>
          </w:p>
        </w:tc>
        <w:tc>
          <w:tcPr>
            <w:tcW w:w="980" w:type="dxa"/>
            <w:vAlign w:val="bottom"/>
          </w:tcPr>
          <w:p>
            <w:pPr>
              <w:ind w:left="60"/>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7"/>
                <w:szCs w:val="17"/>
                <w:b w:val="1"/>
                <w:bCs w:val="1"/>
                <w:color w:val="auto"/>
              </w:rPr>
              <w:t>Cost</w:t>
            </w:r>
          </w:p>
        </w:tc>
        <w:tc>
          <w:tcPr>
            <w:tcW w:w="960" w:type="dxa"/>
            <w:vAlign w:val="bottom"/>
            <w:gridSpan w:val="2"/>
          </w:tcPr>
          <w:p>
            <w:pPr>
              <w:ind w:left="40"/>
              <w:spacing w:after="0"/>
              <w:rPr>
                <w:sz w:val="20"/>
                <w:szCs w:val="20"/>
                <w:color w:val="auto"/>
              </w:rPr>
            </w:pPr>
            <w:r>
              <w:rPr>
                <w:rFonts w:ascii="Arial" w:cs="Arial" w:eastAsia="Arial" w:hAnsi="Arial"/>
                <w:sz w:val="17"/>
                <w:szCs w:val="17"/>
                <w:b w:val="1"/>
                <w:bCs w:val="1"/>
                <w:color w:val="auto"/>
              </w:rPr>
              <w:t>Profits</w:t>
            </w:r>
          </w:p>
        </w:tc>
        <w:tc>
          <w:tcPr>
            <w:tcW w:w="9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Losses</w:t>
            </w:r>
          </w:p>
        </w:tc>
        <w:tc>
          <w:tcPr>
            <w:tcW w:w="980" w:type="dxa"/>
            <w:vAlign w:val="bottom"/>
          </w:tcPr>
          <w:p>
            <w:pPr>
              <w:ind w:left="60"/>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9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60" w:type="dxa"/>
            <w:vAlign w:val="bottom"/>
          </w:tcPr>
          <w:p>
            <w:pPr>
              <w:spacing w:after="0"/>
              <w:rPr>
                <w:sz w:val="19"/>
                <w:szCs w:val="19"/>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9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9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S/(000)</w:t>
            </w:r>
          </w:p>
        </w:tc>
        <w:tc>
          <w:tcPr>
            <w:tcW w:w="60" w:type="dxa"/>
            <w:vAlign w:val="bottom"/>
          </w:tcPr>
          <w:p>
            <w:pPr>
              <w:spacing w:after="0"/>
              <w:rPr>
                <w:sz w:val="19"/>
                <w:szCs w:val="19"/>
                <w:color w:val="auto"/>
              </w:rPr>
            </w:pPr>
          </w:p>
        </w:tc>
        <w:tc>
          <w:tcPr>
            <w:tcW w:w="9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366"/>
        </w:trPr>
        <w:tc>
          <w:tcPr>
            <w:tcW w:w="2180" w:type="dxa"/>
            <w:vAlign w:val="bottom"/>
          </w:tcPr>
          <w:p>
            <w:pPr>
              <w:spacing w:after="0"/>
              <w:rPr>
                <w:sz w:val="20"/>
                <w:szCs w:val="20"/>
                <w:color w:val="auto"/>
              </w:rPr>
            </w:pPr>
            <w:r>
              <w:rPr>
                <w:rFonts w:ascii="Arial" w:cs="Arial" w:eastAsia="Arial" w:hAnsi="Arial"/>
                <w:sz w:val="17"/>
                <w:szCs w:val="17"/>
                <w:b w:val="1"/>
                <w:bCs w:val="1"/>
                <w:color w:val="auto"/>
              </w:rPr>
              <w:t>Debts instruments: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80" w:type="dxa"/>
            <w:vAlign w:val="bottom"/>
          </w:tcPr>
          <w:p>
            <w:pPr>
              <w:spacing w:after="0"/>
              <w:rPr>
                <w:sz w:val="20"/>
                <w:szCs w:val="20"/>
                <w:color w:val="auto"/>
              </w:rPr>
            </w:pPr>
            <w:r>
              <w:rPr>
                <w:rFonts w:ascii="Arial" w:cs="Arial" w:eastAsia="Arial" w:hAnsi="Arial"/>
                <w:sz w:val="17"/>
                <w:szCs w:val="17"/>
                <w:color w:val="auto"/>
              </w:rPr>
              <w:t>Corporate bonds (i)</w:t>
            </w:r>
          </w:p>
        </w:tc>
        <w:tc>
          <w:tcPr>
            <w:tcW w:w="980" w:type="dxa"/>
            <w:vAlign w:val="bottom"/>
          </w:tcPr>
          <w:p>
            <w:pPr>
              <w:jc w:val="right"/>
              <w:spacing w:after="0"/>
              <w:rPr>
                <w:sz w:val="20"/>
                <w:szCs w:val="20"/>
                <w:color w:val="auto"/>
              </w:rPr>
            </w:pPr>
            <w:r>
              <w:rPr>
                <w:rFonts w:ascii="Arial" w:cs="Arial" w:eastAsia="Arial" w:hAnsi="Arial"/>
                <w:sz w:val="17"/>
                <w:szCs w:val="17"/>
                <w:color w:val="auto"/>
              </w:rPr>
              <w:t>13,914,118</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61,336</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(1,194,756)</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12,780,698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14,456,083</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594,025</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(334,687)</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14,715,421</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Government Bonds (ii)</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9,139,100</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59,788</w:t>
            </w:r>
          </w:p>
        </w:tc>
        <w:tc>
          <w:tcPr>
            <w:tcW w:w="8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(670,177)</w:t>
            </w:r>
          </w:p>
        </w:tc>
        <w:tc>
          <w:tcPr>
            <w:tcW w:w="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8,528,711</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9,600,115</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206,701</w:t>
            </w:r>
          </w:p>
        </w:tc>
        <w:tc>
          <w:tcPr>
            <w:tcW w:w="8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(568,417)</w:t>
            </w:r>
          </w:p>
        </w:tc>
        <w:tc>
          <w:tcPr>
            <w:tcW w:w="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9,238,399</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Certificates of deposit</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BCRP (iii)</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7,021,219</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868</w:t>
            </w:r>
          </w:p>
        </w:tc>
        <w:tc>
          <w:tcPr>
            <w:tcW w:w="8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(2,608)</w:t>
            </w:r>
          </w:p>
        </w:tc>
        <w:tc>
          <w:tcPr>
            <w:tcW w:w="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7,019,479</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8,347,101</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7</w:t>
            </w:r>
          </w:p>
        </w:tc>
        <w:tc>
          <w:tcPr>
            <w:tcW w:w="8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(9,676)</w:t>
            </w:r>
          </w:p>
        </w:tc>
        <w:tc>
          <w:tcPr>
            <w:tcW w:w="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8,337,432</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Securitization instruments</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(iv)</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772,737</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1,564</w:t>
            </w:r>
          </w:p>
        </w:tc>
        <w:tc>
          <w:tcPr>
            <w:tcW w:w="8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(107,377)</w:t>
            </w:r>
          </w:p>
        </w:tc>
        <w:tc>
          <w:tcPr>
            <w:tcW w:w="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666,924</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768,012</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20,202</w:t>
            </w:r>
          </w:p>
        </w:tc>
        <w:tc>
          <w:tcPr>
            <w:tcW w:w="8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(66,825)</w:t>
            </w:r>
          </w:p>
        </w:tc>
        <w:tc>
          <w:tcPr>
            <w:tcW w:w="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721,389</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Negotiable certificates of</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deposit (v)</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577,286</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9,988</w:t>
            </w:r>
          </w:p>
        </w:tc>
        <w:tc>
          <w:tcPr>
            <w:tcW w:w="8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(1,516)</w:t>
            </w:r>
          </w:p>
        </w:tc>
        <w:tc>
          <w:tcPr>
            <w:tcW w:w="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585,758</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615,514</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10,505</w:t>
            </w:r>
          </w:p>
        </w:tc>
        <w:tc>
          <w:tcPr>
            <w:tcW w:w="8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(1,508)</w:t>
            </w:r>
          </w:p>
        </w:tc>
        <w:tc>
          <w:tcPr>
            <w:tcW w:w="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624,511</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Subordinated bonds</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377,111</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462</w:t>
            </w:r>
          </w:p>
        </w:tc>
        <w:tc>
          <w:tcPr>
            <w:tcW w:w="8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(17,467)</w:t>
            </w:r>
          </w:p>
        </w:tc>
        <w:tc>
          <w:tcPr>
            <w:tcW w:w="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360,106</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217,222</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6,281</w:t>
            </w:r>
          </w:p>
        </w:tc>
        <w:tc>
          <w:tcPr>
            <w:tcW w:w="8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(4,224)</w:t>
            </w:r>
          </w:p>
        </w:tc>
        <w:tc>
          <w:tcPr>
            <w:tcW w:w="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219,279</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20"/>
                <w:szCs w:val="20"/>
                <w:color w:val="auto"/>
              </w:rPr>
            </w:pPr>
            <w:r>
              <w:rPr>
                <w:rFonts w:ascii="Arial" w:cs="Arial" w:eastAsia="Arial" w:hAnsi="Arial"/>
                <w:sz w:val="17"/>
                <w:szCs w:val="17"/>
                <w:color w:val="auto"/>
              </w:rPr>
              <w:t>Others</w:t>
            </w:r>
          </w:p>
        </w:tc>
        <w:tc>
          <w:tcPr>
            <w:tcW w:w="980" w:type="dxa"/>
            <w:vAlign w:val="bottom"/>
          </w:tcPr>
          <w:p>
            <w:pPr>
              <w:jc w:val="right"/>
              <w:spacing w:after="0"/>
              <w:rPr>
                <w:sz w:val="20"/>
                <w:szCs w:val="20"/>
                <w:color w:val="auto"/>
              </w:rPr>
            </w:pPr>
            <w:r>
              <w:rPr>
                <w:rFonts w:ascii="Arial" w:cs="Arial" w:eastAsia="Arial" w:hAnsi="Arial"/>
                <w:sz w:val="17"/>
                <w:szCs w:val="17"/>
                <w:color w:val="auto"/>
              </w:rPr>
              <w:t>117,123</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958</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(6,831)</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111,250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125,877</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4,699</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(4,324)</w:t>
            </w: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126,252</w:t>
            </w:r>
          </w:p>
        </w:tc>
        <w:tc>
          <w:tcPr>
            <w:tcW w:w="0" w:type="dxa"/>
            <w:vAlign w:val="bottom"/>
          </w:tcPr>
          <w:p>
            <w:pPr>
              <w:spacing w:after="0"/>
              <w:rPr>
                <w:sz w:val="1"/>
                <w:szCs w:val="1"/>
                <w:color w:val="auto"/>
              </w:rPr>
            </w:pPr>
          </w:p>
        </w:tc>
      </w:tr>
      <w:tr>
        <w:trPr>
          <w:trHeight w:val="201"/>
        </w:trPr>
        <w:tc>
          <w:tcPr>
            <w:tcW w:w="2180" w:type="dxa"/>
            <w:vAlign w:val="bottom"/>
            <w:vMerge w:val="restart"/>
          </w:tcPr>
          <w:p>
            <w:pPr>
              <w:spacing w:after="0"/>
              <w:rPr>
                <w:sz w:val="20"/>
                <w:szCs w:val="20"/>
                <w:color w:val="auto"/>
              </w:rPr>
            </w:pPr>
            <w:r>
              <w:rPr>
                <w:rFonts w:ascii="Arial" w:cs="Arial" w:eastAsia="Arial" w:hAnsi="Arial"/>
                <w:sz w:val="17"/>
                <w:szCs w:val="17"/>
                <w:b w:val="1"/>
                <w:bCs w:val="1"/>
                <w:color w:val="auto"/>
              </w:rPr>
              <w:t>Equity instruments</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31,918,694</w:t>
            </w:r>
          </w:p>
        </w:tc>
        <w:tc>
          <w:tcPr>
            <w:tcW w:w="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134,964</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(2,000,732)</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30,052,926</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34,129,924</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842,420</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(989,661)</w:t>
            </w:r>
          </w:p>
        </w:tc>
        <w:tc>
          <w:tcPr>
            <w:tcW w:w="6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33,982,683</w:t>
            </w:r>
          </w:p>
        </w:tc>
        <w:tc>
          <w:tcPr>
            <w:tcW w:w="0" w:type="dxa"/>
            <w:vAlign w:val="bottom"/>
          </w:tcPr>
          <w:p>
            <w:pPr>
              <w:spacing w:after="0"/>
              <w:rPr>
                <w:sz w:val="1"/>
                <w:szCs w:val="1"/>
                <w:color w:val="auto"/>
              </w:rPr>
            </w:pPr>
          </w:p>
        </w:tc>
      </w:tr>
      <w:tr>
        <w:trPr>
          <w:trHeight w:val="157"/>
        </w:trPr>
        <w:tc>
          <w:tcPr>
            <w:tcW w:w="21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b w:val="1"/>
                <w:bCs w:val="1"/>
                <w:color w:val="auto"/>
              </w:rPr>
              <w:t>designated at the initial</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7"/>
                <w:szCs w:val="17"/>
                <w:b w:val="1"/>
                <w:bCs w:val="1"/>
                <w:color w:val="auto"/>
              </w:rPr>
              <w:t>recognition</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2180" w:type="dxa"/>
            <w:vAlign w:val="bottom"/>
          </w:tcPr>
          <w:p>
            <w:pPr>
              <w:spacing w:after="0"/>
              <w:rPr>
                <w:sz w:val="20"/>
                <w:szCs w:val="20"/>
                <w:color w:val="auto"/>
              </w:rPr>
            </w:pPr>
            <w:r>
              <w:rPr>
                <w:rFonts w:ascii="Arial" w:cs="Arial" w:eastAsia="Arial" w:hAnsi="Arial"/>
                <w:sz w:val="17"/>
                <w:szCs w:val="17"/>
                <w:b w:val="1"/>
                <w:bCs w:val="1"/>
                <w:color w:val="auto"/>
              </w:rPr>
              <w:t>Shares issued by:</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Inversiones Centenario</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112,647</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14,158</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126,805</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112,647</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72,124</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184,771</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Alicorp S.A.A.</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12,197</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144,641</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156,838</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12,197</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125,356</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137,553</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Bolsa de Valores de Lima</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18,367</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6,632</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24,999</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19,423</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6,730</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26,153</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Bolsa de Comercio de</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Santiago</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3,995</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4,006</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8,001</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3,648</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4,108</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7,756</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Compañía Universal Textil</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S.A.</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9,597</w:t>
            </w:r>
          </w:p>
        </w:tc>
        <w:tc>
          <w:tcPr>
            <w:tcW w:w="60" w:type="dxa"/>
            <w:vAlign w:val="bottom"/>
          </w:tcPr>
          <w:p>
            <w:pPr>
              <w:spacing w:after="0"/>
              <w:rPr>
                <w:sz w:val="16"/>
                <w:szCs w:val="16"/>
                <w:color w:val="auto"/>
              </w:rPr>
            </w:pP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(3,191)</w:t>
            </w:r>
          </w:p>
        </w:tc>
        <w:tc>
          <w:tcPr>
            <w:tcW w:w="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6,406</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9,597</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(3,233)</w:t>
            </w:r>
          </w:p>
        </w:tc>
        <w:tc>
          <w:tcPr>
            <w:tcW w:w="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6,364</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Pagos Digitales Peruanos</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S.A.</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5,611</w:t>
            </w:r>
          </w:p>
        </w:tc>
        <w:tc>
          <w:tcPr>
            <w:tcW w:w="60" w:type="dxa"/>
            <w:vAlign w:val="bottom"/>
          </w:tcPr>
          <w:p>
            <w:pPr>
              <w:spacing w:after="0"/>
              <w:rPr>
                <w:sz w:val="16"/>
                <w:szCs w:val="16"/>
                <w:color w:val="auto"/>
              </w:rPr>
            </w:pP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(5,611)</w:t>
            </w:r>
          </w:p>
        </w:tc>
        <w:tc>
          <w:tcPr>
            <w:tcW w:w="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5,197</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(5,197)</w:t>
            </w:r>
          </w:p>
        </w:tc>
        <w:tc>
          <w:tcPr>
            <w:tcW w:w="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Bolsa de Valores de</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Colombia</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3,541</w:t>
            </w:r>
          </w:p>
        </w:tc>
        <w:tc>
          <w:tcPr>
            <w:tcW w:w="60" w:type="dxa"/>
            <w:vAlign w:val="bottom"/>
          </w:tcPr>
          <w:p>
            <w:pPr>
              <w:spacing w:after="0"/>
              <w:rPr>
                <w:sz w:val="16"/>
                <w:szCs w:val="16"/>
                <w:color w:val="auto"/>
              </w:rPr>
            </w:pP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(1,152)</w:t>
            </w:r>
          </w:p>
        </w:tc>
        <w:tc>
          <w:tcPr>
            <w:tcW w:w="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2,389</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4,402</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(188)</w:t>
            </w:r>
          </w:p>
        </w:tc>
        <w:tc>
          <w:tcPr>
            <w:tcW w:w="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4,214</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Corporación Andina de</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Arial" w:cs="Arial" w:eastAsia="Arial" w:hAnsi="Arial"/>
                <w:sz w:val="17"/>
                <w:szCs w:val="17"/>
                <w:color w:val="auto"/>
              </w:rPr>
              <w:t>Fomento</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4,441</w:t>
            </w:r>
          </w:p>
        </w:tc>
        <w:tc>
          <w:tcPr>
            <w:tcW w:w="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930</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5,371</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4,441</w:t>
            </w:r>
          </w:p>
        </w:tc>
        <w:tc>
          <w:tcPr>
            <w:tcW w:w="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1,176</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5,617</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20"/>
                <w:szCs w:val="20"/>
                <w:color w:val="auto"/>
              </w:rPr>
            </w:pPr>
            <w:r>
              <w:rPr>
                <w:rFonts w:ascii="Arial" w:cs="Arial" w:eastAsia="Arial" w:hAnsi="Arial"/>
                <w:sz w:val="17"/>
                <w:szCs w:val="17"/>
                <w:color w:val="auto"/>
              </w:rPr>
              <w:t>Others</w:t>
            </w:r>
          </w:p>
        </w:tc>
        <w:tc>
          <w:tcPr>
            <w:tcW w:w="980" w:type="dxa"/>
            <w:vAlign w:val="bottom"/>
          </w:tcPr>
          <w:p>
            <w:pPr>
              <w:jc w:val="right"/>
              <w:spacing w:after="0"/>
              <w:rPr>
                <w:sz w:val="20"/>
                <w:szCs w:val="20"/>
                <w:color w:val="auto"/>
              </w:rPr>
            </w:pPr>
            <w:r>
              <w:rPr>
                <w:rFonts w:ascii="Arial" w:cs="Arial" w:eastAsia="Arial" w:hAnsi="Arial"/>
                <w:sz w:val="17"/>
                <w:szCs w:val="17"/>
                <w:color w:val="auto"/>
              </w:rPr>
              <w:t>2,844</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3,392</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(690)</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5,546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3,584</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2,557</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(742)</w:t>
            </w: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5,399</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173,240</w:t>
            </w:r>
          </w:p>
        </w:tc>
        <w:tc>
          <w:tcPr>
            <w:tcW w:w="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173,759</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(10,644)</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336,355</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175,136</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212,051</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(9,360)</w:t>
            </w:r>
          </w:p>
        </w:tc>
        <w:tc>
          <w:tcPr>
            <w:tcW w:w="6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377,827</w:t>
            </w:r>
          </w:p>
        </w:tc>
        <w:tc>
          <w:tcPr>
            <w:tcW w:w="0" w:type="dxa"/>
            <w:vAlign w:val="bottom"/>
          </w:tcPr>
          <w:p>
            <w:pPr>
              <w:spacing w:after="0"/>
              <w:rPr>
                <w:sz w:val="1"/>
                <w:szCs w:val="1"/>
                <w:color w:val="auto"/>
              </w:rPr>
            </w:pPr>
          </w:p>
        </w:tc>
      </w:tr>
      <w:tr>
        <w:trPr>
          <w:trHeight w:val="180"/>
        </w:trPr>
        <w:tc>
          <w:tcPr>
            <w:tcW w:w="2180" w:type="dxa"/>
            <w:vAlign w:val="bottom"/>
            <w:vMerge w:val="restart"/>
          </w:tcPr>
          <w:p>
            <w:pPr>
              <w:spacing w:after="0"/>
              <w:rPr>
                <w:sz w:val="20"/>
                <w:szCs w:val="20"/>
                <w:color w:val="auto"/>
              </w:rPr>
            </w:pPr>
            <w:r>
              <w:rPr>
                <w:rFonts w:ascii="Arial" w:cs="Arial" w:eastAsia="Arial" w:hAnsi="Arial"/>
                <w:sz w:val="17"/>
                <w:szCs w:val="17"/>
                <w:b w:val="1"/>
                <w:bCs w:val="1"/>
                <w:color w:val="auto"/>
              </w:rPr>
              <w:t>Balance before accrued</w:t>
            </w: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1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7"/>
                <w:szCs w:val="17"/>
                <w:b w:val="1"/>
                <w:bCs w:val="1"/>
                <w:color w:val="auto"/>
              </w:rPr>
              <w:t>interest</w:t>
            </w:r>
          </w:p>
        </w:tc>
        <w:tc>
          <w:tcPr>
            <w:tcW w:w="980" w:type="dxa"/>
            <w:vAlign w:val="bottom"/>
          </w:tcPr>
          <w:p>
            <w:pPr>
              <w:jc w:val="right"/>
              <w:spacing w:after="0"/>
              <w:rPr>
                <w:sz w:val="20"/>
                <w:szCs w:val="20"/>
                <w:color w:val="auto"/>
              </w:rPr>
            </w:pPr>
            <w:r>
              <w:rPr>
                <w:rFonts w:ascii="Arial" w:cs="Arial" w:eastAsia="Arial" w:hAnsi="Arial"/>
                <w:sz w:val="17"/>
                <w:szCs w:val="17"/>
                <w:color w:val="auto"/>
              </w:rPr>
              <w:t>32,091,934</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308,723</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(2,011,376)</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30,389,281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34,305,060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1,054,471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(999,021)</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34,360,510</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20"/>
                <w:szCs w:val="20"/>
                <w:color w:val="auto"/>
              </w:rPr>
            </w:pPr>
            <w:r>
              <w:rPr>
                <w:rFonts w:ascii="Arial" w:cs="Arial" w:eastAsia="Arial" w:hAnsi="Arial"/>
                <w:sz w:val="17"/>
                <w:szCs w:val="17"/>
                <w:color w:val="auto"/>
              </w:rPr>
              <w:t>Accrued interest</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396,880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397,933</w:t>
            </w:r>
          </w:p>
        </w:tc>
        <w:tc>
          <w:tcPr>
            <w:tcW w:w="0" w:type="dxa"/>
            <w:vAlign w:val="bottom"/>
          </w:tcPr>
          <w:p>
            <w:pPr>
              <w:spacing w:after="0"/>
              <w:rPr>
                <w:sz w:val="1"/>
                <w:szCs w:val="1"/>
                <w:color w:val="auto"/>
              </w:rPr>
            </w:pPr>
          </w:p>
        </w:tc>
      </w:tr>
      <w:tr>
        <w:trPr>
          <w:trHeight w:val="193"/>
        </w:trPr>
        <w:tc>
          <w:tcPr>
            <w:tcW w:w="218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30,786,161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34,758,443</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variation in the fair value of the investments is mainly due to the increase in interest rates in soles and in foreign currency, which negatively affected the investment portfolios at fair value with changes in other comprehensive income as of December 31, 2022. Credicorp's Management has determined that the unrealized losses of investments at fair value through other comprehensive income as of December 31, 2022 and December 31, 2021 are of a temporal nature; considering factors such as the planned strategy in relation to the security or portfolio identified, the related guarantee and the credit rating of the issuers. During 2022, as a result of the evaluation of the impairment loss of investments at fair value with changes in other comprehensive income, the Group has recorded a provision for credit loss of S/58.3 million (provision for credit loss of S/6.8 million ended December 31, 2021), which is presented in the caption "Net gain in securities", see note 24 of the consolidated statement of income. Furthermore, Management has decided and has the ability to hold each of these investments for a period of time to allow an early recovery in fair value, even before their sufficient recovery or maturity.</w:t>
      </w:r>
    </w:p>
    <w:p>
      <w:pPr>
        <w:spacing w:after="0" w:line="157"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140" w:right="339" w:bottom="1440" w:gutter="0" w:footer="0" w:header="0"/>
        </w:sectPr>
      </w:pPr>
    </w:p>
    <w:bookmarkStart w:id="69" w:name="page70"/>
    <w:bookmarkEnd w:id="69"/>
    <w:p>
      <w:pPr>
        <w:jc w:val="both"/>
        <w:ind w:right="100"/>
        <w:spacing w:after="0" w:line="253" w:lineRule="auto"/>
        <w:rPr>
          <w:sz w:val="20"/>
          <w:szCs w:val="20"/>
          <w:color w:val="auto"/>
        </w:rPr>
      </w:pPr>
      <w:r>
        <w:rPr>
          <w:rFonts w:ascii="Arial" w:cs="Arial" w:eastAsia="Arial" w:hAnsi="Arial"/>
          <w:sz w:val="17"/>
          <w:szCs w:val="17"/>
          <w:color w:val="auto"/>
        </w:rPr>
        <w:t>The maturities and annual market rates of investments at fair value through other comprehensive income during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60" w:type="dxa"/>
            <w:vAlign w:val="bottom"/>
          </w:tcPr>
          <w:p>
            <w:pPr>
              <w:spacing w:after="0"/>
              <w:rPr>
                <w:sz w:val="14"/>
                <w:szCs w:val="1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Maturities</w:t>
            </w: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Annual effective interest rate</w:t>
            </w: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8"/>
        </w:trPr>
        <w:tc>
          <w:tcPr>
            <w:tcW w:w="21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21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S/</w:t>
            </w: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US$</w:t>
            </w:r>
          </w:p>
        </w:tc>
        <w:tc>
          <w:tcPr>
            <w:tcW w:w="5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Other currencies</w:t>
            </w:r>
          </w:p>
        </w:tc>
        <w:tc>
          <w:tcPr>
            <w:tcW w:w="40" w:type="dxa"/>
            <w:vAlign w:val="bottom"/>
          </w:tcPr>
          <w:p>
            <w:pPr>
              <w:spacing w:after="0"/>
              <w:rPr>
                <w:sz w:val="12"/>
                <w:szCs w:val="12"/>
                <w:color w:val="auto"/>
              </w:rPr>
            </w:pPr>
          </w:p>
        </w:tc>
        <w:tc>
          <w:tcPr>
            <w:tcW w:w="3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S/</w:t>
            </w: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Other currencies</w:t>
            </w:r>
          </w:p>
        </w:tc>
      </w:tr>
      <w:tr>
        <w:trPr>
          <w:trHeight w:val="137"/>
        </w:trPr>
        <w:tc>
          <w:tcPr>
            <w:tcW w:w="2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Min</w:t>
            </w:r>
          </w:p>
        </w:tc>
        <w:tc>
          <w:tcPr>
            <w:tcW w:w="440" w:type="dxa"/>
            <w:vAlign w:val="bottom"/>
            <w:tcBorders>
              <w:top w:val="single" w:sz="8" w:color="auto"/>
            </w:tcBorders>
          </w:tcPr>
          <w:p>
            <w:pPr>
              <w:jc w:val="right"/>
              <w:ind w:right="71"/>
              <w:spacing w:after="0" w:line="137" w:lineRule="exact"/>
              <w:rPr>
                <w:sz w:val="20"/>
                <w:szCs w:val="20"/>
                <w:color w:val="auto"/>
              </w:rPr>
            </w:pPr>
            <w:r>
              <w:rPr>
                <w:rFonts w:ascii="Arial" w:cs="Arial" w:eastAsia="Arial" w:hAnsi="Arial"/>
                <w:sz w:val="14"/>
                <w:szCs w:val="14"/>
                <w:b w:val="1"/>
                <w:bCs w:val="1"/>
                <w:color w:val="auto"/>
              </w:rPr>
              <w:t>Max</w:t>
            </w:r>
          </w:p>
        </w:tc>
        <w:tc>
          <w:tcPr>
            <w:tcW w:w="40" w:type="dxa"/>
            <w:vAlign w:val="bottom"/>
          </w:tcPr>
          <w:p>
            <w:pPr>
              <w:spacing w:after="0"/>
              <w:rPr>
                <w:sz w:val="11"/>
                <w:szCs w:val="11"/>
                <w:color w:val="auto"/>
              </w:rPr>
            </w:pPr>
          </w:p>
        </w:tc>
        <w:tc>
          <w:tcPr>
            <w:tcW w:w="34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Min</w:t>
            </w:r>
          </w:p>
        </w:tc>
        <w:tc>
          <w:tcPr>
            <w:tcW w:w="540" w:type="dxa"/>
            <w:vAlign w:val="bottom"/>
            <w:tcBorders>
              <w:top w:val="single" w:sz="8" w:color="auto"/>
            </w:tcBorders>
          </w:tcPr>
          <w:p>
            <w:pPr>
              <w:jc w:val="right"/>
              <w:ind w:right="151"/>
              <w:spacing w:after="0" w:line="137" w:lineRule="exact"/>
              <w:rPr>
                <w:sz w:val="20"/>
                <w:szCs w:val="20"/>
                <w:color w:val="auto"/>
              </w:rPr>
            </w:pPr>
            <w:r>
              <w:rPr>
                <w:rFonts w:ascii="Arial" w:cs="Arial" w:eastAsia="Arial" w:hAnsi="Arial"/>
                <w:sz w:val="14"/>
                <w:szCs w:val="14"/>
                <w:b w:val="1"/>
                <w:bCs w:val="1"/>
                <w:color w:val="auto"/>
              </w:rPr>
              <w:t>Max</w:t>
            </w: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Min</w:t>
            </w:r>
          </w:p>
        </w:tc>
        <w:tc>
          <w:tcPr>
            <w:tcW w:w="680" w:type="dxa"/>
            <w:vAlign w:val="bottom"/>
            <w:tcBorders>
              <w:top w:val="single" w:sz="8" w:color="auto"/>
            </w:tcBorders>
          </w:tcPr>
          <w:p>
            <w:pPr>
              <w:ind w:left="100"/>
              <w:spacing w:after="0" w:line="137" w:lineRule="exact"/>
              <w:rPr>
                <w:sz w:val="20"/>
                <w:szCs w:val="20"/>
                <w:color w:val="auto"/>
              </w:rPr>
            </w:pPr>
            <w:r>
              <w:rPr>
                <w:rFonts w:ascii="Arial" w:cs="Arial" w:eastAsia="Arial" w:hAnsi="Arial"/>
                <w:sz w:val="14"/>
                <w:szCs w:val="14"/>
                <w:b w:val="1"/>
                <w:bCs w:val="1"/>
                <w:color w:val="auto"/>
              </w:rPr>
              <w:t>Max</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Min</w:t>
            </w:r>
          </w:p>
        </w:tc>
        <w:tc>
          <w:tcPr>
            <w:tcW w:w="460" w:type="dxa"/>
            <w:vAlign w:val="bottom"/>
            <w:tcBorders>
              <w:top w:val="single" w:sz="8" w:color="auto"/>
            </w:tcBorders>
          </w:tcPr>
          <w:p>
            <w:pPr>
              <w:jc w:val="right"/>
              <w:ind w:right="91"/>
              <w:spacing w:after="0" w:line="137" w:lineRule="exact"/>
              <w:rPr>
                <w:sz w:val="20"/>
                <w:szCs w:val="20"/>
                <w:color w:val="auto"/>
              </w:rPr>
            </w:pPr>
            <w:r>
              <w:rPr>
                <w:rFonts w:ascii="Arial" w:cs="Arial" w:eastAsia="Arial" w:hAnsi="Arial"/>
                <w:sz w:val="14"/>
                <w:szCs w:val="14"/>
                <w:b w:val="1"/>
                <w:bCs w:val="1"/>
                <w:color w:val="auto"/>
              </w:rPr>
              <w:t>Max</w:t>
            </w:r>
          </w:p>
        </w:tc>
        <w:tc>
          <w:tcPr>
            <w:tcW w:w="40" w:type="dxa"/>
            <w:vAlign w:val="bottom"/>
          </w:tcPr>
          <w:p>
            <w:pPr>
              <w:spacing w:after="0"/>
              <w:rPr>
                <w:sz w:val="11"/>
                <w:szCs w:val="11"/>
                <w:color w:val="auto"/>
              </w:rPr>
            </w:pPr>
          </w:p>
        </w:tc>
        <w:tc>
          <w:tcPr>
            <w:tcW w:w="3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Min</w:t>
            </w:r>
          </w:p>
        </w:tc>
        <w:tc>
          <w:tcPr>
            <w:tcW w:w="460" w:type="dxa"/>
            <w:vAlign w:val="bottom"/>
            <w:tcBorders>
              <w:top w:val="single" w:sz="8" w:color="auto"/>
            </w:tcBorders>
          </w:tcPr>
          <w:p>
            <w:pPr>
              <w:jc w:val="right"/>
              <w:ind w:right="71"/>
              <w:spacing w:after="0" w:line="137" w:lineRule="exact"/>
              <w:rPr>
                <w:sz w:val="20"/>
                <w:szCs w:val="20"/>
                <w:color w:val="auto"/>
              </w:rPr>
            </w:pPr>
            <w:r>
              <w:rPr>
                <w:rFonts w:ascii="Arial" w:cs="Arial" w:eastAsia="Arial" w:hAnsi="Arial"/>
                <w:sz w:val="14"/>
                <w:szCs w:val="14"/>
                <w:b w:val="1"/>
                <w:bCs w:val="1"/>
                <w:color w:val="auto"/>
              </w:rPr>
              <w:t>Max</w:t>
            </w:r>
          </w:p>
        </w:tc>
        <w:tc>
          <w:tcPr>
            <w:tcW w:w="40" w:type="dxa"/>
            <w:vAlign w:val="bottom"/>
          </w:tcPr>
          <w:p>
            <w:pPr>
              <w:spacing w:after="0"/>
              <w:rPr>
                <w:sz w:val="11"/>
                <w:szCs w:val="11"/>
                <w:color w:val="auto"/>
              </w:rPr>
            </w:pPr>
          </w:p>
        </w:tc>
        <w:tc>
          <w:tcPr>
            <w:tcW w:w="5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Min</w:t>
            </w:r>
          </w:p>
        </w:tc>
        <w:tc>
          <w:tcPr>
            <w:tcW w:w="600" w:type="dxa"/>
            <w:vAlign w:val="bottom"/>
            <w:tcBorders>
              <w:top w:val="single" w:sz="8" w:color="auto"/>
            </w:tcBorders>
          </w:tcPr>
          <w:p>
            <w:pPr>
              <w:ind w:left="100"/>
              <w:spacing w:after="0" w:line="137" w:lineRule="exact"/>
              <w:rPr>
                <w:sz w:val="20"/>
                <w:szCs w:val="20"/>
                <w:color w:val="auto"/>
              </w:rPr>
            </w:pPr>
            <w:r>
              <w:rPr>
                <w:rFonts w:ascii="Arial" w:cs="Arial" w:eastAsia="Arial" w:hAnsi="Arial"/>
                <w:sz w:val="14"/>
                <w:szCs w:val="14"/>
                <w:b w:val="1"/>
                <w:bCs w:val="1"/>
                <w:color w:val="auto"/>
              </w:rPr>
              <w:t>Max</w:t>
            </w:r>
          </w:p>
        </w:tc>
      </w:tr>
      <w:tr>
        <w:trPr>
          <w:trHeight w:val="181"/>
        </w:trPr>
        <w:tc>
          <w:tcPr>
            <w:tcW w:w="2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40" w:type="dxa"/>
            <w:vAlign w:val="bottom"/>
            <w:gridSpan w:val="7"/>
          </w:tcPr>
          <w:p>
            <w:pPr>
              <w:ind w:left="40"/>
              <w:spacing w:after="0"/>
              <w:rPr>
                <w:sz w:val="20"/>
                <w:szCs w:val="20"/>
                <w:color w:val="auto"/>
              </w:rPr>
            </w:pPr>
            <w:r>
              <w:rPr>
                <w:rFonts w:ascii="Arial" w:cs="Arial" w:eastAsia="Arial" w:hAnsi="Arial"/>
                <w:sz w:val="14"/>
                <w:szCs w:val="14"/>
                <w:b w:val="1"/>
                <w:bCs w:val="1"/>
                <w:color w:val="auto"/>
              </w:rPr>
              <w:t>%    %%    %</w:t>
            </w: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2260" w:type="dxa"/>
            <w:vAlign w:val="bottom"/>
            <w:gridSpan w:val="9"/>
          </w:tcPr>
          <w:p>
            <w:pPr>
              <w:ind w:left="40"/>
              <w:spacing w:after="0"/>
              <w:rPr>
                <w:sz w:val="20"/>
                <w:szCs w:val="20"/>
                <w:color w:val="auto"/>
              </w:rPr>
            </w:pPr>
            <w:r>
              <w:rPr>
                <w:rFonts w:ascii="Arial" w:cs="Arial" w:eastAsia="Arial" w:hAnsi="Arial"/>
                <w:sz w:val="14"/>
                <w:szCs w:val="14"/>
                <w:b w:val="1"/>
                <w:bCs w:val="1"/>
                <w:color w:val="auto"/>
                <w:w w:val="96"/>
              </w:rPr>
              <w:t>%    %%    %%</w:t>
            </w: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w:t>
            </w:r>
          </w:p>
        </w:tc>
      </w:tr>
      <w:tr>
        <w:trPr>
          <w:trHeight w:val="301"/>
        </w:trPr>
        <w:tc>
          <w:tcPr>
            <w:tcW w:w="2160" w:type="dxa"/>
            <w:vAlign w:val="bottom"/>
          </w:tcPr>
          <w:p>
            <w:pPr>
              <w:spacing w:after="0"/>
              <w:rPr>
                <w:sz w:val="20"/>
                <w:szCs w:val="20"/>
                <w:color w:val="auto"/>
              </w:rPr>
            </w:pPr>
            <w:r>
              <w:rPr>
                <w:rFonts w:ascii="Arial" w:cs="Arial" w:eastAsia="Arial" w:hAnsi="Arial"/>
                <w:sz w:val="14"/>
                <w:szCs w:val="14"/>
                <w:color w:val="auto"/>
              </w:rPr>
              <w:t>Corporate bonds</w:t>
            </w:r>
          </w:p>
        </w:tc>
        <w:tc>
          <w:tcPr>
            <w:tcW w:w="1380" w:type="dxa"/>
            <w:vAlign w:val="bottom"/>
          </w:tcPr>
          <w:p>
            <w:pPr>
              <w:ind w:left="20"/>
              <w:spacing w:after="0"/>
              <w:rPr>
                <w:sz w:val="20"/>
                <w:szCs w:val="20"/>
                <w:color w:val="auto"/>
              </w:rPr>
            </w:pPr>
            <w:r>
              <w:rPr>
                <w:rFonts w:ascii="Arial" w:cs="Arial" w:eastAsia="Arial" w:hAnsi="Arial"/>
                <w:sz w:val="14"/>
                <w:szCs w:val="14"/>
                <w:color w:val="auto"/>
              </w:rPr>
              <w:t>Jan-2023 / Nov-2095</w:t>
            </w:r>
          </w:p>
        </w:tc>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Jan-2022 / Nov-2095</w:t>
            </w:r>
          </w:p>
        </w:tc>
        <w:tc>
          <w:tcPr>
            <w:tcW w:w="380" w:type="dxa"/>
            <w:vAlign w:val="bottom"/>
            <w:gridSpan w:val="3"/>
          </w:tcPr>
          <w:p>
            <w:pPr>
              <w:ind w:left="40"/>
              <w:spacing w:after="0"/>
              <w:rPr>
                <w:sz w:val="20"/>
                <w:szCs w:val="20"/>
                <w:color w:val="auto"/>
              </w:rPr>
            </w:pPr>
            <w:r>
              <w:rPr>
                <w:rFonts w:ascii="Arial" w:cs="Arial" w:eastAsia="Arial" w:hAnsi="Arial"/>
                <w:sz w:val="14"/>
                <w:szCs w:val="14"/>
                <w:color w:val="auto"/>
              </w:rPr>
              <w:t>4.10</w:t>
            </w:r>
          </w:p>
        </w:tc>
        <w:tc>
          <w:tcPr>
            <w:tcW w:w="440" w:type="dxa"/>
            <w:vAlign w:val="bottom"/>
          </w:tcPr>
          <w:p>
            <w:pPr>
              <w:jc w:val="right"/>
              <w:spacing w:after="0"/>
              <w:rPr>
                <w:sz w:val="20"/>
                <w:szCs w:val="20"/>
                <w:color w:val="auto"/>
              </w:rPr>
            </w:pPr>
            <w:r>
              <w:rPr>
                <w:rFonts w:ascii="Arial" w:cs="Arial" w:eastAsia="Arial" w:hAnsi="Arial"/>
                <w:sz w:val="14"/>
                <w:szCs w:val="14"/>
                <w:color w:val="auto"/>
              </w:rPr>
              <w:t>13.45</w:t>
            </w:r>
          </w:p>
        </w:tc>
        <w:tc>
          <w:tcPr>
            <w:tcW w:w="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5"/>
              </w:rPr>
              <w:t>0.29</w:t>
            </w:r>
          </w:p>
        </w:tc>
        <w:tc>
          <w:tcPr>
            <w:tcW w:w="540" w:type="dxa"/>
            <w:vAlign w:val="bottom"/>
          </w:tcPr>
          <w:p>
            <w:pPr>
              <w:jc w:val="right"/>
              <w:spacing w:after="0"/>
              <w:rPr>
                <w:sz w:val="20"/>
                <w:szCs w:val="20"/>
                <w:color w:val="auto"/>
              </w:rPr>
            </w:pPr>
            <w:r>
              <w:rPr>
                <w:rFonts w:ascii="Arial" w:cs="Arial" w:eastAsia="Arial" w:hAnsi="Arial"/>
                <w:sz w:val="14"/>
                <w:szCs w:val="14"/>
                <w:color w:val="auto"/>
              </w:rPr>
              <w:t>157.05</w:t>
            </w:r>
          </w:p>
        </w:tc>
        <w:tc>
          <w:tcPr>
            <w:tcW w:w="500" w:type="dxa"/>
            <w:vAlign w:val="bottom"/>
            <w:gridSpan w:val="2"/>
          </w:tcPr>
          <w:p>
            <w:pPr>
              <w:jc w:val="right"/>
              <w:ind w:right="31"/>
              <w:spacing w:after="0"/>
              <w:rPr>
                <w:sz w:val="20"/>
                <w:szCs w:val="20"/>
                <w:color w:val="auto"/>
              </w:rPr>
            </w:pPr>
            <w:r>
              <w:rPr>
                <w:rFonts w:ascii="Arial" w:cs="Arial" w:eastAsia="Arial" w:hAnsi="Arial"/>
                <w:sz w:val="14"/>
                <w:szCs w:val="14"/>
                <w:color w:val="auto"/>
              </w:rPr>
              <w:t>2.60</w:t>
            </w:r>
          </w:p>
        </w:tc>
        <w:tc>
          <w:tcPr>
            <w:tcW w:w="680" w:type="dxa"/>
            <w:vAlign w:val="bottom"/>
          </w:tcPr>
          <w:p>
            <w:pPr>
              <w:jc w:val="right"/>
              <w:spacing w:after="0"/>
              <w:rPr>
                <w:sz w:val="20"/>
                <w:szCs w:val="20"/>
                <w:color w:val="auto"/>
              </w:rPr>
            </w:pPr>
            <w:r>
              <w:rPr>
                <w:rFonts w:ascii="Arial" w:cs="Arial" w:eastAsia="Arial" w:hAnsi="Arial"/>
                <w:sz w:val="14"/>
                <w:szCs w:val="14"/>
                <w:color w:val="auto"/>
              </w:rPr>
              <w:t>14.89</w:t>
            </w:r>
          </w:p>
        </w:tc>
        <w:tc>
          <w:tcPr>
            <w:tcW w:w="380" w:type="dxa"/>
            <w:vAlign w:val="bottom"/>
            <w:gridSpan w:val="3"/>
          </w:tcPr>
          <w:p>
            <w:pPr>
              <w:ind w:left="60"/>
              <w:spacing w:after="0"/>
              <w:rPr>
                <w:sz w:val="20"/>
                <w:szCs w:val="20"/>
                <w:color w:val="auto"/>
              </w:rPr>
            </w:pPr>
            <w:r>
              <w:rPr>
                <w:rFonts w:ascii="Arial" w:cs="Arial" w:eastAsia="Arial" w:hAnsi="Arial"/>
                <w:sz w:val="14"/>
                <w:szCs w:val="14"/>
                <w:color w:val="auto"/>
              </w:rPr>
              <w:t>1.64</w:t>
            </w:r>
          </w:p>
        </w:tc>
        <w:tc>
          <w:tcPr>
            <w:tcW w:w="460" w:type="dxa"/>
            <w:vAlign w:val="bottom"/>
          </w:tcPr>
          <w:p>
            <w:pPr>
              <w:jc w:val="right"/>
              <w:spacing w:after="0"/>
              <w:rPr>
                <w:sz w:val="20"/>
                <w:szCs w:val="20"/>
                <w:color w:val="auto"/>
              </w:rPr>
            </w:pPr>
            <w:r>
              <w:rPr>
                <w:rFonts w:ascii="Arial" w:cs="Arial" w:eastAsia="Arial" w:hAnsi="Arial"/>
                <w:sz w:val="14"/>
                <w:szCs w:val="14"/>
                <w:color w:val="auto"/>
              </w:rPr>
              <w:t>19.28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67.59</w:t>
            </w:r>
          </w:p>
        </w:tc>
        <w:tc>
          <w:tcPr>
            <w:tcW w:w="40" w:type="dxa"/>
            <w:vAlign w:val="bottom"/>
          </w:tcPr>
          <w:p>
            <w:pPr>
              <w:spacing w:after="0"/>
              <w:rPr>
                <w:sz w:val="24"/>
                <w:szCs w:val="24"/>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1.35</w:t>
            </w:r>
          </w:p>
        </w:tc>
        <w:tc>
          <w:tcPr>
            <w:tcW w:w="600" w:type="dxa"/>
            <w:vAlign w:val="bottom"/>
          </w:tcPr>
          <w:p>
            <w:pPr>
              <w:jc w:val="right"/>
              <w:spacing w:after="0"/>
              <w:rPr>
                <w:sz w:val="20"/>
                <w:szCs w:val="20"/>
                <w:color w:val="auto"/>
              </w:rPr>
            </w:pPr>
            <w:r>
              <w:rPr>
                <w:rFonts w:ascii="Arial" w:cs="Arial" w:eastAsia="Arial" w:hAnsi="Arial"/>
                <w:sz w:val="14"/>
                <w:szCs w:val="14"/>
                <w:color w:val="auto"/>
              </w:rPr>
              <w:t>7.86</w:t>
            </w:r>
          </w:p>
        </w:tc>
      </w:tr>
      <w:tr>
        <w:trPr>
          <w:trHeight w:val="155"/>
        </w:trPr>
        <w:tc>
          <w:tcPr>
            <w:tcW w:w="2160" w:type="dxa"/>
            <w:vAlign w:val="bottom"/>
          </w:tcPr>
          <w:p>
            <w:pPr>
              <w:spacing w:after="0" w:line="155" w:lineRule="exact"/>
              <w:rPr>
                <w:sz w:val="20"/>
                <w:szCs w:val="20"/>
                <w:color w:val="auto"/>
              </w:rPr>
            </w:pPr>
            <w:r>
              <w:rPr>
                <w:rFonts w:ascii="Arial" w:cs="Arial" w:eastAsia="Arial" w:hAnsi="Arial"/>
                <w:sz w:val="14"/>
                <w:szCs w:val="14"/>
                <w:color w:val="auto"/>
              </w:rPr>
              <w:t>Government treasury bonds</w:t>
            </w:r>
          </w:p>
        </w:tc>
        <w:tc>
          <w:tcPr>
            <w:tcW w:w="1380" w:type="dxa"/>
            <w:vAlign w:val="bottom"/>
          </w:tcPr>
          <w:p>
            <w:pPr>
              <w:ind w:left="20"/>
              <w:spacing w:after="0" w:line="155" w:lineRule="exact"/>
              <w:rPr>
                <w:sz w:val="20"/>
                <w:szCs w:val="20"/>
                <w:color w:val="auto"/>
              </w:rPr>
            </w:pPr>
            <w:r>
              <w:rPr>
                <w:rFonts w:ascii="Arial" w:cs="Arial" w:eastAsia="Arial" w:hAnsi="Arial"/>
                <w:sz w:val="14"/>
                <w:szCs w:val="14"/>
                <w:color w:val="auto"/>
              </w:rPr>
              <w:t>Jan-2023 / Feb-2055</w:t>
            </w:r>
          </w:p>
        </w:tc>
        <w:tc>
          <w:tcPr>
            <w:tcW w:w="40" w:type="dxa"/>
            <w:vAlign w:val="bottom"/>
          </w:tcPr>
          <w:p>
            <w:pPr>
              <w:spacing w:after="0"/>
              <w:rPr>
                <w:sz w:val="13"/>
                <w:szCs w:val="13"/>
                <w:color w:val="auto"/>
              </w:rPr>
            </w:pPr>
          </w:p>
        </w:tc>
        <w:tc>
          <w:tcPr>
            <w:tcW w:w="1360" w:type="dxa"/>
            <w:vAlign w:val="bottom"/>
          </w:tcPr>
          <w:p>
            <w:pPr>
              <w:spacing w:after="0" w:line="155" w:lineRule="exact"/>
              <w:rPr>
                <w:sz w:val="20"/>
                <w:szCs w:val="20"/>
                <w:color w:val="auto"/>
              </w:rPr>
            </w:pPr>
            <w:r>
              <w:rPr>
                <w:rFonts w:ascii="Arial" w:cs="Arial" w:eastAsia="Arial" w:hAnsi="Arial"/>
                <w:sz w:val="14"/>
                <w:szCs w:val="14"/>
                <w:color w:val="auto"/>
              </w:rPr>
              <w:t>Jan-2022 / Feb-2055</w:t>
            </w:r>
          </w:p>
        </w:tc>
        <w:tc>
          <w:tcPr>
            <w:tcW w:w="38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1.87</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8.13</w:t>
            </w:r>
          </w:p>
        </w:tc>
        <w:tc>
          <w:tcPr>
            <w:tcW w:w="4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8.19</w:t>
            </w:r>
          </w:p>
        </w:tc>
        <w:tc>
          <w:tcPr>
            <w:tcW w:w="5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1.79</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6.91</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4.61</w:t>
            </w:r>
          </w:p>
        </w:tc>
        <w:tc>
          <w:tcPr>
            <w:tcW w:w="40" w:type="dxa"/>
            <w:vAlign w:val="bottom"/>
          </w:tcPr>
          <w:p>
            <w:pPr>
              <w:spacing w:after="0"/>
              <w:rPr>
                <w:sz w:val="13"/>
                <w:szCs w:val="13"/>
                <w:color w:val="auto"/>
              </w:rPr>
            </w:pPr>
          </w:p>
        </w:tc>
        <w:tc>
          <w:tcPr>
            <w:tcW w:w="5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4.00</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5.16</w:t>
            </w:r>
          </w:p>
        </w:tc>
      </w:tr>
      <w:tr>
        <w:trPr>
          <w:trHeight w:val="155"/>
        </w:trPr>
        <w:tc>
          <w:tcPr>
            <w:tcW w:w="2160" w:type="dxa"/>
            <w:vAlign w:val="bottom"/>
          </w:tcPr>
          <w:p>
            <w:pPr>
              <w:spacing w:after="0" w:line="155" w:lineRule="exact"/>
              <w:rPr>
                <w:sz w:val="20"/>
                <w:szCs w:val="20"/>
                <w:color w:val="auto"/>
              </w:rPr>
            </w:pPr>
            <w:r>
              <w:rPr>
                <w:rFonts w:ascii="Arial" w:cs="Arial" w:eastAsia="Arial" w:hAnsi="Arial"/>
                <w:sz w:val="14"/>
                <w:szCs w:val="14"/>
                <w:color w:val="auto"/>
              </w:rPr>
              <w:t>Certificates of deposit BCRP</w:t>
            </w:r>
          </w:p>
        </w:tc>
        <w:tc>
          <w:tcPr>
            <w:tcW w:w="1380" w:type="dxa"/>
            <w:vAlign w:val="bottom"/>
          </w:tcPr>
          <w:p>
            <w:pPr>
              <w:ind w:left="20"/>
              <w:spacing w:after="0" w:line="155" w:lineRule="exact"/>
              <w:rPr>
                <w:sz w:val="20"/>
                <w:szCs w:val="20"/>
                <w:color w:val="auto"/>
              </w:rPr>
            </w:pPr>
            <w:r>
              <w:rPr>
                <w:rFonts w:ascii="Arial" w:cs="Arial" w:eastAsia="Arial" w:hAnsi="Arial"/>
                <w:sz w:val="14"/>
                <w:szCs w:val="14"/>
                <w:color w:val="auto"/>
              </w:rPr>
              <w:t>Jan-2023 / Sep-2023</w:t>
            </w:r>
          </w:p>
        </w:tc>
        <w:tc>
          <w:tcPr>
            <w:tcW w:w="40" w:type="dxa"/>
            <w:vAlign w:val="bottom"/>
          </w:tcPr>
          <w:p>
            <w:pPr>
              <w:spacing w:after="0"/>
              <w:rPr>
                <w:sz w:val="13"/>
                <w:szCs w:val="13"/>
                <w:color w:val="auto"/>
              </w:rPr>
            </w:pPr>
          </w:p>
        </w:tc>
        <w:tc>
          <w:tcPr>
            <w:tcW w:w="1360" w:type="dxa"/>
            <w:vAlign w:val="bottom"/>
          </w:tcPr>
          <w:p>
            <w:pPr>
              <w:spacing w:after="0" w:line="155" w:lineRule="exact"/>
              <w:rPr>
                <w:sz w:val="20"/>
                <w:szCs w:val="20"/>
                <w:color w:val="auto"/>
              </w:rPr>
            </w:pPr>
            <w:r>
              <w:rPr>
                <w:rFonts w:ascii="Arial" w:cs="Arial" w:eastAsia="Arial" w:hAnsi="Arial"/>
                <w:sz w:val="14"/>
                <w:szCs w:val="14"/>
                <w:color w:val="auto"/>
              </w:rPr>
              <w:t>Jan-2022 / Mar-2023</w:t>
            </w:r>
          </w:p>
        </w:tc>
        <w:tc>
          <w:tcPr>
            <w:tcW w:w="38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7.13</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7.48</w:t>
            </w:r>
          </w:p>
        </w:tc>
        <w:tc>
          <w:tcPr>
            <w:tcW w:w="4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2.52</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3.40</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2160" w:type="dxa"/>
            <w:vAlign w:val="bottom"/>
          </w:tcPr>
          <w:p>
            <w:pPr>
              <w:spacing w:after="0" w:line="155" w:lineRule="exact"/>
              <w:rPr>
                <w:sz w:val="20"/>
                <w:szCs w:val="20"/>
                <w:color w:val="auto"/>
              </w:rPr>
            </w:pPr>
            <w:r>
              <w:rPr>
                <w:rFonts w:ascii="Arial" w:cs="Arial" w:eastAsia="Arial" w:hAnsi="Arial"/>
                <w:sz w:val="14"/>
                <w:szCs w:val="14"/>
                <w:color w:val="auto"/>
              </w:rPr>
              <w:t>Negotiable certificates of deposits</w:t>
            </w:r>
          </w:p>
        </w:tc>
        <w:tc>
          <w:tcPr>
            <w:tcW w:w="1380" w:type="dxa"/>
            <w:vAlign w:val="bottom"/>
          </w:tcPr>
          <w:p>
            <w:pPr>
              <w:ind w:left="60"/>
              <w:spacing w:after="0" w:line="155" w:lineRule="exact"/>
              <w:rPr>
                <w:sz w:val="20"/>
                <w:szCs w:val="20"/>
                <w:color w:val="auto"/>
              </w:rPr>
            </w:pPr>
            <w:r>
              <w:rPr>
                <w:rFonts w:ascii="Arial" w:cs="Arial" w:eastAsia="Arial" w:hAnsi="Arial"/>
                <w:sz w:val="14"/>
                <w:szCs w:val="14"/>
                <w:color w:val="auto"/>
              </w:rPr>
              <w:t>Jan-2023 / Jul-2033</w:t>
            </w:r>
          </w:p>
        </w:tc>
        <w:tc>
          <w:tcPr>
            <w:tcW w:w="40" w:type="dxa"/>
            <w:vAlign w:val="bottom"/>
          </w:tcPr>
          <w:p>
            <w:pPr>
              <w:spacing w:after="0"/>
              <w:rPr>
                <w:sz w:val="13"/>
                <w:szCs w:val="13"/>
                <w:color w:val="auto"/>
              </w:rPr>
            </w:pPr>
          </w:p>
        </w:tc>
        <w:tc>
          <w:tcPr>
            <w:tcW w:w="1360" w:type="dxa"/>
            <w:vAlign w:val="bottom"/>
          </w:tcPr>
          <w:p>
            <w:pPr>
              <w:ind w:left="40"/>
              <w:spacing w:after="0" w:line="155" w:lineRule="exact"/>
              <w:rPr>
                <w:sz w:val="20"/>
                <w:szCs w:val="20"/>
                <w:color w:val="auto"/>
              </w:rPr>
            </w:pPr>
            <w:r>
              <w:rPr>
                <w:rFonts w:ascii="Arial" w:cs="Arial" w:eastAsia="Arial" w:hAnsi="Arial"/>
                <w:sz w:val="14"/>
                <w:szCs w:val="14"/>
                <w:color w:val="auto"/>
              </w:rPr>
              <w:t>Jan-2022 / Jul-2033</w:t>
            </w:r>
          </w:p>
        </w:tc>
        <w:tc>
          <w:tcPr>
            <w:tcW w:w="38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8.76</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8.76</w:t>
            </w:r>
          </w:p>
        </w:tc>
        <w:tc>
          <w:tcPr>
            <w:tcW w:w="4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5"/>
              </w:rPr>
              <w:t>2.48</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4.80</w:t>
            </w:r>
          </w:p>
        </w:tc>
        <w:tc>
          <w:tcPr>
            <w:tcW w:w="5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1.00</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13.50</w:t>
            </w:r>
          </w:p>
        </w:tc>
        <w:tc>
          <w:tcPr>
            <w:tcW w:w="3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3.88</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3.88</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2.48</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2.68</w:t>
            </w:r>
          </w:p>
        </w:tc>
        <w:tc>
          <w:tcPr>
            <w:tcW w:w="40" w:type="dxa"/>
            <w:vAlign w:val="bottom"/>
          </w:tcPr>
          <w:p>
            <w:pPr>
              <w:spacing w:after="0"/>
              <w:rPr>
                <w:sz w:val="13"/>
                <w:szCs w:val="13"/>
                <w:color w:val="auto"/>
              </w:rPr>
            </w:pPr>
          </w:p>
        </w:tc>
        <w:tc>
          <w:tcPr>
            <w:tcW w:w="5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1.00</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6.02</w:t>
            </w:r>
          </w:p>
        </w:tc>
      </w:tr>
      <w:tr>
        <w:trPr>
          <w:trHeight w:val="155"/>
        </w:trPr>
        <w:tc>
          <w:tcPr>
            <w:tcW w:w="2160" w:type="dxa"/>
            <w:vAlign w:val="bottom"/>
          </w:tcPr>
          <w:p>
            <w:pPr>
              <w:spacing w:after="0" w:line="155" w:lineRule="exact"/>
              <w:rPr>
                <w:sz w:val="20"/>
                <w:szCs w:val="20"/>
                <w:color w:val="auto"/>
              </w:rPr>
            </w:pPr>
            <w:r>
              <w:rPr>
                <w:rFonts w:ascii="Arial" w:cs="Arial" w:eastAsia="Arial" w:hAnsi="Arial"/>
                <w:sz w:val="14"/>
                <w:szCs w:val="14"/>
                <w:color w:val="auto"/>
              </w:rPr>
              <w:t>Securitization instruments</w:t>
            </w:r>
          </w:p>
        </w:tc>
        <w:tc>
          <w:tcPr>
            <w:tcW w:w="1380" w:type="dxa"/>
            <w:vAlign w:val="bottom"/>
          </w:tcPr>
          <w:p>
            <w:pPr>
              <w:spacing w:after="0" w:line="155" w:lineRule="exact"/>
              <w:rPr>
                <w:sz w:val="20"/>
                <w:szCs w:val="20"/>
                <w:color w:val="auto"/>
              </w:rPr>
            </w:pPr>
            <w:r>
              <w:rPr>
                <w:rFonts w:ascii="Arial" w:cs="Arial" w:eastAsia="Arial" w:hAnsi="Arial"/>
                <w:sz w:val="14"/>
                <w:szCs w:val="14"/>
                <w:color w:val="auto"/>
              </w:rPr>
              <w:t>Aug-2023 / Sep-2045</w:t>
            </w:r>
          </w:p>
        </w:tc>
        <w:tc>
          <w:tcPr>
            <w:tcW w:w="40" w:type="dxa"/>
            <w:vAlign w:val="bottom"/>
          </w:tcPr>
          <w:p>
            <w:pPr>
              <w:spacing w:after="0"/>
              <w:rPr>
                <w:sz w:val="13"/>
                <w:szCs w:val="13"/>
                <w:color w:val="auto"/>
              </w:rPr>
            </w:pPr>
          </w:p>
        </w:tc>
        <w:tc>
          <w:tcPr>
            <w:tcW w:w="1360" w:type="dxa"/>
            <w:vAlign w:val="bottom"/>
          </w:tcPr>
          <w:p>
            <w:pPr>
              <w:spacing w:after="0" w:line="155" w:lineRule="exact"/>
              <w:rPr>
                <w:sz w:val="20"/>
                <w:szCs w:val="20"/>
                <w:color w:val="auto"/>
              </w:rPr>
            </w:pPr>
            <w:r>
              <w:rPr>
                <w:rFonts w:ascii="Arial" w:cs="Arial" w:eastAsia="Arial" w:hAnsi="Arial"/>
                <w:sz w:val="14"/>
                <w:szCs w:val="14"/>
                <w:color w:val="auto"/>
              </w:rPr>
              <w:t>Jan-2022 / Sep-2045</w:t>
            </w:r>
          </w:p>
        </w:tc>
        <w:tc>
          <w:tcPr>
            <w:tcW w:w="38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5.03</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30.87</w:t>
            </w:r>
          </w:p>
        </w:tc>
        <w:tc>
          <w:tcPr>
            <w:tcW w:w="4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5"/>
              </w:rPr>
              <w:t>5.64</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16.63</w:t>
            </w:r>
          </w:p>
        </w:tc>
        <w:tc>
          <w:tcPr>
            <w:tcW w:w="5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3.50</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7.50</w:t>
            </w:r>
          </w:p>
        </w:tc>
        <w:tc>
          <w:tcPr>
            <w:tcW w:w="3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4.05</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28.90</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2.17</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10.85</w:t>
            </w:r>
          </w:p>
        </w:tc>
        <w:tc>
          <w:tcPr>
            <w:tcW w:w="40" w:type="dxa"/>
            <w:vAlign w:val="bottom"/>
          </w:tcPr>
          <w:p>
            <w:pPr>
              <w:spacing w:after="0"/>
              <w:rPr>
                <w:sz w:val="13"/>
                <w:szCs w:val="13"/>
                <w:color w:val="auto"/>
              </w:rPr>
            </w:pPr>
          </w:p>
        </w:tc>
        <w:tc>
          <w:tcPr>
            <w:tcW w:w="5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3.50</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2160" w:type="dxa"/>
            <w:vAlign w:val="bottom"/>
          </w:tcPr>
          <w:p>
            <w:pPr>
              <w:spacing w:after="0" w:line="155" w:lineRule="exact"/>
              <w:rPr>
                <w:sz w:val="20"/>
                <w:szCs w:val="20"/>
                <w:color w:val="auto"/>
              </w:rPr>
            </w:pPr>
            <w:r>
              <w:rPr>
                <w:rFonts w:ascii="Arial" w:cs="Arial" w:eastAsia="Arial" w:hAnsi="Arial"/>
                <w:sz w:val="14"/>
                <w:szCs w:val="14"/>
                <w:color w:val="auto"/>
              </w:rPr>
              <w:t>Subordinated bonds</w:t>
            </w:r>
          </w:p>
        </w:tc>
        <w:tc>
          <w:tcPr>
            <w:tcW w:w="1380" w:type="dxa"/>
            <w:vAlign w:val="bottom"/>
          </w:tcPr>
          <w:p>
            <w:pPr>
              <w:ind w:left="20"/>
              <w:spacing w:after="0" w:line="155" w:lineRule="exact"/>
              <w:rPr>
                <w:sz w:val="20"/>
                <w:szCs w:val="20"/>
                <w:color w:val="auto"/>
              </w:rPr>
            </w:pPr>
            <w:r>
              <w:rPr>
                <w:rFonts w:ascii="Arial" w:cs="Arial" w:eastAsia="Arial" w:hAnsi="Arial"/>
                <w:sz w:val="14"/>
                <w:szCs w:val="14"/>
                <w:color w:val="auto"/>
              </w:rPr>
              <w:t>Jan-2023 / Aug-2045</w:t>
            </w:r>
          </w:p>
        </w:tc>
        <w:tc>
          <w:tcPr>
            <w:tcW w:w="40" w:type="dxa"/>
            <w:vAlign w:val="bottom"/>
          </w:tcPr>
          <w:p>
            <w:pPr>
              <w:spacing w:after="0"/>
              <w:rPr>
                <w:sz w:val="13"/>
                <w:szCs w:val="13"/>
                <w:color w:val="auto"/>
              </w:rPr>
            </w:pPr>
          </w:p>
        </w:tc>
        <w:tc>
          <w:tcPr>
            <w:tcW w:w="1360" w:type="dxa"/>
            <w:vAlign w:val="bottom"/>
          </w:tcPr>
          <w:p>
            <w:pPr>
              <w:spacing w:after="0" w:line="155" w:lineRule="exact"/>
              <w:rPr>
                <w:sz w:val="20"/>
                <w:szCs w:val="20"/>
                <w:color w:val="auto"/>
              </w:rPr>
            </w:pPr>
            <w:r>
              <w:rPr>
                <w:rFonts w:ascii="Arial" w:cs="Arial" w:eastAsia="Arial" w:hAnsi="Arial"/>
                <w:sz w:val="14"/>
                <w:szCs w:val="14"/>
                <w:color w:val="auto"/>
              </w:rPr>
              <w:t>Apr-2022 / Aug-2045</w:t>
            </w:r>
          </w:p>
        </w:tc>
        <w:tc>
          <w:tcPr>
            <w:tcW w:w="38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2.15</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10.01</w:t>
            </w:r>
          </w:p>
        </w:tc>
        <w:tc>
          <w:tcPr>
            <w:tcW w:w="4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5"/>
              </w:rPr>
              <w:t>3.36</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23.73</w:t>
            </w:r>
          </w:p>
        </w:tc>
        <w:tc>
          <w:tcPr>
            <w:tcW w:w="5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0.28</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7.48</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0.86</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7.62</w:t>
            </w:r>
          </w:p>
        </w:tc>
        <w:tc>
          <w:tcPr>
            <w:tcW w:w="40" w:type="dxa"/>
            <w:vAlign w:val="bottom"/>
          </w:tcPr>
          <w:p>
            <w:pPr>
              <w:spacing w:after="0"/>
              <w:rPr>
                <w:sz w:val="13"/>
                <w:szCs w:val="13"/>
                <w:color w:val="auto"/>
              </w:rPr>
            </w:pPr>
          </w:p>
        </w:tc>
        <w:tc>
          <w:tcPr>
            <w:tcW w:w="5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65"/>
        </w:trPr>
        <w:tc>
          <w:tcPr>
            <w:tcW w:w="2160" w:type="dxa"/>
            <w:vAlign w:val="bottom"/>
          </w:tcPr>
          <w:p>
            <w:pPr>
              <w:spacing w:after="0"/>
              <w:rPr>
                <w:sz w:val="20"/>
                <w:szCs w:val="20"/>
                <w:color w:val="auto"/>
              </w:rPr>
            </w:pPr>
            <w:r>
              <w:rPr>
                <w:rFonts w:ascii="Arial" w:cs="Arial" w:eastAsia="Arial" w:hAnsi="Arial"/>
                <w:sz w:val="14"/>
                <w:szCs w:val="14"/>
                <w:color w:val="auto"/>
              </w:rPr>
              <w:t>Others</w:t>
            </w:r>
          </w:p>
        </w:tc>
        <w:tc>
          <w:tcPr>
            <w:tcW w:w="1380" w:type="dxa"/>
            <w:vAlign w:val="bottom"/>
          </w:tcPr>
          <w:p>
            <w:pPr>
              <w:ind w:left="20"/>
              <w:spacing w:after="0"/>
              <w:rPr>
                <w:sz w:val="20"/>
                <w:szCs w:val="20"/>
                <w:color w:val="auto"/>
              </w:rPr>
            </w:pPr>
            <w:r>
              <w:rPr>
                <w:rFonts w:ascii="Arial" w:cs="Arial" w:eastAsia="Arial" w:hAnsi="Arial"/>
                <w:sz w:val="14"/>
                <w:szCs w:val="14"/>
                <w:color w:val="auto"/>
              </w:rPr>
              <w:t>Apr-2023 / Feb-2035</w:t>
            </w:r>
          </w:p>
        </w:tc>
        <w:tc>
          <w:tcPr>
            <w:tcW w:w="4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Apr-2022 / Feb-2035</w:t>
            </w:r>
          </w:p>
        </w:tc>
        <w:tc>
          <w:tcPr>
            <w:tcW w:w="380" w:type="dxa"/>
            <w:vAlign w:val="bottom"/>
            <w:gridSpan w:val="3"/>
          </w:tcPr>
          <w:p>
            <w:pPr>
              <w:ind w:left="40"/>
              <w:spacing w:after="0"/>
              <w:rPr>
                <w:sz w:val="20"/>
                <w:szCs w:val="20"/>
                <w:color w:val="auto"/>
              </w:rPr>
            </w:pPr>
            <w:r>
              <w:rPr>
                <w:rFonts w:ascii="Arial" w:cs="Arial" w:eastAsia="Arial" w:hAnsi="Arial"/>
                <w:sz w:val="14"/>
                <w:szCs w:val="14"/>
                <w:color w:val="auto"/>
              </w:rPr>
              <w:t>2.22</w:t>
            </w:r>
          </w:p>
        </w:tc>
        <w:tc>
          <w:tcPr>
            <w:tcW w:w="440" w:type="dxa"/>
            <w:vAlign w:val="bottom"/>
          </w:tcPr>
          <w:p>
            <w:pPr>
              <w:jc w:val="right"/>
              <w:spacing w:after="0"/>
              <w:rPr>
                <w:sz w:val="20"/>
                <w:szCs w:val="20"/>
                <w:color w:val="auto"/>
              </w:rPr>
            </w:pPr>
            <w:r>
              <w:rPr>
                <w:rFonts w:ascii="Arial" w:cs="Arial" w:eastAsia="Arial" w:hAnsi="Arial"/>
                <w:sz w:val="14"/>
                <w:szCs w:val="14"/>
                <w:color w:val="auto"/>
              </w:rPr>
              <w:t>9.56</w:t>
            </w:r>
          </w:p>
        </w:tc>
        <w:tc>
          <w:tcPr>
            <w:tcW w:w="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5"/>
              </w:rPr>
              <w:t>8.03</w:t>
            </w:r>
          </w:p>
        </w:tc>
        <w:tc>
          <w:tcPr>
            <w:tcW w:w="540" w:type="dxa"/>
            <w:vAlign w:val="bottom"/>
          </w:tcPr>
          <w:p>
            <w:pPr>
              <w:jc w:val="right"/>
              <w:spacing w:after="0"/>
              <w:rPr>
                <w:sz w:val="20"/>
                <w:szCs w:val="20"/>
                <w:color w:val="auto"/>
              </w:rPr>
            </w:pPr>
            <w:r>
              <w:rPr>
                <w:rFonts w:ascii="Arial" w:cs="Arial" w:eastAsia="Arial" w:hAnsi="Arial"/>
                <w:sz w:val="14"/>
                <w:szCs w:val="14"/>
                <w:color w:val="auto"/>
              </w:rPr>
              <w:t>8.58</w:t>
            </w:r>
          </w:p>
        </w:tc>
        <w:tc>
          <w:tcPr>
            <w:tcW w:w="500" w:type="dxa"/>
            <w:vAlign w:val="bottom"/>
            <w:gridSpan w:val="2"/>
          </w:tcPr>
          <w:p>
            <w:pPr>
              <w:jc w:val="right"/>
              <w:ind w:right="31"/>
              <w:spacing w:after="0"/>
              <w:rPr>
                <w:sz w:val="20"/>
                <w:szCs w:val="20"/>
                <w:color w:val="auto"/>
              </w:rPr>
            </w:pPr>
            <w:r>
              <w:rPr>
                <w:rFonts w:ascii="Arial" w:cs="Arial" w:eastAsia="Arial" w:hAnsi="Arial"/>
                <w:sz w:val="14"/>
                <w:szCs w:val="14"/>
                <w:color w:val="auto"/>
              </w:rPr>
              <w:t>0.05</w:t>
            </w:r>
          </w:p>
        </w:tc>
        <w:tc>
          <w:tcPr>
            <w:tcW w:w="680" w:type="dxa"/>
            <w:vAlign w:val="bottom"/>
          </w:tcPr>
          <w:p>
            <w:pPr>
              <w:jc w:val="right"/>
              <w:spacing w:after="0"/>
              <w:rPr>
                <w:sz w:val="20"/>
                <w:szCs w:val="20"/>
                <w:color w:val="auto"/>
              </w:rPr>
            </w:pPr>
            <w:r>
              <w:rPr>
                <w:rFonts w:ascii="Arial" w:cs="Arial" w:eastAsia="Arial" w:hAnsi="Arial"/>
                <w:sz w:val="14"/>
                <w:szCs w:val="14"/>
                <w:color w:val="auto"/>
              </w:rPr>
              <w:t>0.08</w:t>
            </w:r>
          </w:p>
        </w:tc>
        <w:tc>
          <w:tcPr>
            <w:tcW w:w="380" w:type="dxa"/>
            <w:vAlign w:val="bottom"/>
            <w:gridSpan w:val="3"/>
          </w:tcPr>
          <w:p>
            <w:pPr>
              <w:ind w:left="60"/>
              <w:spacing w:after="0"/>
              <w:rPr>
                <w:sz w:val="20"/>
                <w:szCs w:val="20"/>
                <w:color w:val="auto"/>
              </w:rPr>
            </w:pPr>
            <w:r>
              <w:rPr>
                <w:rFonts w:ascii="Arial" w:cs="Arial" w:eastAsia="Arial" w:hAnsi="Arial"/>
                <w:sz w:val="14"/>
                <w:szCs w:val="14"/>
                <w:color w:val="auto"/>
              </w:rPr>
              <w:t>1.77</w:t>
            </w:r>
          </w:p>
        </w:tc>
        <w:tc>
          <w:tcPr>
            <w:tcW w:w="460" w:type="dxa"/>
            <w:vAlign w:val="bottom"/>
          </w:tcPr>
          <w:p>
            <w:pPr>
              <w:jc w:val="right"/>
              <w:spacing w:after="0"/>
              <w:rPr>
                <w:sz w:val="20"/>
                <w:szCs w:val="20"/>
                <w:color w:val="auto"/>
              </w:rPr>
            </w:pPr>
            <w:r>
              <w:rPr>
                <w:rFonts w:ascii="Arial" w:cs="Arial" w:eastAsia="Arial" w:hAnsi="Arial"/>
                <w:sz w:val="14"/>
                <w:szCs w:val="14"/>
                <w:color w:val="auto"/>
              </w:rPr>
              <w:t>7.99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3.39</w:t>
            </w:r>
          </w:p>
        </w:tc>
        <w:tc>
          <w:tcPr>
            <w:tcW w:w="460" w:type="dxa"/>
            <w:vAlign w:val="bottom"/>
          </w:tcPr>
          <w:p>
            <w:pPr>
              <w:jc w:val="right"/>
              <w:spacing w:after="0"/>
              <w:rPr>
                <w:sz w:val="20"/>
                <w:szCs w:val="20"/>
                <w:color w:val="auto"/>
              </w:rPr>
            </w:pPr>
            <w:r>
              <w:rPr>
                <w:rFonts w:ascii="Arial" w:cs="Arial" w:eastAsia="Arial" w:hAnsi="Arial"/>
                <w:sz w:val="14"/>
                <w:szCs w:val="14"/>
                <w:color w:val="auto"/>
              </w:rPr>
              <w:t>5.05</w:t>
            </w:r>
          </w:p>
        </w:tc>
        <w:tc>
          <w:tcPr>
            <w:tcW w:w="4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0.05</w:t>
            </w:r>
          </w:p>
        </w:tc>
        <w:tc>
          <w:tcPr>
            <w:tcW w:w="600" w:type="dxa"/>
            <w:vAlign w:val="bottom"/>
          </w:tcPr>
          <w:p>
            <w:pPr>
              <w:jc w:val="right"/>
              <w:spacing w:after="0"/>
              <w:rPr>
                <w:sz w:val="20"/>
                <w:szCs w:val="20"/>
                <w:color w:val="auto"/>
              </w:rPr>
            </w:pPr>
            <w:r>
              <w:rPr>
                <w:rFonts w:ascii="Arial" w:cs="Arial" w:eastAsia="Arial" w:hAnsi="Arial"/>
                <w:sz w:val="14"/>
                <w:szCs w:val="14"/>
                <w:color w:val="auto"/>
              </w:rPr>
              <w:t>0.05</w:t>
            </w:r>
          </w:p>
        </w:tc>
      </w:tr>
    </w:tbl>
    <w:p>
      <w:pPr>
        <w:spacing w:after="0" w:line="179" w:lineRule="exact"/>
        <w:rPr>
          <w:sz w:val="20"/>
          <w:szCs w:val="20"/>
          <w:color w:val="auto"/>
        </w:rPr>
      </w:pPr>
    </w:p>
    <w:p>
      <w:pPr>
        <w:jc w:val="both"/>
        <w:ind w:right="100"/>
        <w:spacing w:after="0" w:line="243" w:lineRule="auto"/>
        <w:rPr>
          <w:sz w:val="20"/>
          <w:szCs w:val="20"/>
          <w:color w:val="auto"/>
        </w:rPr>
      </w:pPr>
      <w:r>
        <w:rPr>
          <w:rFonts w:ascii="Arial" w:cs="Arial" w:eastAsia="Arial" w:hAnsi="Arial"/>
          <w:sz w:val="17"/>
          <w:szCs w:val="17"/>
          <w:color w:val="auto"/>
        </w:rPr>
        <w:t>Likewise, as of December 31, 2022, the Group entered into repurchase agreements for government bonds and BCRP certificates of deposit classified as investments at fair value through other comprehensive income, for an estimated fair value of S/1,108.1 million (S/318.4 million as of December 31, 2021), whose related liability is presented in "Accounts payable for repurchase agreements and securities lending" of the consolidated statement of financial position, see note 5(c).</w:t>
      </w:r>
    </w:p>
    <w:p>
      <w:pPr>
        <w:spacing w:after="0" w:line="180" w:lineRule="exact"/>
        <w:rPr>
          <w:sz w:val="20"/>
          <w:szCs w:val="20"/>
          <w:color w:val="auto"/>
        </w:rPr>
      </w:pPr>
    </w:p>
    <w:p>
      <w:pPr>
        <w:jc w:val="both"/>
        <w:ind w:right="100"/>
        <w:spacing w:after="0" w:line="243" w:lineRule="auto"/>
        <w:rPr>
          <w:sz w:val="20"/>
          <w:szCs w:val="20"/>
          <w:color w:val="auto"/>
        </w:rPr>
      </w:pPr>
      <w:r>
        <w:rPr>
          <w:rFonts w:ascii="Arial" w:cs="Arial" w:eastAsia="Arial" w:hAnsi="Arial"/>
          <w:sz w:val="17"/>
          <w:szCs w:val="17"/>
          <w:color w:val="auto"/>
        </w:rPr>
        <w:t>As of December 31, 2022, the Group maintains IRS, which have been designated as hedges of the fair value of certain fixed-rate bonds in U.S. dollar issued by corporate companies classified as investments at fair value through other comprehensive income, for a nominal amount of S/926.5 million (S/636.4 million as of December 31, 2021), see note 13(c); through said IRS these bonds were economically converted to a variable rate.</w:t>
      </w:r>
    </w:p>
    <w:p>
      <w:pPr>
        <w:spacing w:after="0" w:line="154"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720"/>
          </w:cols>
          <w:pgMar w:left="940" w:top="140" w:right="239" w:bottom="1440" w:gutter="0" w:footer="0" w:header="0"/>
        </w:sectPr>
      </w:pPr>
    </w:p>
    <w:bookmarkStart w:id="70" w:name="page71"/>
    <w:bookmarkEnd w:id="70"/>
    <w:p>
      <w:pPr>
        <w:ind w:left="304" w:hanging="304"/>
        <w:spacing w:after="0" w:line="243" w:lineRule="auto"/>
        <w:tabs>
          <w:tab w:leader="none" w:pos="3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of December 31, 2022, the balance comprises corporate bonds issued by companies in the United States of America, Peru, Chile and other countries, which represent 39.2 percent, 37.4 percent, 4.4 percent and 19.0 percent. of the total, respectively. As of December 31, 2021, the balance comprises corporate bonds issued by companies in the United States of America, Peru, Chile and other countries, which represent 38.1 percent, 37.1 percent, 4.6 percent and 20.2 percent of the total, respectively.</w:t>
      </w:r>
    </w:p>
    <w:p>
      <w:pPr>
        <w:spacing w:after="0" w:line="178" w:lineRule="exact"/>
        <w:rPr>
          <w:rFonts w:ascii="Arial" w:cs="Arial" w:eastAsia="Arial" w:hAnsi="Arial"/>
          <w:sz w:val="17"/>
          <w:szCs w:val="17"/>
          <w:color w:val="auto"/>
        </w:rPr>
      </w:pPr>
    </w:p>
    <w:p>
      <w:pPr>
        <w:ind w:left="304" w:right="240"/>
        <w:spacing w:after="0" w:line="246" w:lineRule="auto"/>
        <w:rPr>
          <w:rFonts w:ascii="Arial" w:cs="Arial" w:eastAsia="Arial" w:hAnsi="Arial"/>
          <w:sz w:val="17"/>
          <w:szCs w:val="17"/>
          <w:color w:val="auto"/>
        </w:rPr>
      </w:pPr>
      <w:r>
        <w:rPr>
          <w:rFonts w:ascii="Arial" w:cs="Arial" w:eastAsia="Arial" w:hAnsi="Arial"/>
          <w:sz w:val="17"/>
          <w:szCs w:val="17"/>
          <w:color w:val="auto"/>
        </w:rPr>
        <w:t>Likewise, as of December 31, 2022, the Group maintains CCS, which were designated as cash flow hedges of certain corporate bonds for nominal amounts of S/114.1 million. As of December 31, 2021, it had CCS for an amount of S/79.1 million, see note 13(c); Through said CCS, the bonds were economically converted into soles at a fixed rate.</w:t>
      </w:r>
    </w:p>
    <w:p>
      <w:pPr>
        <w:spacing w:after="0" w:line="175" w:lineRule="exact"/>
        <w:rPr>
          <w:rFonts w:ascii="Arial" w:cs="Arial" w:eastAsia="Arial" w:hAnsi="Arial"/>
          <w:sz w:val="17"/>
          <w:szCs w:val="17"/>
          <w:color w:val="auto"/>
        </w:rPr>
      </w:pPr>
    </w:p>
    <w:p>
      <w:pPr>
        <w:ind w:left="304" w:right="60"/>
        <w:spacing w:after="0" w:line="246" w:lineRule="auto"/>
        <w:rPr>
          <w:rFonts w:ascii="Arial" w:cs="Arial" w:eastAsia="Arial" w:hAnsi="Arial"/>
          <w:sz w:val="17"/>
          <w:szCs w:val="17"/>
          <w:color w:val="auto"/>
        </w:rPr>
      </w:pPr>
      <w:r>
        <w:rPr>
          <w:rFonts w:ascii="Arial" w:cs="Arial" w:eastAsia="Arial" w:hAnsi="Arial"/>
          <w:sz w:val="17"/>
          <w:szCs w:val="17"/>
          <w:color w:val="auto"/>
        </w:rPr>
        <w:t>As of December 31, 2022, the most significant individual unrealized loss amount ascends to approximately S/34.2 million of Inversiones Nacionales de Turismo - Intursa S.A, S/18.5 million as of December 31, 2021. The largest unrealized loss with respect to the balance sheet of 2021 is due to the behavior of the market.</w:t>
      </w:r>
    </w:p>
    <w:p>
      <w:pPr>
        <w:spacing w:after="0" w:line="175" w:lineRule="exact"/>
        <w:rPr>
          <w:rFonts w:ascii="Arial" w:cs="Arial" w:eastAsia="Arial" w:hAnsi="Arial"/>
          <w:sz w:val="17"/>
          <w:szCs w:val="17"/>
          <w:color w:val="auto"/>
        </w:rPr>
      </w:pPr>
    </w:p>
    <w:p>
      <w:pPr>
        <w:ind w:left="304" w:hanging="304"/>
        <w:spacing w:after="0"/>
        <w:tabs>
          <w:tab w:leader="none" w:pos="3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of December 31, 2022 and December 31, 2021, the balance includes the following Government Treasury Bonds:</w:t>
      </w:r>
    </w:p>
    <w:p>
      <w:pPr>
        <w:spacing w:after="0" w:line="171" w:lineRule="exact"/>
        <w:rPr>
          <w:sz w:val="20"/>
          <w:szCs w:val="20"/>
          <w:color w:val="auto"/>
        </w:rPr>
      </w:pPr>
    </w:p>
    <w:tbl>
      <w:tblPr>
        <w:tblLayout w:type="fixed"/>
        <w:tblInd w:w="304" w:type="dxa"/>
        <w:tblCellMar>
          <w:top w:w="0" w:type="dxa"/>
          <w:left w:w="0" w:type="dxa"/>
          <w:bottom w:w="0" w:type="dxa"/>
          <w:right w:w="0" w:type="dxa"/>
        </w:tblCellMar>
      </w:tblPr>
      <w:tr>
        <w:trPr>
          <w:trHeight w:val="217"/>
        </w:trPr>
        <w:tc>
          <w:tcPr>
            <w:tcW w:w="7260" w:type="dxa"/>
            <w:vAlign w:val="bottom"/>
          </w:tcPr>
          <w:p>
            <w:pPr>
              <w:spacing w:after="0"/>
              <w:rPr>
                <w:sz w:val="18"/>
                <w:szCs w:val="18"/>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r>
      <w:tr>
        <w:trPr>
          <w:trHeight w:val="223"/>
        </w:trPr>
        <w:tc>
          <w:tcPr>
            <w:tcW w:w="726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7"/>
                <w:szCs w:val="17"/>
                <w:b w:val="1"/>
                <w:bCs w:val="1"/>
                <w:color w:val="auto"/>
              </w:rPr>
              <w:t>S/(000)</w:t>
            </w:r>
          </w:p>
        </w:tc>
      </w:tr>
      <w:tr>
        <w:trPr>
          <w:trHeight w:val="352"/>
        </w:trPr>
        <w:tc>
          <w:tcPr>
            <w:tcW w:w="7260" w:type="dxa"/>
            <w:vAlign w:val="bottom"/>
          </w:tcPr>
          <w:p>
            <w:pPr>
              <w:spacing w:after="0"/>
              <w:rPr>
                <w:sz w:val="20"/>
                <w:szCs w:val="20"/>
                <w:color w:val="auto"/>
              </w:rPr>
            </w:pPr>
            <w:r>
              <w:rPr>
                <w:rFonts w:ascii="Arial" w:cs="Arial" w:eastAsia="Arial" w:hAnsi="Arial"/>
                <w:sz w:val="17"/>
                <w:szCs w:val="17"/>
                <w:color w:val="auto"/>
              </w:rPr>
              <w:t>Peruvian Government Bonds</w:t>
            </w:r>
          </w:p>
        </w:tc>
        <w:tc>
          <w:tcPr>
            <w:tcW w:w="1040" w:type="dxa"/>
            <w:vAlign w:val="bottom"/>
          </w:tcPr>
          <w:p>
            <w:pPr>
              <w:jc w:val="right"/>
              <w:spacing w:after="0"/>
              <w:rPr>
                <w:sz w:val="20"/>
                <w:szCs w:val="20"/>
                <w:color w:val="auto"/>
              </w:rPr>
            </w:pPr>
            <w:r>
              <w:rPr>
                <w:rFonts w:ascii="Arial" w:cs="Arial" w:eastAsia="Arial" w:hAnsi="Arial"/>
                <w:sz w:val="17"/>
                <w:szCs w:val="17"/>
                <w:color w:val="auto"/>
              </w:rPr>
              <w:t>6,126,564</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7,496,775</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U.S. and federal agency Government Bonds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2,103,713</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1,455,114</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Colombian Government Bonds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130,883</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87,428</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Chilean Government Bonds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78,383</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83,978</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Bolivian Government Bonds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67,040</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89,941</w:t>
            </w:r>
          </w:p>
        </w:tc>
      </w:tr>
      <w:tr>
        <w:trPr>
          <w:trHeight w:val="195"/>
        </w:trPr>
        <w:tc>
          <w:tcPr>
            <w:tcW w:w="7260" w:type="dxa"/>
            <w:vAlign w:val="bottom"/>
          </w:tcPr>
          <w:p>
            <w:pPr>
              <w:spacing w:after="0"/>
              <w:rPr>
                <w:sz w:val="20"/>
                <w:szCs w:val="20"/>
                <w:color w:val="auto"/>
              </w:rPr>
            </w:pPr>
            <w:r>
              <w:rPr>
                <w:rFonts w:ascii="Arial" w:cs="Arial" w:eastAsia="Arial" w:hAnsi="Arial"/>
                <w:sz w:val="17"/>
                <w:szCs w:val="17"/>
                <w:color w:val="auto"/>
              </w:rPr>
              <w:t>Others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22,128</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25,163</w:t>
            </w:r>
          </w:p>
        </w:tc>
      </w:tr>
      <w:tr>
        <w:trPr>
          <w:trHeight w:val="193"/>
        </w:trPr>
        <w:tc>
          <w:tcPr>
            <w:tcW w:w="726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8,528,711</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9,238,399</w:t>
            </w:r>
          </w:p>
        </w:tc>
      </w:tr>
    </w:tbl>
    <w:p>
      <w:pPr>
        <w:spacing w:after="0" w:line="193" w:lineRule="exact"/>
        <w:rPr>
          <w:sz w:val="20"/>
          <w:szCs w:val="20"/>
          <w:color w:val="auto"/>
        </w:rPr>
      </w:pPr>
    </w:p>
    <w:p>
      <w:pPr>
        <w:ind w:left="304" w:right="20" w:hanging="304"/>
        <w:spacing w:after="0" w:line="246" w:lineRule="auto"/>
        <w:tabs>
          <w:tab w:leader="none" w:pos="304" w:val="left"/>
        </w:tabs>
        <w:numPr>
          <w:ilvl w:val="0"/>
          <w:numId w:val="82"/>
        </w:numPr>
        <w:rPr>
          <w:rFonts w:ascii="Arial" w:cs="Arial" w:eastAsia="Arial" w:hAnsi="Arial"/>
          <w:sz w:val="17"/>
          <w:szCs w:val="17"/>
          <w:color w:val="auto"/>
        </w:rPr>
      </w:pPr>
      <w:r>
        <w:rPr>
          <w:rFonts w:ascii="Arial" w:cs="Arial" w:eastAsia="Arial" w:hAnsi="Arial"/>
          <w:sz w:val="17"/>
          <w:szCs w:val="17"/>
          <w:color w:val="auto"/>
        </w:rPr>
        <w:t>As of December 31, 2022, the Group maintains 70,253 certificates of deposits BCRP (83,494 as of December 31, 2021); which are instruments issued at discount through public auction, traded on the Peruvian secondary market and payable in soles. The decrease in the balance is mainly due to the maturity of these instruments.</w:t>
      </w:r>
    </w:p>
    <w:p>
      <w:pPr>
        <w:spacing w:after="0" w:line="150" w:lineRule="exact"/>
        <w:rPr>
          <w:rFonts w:ascii="Arial" w:cs="Arial" w:eastAsia="Arial" w:hAnsi="Arial"/>
          <w:sz w:val="17"/>
          <w:szCs w:val="17"/>
          <w:color w:val="auto"/>
        </w:rPr>
      </w:pPr>
    </w:p>
    <w:p>
      <w:pPr>
        <w:ind w:left="4584" w:hanging="97"/>
        <w:spacing w:after="0"/>
        <w:tabs>
          <w:tab w:leader="none" w:pos="4584" w:val="left"/>
        </w:tabs>
        <w:numPr>
          <w:ilvl w:val="1"/>
          <w:numId w:val="82"/>
        </w:numPr>
        <w:rPr>
          <w:rFonts w:ascii="Arial" w:cs="Arial" w:eastAsia="Arial" w:hAnsi="Arial"/>
          <w:sz w:val="17"/>
          <w:szCs w:val="17"/>
          <w:color w:val="auto"/>
        </w:rPr>
      </w:pPr>
      <w:r>
        <w:rPr>
          <w:rFonts w:ascii="Arial" w:cs="Arial" w:eastAsia="Arial" w:hAnsi="Arial"/>
          <w:sz w:val="17"/>
          <w:szCs w:val="17"/>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71" w:name="page72"/>
    <w:bookmarkEnd w:id="71"/>
    <w:p>
      <w:pPr>
        <w:ind w:left="4"/>
        <w:spacing w:after="0"/>
        <w:rPr>
          <w:sz w:val="20"/>
          <w:szCs w:val="20"/>
          <w:color w:val="auto"/>
        </w:rPr>
      </w:pPr>
      <w:r>
        <w:rPr>
          <w:rFonts w:ascii="Arial" w:cs="Arial" w:eastAsia="Arial" w:hAnsi="Arial"/>
          <w:sz w:val="17"/>
          <w:szCs w:val="17"/>
          <w:color w:val="auto"/>
        </w:rPr>
        <w:t>(iv) As of December 31, 2022 and December 31, 2021, the balance of securitization instruments includes the following:</w:t>
      </w:r>
    </w:p>
    <w:p>
      <w:pPr>
        <w:spacing w:after="0" w:line="170" w:lineRule="exact"/>
        <w:rPr>
          <w:sz w:val="20"/>
          <w:szCs w:val="20"/>
          <w:color w:val="auto"/>
        </w:rPr>
      </w:pPr>
    </w:p>
    <w:tbl>
      <w:tblPr>
        <w:tblLayout w:type="fixed"/>
        <w:tblInd w:w="304" w:type="dxa"/>
        <w:tblCellMar>
          <w:top w:w="0" w:type="dxa"/>
          <w:left w:w="0" w:type="dxa"/>
          <w:bottom w:w="0" w:type="dxa"/>
          <w:right w:w="0" w:type="dxa"/>
        </w:tblCellMar>
      </w:tblPr>
      <w:tr>
        <w:trPr>
          <w:trHeight w:val="217"/>
        </w:trPr>
        <w:tc>
          <w:tcPr>
            <w:tcW w:w="7260" w:type="dxa"/>
            <w:vAlign w:val="bottom"/>
          </w:tcPr>
          <w:p>
            <w:pPr>
              <w:spacing w:after="0"/>
              <w:rPr>
                <w:sz w:val="18"/>
                <w:szCs w:val="18"/>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r>
      <w:tr>
        <w:trPr>
          <w:trHeight w:val="223"/>
        </w:trPr>
        <w:tc>
          <w:tcPr>
            <w:tcW w:w="726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7"/>
                <w:szCs w:val="17"/>
                <w:b w:val="1"/>
                <w:bCs w:val="1"/>
                <w:color w:val="auto"/>
              </w:rPr>
              <w:t>S/(000)</w:t>
            </w:r>
          </w:p>
        </w:tc>
      </w:tr>
      <w:tr>
        <w:trPr>
          <w:trHeight w:val="352"/>
        </w:trPr>
        <w:tc>
          <w:tcPr>
            <w:tcW w:w="7260" w:type="dxa"/>
            <w:vAlign w:val="bottom"/>
          </w:tcPr>
          <w:p>
            <w:pPr>
              <w:spacing w:after="0"/>
              <w:rPr>
                <w:sz w:val="20"/>
                <w:szCs w:val="20"/>
                <w:color w:val="auto"/>
              </w:rPr>
            </w:pPr>
            <w:r>
              <w:rPr>
                <w:rFonts w:ascii="Arial" w:cs="Arial" w:eastAsia="Arial" w:hAnsi="Arial"/>
                <w:sz w:val="17"/>
                <w:szCs w:val="17"/>
                <w:color w:val="auto"/>
              </w:rPr>
              <w:t>Inmuebles Panamericana S.A.</w:t>
            </w:r>
          </w:p>
        </w:tc>
        <w:tc>
          <w:tcPr>
            <w:tcW w:w="1040" w:type="dxa"/>
            <w:vAlign w:val="bottom"/>
          </w:tcPr>
          <w:p>
            <w:pPr>
              <w:jc w:val="right"/>
              <w:spacing w:after="0"/>
              <w:rPr>
                <w:sz w:val="20"/>
                <w:szCs w:val="20"/>
                <w:color w:val="auto"/>
              </w:rPr>
            </w:pPr>
            <w:r>
              <w:rPr>
                <w:rFonts w:ascii="Arial" w:cs="Arial" w:eastAsia="Arial" w:hAnsi="Arial"/>
                <w:sz w:val="17"/>
                <w:szCs w:val="17"/>
                <w:color w:val="auto"/>
              </w:rPr>
              <w:t>133,079</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142,629</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ATN S.A.</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77,047</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98,525</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Colegios Peruanos S.A.</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61,109</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68,714</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Multimercados Zonales S.A.C.</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47,643</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Costa de Sol S.A.</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37,653</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46,502</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Nessus Hoteles Perú S.A.</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32,519</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38,547</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Concesionaria La Chira S.A.</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25,906</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27,370</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Fábrica Nacional de Cemento S.A.</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22,529</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28,187</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Homecenters Peruanos S.A.</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22,804</w:t>
            </w:r>
          </w:p>
        </w:tc>
        <w:tc>
          <w:tcPr>
            <w:tcW w:w="1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27,206</w:t>
            </w:r>
          </w:p>
        </w:tc>
      </w:tr>
      <w:tr>
        <w:trPr>
          <w:trHeight w:val="195"/>
        </w:trPr>
        <w:tc>
          <w:tcPr>
            <w:tcW w:w="7260" w:type="dxa"/>
            <w:vAlign w:val="bottom"/>
          </w:tcPr>
          <w:p>
            <w:pPr>
              <w:spacing w:after="0"/>
              <w:rPr>
                <w:sz w:val="20"/>
                <w:szCs w:val="20"/>
                <w:color w:val="auto"/>
              </w:rPr>
            </w:pPr>
            <w:r>
              <w:rPr>
                <w:rFonts w:ascii="Arial" w:cs="Arial" w:eastAsia="Arial" w:hAnsi="Arial"/>
                <w:sz w:val="17"/>
                <w:szCs w:val="17"/>
                <w:color w:val="auto"/>
              </w:rPr>
              <w:t>Others (less than S/27.7 million and S/28.2 million, respectively)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206,635</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243,709</w:t>
            </w:r>
          </w:p>
        </w:tc>
      </w:tr>
      <w:tr>
        <w:trPr>
          <w:trHeight w:val="193"/>
        </w:trPr>
        <w:tc>
          <w:tcPr>
            <w:tcW w:w="726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666,924</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721,389</w:t>
            </w:r>
          </w:p>
        </w:tc>
      </w:tr>
    </w:tbl>
    <w:p>
      <w:pPr>
        <w:spacing w:after="0" w:line="193" w:lineRule="exact"/>
        <w:rPr>
          <w:sz w:val="20"/>
          <w:szCs w:val="20"/>
          <w:color w:val="auto"/>
        </w:rPr>
      </w:pPr>
    </w:p>
    <w:p>
      <w:pPr>
        <w:jc w:val="both"/>
        <w:ind w:left="304" w:right="140"/>
        <w:spacing w:after="0" w:line="246" w:lineRule="auto"/>
        <w:rPr>
          <w:sz w:val="20"/>
          <w:szCs w:val="20"/>
          <w:color w:val="auto"/>
        </w:rPr>
      </w:pPr>
      <w:r>
        <w:rPr>
          <w:rFonts w:ascii="Arial" w:cs="Arial" w:eastAsia="Arial" w:hAnsi="Arial"/>
          <w:sz w:val="17"/>
          <w:szCs w:val="17"/>
          <w:color w:val="auto"/>
        </w:rPr>
        <w:t>The instruments have semiannual payments until 2045.The pool of underlying assets consists mainly of accounts receivable from income, revenues for services and from maintenance and marketing contributions (Inmuebles Panamericana S.A.), and accounts receivable for electrical transmission services from the Carhuamayo - Cajamarca line (ATN S.A.).</w:t>
      </w:r>
    </w:p>
    <w:p>
      <w:pPr>
        <w:spacing w:after="0" w:line="176" w:lineRule="exact"/>
        <w:rPr>
          <w:sz w:val="20"/>
          <w:szCs w:val="20"/>
          <w:color w:val="auto"/>
        </w:rPr>
      </w:pPr>
    </w:p>
    <w:p>
      <w:pPr>
        <w:ind w:left="304" w:right="20" w:hanging="304"/>
        <w:spacing w:after="0" w:line="243" w:lineRule="auto"/>
        <w:tabs>
          <w:tab w:leader="none" w:pos="304" w:val="left"/>
        </w:tabs>
        <w:numPr>
          <w:ilvl w:val="0"/>
          <w:numId w:val="83"/>
        </w:numPr>
        <w:rPr>
          <w:rFonts w:ascii="Arial" w:cs="Arial" w:eastAsia="Arial" w:hAnsi="Arial"/>
          <w:sz w:val="17"/>
          <w:szCs w:val="17"/>
          <w:color w:val="auto"/>
        </w:rPr>
      </w:pPr>
      <w:r>
        <w:rPr>
          <w:rFonts w:ascii="Arial" w:cs="Arial" w:eastAsia="Arial" w:hAnsi="Arial"/>
          <w:sz w:val="17"/>
          <w:szCs w:val="17"/>
          <w:color w:val="auto"/>
        </w:rPr>
        <w:t>As of December 31, 2022, the balance corresponds to certificates for US$1.8 million, equivalent to S/6.7 million, in soles for S/5.9 million; and in other currencies, equivalent to S/ 573.2 million issued mainly by the financial systems of Colombia and Bolivia. As of December 31, 2021, the balance comprises to certificates for US$0.67 million, equivalent to S/2.7 million, in soles for S/6.8 million; and in other currencies, equivalent to S/ 615.1 million issued mainly by the financial system of Colombia and Bolivia.</w:t>
      </w:r>
    </w:p>
    <w:p>
      <w:pPr>
        <w:spacing w:after="0" w:line="180" w:lineRule="exact"/>
        <w:rPr>
          <w:sz w:val="20"/>
          <w:szCs w:val="20"/>
          <w:color w:val="auto"/>
        </w:rPr>
      </w:pPr>
    </w:p>
    <w:p>
      <w:pPr>
        <w:jc w:val="both"/>
        <w:ind w:left="304" w:right="120"/>
        <w:spacing w:after="0" w:line="246" w:lineRule="auto"/>
        <w:rPr>
          <w:sz w:val="20"/>
          <w:szCs w:val="20"/>
          <w:color w:val="auto"/>
        </w:rPr>
      </w:pPr>
      <w:r>
        <w:rPr>
          <w:rFonts w:ascii="Arial" w:cs="Arial" w:eastAsia="Arial" w:hAnsi="Arial"/>
          <w:sz w:val="17"/>
          <w:szCs w:val="17"/>
          <w:color w:val="auto"/>
        </w:rPr>
        <w:t>Likewise, as of December 31, 2022, the Group maintains CCS, which were designated as cash flow hedges of certain certificates for nominal amounts of S/17.3 million. As of December 31, 2021, the amount amounted to S/75.5 million, see note 13(c); Through said CCS, the certificates were economically converted into soles at a fixed rate.</w:t>
      </w:r>
    </w:p>
    <w:p>
      <w:pPr>
        <w:spacing w:after="0" w:line="176" w:lineRule="exact"/>
        <w:rPr>
          <w:sz w:val="20"/>
          <w:szCs w:val="20"/>
          <w:color w:val="auto"/>
        </w:rPr>
      </w:pPr>
    </w:p>
    <w:p>
      <w:pPr>
        <w:jc w:val="both"/>
        <w:ind w:left="4"/>
        <w:spacing w:after="0" w:line="241" w:lineRule="auto"/>
        <w:rPr>
          <w:sz w:val="20"/>
          <w:szCs w:val="20"/>
          <w:color w:val="auto"/>
        </w:rPr>
      </w:pPr>
      <w:r>
        <w:rPr>
          <w:rFonts w:ascii="Arial" w:cs="Arial" w:eastAsia="Arial" w:hAnsi="Arial"/>
          <w:sz w:val="17"/>
          <w:szCs w:val="17"/>
          <w:color w:val="auto"/>
        </w:rPr>
        <w:t>Due to the increase in market liquidity due to government programs such as Reactiva Perú and the successive withdrawals of Pension Fund Administrators (hereinafter AFPs), approved by Congress since 2020, Banco de Crédito del Perú had to incorporate changes to the business model of investments at fair value with change in other comprehensive income to contribute to the matching of its assets and liabilities. In October 2022, as a result of this change, the Bank has reclassified a portfolio of investments at fair value with changes in other comprehensive income to investments at amortized cost for S/2,232.7 million and has reversed the unrealized net loss of this portfolio recorded in other comprehensive income of equity net for S/549.2 million, in order to record it as if it had always been a portfolio classified at amortized cost from the beginning.</w:t>
      </w:r>
    </w:p>
    <w:p>
      <w:pPr>
        <w:spacing w:after="0" w:line="180" w:lineRule="exact"/>
        <w:rPr>
          <w:sz w:val="20"/>
          <w:szCs w:val="20"/>
          <w:color w:val="auto"/>
        </w:rPr>
      </w:pPr>
    </w:p>
    <w:p>
      <w:pPr>
        <w:ind w:left="4" w:right="20"/>
        <w:spacing w:after="0" w:line="254" w:lineRule="auto"/>
        <w:rPr>
          <w:sz w:val="20"/>
          <w:szCs w:val="20"/>
          <w:color w:val="auto"/>
        </w:rPr>
      </w:pPr>
      <w:r>
        <w:rPr>
          <w:rFonts w:ascii="Arial" w:cs="Arial" w:eastAsia="Arial" w:hAnsi="Arial"/>
          <w:sz w:val="17"/>
          <w:szCs w:val="17"/>
          <w:color w:val="auto"/>
        </w:rPr>
        <w:t>The change in the business model and the reclassification are in accordance with the provisions of IFRS 9 "Financial Instruments", see note 3(f)(iv), and have been approved by the Risk Management Committee and the of Treasury Risks and ALM of the Bank.</w:t>
      </w:r>
    </w:p>
    <w:p>
      <w:pPr>
        <w:spacing w:after="0" w:line="143" w:lineRule="exact"/>
        <w:rPr>
          <w:sz w:val="20"/>
          <w:szCs w:val="20"/>
          <w:color w:val="auto"/>
        </w:rPr>
      </w:pPr>
    </w:p>
    <w:p>
      <w:pPr>
        <w:ind w:left="4484"/>
        <w:spacing w:after="0"/>
        <w:rPr>
          <w:sz w:val="20"/>
          <w:szCs w:val="20"/>
          <w:color w:val="auto"/>
        </w:rPr>
      </w:pPr>
      <w:r>
        <w:rPr>
          <w:rFonts w:ascii="Arial" w:cs="Arial" w:eastAsia="Arial" w:hAnsi="Arial"/>
          <w:sz w:val="17"/>
          <w:szCs w:val="17"/>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20"/>
                <w:szCs w:val="20"/>
                <w:color w:val="auto"/>
              </w:rPr>
            </w:pPr>
            <w:r>
              <w:rPr>
                <w:rFonts w:ascii="Arial" w:cs="Arial" w:eastAsia="Arial" w:hAnsi="Arial"/>
                <w:sz w:val="17"/>
                <w:szCs w:val="17"/>
                <w:color w:val="auto"/>
              </w:rPr>
              <w:t>c)  Amortized cost investments consist of the following:</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75"/>
        </w:trPr>
        <w:tc>
          <w:tcPr>
            <w:tcW w:w="8020" w:type="dxa"/>
            <w:vAlign w:val="bottom"/>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4"/>
        </w:trPr>
        <w:tc>
          <w:tcPr>
            <w:tcW w:w="8020" w:type="dxa"/>
            <w:vAlign w:val="bottom"/>
          </w:tcPr>
          <w:p>
            <w:pPr>
              <w:spacing w:after="0"/>
              <w:rPr>
                <w:sz w:val="14"/>
                <w:szCs w:val="14"/>
                <w:color w:val="auto"/>
              </w:rPr>
            </w:pPr>
          </w:p>
        </w:tc>
        <w:tc>
          <w:tcPr>
            <w:tcW w:w="1280" w:type="dxa"/>
            <w:vAlign w:val="bottom"/>
            <w:gridSpan w:val="2"/>
          </w:tcPr>
          <w:p>
            <w:pPr>
              <w:ind w:left="60"/>
              <w:spacing w:after="0" w:line="164" w:lineRule="exact"/>
              <w:rPr>
                <w:sz w:val="20"/>
                <w:szCs w:val="20"/>
                <w:color w:val="auto"/>
              </w:rPr>
            </w:pPr>
            <w:r>
              <w:rPr>
                <w:rFonts w:ascii="Arial" w:cs="Arial" w:eastAsia="Arial" w:hAnsi="Arial"/>
                <w:sz w:val="17"/>
                <w:szCs w:val="17"/>
                <w:b w:val="1"/>
                <w:bCs w:val="1"/>
                <w:color w:val="auto"/>
              </w:rPr>
              <w:t>Carrying</w:t>
            </w:r>
          </w:p>
        </w:tc>
        <w:tc>
          <w:tcPr>
            <w:tcW w:w="1140" w:type="dxa"/>
            <w:vAlign w:val="bottom"/>
          </w:tcPr>
          <w:p>
            <w:pPr>
              <w:ind w:left="40"/>
              <w:spacing w:after="0" w:line="164" w:lineRule="exact"/>
              <w:rPr>
                <w:sz w:val="20"/>
                <w:szCs w:val="20"/>
                <w:color w:val="auto"/>
              </w:rPr>
            </w:pPr>
            <w:r>
              <w:rPr>
                <w:rFonts w:ascii="Arial" w:cs="Arial" w:eastAsia="Arial" w:hAnsi="Arial"/>
                <w:sz w:val="17"/>
                <w:szCs w:val="17"/>
                <w:b w:val="1"/>
                <w:bCs w:val="1"/>
                <w:color w:val="auto"/>
              </w:rPr>
              <w:t>Fair</w:t>
            </w:r>
          </w:p>
        </w:tc>
      </w:tr>
      <w:tr>
        <w:trPr>
          <w:trHeight w:val="217"/>
        </w:trPr>
        <w:tc>
          <w:tcPr>
            <w:tcW w:w="80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7"/>
                <w:szCs w:val="17"/>
                <w:b w:val="1"/>
                <w:bCs w:val="1"/>
                <w:color w:val="auto"/>
              </w:rPr>
              <w:t>amount</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value</w:t>
            </w:r>
          </w:p>
        </w:tc>
      </w:tr>
      <w:tr>
        <w:trPr>
          <w:trHeight w:val="223"/>
        </w:trPr>
        <w:tc>
          <w:tcPr>
            <w:tcW w:w="8020" w:type="dxa"/>
            <w:vAlign w:val="bottom"/>
          </w:tcPr>
          <w:p>
            <w:pPr>
              <w:spacing w:after="0"/>
              <w:rPr>
                <w:sz w:val="19"/>
                <w:szCs w:val="19"/>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8020" w:type="dxa"/>
            <w:vAlign w:val="bottom"/>
          </w:tcPr>
          <w:p>
            <w:pPr>
              <w:ind w:left="320"/>
              <w:spacing w:after="0"/>
              <w:rPr>
                <w:sz w:val="20"/>
                <w:szCs w:val="20"/>
                <w:color w:val="auto"/>
              </w:rPr>
            </w:pPr>
            <w:r>
              <w:rPr>
                <w:rFonts w:ascii="Arial" w:cs="Arial" w:eastAsia="Arial" w:hAnsi="Arial"/>
                <w:sz w:val="17"/>
                <w:szCs w:val="17"/>
                <w:color w:val="auto"/>
              </w:rPr>
              <w:t>Peruvian Government Bonds (i)</w:t>
            </w:r>
          </w:p>
        </w:tc>
        <w:tc>
          <w:tcPr>
            <w:tcW w:w="1120" w:type="dxa"/>
            <w:vAlign w:val="bottom"/>
          </w:tcPr>
          <w:p>
            <w:pPr>
              <w:jc w:val="right"/>
              <w:spacing w:after="0"/>
              <w:rPr>
                <w:sz w:val="20"/>
                <w:szCs w:val="20"/>
                <w:color w:val="auto"/>
              </w:rPr>
            </w:pPr>
            <w:r>
              <w:rPr>
                <w:rFonts w:ascii="Arial" w:cs="Arial" w:eastAsia="Arial" w:hAnsi="Arial"/>
                <w:sz w:val="17"/>
                <w:szCs w:val="17"/>
                <w:color w:val="auto"/>
              </w:rPr>
              <w:t>9,573,026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8,055,873</w:t>
            </w:r>
          </w:p>
        </w:tc>
      </w:tr>
      <w:tr>
        <w:trPr>
          <w:trHeight w:val="194"/>
        </w:trPr>
        <w:tc>
          <w:tcPr>
            <w:tcW w:w="8020" w:type="dxa"/>
            <w:vAlign w:val="bottom"/>
          </w:tcPr>
          <w:p>
            <w:pPr>
              <w:ind w:left="320"/>
              <w:spacing w:after="0" w:line="194" w:lineRule="exact"/>
              <w:rPr>
                <w:sz w:val="20"/>
                <w:szCs w:val="20"/>
                <w:color w:val="auto"/>
              </w:rPr>
            </w:pPr>
            <w:r>
              <w:rPr>
                <w:rFonts w:ascii="Arial" w:cs="Arial" w:eastAsia="Arial" w:hAnsi="Arial"/>
                <w:sz w:val="17"/>
                <w:szCs w:val="17"/>
                <w:color w:val="auto"/>
              </w:rPr>
              <w:t>Corporate bonds (i)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442,558</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445,684</w:t>
            </w:r>
          </w:p>
        </w:tc>
      </w:tr>
      <w:tr>
        <w:trPr>
          <w:trHeight w:val="194"/>
        </w:trPr>
        <w:tc>
          <w:tcPr>
            <w:tcW w:w="8020" w:type="dxa"/>
            <w:vAlign w:val="bottom"/>
          </w:tcPr>
          <w:p>
            <w:pPr>
              <w:ind w:left="320"/>
              <w:spacing w:after="0" w:line="194" w:lineRule="exact"/>
              <w:rPr>
                <w:sz w:val="20"/>
                <w:szCs w:val="20"/>
                <w:color w:val="auto"/>
              </w:rPr>
            </w:pPr>
            <w:r>
              <w:rPr>
                <w:rFonts w:ascii="Arial" w:cs="Arial" w:eastAsia="Arial" w:hAnsi="Arial"/>
                <w:sz w:val="17"/>
                <w:szCs w:val="17"/>
                <w:color w:val="auto"/>
              </w:rPr>
              <w:t>Subordinated bonds (i)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49,597</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49,830</w:t>
            </w:r>
          </w:p>
        </w:tc>
      </w:tr>
      <w:tr>
        <w:trPr>
          <w:trHeight w:val="194"/>
        </w:trPr>
        <w:tc>
          <w:tcPr>
            <w:tcW w:w="8020" w:type="dxa"/>
            <w:vAlign w:val="bottom"/>
          </w:tcPr>
          <w:p>
            <w:pPr>
              <w:ind w:left="320"/>
              <w:spacing w:after="0" w:line="194" w:lineRule="exact"/>
              <w:rPr>
                <w:sz w:val="20"/>
                <w:szCs w:val="20"/>
                <w:color w:val="auto"/>
              </w:rPr>
            </w:pPr>
            <w:r>
              <w:rPr>
                <w:rFonts w:ascii="Arial" w:cs="Arial" w:eastAsia="Arial" w:hAnsi="Arial"/>
                <w:sz w:val="17"/>
                <w:szCs w:val="17"/>
                <w:color w:val="auto"/>
              </w:rPr>
              <w:t>Certificates of payment on work progress (CRPAO) (ii)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47,584</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46,786</w:t>
            </w:r>
          </w:p>
        </w:tc>
      </w:tr>
      <w:tr>
        <w:trPr>
          <w:trHeight w:val="195"/>
        </w:trPr>
        <w:tc>
          <w:tcPr>
            <w:tcW w:w="8020" w:type="dxa"/>
            <w:vAlign w:val="bottom"/>
          </w:tcPr>
          <w:p>
            <w:pPr>
              <w:ind w:left="320"/>
              <w:spacing w:after="0"/>
              <w:rPr>
                <w:sz w:val="20"/>
                <w:szCs w:val="20"/>
                <w:color w:val="auto"/>
              </w:rPr>
            </w:pPr>
            <w:r>
              <w:rPr>
                <w:rFonts w:ascii="Arial" w:cs="Arial" w:eastAsia="Arial" w:hAnsi="Arial"/>
                <w:sz w:val="17"/>
                <w:szCs w:val="17"/>
                <w:color w:val="auto"/>
              </w:rPr>
              <w:t>Other government bonds (i)</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114,262</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113,759</w:t>
            </w:r>
          </w:p>
        </w:tc>
      </w:tr>
      <w:tr>
        <w:trPr>
          <w:trHeight w:val="186"/>
        </w:trPr>
        <w:tc>
          <w:tcPr>
            <w:tcW w:w="8020" w:type="dxa"/>
            <w:vAlign w:val="bottom"/>
          </w:tcPr>
          <w:p>
            <w:pPr>
              <w:spacing w:after="0"/>
              <w:rPr>
                <w:sz w:val="16"/>
                <w:szCs w:val="16"/>
                <w:color w:val="auto"/>
              </w:rPr>
            </w:pPr>
          </w:p>
        </w:tc>
        <w:tc>
          <w:tcPr>
            <w:tcW w:w="1120" w:type="dxa"/>
            <w:vAlign w:val="bottom"/>
          </w:tcPr>
          <w:p>
            <w:pPr>
              <w:jc w:val="right"/>
              <w:spacing w:after="0" w:line="186" w:lineRule="exact"/>
              <w:rPr>
                <w:sz w:val="20"/>
                <w:szCs w:val="20"/>
                <w:color w:val="auto"/>
              </w:rPr>
            </w:pPr>
            <w:r>
              <w:rPr>
                <w:rFonts w:ascii="Arial" w:cs="Arial" w:eastAsia="Arial" w:hAnsi="Arial"/>
                <w:sz w:val="17"/>
                <w:szCs w:val="17"/>
                <w:color w:val="auto"/>
              </w:rPr>
              <w:t>10,227,027</w:t>
            </w:r>
          </w:p>
        </w:tc>
        <w:tc>
          <w:tcPr>
            <w:tcW w:w="160" w:type="dxa"/>
            <w:vAlign w:val="bottom"/>
          </w:tcPr>
          <w:p>
            <w:pPr>
              <w:spacing w:after="0"/>
              <w:rPr>
                <w:sz w:val="16"/>
                <w:szCs w:val="16"/>
                <w:color w:val="auto"/>
              </w:rPr>
            </w:pP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8,711,932</w:t>
            </w:r>
          </w:p>
        </w:tc>
      </w:tr>
      <w:tr>
        <w:trPr>
          <w:trHeight w:val="195"/>
        </w:trPr>
        <w:tc>
          <w:tcPr>
            <w:tcW w:w="8020" w:type="dxa"/>
            <w:vAlign w:val="bottom"/>
          </w:tcPr>
          <w:p>
            <w:pPr>
              <w:ind w:left="320"/>
              <w:spacing w:after="0"/>
              <w:rPr>
                <w:sz w:val="20"/>
                <w:szCs w:val="20"/>
                <w:color w:val="auto"/>
              </w:rPr>
            </w:pPr>
            <w:r>
              <w:rPr>
                <w:rFonts w:ascii="Arial" w:cs="Arial" w:eastAsia="Arial" w:hAnsi="Arial"/>
                <w:sz w:val="17"/>
                <w:szCs w:val="17"/>
                <w:color w:val="auto"/>
              </w:rPr>
              <w:t>Accrued interest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218,702</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218,702</w:t>
            </w:r>
          </w:p>
        </w:tc>
      </w:tr>
      <w:tr>
        <w:trPr>
          <w:trHeight w:val="193"/>
        </w:trPr>
        <w:tc>
          <w:tcPr>
            <w:tcW w:w="8020" w:type="dxa"/>
            <w:vAlign w:val="bottom"/>
          </w:tcPr>
          <w:p>
            <w:pPr>
              <w:ind w:left="320"/>
              <w:spacing w:after="0" w:line="187" w:lineRule="exact"/>
              <w:rPr>
                <w:sz w:val="20"/>
                <w:szCs w:val="20"/>
                <w:color w:val="auto"/>
              </w:rPr>
            </w:pPr>
            <w:r>
              <w:rPr>
                <w:rFonts w:ascii="Arial" w:cs="Arial" w:eastAsia="Arial" w:hAnsi="Arial"/>
                <w:sz w:val="17"/>
                <w:szCs w:val="17"/>
                <w:b w:val="1"/>
                <w:bCs w:val="1"/>
                <w:color w:val="auto"/>
              </w:rPr>
              <w:t>Total investments at amortized cost, net</w:t>
            </w: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10,445,729</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8,930,634</w:t>
            </w:r>
          </w:p>
        </w:tc>
      </w:tr>
      <w:tr>
        <w:trPr>
          <w:trHeight w:val="389"/>
        </w:trPr>
        <w:tc>
          <w:tcPr>
            <w:tcW w:w="8020" w:type="dxa"/>
            <w:vAlign w:val="bottom"/>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4"/>
        </w:trPr>
        <w:tc>
          <w:tcPr>
            <w:tcW w:w="8020" w:type="dxa"/>
            <w:vAlign w:val="bottom"/>
          </w:tcPr>
          <w:p>
            <w:pPr>
              <w:spacing w:after="0"/>
              <w:rPr>
                <w:sz w:val="14"/>
                <w:szCs w:val="14"/>
                <w:color w:val="auto"/>
              </w:rPr>
            </w:pPr>
          </w:p>
        </w:tc>
        <w:tc>
          <w:tcPr>
            <w:tcW w:w="1280" w:type="dxa"/>
            <w:vAlign w:val="bottom"/>
            <w:gridSpan w:val="2"/>
          </w:tcPr>
          <w:p>
            <w:pPr>
              <w:ind w:left="60"/>
              <w:spacing w:after="0" w:line="164" w:lineRule="exact"/>
              <w:rPr>
                <w:sz w:val="20"/>
                <w:szCs w:val="20"/>
                <w:color w:val="auto"/>
              </w:rPr>
            </w:pPr>
            <w:r>
              <w:rPr>
                <w:rFonts w:ascii="Arial" w:cs="Arial" w:eastAsia="Arial" w:hAnsi="Arial"/>
                <w:sz w:val="17"/>
                <w:szCs w:val="17"/>
                <w:b w:val="1"/>
                <w:bCs w:val="1"/>
                <w:color w:val="auto"/>
              </w:rPr>
              <w:t>Carrying</w:t>
            </w:r>
          </w:p>
        </w:tc>
        <w:tc>
          <w:tcPr>
            <w:tcW w:w="1140" w:type="dxa"/>
            <w:vAlign w:val="bottom"/>
          </w:tcPr>
          <w:p>
            <w:pPr>
              <w:ind w:left="40"/>
              <w:spacing w:after="0" w:line="164" w:lineRule="exact"/>
              <w:rPr>
                <w:sz w:val="20"/>
                <w:szCs w:val="20"/>
                <w:color w:val="auto"/>
              </w:rPr>
            </w:pPr>
            <w:r>
              <w:rPr>
                <w:rFonts w:ascii="Arial" w:cs="Arial" w:eastAsia="Arial" w:hAnsi="Arial"/>
                <w:sz w:val="17"/>
                <w:szCs w:val="17"/>
                <w:b w:val="1"/>
                <w:bCs w:val="1"/>
                <w:color w:val="auto"/>
              </w:rPr>
              <w:t>Fair</w:t>
            </w:r>
          </w:p>
        </w:tc>
      </w:tr>
      <w:tr>
        <w:trPr>
          <w:trHeight w:val="217"/>
        </w:trPr>
        <w:tc>
          <w:tcPr>
            <w:tcW w:w="80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7"/>
                <w:szCs w:val="17"/>
                <w:b w:val="1"/>
                <w:bCs w:val="1"/>
                <w:color w:val="auto"/>
              </w:rPr>
              <w:t>amount</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value</w:t>
            </w:r>
          </w:p>
        </w:tc>
      </w:tr>
      <w:tr>
        <w:trPr>
          <w:trHeight w:val="223"/>
        </w:trPr>
        <w:tc>
          <w:tcPr>
            <w:tcW w:w="8020" w:type="dxa"/>
            <w:vAlign w:val="bottom"/>
          </w:tcPr>
          <w:p>
            <w:pPr>
              <w:spacing w:after="0"/>
              <w:rPr>
                <w:sz w:val="19"/>
                <w:szCs w:val="19"/>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8020" w:type="dxa"/>
            <w:vAlign w:val="bottom"/>
          </w:tcPr>
          <w:p>
            <w:pPr>
              <w:ind w:left="320"/>
              <w:spacing w:after="0"/>
              <w:rPr>
                <w:sz w:val="20"/>
                <w:szCs w:val="20"/>
                <w:color w:val="auto"/>
              </w:rPr>
            </w:pPr>
            <w:r>
              <w:rPr>
                <w:rFonts w:ascii="Arial" w:cs="Arial" w:eastAsia="Arial" w:hAnsi="Arial"/>
                <w:sz w:val="17"/>
                <w:szCs w:val="17"/>
                <w:color w:val="auto"/>
              </w:rPr>
              <w:t>Peruvian Government Bonds (i)</w:t>
            </w:r>
          </w:p>
        </w:tc>
        <w:tc>
          <w:tcPr>
            <w:tcW w:w="1120" w:type="dxa"/>
            <w:vAlign w:val="bottom"/>
          </w:tcPr>
          <w:p>
            <w:pPr>
              <w:jc w:val="right"/>
              <w:spacing w:after="0"/>
              <w:rPr>
                <w:sz w:val="20"/>
                <w:szCs w:val="20"/>
                <w:color w:val="auto"/>
              </w:rPr>
            </w:pPr>
            <w:r>
              <w:rPr>
                <w:rFonts w:ascii="Arial" w:cs="Arial" w:eastAsia="Arial" w:hAnsi="Arial"/>
                <w:sz w:val="17"/>
                <w:szCs w:val="17"/>
                <w:color w:val="auto"/>
              </w:rPr>
              <w:t>7,438,364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7,169,787</w:t>
            </w:r>
          </w:p>
        </w:tc>
      </w:tr>
      <w:tr>
        <w:trPr>
          <w:trHeight w:val="194"/>
        </w:trPr>
        <w:tc>
          <w:tcPr>
            <w:tcW w:w="8020" w:type="dxa"/>
            <w:vAlign w:val="bottom"/>
          </w:tcPr>
          <w:p>
            <w:pPr>
              <w:ind w:left="320"/>
              <w:spacing w:after="0" w:line="194" w:lineRule="exact"/>
              <w:rPr>
                <w:sz w:val="20"/>
                <w:szCs w:val="20"/>
                <w:color w:val="auto"/>
              </w:rPr>
            </w:pPr>
            <w:r>
              <w:rPr>
                <w:rFonts w:ascii="Arial" w:cs="Arial" w:eastAsia="Arial" w:hAnsi="Arial"/>
                <w:sz w:val="17"/>
                <w:szCs w:val="17"/>
                <w:color w:val="auto"/>
              </w:rPr>
              <w:t>Corporate bonds (i)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420,263</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419,069</w:t>
            </w:r>
          </w:p>
        </w:tc>
      </w:tr>
      <w:tr>
        <w:trPr>
          <w:trHeight w:val="194"/>
        </w:trPr>
        <w:tc>
          <w:tcPr>
            <w:tcW w:w="8020" w:type="dxa"/>
            <w:vAlign w:val="bottom"/>
          </w:tcPr>
          <w:p>
            <w:pPr>
              <w:ind w:left="320"/>
              <w:spacing w:after="0" w:line="194" w:lineRule="exact"/>
              <w:rPr>
                <w:sz w:val="20"/>
                <w:szCs w:val="20"/>
                <w:color w:val="auto"/>
              </w:rPr>
            </w:pPr>
            <w:r>
              <w:rPr>
                <w:rFonts w:ascii="Arial" w:cs="Arial" w:eastAsia="Arial" w:hAnsi="Arial"/>
                <w:sz w:val="17"/>
                <w:szCs w:val="17"/>
                <w:color w:val="auto"/>
              </w:rPr>
              <w:t>Subordinated bonds (i)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86,861</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86,412</w:t>
            </w:r>
          </w:p>
        </w:tc>
      </w:tr>
      <w:tr>
        <w:trPr>
          <w:trHeight w:val="194"/>
        </w:trPr>
        <w:tc>
          <w:tcPr>
            <w:tcW w:w="8020" w:type="dxa"/>
            <w:vAlign w:val="bottom"/>
          </w:tcPr>
          <w:p>
            <w:pPr>
              <w:ind w:left="320"/>
              <w:spacing w:after="0" w:line="194" w:lineRule="exact"/>
              <w:rPr>
                <w:sz w:val="20"/>
                <w:szCs w:val="20"/>
                <w:color w:val="auto"/>
              </w:rPr>
            </w:pPr>
            <w:r>
              <w:rPr>
                <w:rFonts w:ascii="Arial" w:cs="Arial" w:eastAsia="Arial" w:hAnsi="Arial"/>
                <w:sz w:val="17"/>
                <w:szCs w:val="17"/>
                <w:color w:val="auto"/>
              </w:rPr>
              <w:t>Certificates of payment on work progress (CRPAO) (ii)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74,499</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19,310</w:t>
            </w:r>
          </w:p>
        </w:tc>
      </w:tr>
      <w:tr>
        <w:trPr>
          <w:trHeight w:val="195"/>
        </w:trPr>
        <w:tc>
          <w:tcPr>
            <w:tcW w:w="8020" w:type="dxa"/>
            <w:vAlign w:val="bottom"/>
          </w:tcPr>
          <w:p>
            <w:pPr>
              <w:ind w:left="320"/>
              <w:spacing w:after="0"/>
              <w:rPr>
                <w:sz w:val="20"/>
                <w:szCs w:val="20"/>
                <w:color w:val="auto"/>
              </w:rPr>
            </w:pPr>
            <w:r>
              <w:rPr>
                <w:rFonts w:ascii="Arial" w:cs="Arial" w:eastAsia="Arial" w:hAnsi="Arial"/>
                <w:sz w:val="17"/>
                <w:szCs w:val="17"/>
                <w:color w:val="auto"/>
              </w:rPr>
              <w:t>Other government bonds (i)</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74,122</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73,645</w:t>
            </w:r>
          </w:p>
        </w:tc>
      </w:tr>
      <w:tr>
        <w:trPr>
          <w:trHeight w:val="186"/>
        </w:trPr>
        <w:tc>
          <w:tcPr>
            <w:tcW w:w="8020" w:type="dxa"/>
            <w:vAlign w:val="bottom"/>
          </w:tcPr>
          <w:p>
            <w:pPr>
              <w:spacing w:after="0"/>
              <w:rPr>
                <w:sz w:val="16"/>
                <w:szCs w:val="16"/>
                <w:color w:val="auto"/>
              </w:rPr>
            </w:pPr>
          </w:p>
        </w:tc>
        <w:tc>
          <w:tcPr>
            <w:tcW w:w="1120" w:type="dxa"/>
            <w:vAlign w:val="bottom"/>
          </w:tcPr>
          <w:p>
            <w:pPr>
              <w:jc w:val="right"/>
              <w:spacing w:after="0" w:line="186" w:lineRule="exact"/>
              <w:rPr>
                <w:sz w:val="20"/>
                <w:szCs w:val="20"/>
                <w:color w:val="auto"/>
              </w:rPr>
            </w:pPr>
            <w:r>
              <w:rPr>
                <w:rFonts w:ascii="Arial" w:cs="Arial" w:eastAsia="Arial" w:hAnsi="Arial"/>
                <w:sz w:val="17"/>
                <w:szCs w:val="17"/>
                <w:color w:val="auto"/>
              </w:rPr>
              <w:t>8,094,109</w:t>
            </w:r>
          </w:p>
        </w:tc>
        <w:tc>
          <w:tcPr>
            <w:tcW w:w="160" w:type="dxa"/>
            <w:vAlign w:val="bottom"/>
          </w:tcPr>
          <w:p>
            <w:pPr>
              <w:spacing w:after="0"/>
              <w:rPr>
                <w:sz w:val="16"/>
                <w:szCs w:val="16"/>
                <w:color w:val="auto"/>
              </w:rPr>
            </w:pP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7,768,223</w:t>
            </w:r>
          </w:p>
        </w:tc>
      </w:tr>
      <w:tr>
        <w:trPr>
          <w:trHeight w:val="195"/>
        </w:trPr>
        <w:tc>
          <w:tcPr>
            <w:tcW w:w="8020" w:type="dxa"/>
            <w:vAlign w:val="bottom"/>
          </w:tcPr>
          <w:p>
            <w:pPr>
              <w:ind w:left="320"/>
              <w:spacing w:after="0"/>
              <w:rPr>
                <w:sz w:val="20"/>
                <w:szCs w:val="20"/>
                <w:color w:val="auto"/>
              </w:rPr>
            </w:pPr>
            <w:r>
              <w:rPr>
                <w:rFonts w:ascii="Arial" w:cs="Arial" w:eastAsia="Arial" w:hAnsi="Arial"/>
                <w:sz w:val="17"/>
                <w:szCs w:val="17"/>
                <w:color w:val="auto"/>
              </w:rPr>
              <w:t>Accrued interest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171,450</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171,450</w:t>
            </w:r>
          </w:p>
        </w:tc>
      </w:tr>
      <w:tr>
        <w:trPr>
          <w:trHeight w:val="193"/>
        </w:trPr>
        <w:tc>
          <w:tcPr>
            <w:tcW w:w="8020" w:type="dxa"/>
            <w:vAlign w:val="bottom"/>
          </w:tcPr>
          <w:p>
            <w:pPr>
              <w:ind w:left="320"/>
              <w:spacing w:after="0" w:line="187" w:lineRule="exact"/>
              <w:rPr>
                <w:sz w:val="20"/>
                <w:szCs w:val="20"/>
                <w:color w:val="auto"/>
              </w:rPr>
            </w:pPr>
            <w:r>
              <w:rPr>
                <w:rFonts w:ascii="Arial" w:cs="Arial" w:eastAsia="Arial" w:hAnsi="Arial"/>
                <w:sz w:val="17"/>
                <w:szCs w:val="17"/>
                <w:b w:val="1"/>
                <w:bCs w:val="1"/>
                <w:color w:val="auto"/>
              </w:rPr>
              <w:t>Total investments at amortized cost, net</w:t>
            </w: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8,265,559</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7,939,673</w:t>
            </w:r>
          </w:p>
        </w:tc>
      </w:tr>
    </w:tbl>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expected loss of investments at amortized cost as of December 31, 2022 and 2021 is S/3.9 million and S/2.8 million, respectively.</w:t>
      </w:r>
    </w:p>
    <w:p>
      <w:pPr>
        <w:spacing w:after="0" w:line="193" w:lineRule="exact"/>
        <w:rPr>
          <w:sz w:val="20"/>
          <w:szCs w:val="20"/>
          <w:color w:val="auto"/>
        </w:rPr>
      </w:pPr>
    </w:p>
    <w:p>
      <w:pPr>
        <w:ind w:left="620" w:hanging="304"/>
        <w:spacing w:after="0" w:line="241" w:lineRule="auto"/>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of December 31, 2022, said bonds have maturities between January 2023 and February 2042; accruing interest at an effective annual rate between 6.65 percent and 8.13 percent per year for bonds issued in soles, between 2.59 percent and 16.30 percent for bonds issued in U.S. dollar, and between 5.66 percent and 11.24 percent per year for bonds issued in other currencies. As of December 31, 2021, they have maturities between January 2022 and February 2042, accruing interest at an effective annual interest rate between 3.62 percent and 6.77 percent for bonds denominated in soles, between 0.71 percent and 4.50 percent for bonds issued in U.S. dollar and between 0.0 percent and 2.96 percent on bonds issued in other currencies.</w:t>
      </w:r>
    </w:p>
    <w:p>
      <w:pPr>
        <w:spacing w:after="0" w:line="156" w:lineRule="exact"/>
        <w:rPr>
          <w:rFonts w:ascii="Arial" w:cs="Arial" w:eastAsia="Arial" w:hAnsi="Arial"/>
          <w:sz w:val="17"/>
          <w:szCs w:val="17"/>
          <w:color w:val="auto"/>
        </w:rPr>
      </w:pPr>
    </w:p>
    <w:p>
      <w:pPr>
        <w:ind w:left="4900" w:hanging="97"/>
        <w:spacing w:after="0"/>
        <w:tabs>
          <w:tab w:leader="none" w:pos="49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140" w:right="339" w:bottom="1440" w:gutter="0" w:footer="0" w:header="0"/>
        </w:sectPr>
      </w:pPr>
    </w:p>
    <w:bookmarkStart w:id="73" w:name="page74"/>
    <w:bookmarkEnd w:id="73"/>
    <w:p>
      <w:pPr>
        <w:jc w:val="both"/>
        <w:ind w:left="304"/>
        <w:spacing w:after="0" w:line="242" w:lineRule="auto"/>
        <w:rPr>
          <w:sz w:val="20"/>
          <w:szCs w:val="20"/>
          <w:color w:val="auto"/>
        </w:rPr>
      </w:pPr>
      <w:r>
        <w:rPr>
          <w:rFonts w:ascii="Arial" w:cs="Arial" w:eastAsia="Arial" w:hAnsi="Arial"/>
          <w:sz w:val="17"/>
          <w:szCs w:val="17"/>
          <w:color w:val="auto"/>
        </w:rPr>
        <w:t>As of December 31, 2021, the instruments with an interest rate of 0.00 percent correspond to bonds issued by the Colombian Government, whose emission indicators at the acquisition date were at very low levels; however, MiBanco Colombia invested in these instruments because it is a Colombian company that must invest in them in accordance with local regulations, with the objective that the funds acquired by the Colombian Government be used for the development and incentive of certain economic sectors.</w:t>
      </w:r>
    </w:p>
    <w:p>
      <w:pPr>
        <w:spacing w:after="0" w:line="179" w:lineRule="exact"/>
        <w:rPr>
          <w:sz w:val="20"/>
          <w:szCs w:val="20"/>
          <w:color w:val="auto"/>
        </w:rPr>
      </w:pPr>
    </w:p>
    <w:p>
      <w:pPr>
        <w:jc w:val="both"/>
        <w:ind w:left="304"/>
        <w:spacing w:after="0" w:line="243" w:lineRule="auto"/>
        <w:rPr>
          <w:sz w:val="20"/>
          <w:szCs w:val="20"/>
          <w:color w:val="auto"/>
        </w:rPr>
      </w:pPr>
      <w:r>
        <w:rPr>
          <w:rFonts w:ascii="Arial" w:cs="Arial" w:eastAsia="Arial" w:hAnsi="Arial"/>
          <w:sz w:val="17"/>
          <w:szCs w:val="17"/>
          <w:color w:val="auto"/>
        </w:rPr>
        <w:t>The variation in the fair value of investments at amortized cost is mainly due to the increase in interest rates in soles and in foreign currency, which negatively affected the fair value of this portfolio as of December 31, 2022. Credicorp’s Management has determined that, as of December 31, 2022, the difference between the amortized cost and the fair value of these investments is of a temporary nature and Credicorp has the intention and ability to hold each of these investments until maturity.</w:t>
      </w:r>
    </w:p>
    <w:p>
      <w:pPr>
        <w:spacing w:after="0" w:line="180" w:lineRule="exact"/>
        <w:rPr>
          <w:sz w:val="20"/>
          <w:szCs w:val="20"/>
          <w:color w:val="auto"/>
        </w:rPr>
      </w:pPr>
    </w:p>
    <w:p>
      <w:pPr>
        <w:jc w:val="both"/>
        <w:ind w:left="304"/>
        <w:spacing w:after="0" w:line="243" w:lineRule="auto"/>
        <w:rPr>
          <w:sz w:val="20"/>
          <w:szCs w:val="20"/>
          <w:color w:val="auto"/>
        </w:rPr>
      </w:pPr>
      <w:r>
        <w:rPr>
          <w:rFonts w:ascii="Arial" w:cs="Arial" w:eastAsia="Arial" w:hAnsi="Arial"/>
          <w:sz w:val="17"/>
          <w:szCs w:val="17"/>
          <w:color w:val="auto"/>
        </w:rPr>
        <w:t>As of December 31, 2022, the Group has investment repurchase agreements at amortized cost for an estimated fair value of S/3,540.5 million. As of December 31, 2021, the amount amounted to S/3,854.0 million, whose related liability is presented in the caption "Accounts payable for repurchase agreements and securities lending" of the condensed interim consolidated statement of financial position, see note 5(c).</w:t>
      </w:r>
    </w:p>
    <w:p>
      <w:pPr>
        <w:spacing w:after="0" w:line="180" w:lineRule="exact"/>
        <w:rPr>
          <w:sz w:val="20"/>
          <w:szCs w:val="20"/>
          <w:color w:val="auto"/>
        </w:rPr>
      </w:pPr>
    </w:p>
    <w:p>
      <w:pPr>
        <w:ind w:left="304" w:right="20" w:hanging="304"/>
        <w:spacing w:after="0" w:line="241" w:lineRule="auto"/>
        <w:tabs>
          <w:tab w:leader="none" w:pos="304" w:val="left"/>
        </w:tabs>
        <w:numPr>
          <w:ilvl w:val="0"/>
          <w:numId w:val="85"/>
        </w:numPr>
        <w:rPr>
          <w:rFonts w:ascii="Arial" w:cs="Arial" w:eastAsia="Arial" w:hAnsi="Arial"/>
          <w:sz w:val="17"/>
          <w:szCs w:val="17"/>
          <w:color w:val="auto"/>
        </w:rPr>
      </w:pPr>
      <w:r>
        <w:rPr>
          <w:rFonts w:ascii="Arial" w:cs="Arial" w:eastAsia="Arial" w:hAnsi="Arial"/>
          <w:sz w:val="17"/>
          <w:szCs w:val="17"/>
          <w:color w:val="auto"/>
        </w:rPr>
        <w:t>As of December 31, 2022, there are 57 certificates of Annual Acknowledgment of Work Progress Payment - CRPAO (89 CRPAO as of December 31, 2021), issued by the Peruvian State to finance projects and concessions. Said issuance is a mechanism established in the concession contract signed between the State and the concessionaire, which allows the latter to obtain financing to continue with the work undertaken. Said investment matures between January 2023 and April 2026, accruing interest at an effective annual rate between 6.20 percent and 7.59 percent (between January 2022 and April 2026, accruing interest at an effective annual rate between 2.32 percent and 4.26 percent as of December 31, 2021).</w:t>
      </w:r>
    </w:p>
    <w:p>
      <w:pPr>
        <w:spacing w:after="0" w:line="182" w:lineRule="exact"/>
        <w:rPr>
          <w:sz w:val="20"/>
          <w:szCs w:val="20"/>
          <w:color w:val="auto"/>
        </w:rPr>
      </w:pPr>
    </w:p>
    <w:p>
      <w:pPr>
        <w:ind w:left="4"/>
        <w:spacing w:after="0" w:line="254" w:lineRule="auto"/>
        <w:rPr>
          <w:sz w:val="20"/>
          <w:szCs w:val="20"/>
          <w:color w:val="auto"/>
        </w:rPr>
      </w:pPr>
      <w:r>
        <w:rPr>
          <w:rFonts w:ascii="Arial" w:cs="Arial" w:eastAsia="Arial" w:hAnsi="Arial"/>
          <w:sz w:val="17"/>
          <w:szCs w:val="17"/>
          <w:color w:val="auto"/>
        </w:rPr>
        <w:t>The increase in bonds at amortized cost is due to the fact that, in October 2022, Banco de Crédito del Perú reclassified its portfolio of bonds at fair value through other comprehensive income at amortized cost due to a change in its business model, see note 6(b).</w:t>
      </w:r>
    </w:p>
    <w:p>
      <w:pPr>
        <w:spacing w:after="0" w:line="143" w:lineRule="exact"/>
        <w:rPr>
          <w:sz w:val="20"/>
          <w:szCs w:val="20"/>
          <w:color w:val="auto"/>
        </w:rPr>
      </w:pPr>
    </w:p>
    <w:p>
      <w:pPr>
        <w:ind w:left="4484"/>
        <w:spacing w:after="0"/>
        <w:rPr>
          <w:sz w:val="20"/>
          <w:szCs w:val="20"/>
          <w:color w:val="auto"/>
        </w:rPr>
      </w:pPr>
      <w:r>
        <w:rPr>
          <w:rFonts w:ascii="Arial" w:cs="Arial" w:eastAsia="Arial" w:hAnsi="Arial"/>
          <w:sz w:val="17"/>
          <w:szCs w:val="17"/>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74" w:name="page75"/>
    <w:bookmarkEnd w:id="74"/>
    <w:p>
      <w:pPr>
        <w:ind w:left="620"/>
        <w:spacing w:after="0"/>
        <w:tabs>
          <w:tab w:leader="none" w:pos="920" w:val="left"/>
        </w:tabs>
        <w:rPr>
          <w:sz w:val="20"/>
          <w:szCs w:val="20"/>
          <w:color w:val="auto"/>
        </w:rPr>
      </w:pPr>
      <w:r>
        <w:rPr>
          <w:rFonts w:ascii="Arial" w:cs="Arial" w:eastAsia="Arial" w:hAnsi="Arial"/>
          <w:sz w:val="17"/>
          <w:szCs w:val="17"/>
          <w:color w:val="auto"/>
        </w:rPr>
        <w:t>d)</w:t>
        <w:tab/>
        <w:t>The table below shows the balance of investments classified by maturity, without consider accrued interest or provision for credit loss:</w:t>
      </w:r>
    </w:p>
    <w:p>
      <w:pPr>
        <w:sectPr>
          <w:pgSz w:w="11900" w:h="16838" w:orient="portrait"/>
          <w:cols w:equalWidth="0" w:num="1">
            <w:col w:w="11240"/>
          </w:cols>
          <w:pgMar w:left="320" w:top="140" w:right="33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64"/>
        </w:trPr>
        <w:tc>
          <w:tcPr>
            <w:tcW w:w="4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20" w:type="dxa"/>
            <w:vAlign w:val="bottom"/>
            <w:gridSpan w:val="2"/>
          </w:tcPr>
          <w:p>
            <w:pPr>
              <w:ind w:left="40"/>
              <w:spacing w:after="0" w:line="164" w:lineRule="exact"/>
              <w:rPr>
                <w:sz w:val="20"/>
                <w:szCs w:val="20"/>
                <w:color w:val="auto"/>
              </w:rPr>
            </w:pPr>
            <w:r>
              <w:rPr>
                <w:rFonts w:ascii="Arial" w:cs="Arial" w:eastAsia="Arial" w:hAnsi="Arial"/>
                <w:sz w:val="17"/>
                <w:szCs w:val="17"/>
                <w:b w:val="1"/>
                <w:bCs w:val="1"/>
                <w:color w:val="auto"/>
              </w:rPr>
              <w:t>At fair value</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4"/>
        </w:trPr>
        <w:tc>
          <w:tcPr>
            <w:tcW w:w="4500" w:type="dxa"/>
            <w:vAlign w:val="bottom"/>
          </w:tcPr>
          <w:p>
            <w:pPr>
              <w:spacing w:after="0"/>
              <w:rPr>
                <w:sz w:val="16"/>
                <w:szCs w:val="16"/>
                <w:color w:val="auto"/>
              </w:rPr>
            </w:pPr>
          </w:p>
        </w:tc>
        <w:tc>
          <w:tcPr>
            <w:tcW w:w="232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At fair value</w:t>
            </w:r>
          </w:p>
        </w:tc>
        <w:tc>
          <w:tcPr>
            <w:tcW w:w="262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through other</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232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through profit</w:t>
            </w:r>
          </w:p>
        </w:tc>
        <w:tc>
          <w:tcPr>
            <w:tcW w:w="262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comprehensive</w:t>
            </w:r>
          </w:p>
        </w:tc>
        <w:tc>
          <w:tcPr>
            <w:tcW w:w="1620" w:type="dxa"/>
            <w:vAlign w:val="bottom"/>
          </w:tcPr>
          <w:p>
            <w:pPr>
              <w:ind w:left="60"/>
              <w:spacing w:after="0" w:line="194" w:lineRule="exact"/>
              <w:rPr>
                <w:sz w:val="20"/>
                <w:szCs w:val="20"/>
                <w:color w:val="auto"/>
              </w:rPr>
            </w:pPr>
            <w:r>
              <w:rPr>
                <w:rFonts w:ascii="Arial" w:cs="Arial" w:eastAsia="Arial" w:hAnsi="Arial"/>
                <w:sz w:val="17"/>
                <w:szCs w:val="17"/>
                <w:b w:val="1"/>
                <w:bCs w:val="1"/>
                <w:color w:val="auto"/>
              </w:rPr>
              <w:t>Amortized</w:t>
            </w:r>
          </w:p>
        </w:tc>
        <w:tc>
          <w:tcPr>
            <w:tcW w:w="180" w:type="dxa"/>
            <w:vAlign w:val="bottom"/>
          </w:tcPr>
          <w:p>
            <w:pPr>
              <w:spacing w:after="0"/>
              <w:rPr>
                <w:sz w:val="16"/>
                <w:szCs w:val="16"/>
                <w:color w:val="auto"/>
              </w:rPr>
            </w:pPr>
          </w:p>
        </w:tc>
      </w:tr>
      <w:tr>
        <w:trPr>
          <w:trHeight w:val="217"/>
        </w:trPr>
        <w:tc>
          <w:tcPr>
            <w:tcW w:w="4500" w:type="dxa"/>
            <w:vAlign w:val="bottom"/>
          </w:tcPr>
          <w:p>
            <w:pPr>
              <w:spacing w:after="0"/>
              <w:rPr>
                <w:sz w:val="18"/>
                <w:szCs w:val="18"/>
                <w:color w:val="auto"/>
              </w:rPr>
            </w:pPr>
          </w:p>
        </w:tc>
        <w:tc>
          <w:tcPr>
            <w:tcW w:w="2320" w:type="dxa"/>
            <w:vAlign w:val="bottom"/>
            <w:gridSpan w:val="2"/>
          </w:tcPr>
          <w:p>
            <w:pPr>
              <w:ind w:left="40"/>
              <w:spacing w:after="0"/>
              <w:rPr>
                <w:sz w:val="20"/>
                <w:szCs w:val="20"/>
                <w:color w:val="auto"/>
              </w:rPr>
            </w:pPr>
            <w:r>
              <w:rPr>
                <w:rFonts w:ascii="Arial" w:cs="Arial" w:eastAsia="Arial" w:hAnsi="Arial"/>
                <w:sz w:val="17"/>
                <w:szCs w:val="17"/>
                <w:b w:val="1"/>
                <w:bCs w:val="1"/>
                <w:color w:val="auto"/>
              </w:rPr>
              <w:t>or loss</w:t>
            </w:r>
          </w:p>
        </w:tc>
        <w:tc>
          <w:tcPr>
            <w:tcW w:w="2620" w:type="dxa"/>
            <w:vAlign w:val="bottom"/>
            <w:gridSpan w:val="2"/>
          </w:tcPr>
          <w:p>
            <w:pPr>
              <w:ind w:left="40"/>
              <w:spacing w:after="0"/>
              <w:rPr>
                <w:sz w:val="20"/>
                <w:szCs w:val="20"/>
                <w:color w:val="auto"/>
              </w:rPr>
            </w:pPr>
            <w:r>
              <w:rPr>
                <w:rFonts w:ascii="Arial" w:cs="Arial" w:eastAsia="Arial" w:hAnsi="Arial"/>
                <w:sz w:val="17"/>
                <w:szCs w:val="17"/>
                <w:b w:val="1"/>
                <w:bCs w:val="1"/>
                <w:color w:val="auto"/>
              </w:rPr>
              <w:t>income</w:t>
            </w:r>
          </w:p>
        </w:tc>
        <w:tc>
          <w:tcPr>
            <w:tcW w:w="1620" w:type="dxa"/>
            <w:vAlign w:val="bottom"/>
          </w:tcPr>
          <w:p>
            <w:pPr>
              <w:ind w:left="60"/>
              <w:spacing w:after="0"/>
              <w:rPr>
                <w:sz w:val="20"/>
                <w:szCs w:val="20"/>
                <w:color w:val="auto"/>
              </w:rPr>
            </w:pPr>
            <w:r>
              <w:rPr>
                <w:rFonts w:ascii="Arial" w:cs="Arial" w:eastAsia="Arial" w:hAnsi="Arial"/>
                <w:sz w:val="17"/>
                <w:szCs w:val="17"/>
                <w:b w:val="1"/>
                <w:bCs w:val="1"/>
                <w:color w:val="auto"/>
              </w:rPr>
              <w:t>cost</w:t>
            </w:r>
          </w:p>
        </w:tc>
        <w:tc>
          <w:tcPr>
            <w:tcW w:w="180" w:type="dxa"/>
            <w:vAlign w:val="bottom"/>
          </w:tcPr>
          <w:p>
            <w:pPr>
              <w:spacing w:after="0"/>
              <w:rPr>
                <w:sz w:val="18"/>
                <w:szCs w:val="18"/>
                <w:color w:val="auto"/>
              </w:rPr>
            </w:pPr>
          </w:p>
        </w:tc>
      </w:tr>
      <w:tr>
        <w:trPr>
          <w:trHeight w:val="223"/>
        </w:trPr>
        <w:tc>
          <w:tcPr>
            <w:tcW w:w="4500" w:type="dxa"/>
            <w:vAlign w:val="bottom"/>
          </w:tcPr>
          <w:p>
            <w:pPr>
              <w:spacing w:after="0"/>
              <w:rPr>
                <w:sz w:val="19"/>
                <w:szCs w:val="19"/>
                <w:color w:val="auto"/>
              </w:rPr>
            </w:pPr>
          </w:p>
        </w:tc>
        <w:tc>
          <w:tcPr>
            <w:tcW w:w="1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500" w:type="dxa"/>
            <w:vAlign w:val="bottom"/>
          </w:tcPr>
          <w:p>
            <w:pPr>
              <w:spacing w:after="0"/>
              <w:rPr>
                <w:sz w:val="19"/>
                <w:szCs w:val="19"/>
                <w:color w:val="auto"/>
              </w:rPr>
            </w:pPr>
          </w:p>
        </w:tc>
        <w:tc>
          <w:tcPr>
            <w:tcW w:w="21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500" w:type="dxa"/>
            <w:vAlign w:val="bottom"/>
          </w:tcPr>
          <w:p>
            <w:pPr>
              <w:spacing w:after="0"/>
              <w:rPr>
                <w:sz w:val="19"/>
                <w:szCs w:val="19"/>
                <w:color w:val="auto"/>
              </w:rPr>
            </w:pPr>
          </w:p>
        </w:tc>
        <w:tc>
          <w:tcPr>
            <w:tcW w:w="1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4500" w:type="dxa"/>
            <w:vAlign w:val="bottom"/>
          </w:tcPr>
          <w:p>
            <w:pPr>
              <w:ind w:left="940"/>
              <w:spacing w:after="0"/>
              <w:rPr>
                <w:sz w:val="20"/>
                <w:szCs w:val="20"/>
                <w:color w:val="auto"/>
              </w:rPr>
            </w:pPr>
            <w:r>
              <w:rPr>
                <w:rFonts w:ascii="Arial" w:cs="Arial" w:eastAsia="Arial" w:hAnsi="Arial"/>
                <w:sz w:val="17"/>
                <w:szCs w:val="17"/>
                <w:color w:val="auto"/>
              </w:rPr>
              <w:t>Up to 3 months</w:t>
            </w:r>
          </w:p>
        </w:tc>
        <w:tc>
          <w:tcPr>
            <w:tcW w:w="1820" w:type="dxa"/>
            <w:vAlign w:val="bottom"/>
          </w:tcPr>
          <w:p>
            <w:pPr>
              <w:jc w:val="right"/>
              <w:spacing w:after="0"/>
              <w:rPr>
                <w:sz w:val="20"/>
                <w:szCs w:val="20"/>
                <w:color w:val="auto"/>
              </w:rPr>
            </w:pPr>
            <w:r>
              <w:rPr>
                <w:rFonts w:ascii="Arial" w:cs="Arial" w:eastAsia="Arial" w:hAnsi="Arial"/>
                <w:sz w:val="17"/>
                <w:szCs w:val="17"/>
                <w:color w:val="auto"/>
              </w:rPr>
              <w:t>296,347</w:t>
            </w:r>
          </w:p>
        </w:tc>
        <w:tc>
          <w:tcPr>
            <w:tcW w:w="5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8,246,819</w:t>
            </w:r>
          </w:p>
        </w:tc>
        <w:tc>
          <w:tcPr>
            <w:tcW w:w="5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191,098</w:t>
            </w:r>
          </w:p>
        </w:tc>
        <w:tc>
          <w:tcPr>
            <w:tcW w:w="180" w:type="dxa"/>
            <w:vAlign w:val="bottom"/>
          </w:tcPr>
          <w:p>
            <w:pPr>
              <w:spacing w:after="0"/>
              <w:rPr>
                <w:sz w:val="24"/>
                <w:szCs w:val="24"/>
                <w:color w:val="auto"/>
              </w:rPr>
            </w:pPr>
          </w:p>
        </w:tc>
      </w:tr>
      <w:tr>
        <w:trPr>
          <w:trHeight w:val="194"/>
        </w:trPr>
        <w:tc>
          <w:tcPr>
            <w:tcW w:w="4500" w:type="dxa"/>
            <w:vAlign w:val="bottom"/>
          </w:tcPr>
          <w:p>
            <w:pPr>
              <w:ind w:left="940"/>
              <w:spacing w:after="0" w:line="194" w:lineRule="exact"/>
              <w:rPr>
                <w:sz w:val="20"/>
                <w:szCs w:val="20"/>
                <w:color w:val="auto"/>
              </w:rPr>
            </w:pPr>
            <w:r>
              <w:rPr>
                <w:rFonts w:ascii="Arial" w:cs="Arial" w:eastAsia="Arial" w:hAnsi="Arial"/>
                <w:sz w:val="17"/>
                <w:szCs w:val="17"/>
                <w:color w:val="auto"/>
              </w:rPr>
              <w:t>From 3 months to 1 year</w:t>
            </w:r>
          </w:p>
        </w:tc>
        <w:tc>
          <w:tcPr>
            <w:tcW w:w="1820" w:type="dxa"/>
            <w:vAlign w:val="bottom"/>
          </w:tcPr>
          <w:p>
            <w:pPr>
              <w:jc w:val="right"/>
              <w:spacing w:after="0" w:line="194" w:lineRule="exact"/>
              <w:rPr>
                <w:sz w:val="20"/>
                <w:szCs w:val="20"/>
                <w:color w:val="auto"/>
              </w:rPr>
            </w:pPr>
            <w:r>
              <w:rPr>
                <w:rFonts w:ascii="Arial" w:cs="Arial" w:eastAsia="Arial" w:hAnsi="Arial"/>
                <w:sz w:val="17"/>
                <w:szCs w:val="17"/>
                <w:color w:val="auto"/>
              </w:rPr>
              <w:t>358,233</w:t>
            </w:r>
          </w:p>
        </w:tc>
        <w:tc>
          <w:tcPr>
            <w:tcW w:w="500" w:type="dxa"/>
            <w:vAlign w:val="bottom"/>
          </w:tcPr>
          <w:p>
            <w:pPr>
              <w:spacing w:after="0"/>
              <w:rPr>
                <w:sz w:val="16"/>
                <w:szCs w:val="16"/>
                <w:color w:val="auto"/>
              </w:rPr>
            </w:pPr>
          </w:p>
        </w:tc>
        <w:tc>
          <w:tcPr>
            <w:tcW w:w="2120" w:type="dxa"/>
            <w:vAlign w:val="bottom"/>
          </w:tcPr>
          <w:p>
            <w:pPr>
              <w:jc w:val="right"/>
              <w:spacing w:after="0" w:line="194" w:lineRule="exact"/>
              <w:rPr>
                <w:sz w:val="20"/>
                <w:szCs w:val="20"/>
                <w:color w:val="auto"/>
              </w:rPr>
            </w:pPr>
            <w:r>
              <w:rPr>
                <w:rFonts w:ascii="Arial" w:cs="Arial" w:eastAsia="Arial" w:hAnsi="Arial"/>
                <w:sz w:val="17"/>
                <w:szCs w:val="17"/>
                <w:color w:val="auto"/>
              </w:rPr>
              <w:t>2,599,972</w:t>
            </w:r>
          </w:p>
        </w:tc>
        <w:tc>
          <w:tcPr>
            <w:tcW w:w="50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Arial" w:cs="Arial" w:eastAsia="Arial" w:hAnsi="Arial"/>
                <w:sz w:val="17"/>
                <w:szCs w:val="17"/>
                <w:color w:val="auto"/>
              </w:rPr>
              <w:t>343,670</w:t>
            </w:r>
          </w:p>
        </w:tc>
        <w:tc>
          <w:tcPr>
            <w:tcW w:w="180" w:type="dxa"/>
            <w:vAlign w:val="bottom"/>
          </w:tcPr>
          <w:p>
            <w:pPr>
              <w:spacing w:after="0"/>
              <w:rPr>
                <w:sz w:val="16"/>
                <w:szCs w:val="16"/>
                <w:color w:val="auto"/>
              </w:rPr>
            </w:pPr>
          </w:p>
        </w:tc>
      </w:tr>
      <w:tr>
        <w:trPr>
          <w:trHeight w:val="194"/>
        </w:trPr>
        <w:tc>
          <w:tcPr>
            <w:tcW w:w="4500" w:type="dxa"/>
            <w:vAlign w:val="bottom"/>
          </w:tcPr>
          <w:p>
            <w:pPr>
              <w:ind w:left="940"/>
              <w:spacing w:after="0" w:line="194" w:lineRule="exact"/>
              <w:rPr>
                <w:sz w:val="20"/>
                <w:szCs w:val="20"/>
                <w:color w:val="auto"/>
              </w:rPr>
            </w:pPr>
            <w:r>
              <w:rPr>
                <w:rFonts w:ascii="Arial" w:cs="Arial" w:eastAsia="Arial" w:hAnsi="Arial"/>
                <w:sz w:val="17"/>
                <w:szCs w:val="17"/>
                <w:color w:val="auto"/>
              </w:rPr>
              <w:t>From 1 to 3 years</w:t>
            </w:r>
          </w:p>
        </w:tc>
        <w:tc>
          <w:tcPr>
            <w:tcW w:w="1820" w:type="dxa"/>
            <w:vAlign w:val="bottom"/>
          </w:tcPr>
          <w:p>
            <w:pPr>
              <w:jc w:val="right"/>
              <w:spacing w:after="0" w:line="194" w:lineRule="exact"/>
              <w:rPr>
                <w:sz w:val="20"/>
                <w:szCs w:val="20"/>
                <w:color w:val="auto"/>
              </w:rPr>
            </w:pPr>
            <w:r>
              <w:rPr>
                <w:rFonts w:ascii="Arial" w:cs="Arial" w:eastAsia="Arial" w:hAnsi="Arial"/>
                <w:sz w:val="17"/>
                <w:szCs w:val="17"/>
                <w:color w:val="auto"/>
              </w:rPr>
              <w:t>348,755</w:t>
            </w:r>
          </w:p>
        </w:tc>
        <w:tc>
          <w:tcPr>
            <w:tcW w:w="500" w:type="dxa"/>
            <w:vAlign w:val="bottom"/>
          </w:tcPr>
          <w:p>
            <w:pPr>
              <w:spacing w:after="0"/>
              <w:rPr>
                <w:sz w:val="16"/>
                <w:szCs w:val="16"/>
                <w:color w:val="auto"/>
              </w:rPr>
            </w:pPr>
          </w:p>
        </w:tc>
        <w:tc>
          <w:tcPr>
            <w:tcW w:w="2120" w:type="dxa"/>
            <w:vAlign w:val="bottom"/>
          </w:tcPr>
          <w:p>
            <w:pPr>
              <w:jc w:val="right"/>
              <w:spacing w:after="0" w:line="194" w:lineRule="exact"/>
              <w:rPr>
                <w:sz w:val="20"/>
                <w:szCs w:val="20"/>
                <w:color w:val="auto"/>
              </w:rPr>
            </w:pPr>
            <w:r>
              <w:rPr>
                <w:rFonts w:ascii="Arial" w:cs="Arial" w:eastAsia="Arial" w:hAnsi="Arial"/>
                <w:sz w:val="17"/>
                <w:szCs w:val="17"/>
                <w:color w:val="auto"/>
              </w:rPr>
              <w:t>4,088,478</w:t>
            </w:r>
          </w:p>
        </w:tc>
        <w:tc>
          <w:tcPr>
            <w:tcW w:w="50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Arial" w:cs="Arial" w:eastAsia="Arial" w:hAnsi="Arial"/>
                <w:sz w:val="17"/>
                <w:szCs w:val="17"/>
                <w:color w:val="auto"/>
              </w:rPr>
              <w:t>1,456,530</w:t>
            </w:r>
          </w:p>
        </w:tc>
        <w:tc>
          <w:tcPr>
            <w:tcW w:w="180" w:type="dxa"/>
            <w:vAlign w:val="bottom"/>
          </w:tcPr>
          <w:p>
            <w:pPr>
              <w:spacing w:after="0"/>
              <w:rPr>
                <w:sz w:val="16"/>
                <w:szCs w:val="16"/>
                <w:color w:val="auto"/>
              </w:rPr>
            </w:pPr>
          </w:p>
        </w:tc>
      </w:tr>
      <w:tr>
        <w:trPr>
          <w:trHeight w:val="194"/>
        </w:trPr>
        <w:tc>
          <w:tcPr>
            <w:tcW w:w="4500" w:type="dxa"/>
            <w:vAlign w:val="bottom"/>
          </w:tcPr>
          <w:p>
            <w:pPr>
              <w:ind w:left="940"/>
              <w:spacing w:after="0" w:line="194" w:lineRule="exact"/>
              <w:rPr>
                <w:sz w:val="20"/>
                <w:szCs w:val="20"/>
                <w:color w:val="auto"/>
              </w:rPr>
            </w:pPr>
            <w:r>
              <w:rPr>
                <w:rFonts w:ascii="Arial" w:cs="Arial" w:eastAsia="Arial" w:hAnsi="Arial"/>
                <w:sz w:val="17"/>
                <w:szCs w:val="17"/>
                <w:color w:val="auto"/>
              </w:rPr>
              <w:t>From 3 to 5 years</w:t>
            </w:r>
          </w:p>
        </w:tc>
        <w:tc>
          <w:tcPr>
            <w:tcW w:w="1820" w:type="dxa"/>
            <w:vAlign w:val="bottom"/>
          </w:tcPr>
          <w:p>
            <w:pPr>
              <w:jc w:val="right"/>
              <w:spacing w:after="0" w:line="194" w:lineRule="exact"/>
              <w:rPr>
                <w:sz w:val="20"/>
                <w:szCs w:val="20"/>
                <w:color w:val="auto"/>
              </w:rPr>
            </w:pPr>
            <w:r>
              <w:rPr>
                <w:rFonts w:ascii="Arial" w:cs="Arial" w:eastAsia="Arial" w:hAnsi="Arial"/>
                <w:sz w:val="17"/>
                <w:szCs w:val="17"/>
                <w:color w:val="auto"/>
              </w:rPr>
              <w:t>257,643</w:t>
            </w:r>
          </w:p>
        </w:tc>
        <w:tc>
          <w:tcPr>
            <w:tcW w:w="500" w:type="dxa"/>
            <w:vAlign w:val="bottom"/>
          </w:tcPr>
          <w:p>
            <w:pPr>
              <w:spacing w:after="0"/>
              <w:rPr>
                <w:sz w:val="16"/>
                <w:szCs w:val="16"/>
                <w:color w:val="auto"/>
              </w:rPr>
            </w:pPr>
          </w:p>
        </w:tc>
        <w:tc>
          <w:tcPr>
            <w:tcW w:w="2120" w:type="dxa"/>
            <w:vAlign w:val="bottom"/>
          </w:tcPr>
          <w:p>
            <w:pPr>
              <w:jc w:val="right"/>
              <w:spacing w:after="0" w:line="194" w:lineRule="exact"/>
              <w:rPr>
                <w:sz w:val="20"/>
                <w:szCs w:val="20"/>
                <w:color w:val="auto"/>
              </w:rPr>
            </w:pPr>
            <w:r>
              <w:rPr>
                <w:rFonts w:ascii="Arial" w:cs="Arial" w:eastAsia="Arial" w:hAnsi="Arial"/>
                <w:sz w:val="17"/>
                <w:szCs w:val="17"/>
                <w:color w:val="auto"/>
              </w:rPr>
              <w:t>4,374,806</w:t>
            </w:r>
          </w:p>
        </w:tc>
        <w:tc>
          <w:tcPr>
            <w:tcW w:w="50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Arial" w:cs="Arial" w:eastAsia="Arial" w:hAnsi="Arial"/>
                <w:sz w:val="17"/>
                <w:szCs w:val="17"/>
                <w:color w:val="auto"/>
              </w:rPr>
              <w:t>459,604</w:t>
            </w:r>
          </w:p>
        </w:tc>
        <w:tc>
          <w:tcPr>
            <w:tcW w:w="180" w:type="dxa"/>
            <w:vAlign w:val="bottom"/>
          </w:tcPr>
          <w:p>
            <w:pPr>
              <w:spacing w:after="0"/>
              <w:rPr>
                <w:sz w:val="16"/>
                <w:szCs w:val="16"/>
                <w:color w:val="auto"/>
              </w:rPr>
            </w:pPr>
          </w:p>
        </w:tc>
      </w:tr>
      <w:tr>
        <w:trPr>
          <w:trHeight w:val="194"/>
        </w:trPr>
        <w:tc>
          <w:tcPr>
            <w:tcW w:w="4500" w:type="dxa"/>
            <w:vAlign w:val="bottom"/>
          </w:tcPr>
          <w:p>
            <w:pPr>
              <w:ind w:left="940"/>
              <w:spacing w:after="0" w:line="194" w:lineRule="exact"/>
              <w:rPr>
                <w:sz w:val="20"/>
                <w:szCs w:val="20"/>
                <w:color w:val="auto"/>
              </w:rPr>
            </w:pPr>
            <w:r>
              <w:rPr>
                <w:rFonts w:ascii="Arial" w:cs="Arial" w:eastAsia="Arial" w:hAnsi="Arial"/>
                <w:sz w:val="17"/>
                <w:szCs w:val="17"/>
                <w:color w:val="auto"/>
              </w:rPr>
              <w:t>More than 5 years</w:t>
            </w:r>
          </w:p>
        </w:tc>
        <w:tc>
          <w:tcPr>
            <w:tcW w:w="1820" w:type="dxa"/>
            <w:vAlign w:val="bottom"/>
          </w:tcPr>
          <w:p>
            <w:pPr>
              <w:jc w:val="right"/>
              <w:spacing w:after="0" w:line="194" w:lineRule="exact"/>
              <w:rPr>
                <w:sz w:val="20"/>
                <w:szCs w:val="20"/>
                <w:color w:val="auto"/>
              </w:rPr>
            </w:pPr>
            <w:r>
              <w:rPr>
                <w:rFonts w:ascii="Arial" w:cs="Arial" w:eastAsia="Arial" w:hAnsi="Arial"/>
                <w:sz w:val="17"/>
                <w:szCs w:val="17"/>
                <w:color w:val="auto"/>
              </w:rPr>
              <w:t>694,779</w:t>
            </w:r>
          </w:p>
        </w:tc>
        <w:tc>
          <w:tcPr>
            <w:tcW w:w="500" w:type="dxa"/>
            <w:vAlign w:val="bottom"/>
          </w:tcPr>
          <w:p>
            <w:pPr>
              <w:spacing w:after="0"/>
              <w:rPr>
                <w:sz w:val="16"/>
                <w:szCs w:val="16"/>
                <w:color w:val="auto"/>
              </w:rPr>
            </w:pPr>
          </w:p>
        </w:tc>
        <w:tc>
          <w:tcPr>
            <w:tcW w:w="2120" w:type="dxa"/>
            <w:vAlign w:val="bottom"/>
          </w:tcPr>
          <w:p>
            <w:pPr>
              <w:jc w:val="right"/>
              <w:spacing w:after="0" w:line="194" w:lineRule="exact"/>
              <w:rPr>
                <w:sz w:val="20"/>
                <w:szCs w:val="20"/>
                <w:color w:val="auto"/>
              </w:rPr>
            </w:pPr>
            <w:r>
              <w:rPr>
                <w:rFonts w:ascii="Arial" w:cs="Arial" w:eastAsia="Arial" w:hAnsi="Arial"/>
                <w:sz w:val="17"/>
                <w:szCs w:val="17"/>
                <w:color w:val="auto"/>
              </w:rPr>
              <w:t>10,742,851</w:t>
            </w:r>
          </w:p>
        </w:tc>
        <w:tc>
          <w:tcPr>
            <w:tcW w:w="50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Arial" w:cs="Arial" w:eastAsia="Arial" w:hAnsi="Arial"/>
                <w:sz w:val="17"/>
                <w:szCs w:val="17"/>
                <w:color w:val="auto"/>
              </w:rPr>
              <w:t>7,776,125</w:t>
            </w:r>
          </w:p>
        </w:tc>
        <w:tc>
          <w:tcPr>
            <w:tcW w:w="180" w:type="dxa"/>
            <w:vAlign w:val="bottom"/>
          </w:tcPr>
          <w:p>
            <w:pPr>
              <w:spacing w:after="0"/>
              <w:rPr>
                <w:sz w:val="16"/>
                <w:szCs w:val="16"/>
                <w:color w:val="auto"/>
              </w:rPr>
            </w:pPr>
          </w:p>
        </w:tc>
      </w:tr>
      <w:tr>
        <w:trPr>
          <w:trHeight w:val="195"/>
        </w:trPr>
        <w:tc>
          <w:tcPr>
            <w:tcW w:w="4500" w:type="dxa"/>
            <w:vAlign w:val="bottom"/>
          </w:tcPr>
          <w:p>
            <w:pPr>
              <w:ind w:left="940"/>
              <w:spacing w:after="0"/>
              <w:rPr>
                <w:sz w:val="20"/>
                <w:szCs w:val="20"/>
                <w:color w:val="auto"/>
              </w:rPr>
            </w:pPr>
            <w:r>
              <w:rPr>
                <w:rFonts w:ascii="Arial" w:cs="Arial" w:eastAsia="Arial" w:hAnsi="Arial"/>
                <w:sz w:val="17"/>
                <w:szCs w:val="17"/>
                <w:color w:val="auto"/>
              </w:rPr>
              <w:t>Without maturity</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2,241,802</w:t>
            </w:r>
          </w:p>
        </w:tc>
        <w:tc>
          <w:tcPr>
            <w:tcW w:w="500" w:type="dxa"/>
            <w:vAlign w:val="bottom"/>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336,355</w:t>
            </w:r>
          </w:p>
        </w:tc>
        <w:tc>
          <w:tcPr>
            <w:tcW w:w="500" w:type="dxa"/>
            <w:vAlign w:val="bottom"/>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3"/>
        </w:trPr>
        <w:tc>
          <w:tcPr>
            <w:tcW w:w="4500" w:type="dxa"/>
            <w:vAlign w:val="bottom"/>
          </w:tcPr>
          <w:p>
            <w:pPr>
              <w:ind w:left="940"/>
              <w:spacing w:after="0" w:line="187" w:lineRule="exact"/>
              <w:rPr>
                <w:sz w:val="20"/>
                <w:szCs w:val="20"/>
                <w:color w:val="auto"/>
              </w:rPr>
            </w:pPr>
            <w:r>
              <w:rPr>
                <w:rFonts w:ascii="Arial" w:cs="Arial" w:eastAsia="Arial" w:hAnsi="Arial"/>
                <w:sz w:val="17"/>
                <w:szCs w:val="17"/>
                <w:b w:val="1"/>
                <w:bCs w:val="1"/>
                <w:color w:val="auto"/>
              </w:rPr>
              <w:t>Total</w:t>
            </w:r>
          </w:p>
        </w:tc>
        <w:tc>
          <w:tcPr>
            <w:tcW w:w="18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4,197,559</w:t>
            </w:r>
          </w:p>
        </w:tc>
        <w:tc>
          <w:tcPr>
            <w:tcW w:w="500" w:type="dxa"/>
            <w:vAlign w:val="bottom"/>
          </w:tcPr>
          <w:p>
            <w:pPr>
              <w:spacing w:after="0"/>
              <w:rPr>
                <w:sz w:val="16"/>
                <w:szCs w:val="16"/>
                <w:color w:val="auto"/>
              </w:rPr>
            </w:pPr>
          </w:p>
        </w:tc>
        <w:tc>
          <w:tcPr>
            <w:tcW w:w="2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30,389,281</w:t>
            </w:r>
          </w:p>
        </w:tc>
        <w:tc>
          <w:tcPr>
            <w:tcW w:w="500" w:type="dxa"/>
            <w:vAlign w:val="bottom"/>
          </w:tcPr>
          <w:p>
            <w:pPr>
              <w:spacing w:after="0"/>
              <w:rPr>
                <w:sz w:val="16"/>
                <w:szCs w:val="16"/>
                <w:color w:val="auto"/>
              </w:rPr>
            </w:pPr>
          </w:p>
        </w:tc>
        <w:tc>
          <w:tcPr>
            <w:tcW w:w="16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10,227,027</w:t>
            </w:r>
          </w:p>
        </w:tc>
        <w:tc>
          <w:tcPr>
            <w:tcW w:w="180" w:type="dxa"/>
            <w:vAlign w:val="bottom"/>
          </w:tcPr>
          <w:p>
            <w:pPr>
              <w:spacing w:after="0"/>
              <w:rPr>
                <w:sz w:val="16"/>
                <w:szCs w:val="16"/>
                <w:color w:val="auto"/>
              </w:rPr>
            </w:pPr>
          </w:p>
        </w:tc>
      </w:tr>
      <w:tr>
        <w:trPr>
          <w:trHeight w:val="389"/>
        </w:trPr>
        <w:tc>
          <w:tcPr>
            <w:tcW w:w="4500" w:type="dxa"/>
            <w:vAlign w:val="bottom"/>
          </w:tcPr>
          <w:p>
            <w:pPr>
              <w:spacing w:after="0"/>
              <w:rPr>
                <w:sz w:val="24"/>
                <w:szCs w:val="24"/>
                <w:color w:val="auto"/>
              </w:rPr>
            </w:pP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64"/>
        </w:trPr>
        <w:tc>
          <w:tcPr>
            <w:tcW w:w="4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20" w:type="dxa"/>
            <w:vAlign w:val="bottom"/>
            <w:gridSpan w:val="2"/>
          </w:tcPr>
          <w:p>
            <w:pPr>
              <w:ind w:left="40"/>
              <w:spacing w:after="0" w:line="164" w:lineRule="exact"/>
              <w:rPr>
                <w:sz w:val="20"/>
                <w:szCs w:val="20"/>
                <w:color w:val="auto"/>
              </w:rPr>
            </w:pPr>
            <w:r>
              <w:rPr>
                <w:rFonts w:ascii="Arial" w:cs="Arial" w:eastAsia="Arial" w:hAnsi="Arial"/>
                <w:sz w:val="17"/>
                <w:szCs w:val="17"/>
                <w:b w:val="1"/>
                <w:bCs w:val="1"/>
                <w:color w:val="auto"/>
              </w:rPr>
              <w:t>At fair value</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4"/>
        </w:trPr>
        <w:tc>
          <w:tcPr>
            <w:tcW w:w="4500" w:type="dxa"/>
            <w:vAlign w:val="bottom"/>
          </w:tcPr>
          <w:p>
            <w:pPr>
              <w:spacing w:after="0"/>
              <w:rPr>
                <w:sz w:val="16"/>
                <w:szCs w:val="16"/>
                <w:color w:val="auto"/>
              </w:rPr>
            </w:pPr>
          </w:p>
        </w:tc>
        <w:tc>
          <w:tcPr>
            <w:tcW w:w="232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At fair value</w:t>
            </w:r>
          </w:p>
        </w:tc>
        <w:tc>
          <w:tcPr>
            <w:tcW w:w="262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through other</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232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through profit</w:t>
            </w:r>
          </w:p>
        </w:tc>
        <w:tc>
          <w:tcPr>
            <w:tcW w:w="262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comprehensive</w:t>
            </w:r>
          </w:p>
        </w:tc>
        <w:tc>
          <w:tcPr>
            <w:tcW w:w="1620" w:type="dxa"/>
            <w:vAlign w:val="bottom"/>
          </w:tcPr>
          <w:p>
            <w:pPr>
              <w:ind w:left="60"/>
              <w:spacing w:after="0" w:line="194" w:lineRule="exact"/>
              <w:rPr>
                <w:sz w:val="20"/>
                <w:szCs w:val="20"/>
                <w:color w:val="auto"/>
              </w:rPr>
            </w:pPr>
            <w:r>
              <w:rPr>
                <w:rFonts w:ascii="Arial" w:cs="Arial" w:eastAsia="Arial" w:hAnsi="Arial"/>
                <w:sz w:val="17"/>
                <w:szCs w:val="17"/>
                <w:b w:val="1"/>
                <w:bCs w:val="1"/>
                <w:color w:val="auto"/>
              </w:rPr>
              <w:t>Amortized</w:t>
            </w:r>
          </w:p>
        </w:tc>
        <w:tc>
          <w:tcPr>
            <w:tcW w:w="180" w:type="dxa"/>
            <w:vAlign w:val="bottom"/>
          </w:tcPr>
          <w:p>
            <w:pPr>
              <w:spacing w:after="0"/>
              <w:rPr>
                <w:sz w:val="16"/>
                <w:szCs w:val="16"/>
                <w:color w:val="auto"/>
              </w:rPr>
            </w:pPr>
          </w:p>
        </w:tc>
      </w:tr>
      <w:tr>
        <w:trPr>
          <w:trHeight w:val="217"/>
        </w:trPr>
        <w:tc>
          <w:tcPr>
            <w:tcW w:w="4500" w:type="dxa"/>
            <w:vAlign w:val="bottom"/>
          </w:tcPr>
          <w:p>
            <w:pPr>
              <w:spacing w:after="0"/>
              <w:rPr>
                <w:sz w:val="18"/>
                <w:szCs w:val="18"/>
                <w:color w:val="auto"/>
              </w:rPr>
            </w:pPr>
          </w:p>
        </w:tc>
        <w:tc>
          <w:tcPr>
            <w:tcW w:w="2320" w:type="dxa"/>
            <w:vAlign w:val="bottom"/>
            <w:gridSpan w:val="2"/>
          </w:tcPr>
          <w:p>
            <w:pPr>
              <w:ind w:left="40"/>
              <w:spacing w:after="0"/>
              <w:rPr>
                <w:sz w:val="20"/>
                <w:szCs w:val="20"/>
                <w:color w:val="auto"/>
              </w:rPr>
            </w:pPr>
            <w:r>
              <w:rPr>
                <w:rFonts w:ascii="Arial" w:cs="Arial" w:eastAsia="Arial" w:hAnsi="Arial"/>
                <w:sz w:val="17"/>
                <w:szCs w:val="17"/>
                <w:b w:val="1"/>
                <w:bCs w:val="1"/>
                <w:color w:val="auto"/>
              </w:rPr>
              <w:t>or loss</w:t>
            </w:r>
          </w:p>
        </w:tc>
        <w:tc>
          <w:tcPr>
            <w:tcW w:w="2620" w:type="dxa"/>
            <w:vAlign w:val="bottom"/>
            <w:gridSpan w:val="2"/>
          </w:tcPr>
          <w:p>
            <w:pPr>
              <w:ind w:left="40"/>
              <w:spacing w:after="0"/>
              <w:rPr>
                <w:sz w:val="20"/>
                <w:szCs w:val="20"/>
                <w:color w:val="auto"/>
              </w:rPr>
            </w:pPr>
            <w:r>
              <w:rPr>
                <w:rFonts w:ascii="Arial" w:cs="Arial" w:eastAsia="Arial" w:hAnsi="Arial"/>
                <w:sz w:val="17"/>
                <w:szCs w:val="17"/>
                <w:b w:val="1"/>
                <w:bCs w:val="1"/>
                <w:color w:val="auto"/>
              </w:rPr>
              <w:t>income</w:t>
            </w:r>
          </w:p>
        </w:tc>
        <w:tc>
          <w:tcPr>
            <w:tcW w:w="1620" w:type="dxa"/>
            <w:vAlign w:val="bottom"/>
          </w:tcPr>
          <w:p>
            <w:pPr>
              <w:ind w:left="60"/>
              <w:spacing w:after="0"/>
              <w:rPr>
                <w:sz w:val="20"/>
                <w:szCs w:val="20"/>
                <w:color w:val="auto"/>
              </w:rPr>
            </w:pPr>
            <w:r>
              <w:rPr>
                <w:rFonts w:ascii="Arial" w:cs="Arial" w:eastAsia="Arial" w:hAnsi="Arial"/>
                <w:sz w:val="17"/>
                <w:szCs w:val="17"/>
                <w:b w:val="1"/>
                <w:bCs w:val="1"/>
                <w:color w:val="auto"/>
              </w:rPr>
              <w:t>cost</w:t>
            </w:r>
          </w:p>
        </w:tc>
        <w:tc>
          <w:tcPr>
            <w:tcW w:w="180" w:type="dxa"/>
            <w:vAlign w:val="bottom"/>
          </w:tcPr>
          <w:p>
            <w:pPr>
              <w:spacing w:after="0"/>
              <w:rPr>
                <w:sz w:val="18"/>
                <w:szCs w:val="18"/>
                <w:color w:val="auto"/>
              </w:rPr>
            </w:pPr>
          </w:p>
        </w:tc>
      </w:tr>
      <w:tr>
        <w:trPr>
          <w:trHeight w:val="223"/>
        </w:trPr>
        <w:tc>
          <w:tcPr>
            <w:tcW w:w="4500" w:type="dxa"/>
            <w:vAlign w:val="bottom"/>
          </w:tcPr>
          <w:p>
            <w:pPr>
              <w:spacing w:after="0"/>
              <w:rPr>
                <w:sz w:val="19"/>
                <w:szCs w:val="19"/>
                <w:color w:val="auto"/>
              </w:rPr>
            </w:pPr>
          </w:p>
        </w:tc>
        <w:tc>
          <w:tcPr>
            <w:tcW w:w="1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500" w:type="dxa"/>
            <w:vAlign w:val="bottom"/>
          </w:tcPr>
          <w:p>
            <w:pPr>
              <w:spacing w:after="0"/>
              <w:rPr>
                <w:sz w:val="19"/>
                <w:szCs w:val="19"/>
                <w:color w:val="auto"/>
              </w:rPr>
            </w:pPr>
          </w:p>
        </w:tc>
        <w:tc>
          <w:tcPr>
            <w:tcW w:w="21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500" w:type="dxa"/>
            <w:vAlign w:val="bottom"/>
          </w:tcPr>
          <w:p>
            <w:pPr>
              <w:spacing w:after="0"/>
              <w:rPr>
                <w:sz w:val="19"/>
                <w:szCs w:val="19"/>
                <w:color w:val="auto"/>
              </w:rPr>
            </w:pPr>
          </w:p>
        </w:tc>
        <w:tc>
          <w:tcPr>
            <w:tcW w:w="1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4500" w:type="dxa"/>
            <w:vAlign w:val="bottom"/>
          </w:tcPr>
          <w:p>
            <w:pPr>
              <w:ind w:left="940"/>
              <w:spacing w:after="0"/>
              <w:rPr>
                <w:sz w:val="20"/>
                <w:szCs w:val="20"/>
                <w:color w:val="auto"/>
              </w:rPr>
            </w:pPr>
            <w:r>
              <w:rPr>
                <w:rFonts w:ascii="Arial" w:cs="Arial" w:eastAsia="Arial" w:hAnsi="Arial"/>
                <w:sz w:val="17"/>
                <w:szCs w:val="17"/>
                <w:color w:val="auto"/>
              </w:rPr>
              <w:t>Up to 3 months</w:t>
            </w:r>
          </w:p>
        </w:tc>
        <w:tc>
          <w:tcPr>
            <w:tcW w:w="1820" w:type="dxa"/>
            <w:vAlign w:val="bottom"/>
          </w:tcPr>
          <w:p>
            <w:pPr>
              <w:jc w:val="right"/>
              <w:spacing w:after="0"/>
              <w:rPr>
                <w:sz w:val="20"/>
                <w:szCs w:val="20"/>
                <w:color w:val="auto"/>
              </w:rPr>
            </w:pPr>
            <w:r>
              <w:rPr>
                <w:rFonts w:ascii="Arial" w:cs="Arial" w:eastAsia="Arial" w:hAnsi="Arial"/>
                <w:sz w:val="17"/>
                <w:szCs w:val="17"/>
                <w:color w:val="auto"/>
              </w:rPr>
              <w:t>1,172,875</w:t>
            </w:r>
          </w:p>
        </w:tc>
        <w:tc>
          <w:tcPr>
            <w:tcW w:w="5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8,117,458</w:t>
            </w:r>
          </w:p>
        </w:tc>
        <w:tc>
          <w:tcPr>
            <w:tcW w:w="5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78,311</w:t>
            </w:r>
          </w:p>
        </w:tc>
        <w:tc>
          <w:tcPr>
            <w:tcW w:w="180" w:type="dxa"/>
            <w:vAlign w:val="bottom"/>
          </w:tcPr>
          <w:p>
            <w:pPr>
              <w:spacing w:after="0"/>
              <w:rPr>
                <w:sz w:val="24"/>
                <w:szCs w:val="24"/>
                <w:color w:val="auto"/>
              </w:rPr>
            </w:pPr>
          </w:p>
        </w:tc>
      </w:tr>
      <w:tr>
        <w:trPr>
          <w:trHeight w:val="194"/>
        </w:trPr>
        <w:tc>
          <w:tcPr>
            <w:tcW w:w="4500" w:type="dxa"/>
            <w:vAlign w:val="bottom"/>
          </w:tcPr>
          <w:p>
            <w:pPr>
              <w:ind w:left="940"/>
              <w:spacing w:after="0" w:line="194" w:lineRule="exact"/>
              <w:rPr>
                <w:sz w:val="20"/>
                <w:szCs w:val="20"/>
                <w:color w:val="auto"/>
              </w:rPr>
            </w:pPr>
            <w:r>
              <w:rPr>
                <w:rFonts w:ascii="Arial" w:cs="Arial" w:eastAsia="Arial" w:hAnsi="Arial"/>
                <w:sz w:val="17"/>
                <w:szCs w:val="17"/>
                <w:color w:val="auto"/>
              </w:rPr>
              <w:t>From 3 months to 1 year</w:t>
            </w:r>
          </w:p>
        </w:tc>
        <w:tc>
          <w:tcPr>
            <w:tcW w:w="1820" w:type="dxa"/>
            <w:vAlign w:val="bottom"/>
          </w:tcPr>
          <w:p>
            <w:pPr>
              <w:jc w:val="right"/>
              <w:spacing w:after="0" w:line="194" w:lineRule="exact"/>
              <w:rPr>
                <w:sz w:val="20"/>
                <w:szCs w:val="20"/>
                <w:color w:val="auto"/>
              </w:rPr>
            </w:pPr>
            <w:r>
              <w:rPr>
                <w:rFonts w:ascii="Arial" w:cs="Arial" w:eastAsia="Arial" w:hAnsi="Arial"/>
                <w:sz w:val="17"/>
                <w:szCs w:val="17"/>
                <w:color w:val="auto"/>
              </w:rPr>
              <w:t>209,172</w:t>
            </w:r>
          </w:p>
        </w:tc>
        <w:tc>
          <w:tcPr>
            <w:tcW w:w="500" w:type="dxa"/>
            <w:vAlign w:val="bottom"/>
          </w:tcPr>
          <w:p>
            <w:pPr>
              <w:spacing w:after="0"/>
              <w:rPr>
                <w:sz w:val="16"/>
                <w:szCs w:val="16"/>
                <w:color w:val="auto"/>
              </w:rPr>
            </w:pPr>
          </w:p>
        </w:tc>
        <w:tc>
          <w:tcPr>
            <w:tcW w:w="2120" w:type="dxa"/>
            <w:vAlign w:val="bottom"/>
          </w:tcPr>
          <w:p>
            <w:pPr>
              <w:jc w:val="right"/>
              <w:spacing w:after="0" w:line="194" w:lineRule="exact"/>
              <w:rPr>
                <w:sz w:val="20"/>
                <w:szCs w:val="20"/>
                <w:color w:val="auto"/>
              </w:rPr>
            </w:pPr>
            <w:r>
              <w:rPr>
                <w:rFonts w:ascii="Arial" w:cs="Arial" w:eastAsia="Arial" w:hAnsi="Arial"/>
                <w:sz w:val="17"/>
                <w:szCs w:val="17"/>
                <w:color w:val="auto"/>
              </w:rPr>
              <w:t>3,683,466</w:t>
            </w:r>
          </w:p>
        </w:tc>
        <w:tc>
          <w:tcPr>
            <w:tcW w:w="50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Arial" w:cs="Arial" w:eastAsia="Arial" w:hAnsi="Arial"/>
                <w:sz w:val="17"/>
                <w:szCs w:val="17"/>
                <w:color w:val="auto"/>
              </w:rPr>
              <w:t>296,699</w:t>
            </w:r>
          </w:p>
        </w:tc>
        <w:tc>
          <w:tcPr>
            <w:tcW w:w="180" w:type="dxa"/>
            <w:vAlign w:val="bottom"/>
          </w:tcPr>
          <w:p>
            <w:pPr>
              <w:spacing w:after="0"/>
              <w:rPr>
                <w:sz w:val="16"/>
                <w:szCs w:val="16"/>
                <w:color w:val="auto"/>
              </w:rPr>
            </w:pPr>
          </w:p>
        </w:tc>
      </w:tr>
      <w:tr>
        <w:trPr>
          <w:trHeight w:val="194"/>
        </w:trPr>
        <w:tc>
          <w:tcPr>
            <w:tcW w:w="4500" w:type="dxa"/>
            <w:vAlign w:val="bottom"/>
          </w:tcPr>
          <w:p>
            <w:pPr>
              <w:ind w:left="940"/>
              <w:spacing w:after="0" w:line="194" w:lineRule="exact"/>
              <w:rPr>
                <w:sz w:val="20"/>
                <w:szCs w:val="20"/>
                <w:color w:val="auto"/>
              </w:rPr>
            </w:pPr>
            <w:r>
              <w:rPr>
                <w:rFonts w:ascii="Arial" w:cs="Arial" w:eastAsia="Arial" w:hAnsi="Arial"/>
                <w:sz w:val="17"/>
                <w:szCs w:val="17"/>
                <w:color w:val="auto"/>
              </w:rPr>
              <w:t>From 1 to 3 years</w:t>
            </w:r>
          </w:p>
        </w:tc>
        <w:tc>
          <w:tcPr>
            <w:tcW w:w="1820" w:type="dxa"/>
            <w:vAlign w:val="bottom"/>
          </w:tcPr>
          <w:p>
            <w:pPr>
              <w:jc w:val="right"/>
              <w:spacing w:after="0" w:line="194" w:lineRule="exact"/>
              <w:rPr>
                <w:sz w:val="20"/>
                <w:szCs w:val="20"/>
                <w:color w:val="auto"/>
              </w:rPr>
            </w:pPr>
            <w:r>
              <w:rPr>
                <w:rFonts w:ascii="Arial" w:cs="Arial" w:eastAsia="Arial" w:hAnsi="Arial"/>
                <w:sz w:val="17"/>
                <w:szCs w:val="17"/>
                <w:color w:val="auto"/>
              </w:rPr>
              <w:t>746,115</w:t>
            </w:r>
          </w:p>
        </w:tc>
        <w:tc>
          <w:tcPr>
            <w:tcW w:w="500" w:type="dxa"/>
            <w:vAlign w:val="bottom"/>
          </w:tcPr>
          <w:p>
            <w:pPr>
              <w:spacing w:after="0"/>
              <w:rPr>
                <w:sz w:val="16"/>
                <w:szCs w:val="16"/>
                <w:color w:val="auto"/>
              </w:rPr>
            </w:pPr>
          </w:p>
        </w:tc>
        <w:tc>
          <w:tcPr>
            <w:tcW w:w="2120" w:type="dxa"/>
            <w:vAlign w:val="bottom"/>
          </w:tcPr>
          <w:p>
            <w:pPr>
              <w:jc w:val="right"/>
              <w:spacing w:after="0" w:line="194" w:lineRule="exact"/>
              <w:rPr>
                <w:sz w:val="20"/>
                <w:szCs w:val="20"/>
                <w:color w:val="auto"/>
              </w:rPr>
            </w:pPr>
            <w:r>
              <w:rPr>
                <w:rFonts w:ascii="Arial" w:cs="Arial" w:eastAsia="Arial" w:hAnsi="Arial"/>
                <w:sz w:val="17"/>
                <w:szCs w:val="17"/>
                <w:color w:val="auto"/>
              </w:rPr>
              <w:t>4,804,229</w:t>
            </w:r>
          </w:p>
        </w:tc>
        <w:tc>
          <w:tcPr>
            <w:tcW w:w="50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Arial" w:cs="Arial" w:eastAsia="Arial" w:hAnsi="Arial"/>
                <w:sz w:val="17"/>
                <w:szCs w:val="17"/>
                <w:color w:val="auto"/>
              </w:rPr>
              <w:t>1,641,340</w:t>
            </w:r>
          </w:p>
        </w:tc>
        <w:tc>
          <w:tcPr>
            <w:tcW w:w="180" w:type="dxa"/>
            <w:vAlign w:val="bottom"/>
          </w:tcPr>
          <w:p>
            <w:pPr>
              <w:spacing w:after="0"/>
              <w:rPr>
                <w:sz w:val="16"/>
                <w:szCs w:val="16"/>
                <w:color w:val="auto"/>
              </w:rPr>
            </w:pPr>
          </w:p>
        </w:tc>
      </w:tr>
      <w:tr>
        <w:trPr>
          <w:trHeight w:val="194"/>
        </w:trPr>
        <w:tc>
          <w:tcPr>
            <w:tcW w:w="4500" w:type="dxa"/>
            <w:vAlign w:val="bottom"/>
          </w:tcPr>
          <w:p>
            <w:pPr>
              <w:ind w:left="940"/>
              <w:spacing w:after="0" w:line="194" w:lineRule="exact"/>
              <w:rPr>
                <w:sz w:val="20"/>
                <w:szCs w:val="20"/>
                <w:color w:val="auto"/>
              </w:rPr>
            </w:pPr>
            <w:r>
              <w:rPr>
                <w:rFonts w:ascii="Arial" w:cs="Arial" w:eastAsia="Arial" w:hAnsi="Arial"/>
                <w:sz w:val="17"/>
                <w:szCs w:val="17"/>
                <w:color w:val="auto"/>
              </w:rPr>
              <w:t>From 3 to 5 years</w:t>
            </w:r>
          </w:p>
        </w:tc>
        <w:tc>
          <w:tcPr>
            <w:tcW w:w="1820" w:type="dxa"/>
            <w:vAlign w:val="bottom"/>
          </w:tcPr>
          <w:p>
            <w:pPr>
              <w:jc w:val="right"/>
              <w:spacing w:after="0" w:line="194" w:lineRule="exact"/>
              <w:rPr>
                <w:sz w:val="20"/>
                <w:szCs w:val="20"/>
                <w:color w:val="auto"/>
              </w:rPr>
            </w:pPr>
            <w:r>
              <w:rPr>
                <w:rFonts w:ascii="Arial" w:cs="Arial" w:eastAsia="Arial" w:hAnsi="Arial"/>
                <w:sz w:val="17"/>
                <w:szCs w:val="17"/>
                <w:color w:val="auto"/>
              </w:rPr>
              <w:t>136,444</w:t>
            </w:r>
          </w:p>
        </w:tc>
        <w:tc>
          <w:tcPr>
            <w:tcW w:w="500" w:type="dxa"/>
            <w:vAlign w:val="bottom"/>
          </w:tcPr>
          <w:p>
            <w:pPr>
              <w:spacing w:after="0"/>
              <w:rPr>
                <w:sz w:val="16"/>
                <w:szCs w:val="16"/>
                <w:color w:val="auto"/>
              </w:rPr>
            </w:pPr>
          </w:p>
        </w:tc>
        <w:tc>
          <w:tcPr>
            <w:tcW w:w="2120" w:type="dxa"/>
            <w:vAlign w:val="bottom"/>
          </w:tcPr>
          <w:p>
            <w:pPr>
              <w:jc w:val="right"/>
              <w:spacing w:after="0" w:line="194" w:lineRule="exact"/>
              <w:rPr>
                <w:sz w:val="20"/>
                <w:szCs w:val="20"/>
                <w:color w:val="auto"/>
              </w:rPr>
            </w:pPr>
            <w:r>
              <w:rPr>
                <w:rFonts w:ascii="Arial" w:cs="Arial" w:eastAsia="Arial" w:hAnsi="Arial"/>
                <w:sz w:val="17"/>
                <w:szCs w:val="17"/>
                <w:color w:val="auto"/>
              </w:rPr>
              <w:t>4,111,276</w:t>
            </w:r>
          </w:p>
        </w:tc>
        <w:tc>
          <w:tcPr>
            <w:tcW w:w="50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Arial" w:cs="Arial" w:eastAsia="Arial" w:hAnsi="Arial"/>
                <w:sz w:val="17"/>
                <w:szCs w:val="17"/>
                <w:color w:val="auto"/>
              </w:rPr>
              <w:t>459,363</w:t>
            </w:r>
          </w:p>
        </w:tc>
        <w:tc>
          <w:tcPr>
            <w:tcW w:w="180" w:type="dxa"/>
            <w:vAlign w:val="bottom"/>
          </w:tcPr>
          <w:p>
            <w:pPr>
              <w:spacing w:after="0"/>
              <w:rPr>
                <w:sz w:val="16"/>
                <w:szCs w:val="16"/>
                <w:color w:val="auto"/>
              </w:rPr>
            </w:pPr>
          </w:p>
        </w:tc>
      </w:tr>
      <w:tr>
        <w:trPr>
          <w:trHeight w:val="194"/>
        </w:trPr>
        <w:tc>
          <w:tcPr>
            <w:tcW w:w="4500" w:type="dxa"/>
            <w:vAlign w:val="bottom"/>
          </w:tcPr>
          <w:p>
            <w:pPr>
              <w:ind w:left="940"/>
              <w:spacing w:after="0" w:line="194" w:lineRule="exact"/>
              <w:rPr>
                <w:sz w:val="20"/>
                <w:szCs w:val="20"/>
                <w:color w:val="auto"/>
              </w:rPr>
            </w:pPr>
            <w:r>
              <w:rPr>
                <w:rFonts w:ascii="Arial" w:cs="Arial" w:eastAsia="Arial" w:hAnsi="Arial"/>
                <w:sz w:val="17"/>
                <w:szCs w:val="17"/>
                <w:color w:val="auto"/>
              </w:rPr>
              <w:t>More than 5 years</w:t>
            </w:r>
          </w:p>
        </w:tc>
        <w:tc>
          <w:tcPr>
            <w:tcW w:w="1820" w:type="dxa"/>
            <w:vAlign w:val="bottom"/>
          </w:tcPr>
          <w:p>
            <w:pPr>
              <w:jc w:val="right"/>
              <w:spacing w:after="0" w:line="194" w:lineRule="exact"/>
              <w:rPr>
                <w:sz w:val="20"/>
                <w:szCs w:val="20"/>
                <w:color w:val="auto"/>
              </w:rPr>
            </w:pPr>
            <w:r>
              <w:rPr>
                <w:rFonts w:ascii="Arial" w:cs="Arial" w:eastAsia="Arial" w:hAnsi="Arial"/>
                <w:sz w:val="17"/>
                <w:szCs w:val="17"/>
                <w:color w:val="auto"/>
              </w:rPr>
              <w:t>1,020,840</w:t>
            </w:r>
          </w:p>
        </w:tc>
        <w:tc>
          <w:tcPr>
            <w:tcW w:w="500" w:type="dxa"/>
            <w:vAlign w:val="bottom"/>
          </w:tcPr>
          <w:p>
            <w:pPr>
              <w:spacing w:after="0"/>
              <w:rPr>
                <w:sz w:val="16"/>
                <w:szCs w:val="16"/>
                <w:color w:val="auto"/>
              </w:rPr>
            </w:pPr>
          </w:p>
        </w:tc>
        <w:tc>
          <w:tcPr>
            <w:tcW w:w="2120" w:type="dxa"/>
            <w:vAlign w:val="bottom"/>
          </w:tcPr>
          <w:p>
            <w:pPr>
              <w:jc w:val="right"/>
              <w:spacing w:after="0" w:line="194" w:lineRule="exact"/>
              <w:rPr>
                <w:sz w:val="20"/>
                <w:szCs w:val="20"/>
                <w:color w:val="auto"/>
              </w:rPr>
            </w:pPr>
            <w:r>
              <w:rPr>
                <w:rFonts w:ascii="Arial" w:cs="Arial" w:eastAsia="Arial" w:hAnsi="Arial"/>
                <w:sz w:val="17"/>
                <w:szCs w:val="17"/>
                <w:color w:val="auto"/>
              </w:rPr>
              <w:t>13,266,254</w:t>
            </w:r>
          </w:p>
        </w:tc>
        <w:tc>
          <w:tcPr>
            <w:tcW w:w="50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Arial" w:cs="Arial" w:eastAsia="Arial" w:hAnsi="Arial"/>
                <w:sz w:val="17"/>
                <w:szCs w:val="17"/>
                <w:color w:val="auto"/>
              </w:rPr>
              <w:t>5,618,396</w:t>
            </w:r>
          </w:p>
        </w:tc>
        <w:tc>
          <w:tcPr>
            <w:tcW w:w="180" w:type="dxa"/>
            <w:vAlign w:val="bottom"/>
          </w:tcPr>
          <w:p>
            <w:pPr>
              <w:spacing w:after="0"/>
              <w:rPr>
                <w:sz w:val="16"/>
                <w:szCs w:val="16"/>
                <w:color w:val="auto"/>
              </w:rPr>
            </w:pPr>
          </w:p>
        </w:tc>
      </w:tr>
      <w:tr>
        <w:trPr>
          <w:trHeight w:val="195"/>
        </w:trPr>
        <w:tc>
          <w:tcPr>
            <w:tcW w:w="4500" w:type="dxa"/>
            <w:vAlign w:val="bottom"/>
          </w:tcPr>
          <w:p>
            <w:pPr>
              <w:ind w:left="940"/>
              <w:spacing w:after="0"/>
              <w:rPr>
                <w:sz w:val="20"/>
                <w:szCs w:val="20"/>
                <w:color w:val="auto"/>
              </w:rPr>
            </w:pPr>
            <w:r>
              <w:rPr>
                <w:rFonts w:ascii="Arial" w:cs="Arial" w:eastAsia="Arial" w:hAnsi="Arial"/>
                <w:sz w:val="17"/>
                <w:szCs w:val="17"/>
                <w:color w:val="auto"/>
              </w:rPr>
              <w:t>Without maturity</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2,633,794</w:t>
            </w:r>
          </w:p>
        </w:tc>
        <w:tc>
          <w:tcPr>
            <w:tcW w:w="500" w:type="dxa"/>
            <w:vAlign w:val="bottom"/>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377,827</w:t>
            </w:r>
          </w:p>
        </w:tc>
        <w:tc>
          <w:tcPr>
            <w:tcW w:w="500" w:type="dxa"/>
            <w:vAlign w:val="bottom"/>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3"/>
        </w:trPr>
        <w:tc>
          <w:tcPr>
            <w:tcW w:w="4500" w:type="dxa"/>
            <w:vAlign w:val="bottom"/>
          </w:tcPr>
          <w:p>
            <w:pPr>
              <w:ind w:left="940"/>
              <w:spacing w:after="0" w:line="187" w:lineRule="exact"/>
              <w:rPr>
                <w:sz w:val="20"/>
                <w:szCs w:val="20"/>
                <w:color w:val="auto"/>
              </w:rPr>
            </w:pPr>
            <w:r>
              <w:rPr>
                <w:rFonts w:ascii="Arial" w:cs="Arial" w:eastAsia="Arial" w:hAnsi="Arial"/>
                <w:sz w:val="17"/>
                <w:szCs w:val="17"/>
                <w:b w:val="1"/>
                <w:bCs w:val="1"/>
                <w:color w:val="auto"/>
              </w:rPr>
              <w:t>Total</w:t>
            </w:r>
          </w:p>
        </w:tc>
        <w:tc>
          <w:tcPr>
            <w:tcW w:w="18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5,919,240</w:t>
            </w:r>
          </w:p>
        </w:tc>
        <w:tc>
          <w:tcPr>
            <w:tcW w:w="500" w:type="dxa"/>
            <w:vAlign w:val="bottom"/>
          </w:tcPr>
          <w:p>
            <w:pPr>
              <w:spacing w:after="0"/>
              <w:rPr>
                <w:sz w:val="16"/>
                <w:szCs w:val="16"/>
                <w:color w:val="auto"/>
              </w:rPr>
            </w:pPr>
          </w:p>
        </w:tc>
        <w:tc>
          <w:tcPr>
            <w:tcW w:w="2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34,360,510</w:t>
            </w:r>
          </w:p>
        </w:tc>
        <w:tc>
          <w:tcPr>
            <w:tcW w:w="500" w:type="dxa"/>
            <w:vAlign w:val="bottom"/>
          </w:tcPr>
          <w:p>
            <w:pPr>
              <w:spacing w:after="0"/>
              <w:rPr>
                <w:sz w:val="16"/>
                <w:szCs w:val="16"/>
                <w:color w:val="auto"/>
              </w:rPr>
            </w:pPr>
          </w:p>
        </w:tc>
        <w:tc>
          <w:tcPr>
            <w:tcW w:w="16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8,094,109</w:t>
            </w:r>
          </w:p>
        </w:tc>
        <w:tc>
          <w:tcPr>
            <w:tcW w:w="180" w:type="dxa"/>
            <w:vAlign w:val="bottom"/>
          </w:tcPr>
          <w:p>
            <w:pPr>
              <w:spacing w:after="0"/>
              <w:rPr>
                <w:sz w:val="16"/>
                <w:szCs w:val="16"/>
                <w:color w:val="auto"/>
              </w:rPr>
            </w:pPr>
          </w:p>
        </w:tc>
      </w:tr>
      <w:tr>
        <w:trPr>
          <w:trHeight w:val="376"/>
        </w:trPr>
        <w:tc>
          <w:tcPr>
            <w:tcW w:w="4500" w:type="dxa"/>
            <w:vAlign w:val="bottom"/>
          </w:tcPr>
          <w:p>
            <w:pPr>
              <w:spacing w:after="0"/>
              <w:rPr>
                <w:sz w:val="24"/>
                <w:szCs w:val="24"/>
                <w:color w:val="auto"/>
              </w:rPr>
            </w:pPr>
          </w:p>
        </w:tc>
        <w:tc>
          <w:tcPr>
            <w:tcW w:w="1820" w:type="dxa"/>
            <w:vAlign w:val="bottom"/>
          </w:tcPr>
          <w:p>
            <w:pPr>
              <w:jc w:val="right"/>
              <w:ind w:right="414"/>
              <w:spacing w:after="0"/>
              <w:rPr>
                <w:sz w:val="20"/>
                <w:szCs w:val="20"/>
                <w:color w:val="auto"/>
              </w:rPr>
            </w:pPr>
            <w:r>
              <w:rPr>
                <w:rFonts w:ascii="Arial" w:cs="Arial" w:eastAsia="Arial" w:hAnsi="Arial"/>
                <w:sz w:val="17"/>
                <w:szCs w:val="17"/>
                <w:color w:val="auto"/>
              </w:rPr>
              <w:t>- 70 -</w:t>
            </w: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45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type w:val="continuous"/>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7</w:t>
            </w:r>
          </w:p>
        </w:tc>
        <w:tc>
          <w:tcPr>
            <w:tcW w:w="8180" w:type="dxa"/>
            <w:vAlign w:val="bottom"/>
          </w:tcPr>
          <w:p>
            <w:pPr>
              <w:ind w:left="260"/>
              <w:spacing w:after="0"/>
              <w:rPr>
                <w:sz w:val="20"/>
                <w:szCs w:val="20"/>
                <w:color w:val="auto"/>
              </w:rPr>
            </w:pPr>
            <w:r>
              <w:rPr>
                <w:rFonts w:ascii="Arial" w:cs="Arial" w:eastAsia="Arial" w:hAnsi="Arial"/>
                <w:sz w:val="17"/>
                <w:szCs w:val="17"/>
                <w:b w:val="1"/>
                <w:bCs w:val="1"/>
                <w:color w:val="auto"/>
              </w:rPr>
              <w:t>LOANS, NET</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360" w:type="dxa"/>
            <w:vAlign w:val="bottom"/>
          </w:tcPr>
          <w:p>
            <w:pPr>
              <w:spacing w:after="0"/>
              <w:rPr>
                <w:sz w:val="24"/>
                <w:szCs w:val="24"/>
                <w:color w:val="auto"/>
              </w:rPr>
            </w:pPr>
          </w:p>
        </w:tc>
        <w:tc>
          <w:tcPr>
            <w:tcW w:w="8180" w:type="dxa"/>
            <w:vAlign w:val="bottom"/>
          </w:tcPr>
          <w:p>
            <w:pPr>
              <w:ind w:left="260"/>
              <w:spacing w:after="0"/>
              <w:rPr>
                <w:sz w:val="20"/>
                <w:szCs w:val="20"/>
                <w:color w:val="auto"/>
              </w:rPr>
            </w:pPr>
            <w:r>
              <w:rPr>
                <w:rFonts w:ascii="Arial" w:cs="Arial" w:eastAsia="Arial" w:hAnsi="Arial"/>
                <w:sz w:val="17"/>
                <w:szCs w:val="17"/>
                <w:color w:val="auto"/>
              </w:rPr>
              <w:t>a)  This item consists of the following:</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3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24"/>
                <w:szCs w:val="24"/>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20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352"/>
        </w:trPr>
        <w:tc>
          <w:tcPr>
            <w:tcW w:w="360" w:type="dxa"/>
            <w:vAlign w:val="bottom"/>
          </w:tcPr>
          <w:p>
            <w:pPr>
              <w:spacing w:after="0"/>
              <w:rPr>
                <w:sz w:val="24"/>
                <w:szCs w:val="24"/>
                <w:color w:val="auto"/>
              </w:rPr>
            </w:pPr>
          </w:p>
        </w:tc>
        <w:tc>
          <w:tcPr>
            <w:tcW w:w="8180" w:type="dxa"/>
            <w:vAlign w:val="bottom"/>
          </w:tcPr>
          <w:p>
            <w:pPr>
              <w:ind w:left="580"/>
              <w:spacing w:after="0"/>
              <w:rPr>
                <w:sz w:val="20"/>
                <w:szCs w:val="20"/>
                <w:color w:val="auto"/>
              </w:rPr>
            </w:pPr>
            <w:r>
              <w:rPr>
                <w:rFonts w:ascii="Arial" w:cs="Arial" w:eastAsia="Arial" w:hAnsi="Arial"/>
                <w:sz w:val="17"/>
                <w:szCs w:val="17"/>
                <w:b w:val="1"/>
                <w:bCs w:val="1"/>
                <w:color w:val="auto"/>
              </w:rPr>
              <w:t>Direct loans -</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180" w:type="dxa"/>
            <w:vAlign w:val="bottom"/>
          </w:tcPr>
          <w:p>
            <w:pPr>
              <w:ind w:left="580"/>
              <w:spacing w:after="0" w:line="194" w:lineRule="exact"/>
              <w:rPr>
                <w:sz w:val="20"/>
                <w:szCs w:val="20"/>
                <w:color w:val="auto"/>
              </w:rPr>
            </w:pPr>
            <w:r>
              <w:rPr>
                <w:rFonts w:ascii="Arial" w:cs="Arial" w:eastAsia="Arial" w:hAnsi="Arial"/>
                <w:sz w:val="17"/>
                <w:szCs w:val="17"/>
                <w:color w:val="auto"/>
              </w:rPr>
              <w:t>Loans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119,602,591</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120,621,183</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180" w:type="dxa"/>
            <w:vAlign w:val="bottom"/>
          </w:tcPr>
          <w:p>
            <w:pPr>
              <w:ind w:left="580"/>
              <w:spacing w:after="0" w:line="194" w:lineRule="exact"/>
              <w:rPr>
                <w:sz w:val="20"/>
                <w:szCs w:val="20"/>
                <w:color w:val="auto"/>
              </w:rPr>
            </w:pPr>
            <w:r>
              <w:rPr>
                <w:rFonts w:ascii="Arial" w:cs="Arial" w:eastAsia="Arial" w:hAnsi="Arial"/>
                <w:sz w:val="17"/>
                <w:szCs w:val="17"/>
                <w:color w:val="auto"/>
              </w:rPr>
              <w:t>Credit cards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6,187,910</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5,626,026</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180" w:type="dxa"/>
            <w:vAlign w:val="bottom"/>
          </w:tcPr>
          <w:p>
            <w:pPr>
              <w:ind w:left="580"/>
              <w:spacing w:after="0" w:line="194" w:lineRule="exact"/>
              <w:rPr>
                <w:sz w:val="20"/>
                <w:szCs w:val="20"/>
                <w:color w:val="auto"/>
              </w:rPr>
            </w:pPr>
            <w:r>
              <w:rPr>
                <w:rFonts w:ascii="Arial" w:cs="Arial" w:eastAsia="Arial" w:hAnsi="Arial"/>
                <w:sz w:val="17"/>
                <w:szCs w:val="17"/>
                <w:color w:val="auto"/>
              </w:rPr>
              <w:t>Leasing receivables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6,174,850</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6,446,450</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180" w:type="dxa"/>
            <w:vAlign w:val="bottom"/>
          </w:tcPr>
          <w:p>
            <w:pPr>
              <w:ind w:left="580"/>
              <w:spacing w:after="0" w:line="194" w:lineRule="exact"/>
              <w:rPr>
                <w:sz w:val="20"/>
                <w:szCs w:val="20"/>
                <w:color w:val="auto"/>
              </w:rPr>
            </w:pPr>
            <w:r>
              <w:rPr>
                <w:rFonts w:ascii="Arial" w:cs="Arial" w:eastAsia="Arial" w:hAnsi="Arial"/>
                <w:sz w:val="17"/>
                <w:szCs w:val="17"/>
                <w:color w:val="auto"/>
              </w:rPr>
              <w:t>Factoring receivables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3,976,898</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3,572,697</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180" w:type="dxa"/>
            <w:vAlign w:val="bottom"/>
          </w:tcPr>
          <w:p>
            <w:pPr>
              <w:ind w:left="580"/>
              <w:spacing w:after="0" w:line="194" w:lineRule="exact"/>
              <w:rPr>
                <w:sz w:val="20"/>
                <w:szCs w:val="20"/>
                <w:color w:val="auto"/>
              </w:rPr>
            </w:pPr>
            <w:r>
              <w:rPr>
                <w:rFonts w:ascii="Arial" w:cs="Arial" w:eastAsia="Arial" w:hAnsi="Arial"/>
                <w:sz w:val="17"/>
                <w:szCs w:val="17"/>
                <w:color w:val="auto"/>
              </w:rPr>
              <w:t>Discounted notes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2,982,291</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2,718,321</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180" w:type="dxa"/>
            <w:vAlign w:val="bottom"/>
          </w:tcPr>
          <w:p>
            <w:pPr>
              <w:ind w:left="580"/>
              <w:spacing w:after="0" w:line="194" w:lineRule="exact"/>
              <w:rPr>
                <w:sz w:val="20"/>
                <w:szCs w:val="20"/>
                <w:color w:val="auto"/>
              </w:rPr>
            </w:pPr>
            <w:r>
              <w:rPr>
                <w:rFonts w:ascii="Arial" w:cs="Arial" w:eastAsia="Arial" w:hAnsi="Arial"/>
                <w:sz w:val="17"/>
                <w:szCs w:val="17"/>
                <w:color w:val="auto"/>
              </w:rPr>
              <w:t>Advances and overdrafts in current account</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219,932</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69,238</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8180" w:type="dxa"/>
            <w:vAlign w:val="bottom"/>
          </w:tcPr>
          <w:p>
            <w:pPr>
              <w:ind w:left="580"/>
              <w:spacing w:after="0"/>
              <w:rPr>
                <w:sz w:val="20"/>
                <w:szCs w:val="20"/>
                <w:color w:val="auto"/>
              </w:rPr>
            </w:pPr>
            <w:r>
              <w:rPr>
                <w:rFonts w:ascii="Arial" w:cs="Arial" w:eastAsia="Arial" w:hAnsi="Arial"/>
                <w:sz w:val="17"/>
                <w:szCs w:val="17"/>
                <w:color w:val="auto"/>
              </w:rPr>
              <w:t>Refinanced loans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2,100,018</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1,800,465</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8180" w:type="dxa"/>
            <w:vAlign w:val="bottom"/>
          </w:tcPr>
          <w:p>
            <w:pPr>
              <w:ind w:left="580"/>
              <w:spacing w:after="0"/>
              <w:rPr>
                <w:sz w:val="20"/>
                <w:szCs w:val="20"/>
                <w:color w:val="auto"/>
              </w:rPr>
            </w:pPr>
            <w:r>
              <w:rPr>
                <w:rFonts w:ascii="Arial" w:cs="Arial" w:eastAsia="Arial" w:hAnsi="Arial"/>
                <w:sz w:val="17"/>
                <w:szCs w:val="17"/>
                <w:b w:val="1"/>
                <w:bCs w:val="1"/>
                <w:color w:val="auto"/>
              </w:rPr>
              <w:t>Total direct loans</w:t>
            </w:r>
          </w:p>
        </w:tc>
        <w:tc>
          <w:tcPr>
            <w:tcW w:w="1160" w:type="dxa"/>
            <w:vAlign w:val="bottom"/>
          </w:tcPr>
          <w:p>
            <w:pPr>
              <w:jc w:val="right"/>
              <w:spacing w:after="0"/>
              <w:rPr>
                <w:sz w:val="20"/>
                <w:szCs w:val="20"/>
                <w:color w:val="auto"/>
              </w:rPr>
            </w:pPr>
            <w:r>
              <w:rPr>
                <w:rFonts w:ascii="Arial" w:cs="Arial" w:eastAsia="Arial" w:hAnsi="Arial"/>
                <w:sz w:val="17"/>
                <w:szCs w:val="17"/>
                <w:color w:val="auto"/>
              </w:rPr>
              <w:t>141,244,490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140,854,380</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180" w:type="dxa"/>
            <w:vAlign w:val="bottom"/>
          </w:tcPr>
          <w:p>
            <w:pPr>
              <w:ind w:left="580"/>
              <w:spacing w:after="0"/>
              <w:rPr>
                <w:sz w:val="20"/>
                <w:szCs w:val="20"/>
                <w:color w:val="auto"/>
              </w:rPr>
            </w:pPr>
            <w:r>
              <w:rPr>
                <w:rFonts w:ascii="Arial" w:cs="Arial" w:eastAsia="Arial" w:hAnsi="Arial"/>
                <w:sz w:val="17"/>
                <w:szCs w:val="17"/>
                <w:color w:val="auto"/>
              </w:rPr>
              <w:t>Internal overdue loans and under legal collection loans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5,945,779</w:t>
            </w:r>
          </w:p>
        </w:tc>
        <w:tc>
          <w:tcPr>
            <w:tcW w:w="1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5,562,439</w:t>
            </w: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818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Add (less) -</w:t>
            </w:r>
          </w:p>
        </w:tc>
        <w:tc>
          <w:tcPr>
            <w:tcW w:w="1160" w:type="dxa"/>
            <w:vAlign w:val="bottom"/>
          </w:tcPr>
          <w:p>
            <w:pPr>
              <w:jc w:val="right"/>
              <w:spacing w:after="0"/>
              <w:rPr>
                <w:sz w:val="20"/>
                <w:szCs w:val="20"/>
                <w:color w:val="auto"/>
              </w:rPr>
            </w:pPr>
            <w:r>
              <w:rPr>
                <w:rFonts w:ascii="Arial" w:cs="Arial" w:eastAsia="Arial" w:hAnsi="Arial"/>
                <w:sz w:val="17"/>
                <w:szCs w:val="17"/>
                <w:color w:val="auto"/>
              </w:rPr>
              <w:t>147,190,269</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146,416,819</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81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180" w:type="dxa"/>
            <w:vAlign w:val="bottom"/>
          </w:tcPr>
          <w:p>
            <w:pPr>
              <w:ind w:left="580"/>
              <w:spacing w:after="0" w:line="194" w:lineRule="exact"/>
              <w:rPr>
                <w:sz w:val="20"/>
                <w:szCs w:val="20"/>
                <w:color w:val="auto"/>
              </w:rPr>
            </w:pPr>
            <w:r>
              <w:rPr>
                <w:rFonts w:ascii="Arial" w:cs="Arial" w:eastAsia="Arial" w:hAnsi="Arial"/>
                <w:sz w:val="17"/>
                <w:szCs w:val="17"/>
                <w:color w:val="auto"/>
              </w:rPr>
              <w:t>Accrued interest</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1,516,962</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1,280,262</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8180" w:type="dxa"/>
            <w:vAlign w:val="bottom"/>
          </w:tcPr>
          <w:p>
            <w:pPr>
              <w:ind w:left="580"/>
              <w:spacing w:after="0"/>
              <w:rPr>
                <w:sz w:val="20"/>
                <w:szCs w:val="20"/>
                <w:color w:val="auto"/>
              </w:rPr>
            </w:pPr>
            <w:r>
              <w:rPr>
                <w:rFonts w:ascii="Arial" w:cs="Arial" w:eastAsia="Arial" w:hAnsi="Arial"/>
                <w:sz w:val="17"/>
                <w:szCs w:val="17"/>
                <w:color w:val="auto"/>
              </w:rPr>
              <w:t>Unearned interest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(80,857)</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(99,669)</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8180" w:type="dxa"/>
            <w:vAlign w:val="bottom"/>
          </w:tcPr>
          <w:p>
            <w:pPr>
              <w:ind w:left="580"/>
              <w:spacing w:after="0" w:line="186" w:lineRule="exact"/>
              <w:rPr>
                <w:sz w:val="20"/>
                <w:szCs w:val="20"/>
                <w:color w:val="auto"/>
              </w:rPr>
            </w:pPr>
            <w:r>
              <w:rPr>
                <w:rFonts w:ascii="Arial" w:cs="Arial" w:eastAsia="Arial" w:hAnsi="Arial"/>
                <w:sz w:val="17"/>
                <w:szCs w:val="17"/>
                <w:color w:val="auto"/>
              </w:rPr>
              <w:t>Total direct loans</w:t>
            </w:r>
          </w:p>
        </w:tc>
        <w:tc>
          <w:tcPr>
            <w:tcW w:w="1160" w:type="dxa"/>
            <w:vAlign w:val="bottom"/>
          </w:tcPr>
          <w:p>
            <w:pPr>
              <w:jc w:val="right"/>
              <w:spacing w:after="0" w:line="186" w:lineRule="exact"/>
              <w:rPr>
                <w:sz w:val="20"/>
                <w:szCs w:val="20"/>
                <w:color w:val="auto"/>
              </w:rPr>
            </w:pPr>
            <w:r>
              <w:rPr>
                <w:rFonts w:ascii="Arial" w:cs="Arial" w:eastAsia="Arial" w:hAnsi="Arial"/>
                <w:sz w:val="17"/>
                <w:szCs w:val="17"/>
                <w:color w:val="auto"/>
              </w:rPr>
              <w:t>148,626,374</w:t>
            </w:r>
          </w:p>
        </w:tc>
        <w:tc>
          <w:tcPr>
            <w:tcW w:w="16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Arial" w:cs="Arial" w:eastAsia="Arial" w:hAnsi="Arial"/>
                <w:sz w:val="17"/>
                <w:szCs w:val="17"/>
                <w:color w:val="auto"/>
              </w:rPr>
              <w:t>147,597,412</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8180" w:type="dxa"/>
            <w:vAlign w:val="bottom"/>
          </w:tcPr>
          <w:p>
            <w:pPr>
              <w:ind w:left="580"/>
              <w:spacing w:after="0"/>
              <w:rPr>
                <w:sz w:val="20"/>
                <w:szCs w:val="20"/>
                <w:color w:val="auto"/>
              </w:rPr>
            </w:pPr>
            <w:r>
              <w:rPr>
                <w:rFonts w:ascii="Arial" w:cs="Arial" w:eastAsia="Arial" w:hAnsi="Arial"/>
                <w:sz w:val="17"/>
                <w:szCs w:val="17"/>
                <w:color w:val="auto"/>
              </w:rPr>
              <w:t>Allowance for loan losses (c)</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(7,872,402)</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(8,477,308)</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8180" w:type="dxa"/>
            <w:vAlign w:val="bottom"/>
          </w:tcPr>
          <w:p>
            <w:pPr>
              <w:ind w:left="580"/>
              <w:spacing w:after="0" w:line="187" w:lineRule="exact"/>
              <w:rPr>
                <w:sz w:val="20"/>
                <w:szCs w:val="20"/>
                <w:color w:val="auto"/>
              </w:rPr>
            </w:pPr>
            <w:r>
              <w:rPr>
                <w:rFonts w:ascii="Arial" w:cs="Arial" w:eastAsia="Arial" w:hAnsi="Arial"/>
                <w:sz w:val="17"/>
                <w:szCs w:val="17"/>
                <w:b w:val="1"/>
                <w:bCs w:val="1"/>
                <w:color w:val="auto"/>
              </w:rPr>
              <w:t>Total direct loans, net</w:t>
            </w:r>
          </w:p>
        </w:tc>
        <w:tc>
          <w:tcPr>
            <w:tcW w:w="11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140,753,972</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139,120,104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40" w:right="40"/>
        <w:spacing w:after="0" w:line="241" w:lineRule="auto"/>
        <w:rPr>
          <w:sz w:val="20"/>
          <w:szCs w:val="20"/>
          <w:color w:val="auto"/>
        </w:rPr>
      </w:pPr>
      <w:r>
        <w:rPr>
          <w:rFonts w:ascii="Arial" w:cs="Arial" w:eastAsia="Arial" w:hAnsi="Arial"/>
          <w:sz w:val="17"/>
          <w:szCs w:val="17"/>
          <w:color w:val="auto"/>
        </w:rPr>
        <w:t>The credits granted as part of the Reactiva Peru program are guaranteed by the Peruvian State. The total credits granted through this program as of December 31, 2022, and 2021 amount to S/8,877.2 million and S/18,404.6 million, respectively. Likewise, as of December 31, 2022, and 2021, loans from the Reactiva Peru program were rescheduled for an amount of S/5,669.2 million and S/7,539.9 million, respectively. Overdue loans of the Reactiva Peru program as of December 31, 2022, and 2021 amount to S/1,047.8 million and S/1,061.0 million, respectively. On the other hand, the Group maintains repurchase agreements with guarantees, which are detailed in note 5(c).</w:t>
      </w:r>
    </w:p>
    <w:p>
      <w:pPr>
        <w:spacing w:after="0" w:line="182" w:lineRule="exact"/>
        <w:rPr>
          <w:sz w:val="20"/>
          <w:szCs w:val="20"/>
          <w:color w:val="auto"/>
        </w:rPr>
      </w:pPr>
    </w:p>
    <w:p>
      <w:pPr>
        <w:ind w:left="940"/>
        <w:spacing w:after="0" w:line="242" w:lineRule="auto"/>
        <w:rPr>
          <w:sz w:val="20"/>
          <w:szCs w:val="20"/>
          <w:color w:val="auto"/>
        </w:rPr>
      </w:pPr>
      <w:r>
        <w:rPr>
          <w:rFonts w:ascii="Arial" w:cs="Arial" w:eastAsia="Arial" w:hAnsi="Arial"/>
          <w:sz w:val="17"/>
          <w:szCs w:val="17"/>
          <w:color w:val="auto"/>
        </w:rPr>
        <w:t>The government, in order to serve small companies that the Reactiva Peru program does not reach, has established the MYPE Business Support Fund (FAE-MYPE) which represents for Mibanco as of December 31, 2022, a total of S/3.9 million and S/83.6 million for FAE-MYPE 1 and FAE-MYPE 2, respectively. As of December 31, 2021, S/14.8 million and S/209.9 million for FAE-MYPE 1 and FAE-MYPE 2, respectively. Likewise, as of December 31, 2022, and 2021, loans from the FAE-MYPE 2 program were rescheduled for an amount of S/36.7 million and S/55.9 million, respectively.</w:t>
      </w:r>
    </w:p>
    <w:p>
      <w:pPr>
        <w:spacing w:after="0" w:line="180" w:lineRule="exact"/>
        <w:rPr>
          <w:sz w:val="20"/>
          <w:szCs w:val="20"/>
          <w:color w:val="auto"/>
        </w:rPr>
      </w:pPr>
    </w:p>
    <w:p>
      <w:pPr>
        <w:jc w:val="both"/>
        <w:ind w:left="940" w:right="120"/>
        <w:spacing w:after="0" w:line="246" w:lineRule="auto"/>
        <w:rPr>
          <w:sz w:val="20"/>
          <w:szCs w:val="20"/>
          <w:color w:val="auto"/>
        </w:rPr>
      </w:pPr>
      <w:r>
        <w:rPr>
          <w:rFonts w:ascii="Arial" w:cs="Arial" w:eastAsia="Arial" w:hAnsi="Arial"/>
          <w:sz w:val="17"/>
          <w:szCs w:val="17"/>
          <w:color w:val="auto"/>
        </w:rPr>
        <w:t>Due to the effects of the COVID-19 Pandemic, BCP and Mibanco, the main Credicorp Subsidiaries, have offered their customers the opportunity to reschedule their loans for 30 or 90 days without incurring past due commissions and principal interest. As of December 31, 2022, and 2021, the rescheduled portfolio amounts to S/11,448.7 million and S/20,961.1 million, respectively</w:t>
      </w:r>
    </w:p>
    <w:p>
      <w:pPr>
        <w:spacing w:after="0" w:line="176" w:lineRule="exact"/>
        <w:rPr>
          <w:sz w:val="20"/>
          <w:szCs w:val="20"/>
          <w:color w:val="auto"/>
        </w:rPr>
      </w:pPr>
    </w:p>
    <w:p>
      <w:pPr>
        <w:ind w:left="940" w:right="40"/>
        <w:spacing w:after="0" w:line="246" w:lineRule="auto"/>
        <w:rPr>
          <w:sz w:val="20"/>
          <w:szCs w:val="20"/>
          <w:color w:val="auto"/>
        </w:rPr>
      </w:pPr>
      <w:r>
        <w:rPr>
          <w:rFonts w:ascii="Arial" w:cs="Arial" w:eastAsia="Arial" w:hAnsi="Arial"/>
          <w:sz w:val="17"/>
          <w:szCs w:val="17"/>
          <w:color w:val="auto"/>
        </w:rPr>
        <w:t>In the loan portfolio, the most vulnerable microfinance operations correspond to Mibanco and in individual BCP to SME products and consumer loans, where debt rescheduling rates reached 3.69 percent, 22.18 percent, and 4.08 percent as of December 31. December 2022. As of December 31, 2021, they reached a debt rescheduling of 5.25 percent, 34.00 percent, and 11.40 percent.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ind w:left="620"/>
        <w:spacing w:after="0"/>
        <w:tabs>
          <w:tab w:leader="none" w:pos="920" w:val="left"/>
        </w:tabs>
        <w:rPr>
          <w:sz w:val="20"/>
          <w:szCs w:val="20"/>
          <w:color w:val="auto"/>
        </w:rPr>
      </w:pPr>
      <w:r>
        <w:rPr>
          <w:rFonts w:ascii="Arial" w:cs="Arial" w:eastAsia="Arial" w:hAnsi="Arial"/>
          <w:sz w:val="17"/>
          <w:szCs w:val="17"/>
          <w:color w:val="auto"/>
        </w:rPr>
        <w:t>b)</w:t>
        <w:tab/>
        <w:t>As of December 31, 2022, and 2021, the composition of the gross credit balance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5340" w:type="dxa"/>
            <w:vAlign w:val="bottom"/>
            <w:gridSpan w:val="2"/>
          </w:tcPr>
          <w:p>
            <w:pPr>
              <w:ind w:left="426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8"/>
                <w:szCs w:val="18"/>
                <w:color w:val="auto"/>
              </w:rPr>
            </w:pPr>
          </w:p>
        </w:tc>
      </w:tr>
      <w:tr>
        <w:trPr>
          <w:trHeight w:val="223"/>
        </w:trPr>
        <w:tc>
          <w:tcPr>
            <w:tcW w:w="4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1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4400" w:type="dxa"/>
            <w:vAlign w:val="bottom"/>
          </w:tcPr>
          <w:p>
            <w:pPr>
              <w:ind w:left="940"/>
              <w:spacing w:after="0"/>
              <w:rPr>
                <w:sz w:val="20"/>
                <w:szCs w:val="20"/>
                <w:color w:val="auto"/>
              </w:rPr>
            </w:pPr>
            <w:r>
              <w:rPr>
                <w:rFonts w:ascii="Arial" w:cs="Arial" w:eastAsia="Arial" w:hAnsi="Arial"/>
                <w:sz w:val="17"/>
                <w:szCs w:val="17"/>
                <w:color w:val="auto"/>
              </w:rPr>
              <w:t>Direct loans, Note7(a)</w:t>
            </w:r>
          </w:p>
        </w:tc>
        <w:tc>
          <w:tcPr>
            <w:tcW w:w="5340" w:type="dxa"/>
            <w:vAlign w:val="bottom"/>
            <w:gridSpan w:val="2"/>
          </w:tcPr>
          <w:p>
            <w:pPr>
              <w:jc w:val="right"/>
              <w:spacing w:after="0"/>
              <w:rPr>
                <w:sz w:val="20"/>
                <w:szCs w:val="20"/>
                <w:color w:val="auto"/>
              </w:rPr>
            </w:pPr>
            <w:r>
              <w:rPr>
                <w:rFonts w:ascii="Arial" w:cs="Arial" w:eastAsia="Arial" w:hAnsi="Arial"/>
                <w:sz w:val="17"/>
                <w:szCs w:val="17"/>
                <w:color w:val="auto"/>
              </w:rPr>
              <w:t>147,190,269</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146,416,819</w:t>
            </w:r>
          </w:p>
        </w:tc>
        <w:tc>
          <w:tcPr>
            <w:tcW w:w="180" w:type="dxa"/>
            <w:vAlign w:val="bottom"/>
          </w:tcPr>
          <w:p>
            <w:pPr>
              <w:spacing w:after="0"/>
              <w:rPr>
                <w:sz w:val="24"/>
                <w:szCs w:val="24"/>
                <w:color w:val="auto"/>
              </w:rPr>
            </w:pPr>
          </w:p>
        </w:tc>
      </w:tr>
      <w:tr>
        <w:trPr>
          <w:trHeight w:val="194"/>
        </w:trPr>
        <w:tc>
          <w:tcPr>
            <w:tcW w:w="4400" w:type="dxa"/>
            <w:vAlign w:val="bottom"/>
          </w:tcPr>
          <w:p>
            <w:pPr>
              <w:ind w:left="940"/>
              <w:spacing w:after="0" w:line="194" w:lineRule="exact"/>
              <w:rPr>
                <w:sz w:val="20"/>
                <w:szCs w:val="20"/>
                <w:color w:val="auto"/>
              </w:rPr>
            </w:pPr>
            <w:r>
              <w:rPr>
                <w:rFonts w:ascii="Arial" w:cs="Arial" w:eastAsia="Arial" w:hAnsi="Arial"/>
                <w:sz w:val="17"/>
                <w:szCs w:val="17"/>
                <w:color w:val="auto"/>
              </w:rPr>
              <w:t>Indirect loans, Note 21(a)</w:t>
            </w:r>
          </w:p>
        </w:tc>
        <w:tc>
          <w:tcPr>
            <w:tcW w:w="53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20,928,055</w:t>
            </w:r>
          </w:p>
        </w:tc>
        <w:tc>
          <w:tcPr>
            <w:tcW w:w="160" w:type="dxa"/>
            <w:vAlign w:val="bottom"/>
          </w:tcPr>
          <w:p>
            <w:pPr>
              <w:spacing w:after="0"/>
              <w:rPr>
                <w:sz w:val="16"/>
                <w:szCs w:val="16"/>
                <w:color w:val="auto"/>
              </w:rPr>
            </w:pP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22,914,343</w:t>
            </w:r>
          </w:p>
        </w:tc>
        <w:tc>
          <w:tcPr>
            <w:tcW w:w="180" w:type="dxa"/>
            <w:vAlign w:val="bottom"/>
          </w:tcPr>
          <w:p>
            <w:pPr>
              <w:spacing w:after="0"/>
              <w:rPr>
                <w:sz w:val="16"/>
                <w:szCs w:val="16"/>
                <w:color w:val="auto"/>
              </w:rPr>
            </w:pPr>
          </w:p>
        </w:tc>
      </w:tr>
      <w:tr>
        <w:trPr>
          <w:trHeight w:val="195"/>
        </w:trPr>
        <w:tc>
          <w:tcPr>
            <w:tcW w:w="4400" w:type="dxa"/>
            <w:vAlign w:val="bottom"/>
          </w:tcPr>
          <w:p>
            <w:pPr>
              <w:ind w:left="940"/>
              <w:spacing w:after="0"/>
              <w:rPr>
                <w:sz w:val="20"/>
                <w:szCs w:val="20"/>
                <w:color w:val="auto"/>
              </w:rPr>
            </w:pPr>
            <w:r>
              <w:rPr>
                <w:rFonts w:ascii="Arial" w:cs="Arial" w:eastAsia="Arial" w:hAnsi="Arial"/>
                <w:sz w:val="17"/>
                <w:szCs w:val="17"/>
                <w:color w:val="auto"/>
              </w:rPr>
              <w:t>Banker´s acceptances Note 3(r)</w:t>
            </w:r>
          </w:p>
        </w:tc>
        <w:tc>
          <w:tcPr>
            <w:tcW w:w="5340" w:type="dxa"/>
            <w:vAlign w:val="bottom"/>
            <w:gridSpan w:val="2"/>
          </w:tcPr>
          <w:p>
            <w:pPr>
              <w:jc w:val="right"/>
              <w:spacing w:after="0"/>
              <w:rPr>
                <w:sz w:val="20"/>
                <w:szCs w:val="20"/>
                <w:color w:val="auto"/>
              </w:rPr>
            </w:pPr>
            <w:r>
              <w:rPr>
                <w:rFonts w:ascii="Arial" w:cs="Arial" w:eastAsia="Arial" w:hAnsi="Arial"/>
                <w:sz w:val="17"/>
                <w:szCs w:val="17"/>
                <w:color w:val="auto"/>
              </w:rPr>
              <w:t>699,678</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532,404</w:t>
            </w:r>
          </w:p>
        </w:tc>
        <w:tc>
          <w:tcPr>
            <w:tcW w:w="180" w:type="dxa"/>
            <w:vAlign w:val="bottom"/>
          </w:tcPr>
          <w:p>
            <w:pPr>
              <w:spacing w:after="0"/>
              <w:rPr>
                <w:sz w:val="16"/>
                <w:szCs w:val="16"/>
                <w:color w:val="auto"/>
              </w:rPr>
            </w:pPr>
          </w:p>
        </w:tc>
      </w:tr>
      <w:tr>
        <w:trPr>
          <w:trHeight w:val="193"/>
        </w:trPr>
        <w:tc>
          <w:tcPr>
            <w:tcW w:w="4400" w:type="dxa"/>
            <w:vAlign w:val="bottom"/>
          </w:tcPr>
          <w:p>
            <w:pPr>
              <w:ind w:left="940"/>
              <w:spacing w:after="0" w:line="187" w:lineRule="exact"/>
              <w:rPr>
                <w:sz w:val="20"/>
                <w:szCs w:val="20"/>
                <w:color w:val="auto"/>
              </w:rPr>
            </w:pPr>
            <w:r>
              <w:rPr>
                <w:rFonts w:ascii="Arial" w:cs="Arial" w:eastAsia="Arial" w:hAnsi="Arial"/>
                <w:sz w:val="17"/>
                <w:szCs w:val="17"/>
                <w:b w:val="1"/>
                <w:bCs w:val="1"/>
                <w:color w:val="auto"/>
              </w:rPr>
              <w:t>Total</w:t>
            </w:r>
          </w:p>
        </w:tc>
        <w:tc>
          <w:tcPr>
            <w:tcW w:w="4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168,818,002</w:t>
            </w:r>
          </w:p>
        </w:tc>
        <w:tc>
          <w:tcPr>
            <w:tcW w:w="16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169,863,566</w:t>
            </w:r>
          </w:p>
        </w:tc>
        <w:tc>
          <w:tcPr>
            <w:tcW w:w="180" w:type="dxa"/>
            <w:vAlign w:val="bottom"/>
          </w:tcPr>
          <w:p>
            <w:pPr>
              <w:spacing w:after="0"/>
              <w:rPr>
                <w:sz w:val="16"/>
                <w:szCs w:val="16"/>
                <w:color w:val="auto"/>
              </w:rPr>
            </w:pPr>
          </w:p>
        </w:tc>
      </w:tr>
      <w:tr>
        <w:trPr>
          <w:trHeight w:val="376"/>
        </w:trPr>
        <w:tc>
          <w:tcPr>
            <w:tcW w:w="4400" w:type="dxa"/>
            <w:vAlign w:val="bottom"/>
          </w:tcPr>
          <w:p>
            <w:pPr>
              <w:spacing w:after="0"/>
              <w:rPr>
                <w:sz w:val="24"/>
                <w:szCs w:val="24"/>
                <w:color w:val="auto"/>
              </w:rPr>
            </w:pPr>
          </w:p>
        </w:tc>
        <w:tc>
          <w:tcPr>
            <w:tcW w:w="4220" w:type="dxa"/>
            <w:vAlign w:val="bottom"/>
          </w:tcPr>
          <w:p>
            <w:pPr>
              <w:jc w:val="right"/>
              <w:ind w:right="2714"/>
              <w:spacing w:after="0"/>
              <w:rPr>
                <w:sz w:val="20"/>
                <w:szCs w:val="20"/>
                <w:color w:val="auto"/>
              </w:rPr>
            </w:pPr>
            <w:r>
              <w:rPr>
                <w:rFonts w:ascii="Arial" w:cs="Arial" w:eastAsia="Arial" w:hAnsi="Arial"/>
                <w:sz w:val="17"/>
                <w:szCs w:val="17"/>
                <w:color w:val="auto"/>
              </w:rPr>
              <w:t>- 72 -</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440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77" w:name="page78"/>
    <w:bookmarkEnd w:id="77"/>
    <w:p>
      <w:pPr>
        <w:ind w:left="940"/>
        <w:spacing w:after="0"/>
        <w:rPr>
          <w:sz w:val="20"/>
          <w:szCs w:val="20"/>
          <w:color w:val="auto"/>
        </w:rPr>
      </w:pPr>
      <w:r>
        <w:rPr>
          <w:rFonts w:ascii="Arial" w:cs="Arial" w:eastAsia="Arial" w:hAnsi="Arial"/>
          <w:sz w:val="17"/>
          <w:szCs w:val="17"/>
          <w:color w:val="auto"/>
        </w:rPr>
        <w:t>The movement of gross balance of loan portfolio by stages is as follows for the periods of 2022 and 2021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80" w:type="dxa"/>
            <w:vAlign w:val="bottom"/>
            <w:gridSpan w:val="42"/>
          </w:tcPr>
          <w:p>
            <w:pPr>
              <w:spacing w:after="0"/>
              <w:rPr>
                <w:sz w:val="20"/>
                <w:szCs w:val="20"/>
                <w:color w:val="auto"/>
              </w:rPr>
            </w:pPr>
            <w:r>
              <w:rPr>
                <w:rFonts w:ascii="Arial" w:cs="Arial" w:eastAsia="Arial" w:hAnsi="Arial"/>
                <w:sz w:val="14"/>
                <w:szCs w:val="14"/>
                <w:b w:val="1"/>
                <w:bCs w:val="1"/>
                <w:color w:val="auto"/>
              </w:rPr>
              <w:t>Stage 1</w:t>
            </w: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New loans,</w:t>
            </w:r>
          </w:p>
        </w:tc>
        <w:tc>
          <w:tcPr>
            <w:tcW w:w="140" w:type="dxa"/>
            <w:vAlign w:val="bottom"/>
            <w:gridSpan w:val="3"/>
          </w:tcPr>
          <w:p>
            <w:pPr>
              <w:spacing w:after="0"/>
              <w:rPr>
                <w:sz w:val="14"/>
                <w:szCs w:val="14"/>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29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4960" w:type="dxa"/>
            <w:vAlign w:val="bottom"/>
            <w:gridSpan w:val="40"/>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140" w:type="dxa"/>
            <w:vAlign w:val="bottom"/>
            <w:gridSpan w:val="3"/>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29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liquidation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between</w:t>
            </w:r>
          </w:p>
        </w:tc>
        <w:tc>
          <w:tcPr>
            <w:tcW w:w="60" w:type="dxa"/>
            <w:vAlign w:val="bottom"/>
          </w:tcPr>
          <w:p>
            <w:pPr>
              <w:spacing w:after="0"/>
              <w:rPr>
                <w:sz w:val="13"/>
                <w:szCs w:val="13"/>
                <w:color w:val="auto"/>
              </w:rPr>
            </w:pPr>
          </w:p>
        </w:tc>
        <w:tc>
          <w:tcPr>
            <w:tcW w:w="940" w:type="dxa"/>
            <w:vAlign w:val="bottom"/>
            <w:gridSpan w:val="7"/>
          </w:tcPr>
          <w:p>
            <w:pPr>
              <w:ind w:left="40"/>
              <w:spacing w:after="0" w:line="155" w:lineRule="exact"/>
              <w:rPr>
                <w:sz w:val="20"/>
                <w:szCs w:val="20"/>
                <w:color w:val="auto"/>
              </w:rPr>
            </w:pPr>
            <w:r>
              <w:rPr>
                <w:rFonts w:ascii="Arial" w:cs="Arial" w:eastAsia="Arial" w:hAnsi="Arial"/>
                <w:sz w:val="14"/>
                <w:szCs w:val="14"/>
                <w:b w:val="1"/>
                <w:bCs w:val="1"/>
                <w:color w:val="auto"/>
              </w:rPr>
              <w:t>Sale of</w:t>
            </w:r>
          </w:p>
        </w:tc>
        <w:tc>
          <w:tcPr>
            <w:tcW w:w="110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December</w:t>
            </w:r>
          </w:p>
        </w:tc>
        <w:tc>
          <w:tcPr>
            <w:tcW w:w="40" w:type="dxa"/>
            <w:vAlign w:val="bottom"/>
          </w:tcPr>
          <w:p>
            <w:pPr>
              <w:spacing w:after="0"/>
              <w:rPr>
                <w:sz w:val="13"/>
                <w:szCs w:val="13"/>
                <w:color w:val="auto"/>
              </w:rPr>
            </w:pPr>
          </w:p>
        </w:tc>
        <w:tc>
          <w:tcPr>
            <w:tcW w:w="9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Transfer to</w:t>
            </w:r>
          </w:p>
        </w:tc>
        <w:tc>
          <w:tcPr>
            <w:tcW w:w="40" w:type="dxa"/>
            <w:vAlign w:val="bottom"/>
          </w:tcPr>
          <w:p>
            <w:pPr>
              <w:spacing w:after="0"/>
              <w:rPr>
                <w:sz w:val="13"/>
                <w:szCs w:val="13"/>
                <w:color w:val="auto"/>
              </w:rPr>
            </w:pPr>
          </w:p>
        </w:tc>
        <w:tc>
          <w:tcPr>
            <w:tcW w:w="94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Transfer to</w:t>
            </w:r>
          </w:p>
        </w:tc>
        <w:tc>
          <w:tcPr>
            <w:tcW w:w="20" w:type="dxa"/>
            <w:vAlign w:val="bottom"/>
          </w:tcPr>
          <w:p>
            <w:pPr>
              <w:spacing w:after="0"/>
              <w:rPr>
                <w:sz w:val="13"/>
                <w:szCs w:val="13"/>
                <w:color w:val="auto"/>
              </w:rPr>
            </w:pPr>
          </w:p>
        </w:tc>
        <w:tc>
          <w:tcPr>
            <w:tcW w:w="6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from</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from</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and write-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classes of</w:t>
            </w:r>
          </w:p>
        </w:tc>
        <w:tc>
          <w:tcPr>
            <w:tcW w:w="60" w:type="dxa"/>
            <w:vAlign w:val="bottom"/>
          </w:tcPr>
          <w:p>
            <w:pPr>
              <w:spacing w:after="0"/>
              <w:rPr>
                <w:sz w:val="13"/>
                <w:szCs w:val="13"/>
                <w:color w:val="auto"/>
              </w:rPr>
            </w:pPr>
          </w:p>
        </w:tc>
        <w:tc>
          <w:tcPr>
            <w:tcW w:w="940" w:type="dxa"/>
            <w:vAlign w:val="bottom"/>
            <w:gridSpan w:val="7"/>
          </w:tcPr>
          <w:p>
            <w:pPr>
              <w:ind w:left="40"/>
              <w:spacing w:after="0" w:line="155" w:lineRule="exact"/>
              <w:rPr>
                <w:sz w:val="20"/>
                <w:szCs w:val="20"/>
                <w:color w:val="auto"/>
              </w:rPr>
            </w:pPr>
            <w:r>
              <w:rPr>
                <w:rFonts w:ascii="Arial" w:cs="Arial" w:eastAsia="Arial" w:hAnsi="Arial"/>
                <w:sz w:val="14"/>
                <w:szCs w:val="14"/>
                <w:b w:val="1"/>
                <w:bCs w:val="1"/>
                <w:color w:val="auto"/>
              </w:rPr>
              <w:t>loan</w:t>
            </w:r>
          </w:p>
        </w:tc>
        <w:tc>
          <w:tcPr>
            <w:tcW w:w="110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Loans by class</w:t>
            </w:r>
          </w:p>
        </w:tc>
        <w:tc>
          <w:tcPr>
            <w:tcW w:w="900" w:type="dxa"/>
            <w:vAlign w:val="bottom"/>
            <w:gridSpan w:val="5"/>
          </w:tcPr>
          <w:p>
            <w:pPr>
              <w:ind w:left="40"/>
              <w:spacing w:after="0"/>
              <w:rPr>
                <w:sz w:val="20"/>
                <w:szCs w:val="20"/>
                <w:color w:val="auto"/>
              </w:rPr>
            </w:pPr>
            <w:r>
              <w:rPr>
                <w:rFonts w:ascii="Arial" w:cs="Arial" w:eastAsia="Arial" w:hAnsi="Arial"/>
                <w:sz w:val="14"/>
                <w:szCs w:val="14"/>
                <w:b w:val="1"/>
                <w:bCs w:val="1"/>
                <w:color w:val="auto"/>
              </w:rPr>
              <w:t>31, 2021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Stage 2</w:t>
            </w:r>
          </w:p>
        </w:tc>
        <w:tc>
          <w:tcPr>
            <w:tcW w:w="40" w:type="dxa"/>
            <w:vAlign w:val="bottom"/>
          </w:tcPr>
          <w:p>
            <w:pPr>
              <w:spacing w:after="0"/>
              <w:rPr>
                <w:sz w:val="14"/>
                <w:szCs w:val="14"/>
                <w:color w:val="auto"/>
              </w:rPr>
            </w:pPr>
          </w:p>
        </w:tc>
        <w:tc>
          <w:tcPr>
            <w:tcW w:w="940" w:type="dxa"/>
            <w:vAlign w:val="bottom"/>
            <w:gridSpan w:val="6"/>
          </w:tcPr>
          <w:p>
            <w:pPr>
              <w:ind w:left="20"/>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Stage 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offs, 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5"/>
          </w:tcPr>
          <w:p>
            <w:pPr>
              <w:ind w:left="20"/>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4"/>
                <w:szCs w:val="14"/>
                <w:color w:val="auto"/>
              </w:rPr>
            </w:pPr>
          </w:p>
        </w:tc>
        <w:tc>
          <w:tcPr>
            <w:tcW w:w="940" w:type="dxa"/>
            <w:vAlign w:val="bottom"/>
            <w:gridSpan w:val="7"/>
          </w:tcPr>
          <w:p>
            <w:pPr>
              <w:ind w:left="40"/>
              <w:spacing w:after="0"/>
              <w:rPr>
                <w:sz w:val="20"/>
                <w:szCs w:val="20"/>
                <w:color w:val="auto"/>
              </w:rPr>
            </w:pPr>
            <w:r>
              <w:rPr>
                <w:rFonts w:ascii="Arial" w:cs="Arial" w:eastAsia="Arial" w:hAnsi="Arial"/>
                <w:sz w:val="14"/>
                <w:szCs w:val="14"/>
                <w:b w:val="1"/>
                <w:bCs w:val="1"/>
                <w:color w:val="auto"/>
              </w:rPr>
              <w:t>portfolio</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and others</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31, 2022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Loans by class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3"/>
          </w:tcPr>
          <w:p>
            <w:pPr>
              <w:jc w:val="right"/>
              <w:ind w:right="160"/>
              <w:spacing w:after="0" w:line="153" w:lineRule="exact"/>
              <w:rPr>
                <w:sz w:val="20"/>
                <w:szCs w:val="20"/>
                <w:color w:val="auto"/>
              </w:rPr>
            </w:pPr>
            <w:r>
              <w:rPr>
                <w:rFonts w:ascii="Arial" w:cs="Arial" w:eastAsia="Arial" w:hAnsi="Arial"/>
                <w:sz w:val="14"/>
                <w:szCs w:val="14"/>
                <w:b w:val="1"/>
                <w:bCs w:val="1"/>
                <w:color w:val="auto"/>
                <w:w w:val="95"/>
              </w:rPr>
              <w:t>S/(000)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gridSpan w:val="4"/>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Commercial loans</w:t>
            </w:r>
          </w:p>
        </w:tc>
        <w:tc>
          <w:tcPr>
            <w:tcW w:w="9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90,281,463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(10,689,388)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(782,333)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tcPr>
          <w:p>
            <w:pPr>
              <w:jc w:val="center"/>
              <w:ind w:left="31"/>
              <w:spacing w:after="0" w:line="155" w:lineRule="exact"/>
              <w:rPr>
                <w:sz w:val="20"/>
                <w:szCs w:val="20"/>
                <w:color w:val="auto"/>
              </w:rPr>
            </w:pPr>
            <w:r>
              <w:rPr>
                <w:rFonts w:ascii="Arial" w:cs="Arial" w:eastAsia="Arial" w:hAnsi="Arial"/>
                <w:sz w:val="14"/>
                <w:szCs w:val="14"/>
                <w:color w:val="auto"/>
                <w:w w:val="99"/>
              </w:rPr>
              <w:t>7,640,908</w:t>
            </w:r>
          </w:p>
        </w:tc>
        <w:tc>
          <w:tcPr>
            <w:tcW w:w="40" w:type="dxa"/>
            <w:vAlign w:val="bottom"/>
          </w:tcPr>
          <w:p>
            <w:pPr>
              <w:spacing w:after="0"/>
              <w:rPr>
                <w:sz w:val="13"/>
                <w:szCs w:val="13"/>
                <w:color w:val="auto"/>
              </w:rPr>
            </w:pPr>
          </w:p>
        </w:tc>
        <w:tc>
          <w:tcPr>
            <w:tcW w:w="780" w:type="dxa"/>
            <w:vAlign w:val="bottom"/>
            <w:gridSpan w:val="6"/>
          </w:tcPr>
          <w:p>
            <w:pPr>
              <w:jc w:val="right"/>
              <w:ind w:right="40"/>
              <w:spacing w:after="0" w:line="155" w:lineRule="exact"/>
              <w:rPr>
                <w:sz w:val="20"/>
                <w:szCs w:val="20"/>
                <w:color w:val="auto"/>
              </w:rPr>
            </w:pPr>
            <w:r>
              <w:rPr>
                <w:rFonts w:ascii="Arial" w:cs="Arial" w:eastAsia="Arial" w:hAnsi="Arial"/>
                <w:sz w:val="14"/>
                <w:szCs w:val="14"/>
                <w:color w:val="auto"/>
              </w:rPr>
              <w:t>356,896</w:t>
            </w:r>
          </w:p>
        </w:tc>
        <w:tc>
          <w:tcPr>
            <w:tcW w:w="20" w:type="dxa"/>
            <w:vAlign w:val="bottom"/>
          </w:tcPr>
          <w:p>
            <w:pPr>
              <w:spacing w:after="0"/>
              <w:rPr>
                <w:sz w:val="13"/>
                <w:szCs w:val="13"/>
                <w:color w:val="auto"/>
              </w:rPr>
            </w:pPr>
          </w:p>
        </w:tc>
        <w:tc>
          <w:tcPr>
            <w:tcW w:w="1000" w:type="dxa"/>
            <w:vAlign w:val="bottom"/>
            <w:gridSpan w:val="7"/>
          </w:tcPr>
          <w:p>
            <w:pPr>
              <w:jc w:val="right"/>
              <w:ind w:right="40"/>
              <w:spacing w:after="0" w:line="155" w:lineRule="exact"/>
              <w:rPr>
                <w:sz w:val="20"/>
                <w:szCs w:val="20"/>
                <w:color w:val="auto"/>
              </w:rPr>
            </w:pPr>
            <w:r>
              <w:rPr>
                <w:rFonts w:ascii="Arial" w:cs="Arial" w:eastAsia="Arial" w:hAnsi="Arial"/>
                <w:sz w:val="14"/>
                <w:szCs w:val="14"/>
                <w:color w:val="auto"/>
              </w:rPr>
              <w:t>1,067,360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(21,784)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(1,662,665)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86,190,457</w:t>
            </w: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Residential mortgage</w:t>
            </w:r>
          </w:p>
        </w:tc>
        <w:tc>
          <w:tcPr>
            <w:tcW w:w="900" w:type="dxa"/>
            <w:vAlign w:val="bottom"/>
            <w:gridSpan w:val="5"/>
            <w:vMerge w:val="restart"/>
          </w:tcPr>
          <w:p>
            <w:pPr>
              <w:jc w:val="right"/>
              <w:spacing w:after="0"/>
              <w:rPr>
                <w:sz w:val="20"/>
                <w:szCs w:val="20"/>
                <w:color w:val="auto"/>
              </w:rPr>
            </w:pPr>
            <w:r>
              <w:rPr>
                <w:rFonts w:ascii="Arial" w:cs="Arial" w:eastAsia="Arial" w:hAnsi="Arial"/>
                <w:sz w:val="14"/>
                <w:szCs w:val="14"/>
                <w:color w:val="auto"/>
              </w:rPr>
              <w:t>18,702,189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color w:val="auto"/>
              </w:rPr>
              <w:t>(4,019,065)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(84,000)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vMerge w:val="restart"/>
          </w:tcPr>
          <w:p>
            <w:pPr>
              <w:jc w:val="center"/>
              <w:ind w:left="31"/>
              <w:spacing w:after="0"/>
              <w:rPr>
                <w:sz w:val="20"/>
                <w:szCs w:val="20"/>
                <w:color w:val="auto"/>
              </w:rPr>
            </w:pPr>
            <w:r>
              <w:rPr>
                <w:rFonts w:ascii="Arial" w:cs="Arial" w:eastAsia="Arial" w:hAnsi="Arial"/>
                <w:sz w:val="14"/>
                <w:szCs w:val="14"/>
                <w:color w:val="auto"/>
                <w:w w:val="99"/>
              </w:rPr>
              <w:t>1,995,000</w:t>
            </w:r>
          </w:p>
        </w:tc>
        <w:tc>
          <w:tcPr>
            <w:tcW w:w="40" w:type="dxa"/>
            <w:vAlign w:val="bottom"/>
          </w:tcPr>
          <w:p>
            <w:pPr>
              <w:spacing w:after="0"/>
              <w:rPr>
                <w:sz w:val="13"/>
                <w:szCs w:val="13"/>
                <w:color w:val="auto"/>
              </w:rPr>
            </w:pPr>
          </w:p>
        </w:tc>
        <w:tc>
          <w:tcPr>
            <w:tcW w:w="780" w:type="dxa"/>
            <w:vAlign w:val="bottom"/>
            <w:gridSpan w:val="6"/>
            <w:vMerge w:val="restart"/>
          </w:tcPr>
          <w:p>
            <w:pPr>
              <w:jc w:val="right"/>
              <w:ind w:right="40"/>
              <w:spacing w:after="0"/>
              <w:rPr>
                <w:sz w:val="20"/>
                <w:szCs w:val="20"/>
                <w:color w:val="auto"/>
              </w:rPr>
            </w:pPr>
            <w:r>
              <w:rPr>
                <w:rFonts w:ascii="Arial" w:cs="Arial" w:eastAsia="Arial" w:hAnsi="Arial"/>
                <w:sz w:val="14"/>
                <w:szCs w:val="14"/>
                <w:color w:val="auto"/>
              </w:rPr>
              <w:t>27,176</w:t>
            </w:r>
          </w:p>
        </w:tc>
        <w:tc>
          <w:tcPr>
            <w:tcW w:w="20" w:type="dxa"/>
            <w:vAlign w:val="bottom"/>
          </w:tcPr>
          <w:p>
            <w:pPr>
              <w:spacing w:after="0"/>
              <w:rPr>
                <w:sz w:val="13"/>
                <w:szCs w:val="13"/>
                <w:color w:val="auto"/>
              </w:rPr>
            </w:pPr>
          </w:p>
        </w:tc>
        <w:tc>
          <w:tcPr>
            <w:tcW w:w="1000" w:type="dxa"/>
            <w:vAlign w:val="bottom"/>
            <w:gridSpan w:val="7"/>
            <w:vMerge w:val="restart"/>
          </w:tcPr>
          <w:p>
            <w:pPr>
              <w:jc w:val="right"/>
              <w:ind w:right="40"/>
              <w:spacing w:after="0"/>
              <w:rPr>
                <w:sz w:val="20"/>
                <w:szCs w:val="20"/>
                <w:color w:val="auto"/>
              </w:rPr>
            </w:pPr>
            <w:r>
              <w:rPr>
                <w:rFonts w:ascii="Arial" w:cs="Arial" w:eastAsia="Arial" w:hAnsi="Arial"/>
                <w:sz w:val="14"/>
                <w:szCs w:val="14"/>
                <w:color w:val="auto"/>
              </w:rPr>
              <w:t>2,247,060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6"/>
            <w:vMerge w:val="restart"/>
          </w:tcPr>
          <w:p>
            <w:pPr>
              <w:jc w:val="right"/>
              <w:spacing w:after="0"/>
              <w:rPr>
                <w:sz w:val="20"/>
                <w:szCs w:val="20"/>
                <w:color w:val="auto"/>
              </w:rPr>
            </w:pPr>
            <w:r>
              <w:rPr>
                <w:rFonts w:ascii="Arial" w:cs="Arial" w:eastAsia="Arial" w:hAnsi="Arial"/>
                <w:sz w:val="14"/>
                <w:szCs w:val="14"/>
                <w:color w:val="auto"/>
              </w:rPr>
              <w:t>7,496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(235,424)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560" w:type="dxa"/>
            <w:vAlign w:val="bottom"/>
            <w:gridSpan w:val="4"/>
            <w:vMerge w:val="restart"/>
          </w:tcPr>
          <w:p>
            <w:pPr>
              <w:spacing w:after="0" w:line="155" w:lineRule="exact"/>
              <w:rPr>
                <w:sz w:val="20"/>
                <w:szCs w:val="20"/>
                <w:color w:val="auto"/>
              </w:rPr>
            </w:pPr>
            <w:r>
              <w:rPr>
                <w:rFonts w:ascii="Arial" w:cs="Arial" w:eastAsia="Arial" w:hAnsi="Arial"/>
                <w:sz w:val="14"/>
                <w:szCs w:val="14"/>
                <w:color w:val="auto"/>
              </w:rPr>
              <w:t>loans</w:t>
            </w:r>
          </w:p>
        </w:tc>
        <w:tc>
          <w:tcPr>
            <w:tcW w:w="9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gridSpan w:val="7"/>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right"/>
              <w:spacing w:after="0" w:line="155" w:lineRule="exact"/>
              <w:rPr>
                <w:sz w:val="20"/>
                <w:szCs w:val="20"/>
                <w:color w:val="auto"/>
              </w:rPr>
            </w:pPr>
            <w:r>
              <w:rPr>
                <w:rFonts w:ascii="Arial" w:cs="Arial" w:eastAsia="Arial" w:hAnsi="Arial"/>
                <w:sz w:val="14"/>
                <w:szCs w:val="14"/>
                <w:color w:val="auto"/>
              </w:rPr>
              <w:t>18,640,432</w:t>
            </w:r>
          </w:p>
        </w:tc>
        <w:tc>
          <w:tcPr>
            <w:tcW w:w="0" w:type="dxa"/>
            <w:vAlign w:val="bottom"/>
          </w:tcPr>
          <w:p>
            <w:pPr>
              <w:spacing w:after="0"/>
              <w:rPr>
                <w:sz w:val="1"/>
                <w:szCs w:val="1"/>
                <w:color w:val="auto"/>
              </w:rPr>
            </w:pPr>
          </w:p>
        </w:tc>
      </w:tr>
      <w:tr>
        <w:trPr>
          <w:trHeight w:val="68"/>
        </w:trPr>
        <w:tc>
          <w:tcPr>
            <w:tcW w:w="1560" w:type="dxa"/>
            <w:vAlign w:val="bottom"/>
            <w:gridSpan w:val="4"/>
            <w:vMerge w:val="continue"/>
          </w:tcPr>
          <w:p>
            <w:pPr>
              <w:spacing w:after="0"/>
              <w:rPr>
                <w:sz w:val="5"/>
                <w:szCs w:val="5"/>
                <w:color w:val="auto"/>
              </w:rPr>
            </w:pPr>
          </w:p>
        </w:tc>
        <w:tc>
          <w:tcPr>
            <w:tcW w:w="8800" w:type="dxa"/>
            <w:vAlign w:val="bottom"/>
            <w:gridSpan w:val="62"/>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Micro-business loans</w:t>
            </w:r>
          </w:p>
        </w:tc>
        <w:tc>
          <w:tcPr>
            <w:tcW w:w="9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10,803,696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(11,398,414)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(235,229)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tcPr>
          <w:p>
            <w:pPr>
              <w:jc w:val="center"/>
              <w:ind w:left="31"/>
              <w:spacing w:after="0" w:line="155" w:lineRule="exact"/>
              <w:rPr>
                <w:sz w:val="20"/>
                <w:szCs w:val="20"/>
                <w:color w:val="auto"/>
              </w:rPr>
            </w:pPr>
            <w:r>
              <w:rPr>
                <w:rFonts w:ascii="Arial" w:cs="Arial" w:eastAsia="Arial" w:hAnsi="Arial"/>
                <w:sz w:val="14"/>
                <w:szCs w:val="14"/>
                <w:color w:val="auto"/>
                <w:w w:val="99"/>
              </w:rPr>
              <w:t>4,142,176</w:t>
            </w:r>
          </w:p>
        </w:tc>
        <w:tc>
          <w:tcPr>
            <w:tcW w:w="40" w:type="dxa"/>
            <w:vAlign w:val="bottom"/>
          </w:tcPr>
          <w:p>
            <w:pPr>
              <w:spacing w:after="0"/>
              <w:rPr>
                <w:sz w:val="13"/>
                <w:szCs w:val="13"/>
                <w:color w:val="auto"/>
              </w:rPr>
            </w:pPr>
          </w:p>
        </w:tc>
        <w:tc>
          <w:tcPr>
            <w:tcW w:w="780" w:type="dxa"/>
            <w:vAlign w:val="bottom"/>
            <w:gridSpan w:val="6"/>
          </w:tcPr>
          <w:p>
            <w:pPr>
              <w:jc w:val="right"/>
              <w:ind w:right="40"/>
              <w:spacing w:after="0" w:line="155" w:lineRule="exact"/>
              <w:rPr>
                <w:sz w:val="20"/>
                <w:szCs w:val="20"/>
                <w:color w:val="auto"/>
              </w:rPr>
            </w:pPr>
            <w:r>
              <w:rPr>
                <w:rFonts w:ascii="Arial" w:cs="Arial" w:eastAsia="Arial" w:hAnsi="Arial"/>
                <w:sz w:val="14"/>
                <w:szCs w:val="14"/>
                <w:color w:val="auto"/>
              </w:rPr>
              <w:t>95,327</w:t>
            </w:r>
          </w:p>
        </w:tc>
        <w:tc>
          <w:tcPr>
            <w:tcW w:w="20" w:type="dxa"/>
            <w:vAlign w:val="bottom"/>
          </w:tcPr>
          <w:p>
            <w:pPr>
              <w:spacing w:after="0"/>
              <w:rPr>
                <w:sz w:val="13"/>
                <w:szCs w:val="13"/>
                <w:color w:val="auto"/>
              </w:rPr>
            </w:pPr>
          </w:p>
        </w:tc>
        <w:tc>
          <w:tcPr>
            <w:tcW w:w="1000" w:type="dxa"/>
            <w:vAlign w:val="bottom"/>
            <w:gridSpan w:val="7"/>
          </w:tcPr>
          <w:p>
            <w:pPr>
              <w:jc w:val="right"/>
              <w:ind w:right="40"/>
              <w:spacing w:after="0" w:line="155" w:lineRule="exact"/>
              <w:rPr>
                <w:sz w:val="20"/>
                <w:szCs w:val="20"/>
                <w:color w:val="auto"/>
              </w:rPr>
            </w:pPr>
            <w:r>
              <w:rPr>
                <w:rFonts w:ascii="Arial" w:cs="Arial" w:eastAsia="Arial" w:hAnsi="Arial"/>
                <w:sz w:val="14"/>
                <w:szCs w:val="14"/>
                <w:color w:val="auto"/>
              </w:rPr>
              <w:t>10,960,618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(739,253)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(203,268)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13,425,653</w:t>
            </w:r>
          </w:p>
        </w:tc>
        <w:tc>
          <w:tcPr>
            <w:tcW w:w="0" w:type="dxa"/>
            <w:vAlign w:val="bottom"/>
          </w:tcPr>
          <w:p>
            <w:pPr>
              <w:spacing w:after="0"/>
              <w:rPr>
                <w:sz w:val="1"/>
                <w:szCs w:val="1"/>
                <w:color w:val="auto"/>
              </w:rPr>
            </w:pPr>
          </w:p>
        </w:tc>
      </w:tr>
      <w:tr>
        <w:trPr>
          <w:trHeight w:val="151"/>
        </w:trPr>
        <w:tc>
          <w:tcPr>
            <w:tcW w:w="1560" w:type="dxa"/>
            <w:vAlign w:val="bottom"/>
            <w:gridSpan w:val="4"/>
          </w:tcPr>
          <w:p>
            <w:pPr>
              <w:spacing w:after="0" w:line="151" w:lineRule="exact"/>
              <w:rPr>
                <w:sz w:val="20"/>
                <w:szCs w:val="20"/>
                <w:color w:val="auto"/>
              </w:rPr>
            </w:pPr>
            <w:r>
              <w:rPr>
                <w:rFonts w:ascii="Arial" w:cs="Arial" w:eastAsia="Arial" w:hAnsi="Arial"/>
                <w:sz w:val="14"/>
                <w:szCs w:val="14"/>
                <w:color w:val="auto"/>
              </w:rPr>
              <w:t>Consumer loans</w:t>
            </w:r>
          </w:p>
        </w:tc>
        <w:tc>
          <w:tcPr>
            <w:tcW w:w="900" w:type="dxa"/>
            <w:vAlign w:val="bottom"/>
            <w:tcBorders>
              <w:bottom w:val="single" w:sz="8" w:color="auto"/>
            </w:tcBorders>
            <w:gridSpan w:val="5"/>
          </w:tcPr>
          <w:p>
            <w:pPr>
              <w:jc w:val="right"/>
              <w:spacing w:after="0" w:line="151" w:lineRule="exact"/>
              <w:rPr>
                <w:sz w:val="20"/>
                <w:szCs w:val="20"/>
                <w:color w:val="auto"/>
              </w:rPr>
            </w:pPr>
            <w:r>
              <w:rPr>
                <w:rFonts w:ascii="Arial" w:cs="Arial" w:eastAsia="Arial" w:hAnsi="Arial"/>
                <w:sz w:val="14"/>
                <w:szCs w:val="14"/>
                <w:color w:val="auto"/>
              </w:rPr>
              <w:t>11,993,823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(6,578,251)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(300,120)</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bottom w:val="single" w:sz="8" w:color="auto"/>
            </w:tcBorders>
            <w:gridSpan w:val="5"/>
          </w:tcPr>
          <w:p>
            <w:pPr>
              <w:jc w:val="center"/>
              <w:ind w:left="31"/>
              <w:spacing w:after="0" w:line="151" w:lineRule="exact"/>
              <w:rPr>
                <w:sz w:val="20"/>
                <w:szCs w:val="20"/>
                <w:color w:val="auto"/>
              </w:rPr>
            </w:pPr>
            <w:r>
              <w:rPr>
                <w:rFonts w:ascii="Arial" w:cs="Arial" w:eastAsia="Arial" w:hAnsi="Arial"/>
                <w:sz w:val="14"/>
                <w:szCs w:val="14"/>
                <w:color w:val="auto"/>
                <w:w w:val="99"/>
              </w:rPr>
              <w:t>3,313,501</w:t>
            </w:r>
          </w:p>
        </w:tc>
        <w:tc>
          <w:tcPr>
            <w:tcW w:w="4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4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58,137</w:t>
            </w: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860" w:type="dxa"/>
            <w:vAlign w:val="bottom"/>
            <w:tcBorders>
              <w:bottom w:val="single" w:sz="8" w:color="auto"/>
            </w:tcBorders>
            <w:gridSpan w:val="4"/>
          </w:tcPr>
          <w:p>
            <w:pPr>
              <w:jc w:val="right"/>
              <w:ind w:right="40"/>
              <w:spacing w:after="0" w:line="151" w:lineRule="exact"/>
              <w:rPr>
                <w:sz w:val="20"/>
                <w:szCs w:val="20"/>
                <w:color w:val="auto"/>
              </w:rPr>
            </w:pPr>
            <w:r>
              <w:rPr>
                <w:rFonts w:ascii="Arial" w:cs="Arial" w:eastAsia="Arial" w:hAnsi="Arial"/>
                <w:sz w:val="14"/>
                <w:szCs w:val="14"/>
                <w:color w:val="auto"/>
              </w:rPr>
              <w:t>6,176,605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40" w:type="dxa"/>
            <w:vAlign w:val="bottom"/>
            <w:tcBorders>
              <w:bottom w:val="single" w:sz="8" w:color="auto"/>
            </w:tcBorders>
            <w:gridSpan w:val="4"/>
          </w:tcPr>
          <w:p>
            <w:pPr>
              <w:jc w:val="right"/>
              <w:spacing w:after="0" w:line="151" w:lineRule="exact"/>
              <w:rPr>
                <w:sz w:val="20"/>
                <w:szCs w:val="20"/>
                <w:color w:val="auto"/>
              </w:rPr>
            </w:pPr>
            <w:r>
              <w:rPr>
                <w:rFonts w:ascii="Arial" w:cs="Arial" w:eastAsia="Arial" w:hAnsi="Arial"/>
                <w:sz w:val="14"/>
                <w:szCs w:val="14"/>
                <w:color w:val="auto"/>
              </w:rPr>
              <w:t>753,541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(30,301)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15,386,935</w:t>
            </w:r>
          </w:p>
        </w:tc>
        <w:tc>
          <w:tcPr>
            <w:tcW w:w="0" w:type="dxa"/>
            <w:vAlign w:val="bottom"/>
          </w:tcPr>
          <w:p>
            <w:pPr>
              <w:spacing w:after="0"/>
              <w:rPr>
                <w:sz w:val="1"/>
                <w:szCs w:val="1"/>
                <w:color w:val="auto"/>
              </w:rPr>
            </w:pPr>
          </w:p>
        </w:tc>
      </w:tr>
      <w:tr>
        <w:trPr>
          <w:trHeight w:val="154"/>
        </w:trPr>
        <w:tc>
          <w:tcPr>
            <w:tcW w:w="15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131,781,171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(32,685,118)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(1,401,682)</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17,091,585</w:t>
            </w:r>
          </w:p>
        </w:tc>
        <w:tc>
          <w:tcPr>
            <w:tcW w:w="4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40" w:type="dxa"/>
            <w:vAlign w:val="bottom"/>
            <w:tcBorders>
              <w:bottom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537,536</w:t>
            </w: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860" w:type="dxa"/>
            <w:vAlign w:val="bottom"/>
            <w:tcBorders>
              <w:bottom w:val="single" w:sz="8" w:color="auto"/>
            </w:tcBorders>
            <w:gridSpan w:val="4"/>
          </w:tcPr>
          <w:p>
            <w:pPr>
              <w:jc w:val="right"/>
              <w:ind w:right="40"/>
              <w:spacing w:after="0" w:line="149" w:lineRule="exact"/>
              <w:rPr>
                <w:sz w:val="20"/>
                <w:szCs w:val="20"/>
                <w:color w:val="auto"/>
              </w:rPr>
            </w:pPr>
            <w:r>
              <w:rPr>
                <w:rFonts w:ascii="Arial" w:cs="Arial" w:eastAsia="Arial" w:hAnsi="Arial"/>
                <w:sz w:val="14"/>
                <w:szCs w:val="14"/>
                <w:color w:val="auto"/>
              </w:rPr>
              <w:t>20,451,643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3"/>
          </w:tcPr>
          <w:p>
            <w:pPr>
              <w:spacing w:after="0"/>
              <w:rPr>
                <w:sz w:val="13"/>
                <w:szCs w:val="13"/>
                <w:color w:val="auto"/>
              </w:rPr>
            </w:pPr>
          </w:p>
        </w:tc>
        <w:tc>
          <w:tcPr>
            <w:tcW w:w="8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(2,131,658)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133,643,477</w:t>
            </w:r>
          </w:p>
        </w:tc>
        <w:tc>
          <w:tcPr>
            <w:tcW w:w="0" w:type="dxa"/>
            <w:vAlign w:val="bottom"/>
          </w:tcPr>
          <w:p>
            <w:pPr>
              <w:spacing w:after="0"/>
              <w:rPr>
                <w:sz w:val="1"/>
                <w:szCs w:val="1"/>
                <w:color w:val="auto"/>
              </w:rPr>
            </w:pPr>
          </w:p>
        </w:tc>
      </w:tr>
      <w:tr>
        <w:trPr>
          <w:trHeight w:val="311"/>
        </w:trPr>
        <w:tc>
          <w:tcPr>
            <w:tcW w:w="6380" w:type="dxa"/>
            <w:vAlign w:val="bottom"/>
            <w:gridSpan w:val="42"/>
          </w:tcPr>
          <w:p>
            <w:pPr>
              <w:spacing w:after="0"/>
              <w:rPr>
                <w:sz w:val="20"/>
                <w:szCs w:val="20"/>
                <w:color w:val="auto"/>
              </w:rPr>
            </w:pPr>
            <w:r>
              <w:rPr>
                <w:rFonts w:ascii="Arial" w:cs="Arial" w:eastAsia="Arial" w:hAnsi="Arial"/>
                <w:sz w:val="14"/>
                <w:szCs w:val="14"/>
                <w:b w:val="1"/>
                <w:bCs w:val="1"/>
                <w:color w:val="auto"/>
              </w:rPr>
              <w:t>Stage 2</w:t>
            </w:r>
          </w:p>
        </w:tc>
        <w:tc>
          <w:tcPr>
            <w:tcW w:w="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New loans,</w:t>
            </w:r>
          </w:p>
        </w:tc>
        <w:tc>
          <w:tcPr>
            <w:tcW w:w="180" w:type="dxa"/>
            <w:vAlign w:val="bottom"/>
            <w:gridSpan w:val="4"/>
          </w:tcPr>
          <w:p>
            <w:pPr>
              <w:spacing w:after="0"/>
              <w:rPr>
                <w:sz w:val="24"/>
                <w:szCs w:val="24"/>
                <w:color w:val="auto"/>
              </w:rPr>
            </w:pPr>
          </w:p>
        </w:tc>
        <w:tc>
          <w:tcPr>
            <w:tcW w:w="8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29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60" w:type="dxa"/>
            <w:vAlign w:val="bottom"/>
            <w:tcBorders>
              <w:top w:val="single" w:sz="8" w:color="auto"/>
            </w:tcBorders>
            <w:gridSpan w:val="2"/>
          </w:tcPr>
          <w:p>
            <w:pPr>
              <w:spacing w:after="0"/>
              <w:rPr>
                <w:sz w:val="10"/>
                <w:szCs w:val="10"/>
                <w:color w:val="auto"/>
              </w:rPr>
            </w:pPr>
          </w:p>
        </w:tc>
        <w:tc>
          <w:tcPr>
            <w:tcW w:w="4900" w:type="dxa"/>
            <w:vAlign w:val="bottom"/>
            <w:gridSpan w:val="39"/>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180" w:type="dxa"/>
            <w:vAlign w:val="bottom"/>
            <w:gridSpan w:val="4"/>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29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w w:val="96"/>
              </w:rPr>
              <w:t>Transfer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w w:val="99"/>
              </w:rPr>
              <w:t>Transfer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liquidation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80" w:type="dxa"/>
            <w:vAlign w:val="bottom"/>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40" w:type="dxa"/>
            <w:vAlign w:val="bottom"/>
          </w:tcPr>
          <w:p>
            <w:pPr>
              <w:spacing w:after="0"/>
              <w:rPr>
                <w:sz w:val="13"/>
                <w:szCs w:val="13"/>
                <w:color w:val="auto"/>
              </w:rPr>
            </w:pPr>
          </w:p>
        </w:tc>
        <w:tc>
          <w:tcPr>
            <w:tcW w:w="98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Transfer to</w:t>
            </w:r>
          </w:p>
        </w:tc>
        <w:tc>
          <w:tcPr>
            <w:tcW w:w="40" w:type="dxa"/>
            <w:vAlign w:val="bottom"/>
          </w:tcPr>
          <w:p>
            <w:pPr>
              <w:spacing w:after="0"/>
              <w:rPr>
                <w:sz w:val="13"/>
                <w:szCs w:val="13"/>
                <w:color w:val="auto"/>
              </w:rPr>
            </w:pPr>
          </w:p>
        </w:tc>
        <w:tc>
          <w:tcPr>
            <w:tcW w:w="94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Transfer to</w:t>
            </w:r>
          </w:p>
        </w:tc>
        <w:tc>
          <w:tcPr>
            <w:tcW w:w="20" w:type="dxa"/>
            <w:vAlign w:val="bottom"/>
          </w:tcPr>
          <w:p>
            <w:pPr>
              <w:spacing w:after="0"/>
              <w:rPr>
                <w:sz w:val="13"/>
                <w:szCs w:val="13"/>
                <w:color w:val="auto"/>
              </w:rPr>
            </w:pPr>
          </w:p>
        </w:tc>
        <w:tc>
          <w:tcPr>
            <w:tcW w:w="62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from</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and write-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classes of</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Sale of loan</w:t>
            </w:r>
          </w:p>
        </w:tc>
        <w:tc>
          <w:tcPr>
            <w:tcW w:w="10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80" w:type="dxa"/>
            <w:vAlign w:val="bottom"/>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Loans by class</w:t>
            </w:r>
          </w:p>
        </w:tc>
        <w:tc>
          <w:tcPr>
            <w:tcW w:w="900" w:type="dxa"/>
            <w:vAlign w:val="bottom"/>
            <w:gridSpan w:val="5"/>
          </w:tcPr>
          <w:p>
            <w:pPr>
              <w:ind w:left="120"/>
              <w:spacing w:after="0"/>
              <w:rPr>
                <w:sz w:val="20"/>
                <w:szCs w:val="20"/>
                <w:color w:val="auto"/>
              </w:rPr>
            </w:pPr>
            <w:r>
              <w:rPr>
                <w:rFonts w:ascii="Arial" w:cs="Arial" w:eastAsia="Arial" w:hAnsi="Arial"/>
                <w:sz w:val="14"/>
                <w:szCs w:val="14"/>
                <w:b w:val="1"/>
                <w:bCs w:val="1"/>
                <w:color w:val="auto"/>
              </w:rPr>
              <w:t>31, 2021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5"/>
          </w:tcPr>
          <w:p>
            <w:pPr>
              <w:ind w:left="40"/>
              <w:spacing w:after="0"/>
              <w:rPr>
                <w:sz w:val="20"/>
                <w:szCs w:val="20"/>
                <w:color w:val="auto"/>
              </w:rPr>
            </w:pPr>
            <w:r>
              <w:rPr>
                <w:rFonts w:ascii="Arial" w:cs="Arial" w:eastAsia="Arial" w:hAnsi="Arial"/>
                <w:sz w:val="14"/>
                <w:szCs w:val="14"/>
                <w:b w:val="1"/>
                <w:bCs w:val="1"/>
                <w:color w:val="auto"/>
              </w:rPr>
              <w:t>Stage 1</w:t>
            </w:r>
          </w:p>
        </w:tc>
        <w:tc>
          <w:tcPr>
            <w:tcW w:w="40" w:type="dxa"/>
            <w:vAlign w:val="bottom"/>
          </w:tcPr>
          <w:p>
            <w:pPr>
              <w:spacing w:after="0"/>
              <w:rPr>
                <w:sz w:val="14"/>
                <w:szCs w:val="14"/>
                <w:color w:val="auto"/>
              </w:rPr>
            </w:pPr>
          </w:p>
        </w:tc>
        <w:tc>
          <w:tcPr>
            <w:tcW w:w="940" w:type="dxa"/>
            <w:vAlign w:val="bottom"/>
            <w:gridSpan w:val="6"/>
          </w:tcPr>
          <w:p>
            <w:pPr>
              <w:ind w:left="60"/>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Stage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offs, 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40"/>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tcPr>
          <w:p>
            <w:pPr>
              <w:ind w:left="40"/>
              <w:spacing w:after="0"/>
              <w:rPr>
                <w:sz w:val="20"/>
                <w:szCs w:val="20"/>
                <w:color w:val="auto"/>
              </w:rPr>
            </w:pPr>
            <w:r>
              <w:rPr>
                <w:rFonts w:ascii="Arial" w:cs="Arial" w:eastAsia="Arial" w:hAnsi="Arial"/>
                <w:sz w:val="14"/>
                <w:szCs w:val="14"/>
                <w:b w:val="1"/>
                <w:bCs w:val="1"/>
                <w:color w:val="auto"/>
              </w:rPr>
              <w:t>portfolio</w:t>
            </w:r>
          </w:p>
        </w:tc>
        <w:tc>
          <w:tcPr>
            <w:tcW w:w="10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others</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31, 2022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top w:val="single" w:sz="8" w:color="auto"/>
            </w:tcBorders>
            <w:gridSpan w:val="4"/>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top w:val="single" w:sz="8" w:color="auto"/>
            </w:tcBorders>
            <w:gridSpan w:val="4"/>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tcBorders>
            <w:gridSpan w:val="4"/>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top w:val="single" w:sz="8" w:color="auto"/>
            </w:tcBorders>
            <w:gridSpan w:val="4"/>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Commercial loans</w:t>
            </w:r>
          </w:p>
        </w:tc>
        <w:tc>
          <w:tcPr>
            <w:tcW w:w="9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11,342,409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(7,640,908)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(2,586,811)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6"/>
          </w:tcPr>
          <w:p>
            <w:pPr>
              <w:jc w:val="center"/>
              <w:spacing w:after="0" w:line="155" w:lineRule="exact"/>
              <w:rPr>
                <w:sz w:val="20"/>
                <w:szCs w:val="20"/>
                <w:color w:val="auto"/>
              </w:rPr>
            </w:pPr>
            <w:r>
              <w:rPr>
                <w:rFonts w:ascii="Arial" w:cs="Arial" w:eastAsia="Arial" w:hAnsi="Arial"/>
                <w:sz w:val="14"/>
                <w:szCs w:val="14"/>
                <w:color w:val="auto"/>
                <w:w w:val="99"/>
              </w:rPr>
              <w:t>10,689,388</w:t>
            </w:r>
          </w:p>
        </w:tc>
        <w:tc>
          <w:tcPr>
            <w:tcW w:w="800" w:type="dxa"/>
            <w:vAlign w:val="bottom"/>
            <w:gridSpan w:val="7"/>
          </w:tcPr>
          <w:p>
            <w:pPr>
              <w:jc w:val="right"/>
              <w:ind w:right="20"/>
              <w:spacing w:after="0" w:line="155" w:lineRule="exact"/>
              <w:rPr>
                <w:sz w:val="20"/>
                <w:szCs w:val="20"/>
                <w:color w:val="auto"/>
              </w:rPr>
            </w:pPr>
            <w:r>
              <w:rPr>
                <w:rFonts w:ascii="Arial" w:cs="Arial" w:eastAsia="Arial" w:hAnsi="Arial"/>
                <w:sz w:val="14"/>
                <w:szCs w:val="14"/>
                <w:color w:val="auto"/>
              </w:rPr>
              <w:t>434,550</w:t>
            </w:r>
          </w:p>
        </w:tc>
        <w:tc>
          <w:tcPr>
            <w:tcW w:w="1040" w:type="dxa"/>
            <w:vAlign w:val="bottom"/>
            <w:gridSpan w:val="9"/>
          </w:tcPr>
          <w:p>
            <w:pPr>
              <w:jc w:val="right"/>
              <w:ind w:right="20"/>
              <w:spacing w:after="0" w:line="155" w:lineRule="exact"/>
              <w:rPr>
                <w:sz w:val="20"/>
                <w:szCs w:val="20"/>
                <w:color w:val="auto"/>
              </w:rPr>
            </w:pPr>
            <w:r>
              <w:rPr>
                <w:rFonts w:ascii="Arial" w:cs="Arial" w:eastAsia="Arial" w:hAnsi="Arial"/>
                <w:sz w:val="14"/>
                <w:szCs w:val="14"/>
                <w:color w:val="auto"/>
              </w:rPr>
              <w:t>(3,906,923)</w:t>
            </w:r>
          </w:p>
        </w:tc>
        <w:tc>
          <w:tcPr>
            <w:tcW w:w="1000" w:type="dxa"/>
            <w:vAlign w:val="bottom"/>
            <w:gridSpan w:val="7"/>
          </w:tcPr>
          <w:p>
            <w:pPr>
              <w:jc w:val="right"/>
              <w:ind w:right="40"/>
              <w:spacing w:after="0" w:line="155" w:lineRule="exact"/>
              <w:rPr>
                <w:sz w:val="20"/>
                <w:szCs w:val="20"/>
                <w:color w:val="auto"/>
              </w:rPr>
            </w:pPr>
            <w:r>
              <w:rPr>
                <w:rFonts w:ascii="Arial" w:cs="Arial" w:eastAsia="Arial" w:hAnsi="Arial"/>
                <w:sz w:val="14"/>
                <w:szCs w:val="14"/>
                <w:color w:val="auto"/>
              </w:rPr>
              <w:t>614,296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(95,828)</w:t>
            </w: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8,850,173</w:t>
            </w: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Residential mortgage</w:t>
            </w:r>
          </w:p>
        </w:tc>
        <w:tc>
          <w:tcPr>
            <w:tcW w:w="900" w:type="dxa"/>
            <w:vAlign w:val="bottom"/>
            <w:gridSpan w:val="5"/>
            <w:vMerge w:val="restart"/>
          </w:tcPr>
          <w:p>
            <w:pPr>
              <w:jc w:val="right"/>
              <w:spacing w:after="0"/>
              <w:rPr>
                <w:sz w:val="20"/>
                <w:szCs w:val="20"/>
                <w:color w:val="auto"/>
              </w:rPr>
            </w:pPr>
            <w:r>
              <w:rPr>
                <w:rFonts w:ascii="Arial" w:cs="Arial" w:eastAsia="Arial" w:hAnsi="Arial"/>
                <w:sz w:val="14"/>
                <w:szCs w:val="14"/>
                <w:color w:val="auto"/>
              </w:rPr>
              <w:t>1,758,125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color w:val="auto"/>
              </w:rPr>
              <w:t>(1,995,000)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(292,259)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6"/>
            <w:vMerge w:val="restart"/>
          </w:tcPr>
          <w:p>
            <w:pPr>
              <w:jc w:val="right"/>
              <w:ind w:right="20"/>
              <w:spacing w:after="0"/>
              <w:rPr>
                <w:sz w:val="20"/>
                <w:szCs w:val="20"/>
                <w:color w:val="auto"/>
              </w:rPr>
            </w:pPr>
            <w:r>
              <w:rPr>
                <w:rFonts w:ascii="Arial" w:cs="Arial" w:eastAsia="Arial" w:hAnsi="Arial"/>
                <w:sz w:val="14"/>
                <w:szCs w:val="14"/>
                <w:color w:val="auto"/>
              </w:rPr>
              <w:t>4,019,065</w:t>
            </w:r>
          </w:p>
        </w:tc>
        <w:tc>
          <w:tcPr>
            <w:tcW w:w="800" w:type="dxa"/>
            <w:vAlign w:val="bottom"/>
            <w:gridSpan w:val="7"/>
            <w:vMerge w:val="restart"/>
          </w:tcPr>
          <w:p>
            <w:pPr>
              <w:jc w:val="right"/>
              <w:ind w:right="20"/>
              <w:spacing w:after="0"/>
              <w:rPr>
                <w:sz w:val="20"/>
                <w:szCs w:val="20"/>
                <w:color w:val="auto"/>
              </w:rPr>
            </w:pPr>
            <w:r>
              <w:rPr>
                <w:rFonts w:ascii="Arial" w:cs="Arial" w:eastAsia="Arial" w:hAnsi="Arial"/>
                <w:sz w:val="14"/>
                <w:szCs w:val="14"/>
                <w:color w:val="auto"/>
              </w:rPr>
              <w:t>23,225</w:t>
            </w:r>
          </w:p>
        </w:tc>
        <w:tc>
          <w:tcPr>
            <w:tcW w:w="1040" w:type="dxa"/>
            <w:vAlign w:val="bottom"/>
            <w:gridSpan w:val="9"/>
            <w:vMerge w:val="restart"/>
          </w:tcPr>
          <w:p>
            <w:pPr>
              <w:jc w:val="right"/>
              <w:ind w:right="20"/>
              <w:spacing w:after="0"/>
              <w:rPr>
                <w:sz w:val="20"/>
                <w:szCs w:val="20"/>
                <w:color w:val="auto"/>
              </w:rPr>
            </w:pPr>
            <w:r>
              <w:rPr>
                <w:rFonts w:ascii="Arial" w:cs="Arial" w:eastAsia="Arial" w:hAnsi="Arial"/>
                <w:sz w:val="14"/>
                <w:szCs w:val="14"/>
                <w:color w:val="auto"/>
              </w:rPr>
              <w:t>(286,590)</w:t>
            </w:r>
          </w:p>
        </w:tc>
        <w:tc>
          <w:tcPr>
            <w:tcW w:w="1000" w:type="dxa"/>
            <w:vAlign w:val="bottom"/>
            <w:gridSpan w:val="7"/>
            <w:vMerge w:val="restart"/>
          </w:tcPr>
          <w:p>
            <w:pPr>
              <w:jc w:val="right"/>
              <w:ind w:right="40"/>
              <w:spacing w:after="0"/>
              <w:rPr>
                <w:sz w:val="20"/>
                <w:szCs w:val="20"/>
                <w:color w:val="auto"/>
              </w:rPr>
            </w:pPr>
            <w:r>
              <w:rPr>
                <w:rFonts w:ascii="Arial" w:cs="Arial" w:eastAsia="Arial" w:hAnsi="Arial"/>
                <w:sz w:val="14"/>
                <w:szCs w:val="14"/>
                <w:color w:val="auto"/>
              </w:rPr>
              <w:t>427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vMerge w:val="restart"/>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(19,912)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560" w:type="dxa"/>
            <w:vAlign w:val="bottom"/>
            <w:gridSpan w:val="4"/>
            <w:vMerge w:val="restart"/>
          </w:tcPr>
          <w:p>
            <w:pPr>
              <w:spacing w:after="0" w:line="155" w:lineRule="exact"/>
              <w:rPr>
                <w:sz w:val="20"/>
                <w:szCs w:val="20"/>
                <w:color w:val="auto"/>
              </w:rPr>
            </w:pPr>
            <w:r>
              <w:rPr>
                <w:rFonts w:ascii="Arial" w:cs="Arial" w:eastAsia="Arial" w:hAnsi="Arial"/>
                <w:sz w:val="14"/>
                <w:szCs w:val="14"/>
                <w:color w:val="auto"/>
              </w:rPr>
              <w:t>loans</w:t>
            </w:r>
          </w:p>
        </w:tc>
        <w:tc>
          <w:tcPr>
            <w:tcW w:w="9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6"/>
            <w:vMerge w:val="continue"/>
          </w:tcPr>
          <w:p>
            <w:pPr>
              <w:spacing w:after="0"/>
              <w:rPr>
                <w:sz w:val="7"/>
                <w:szCs w:val="7"/>
                <w:color w:val="auto"/>
              </w:rPr>
            </w:pPr>
          </w:p>
        </w:tc>
        <w:tc>
          <w:tcPr>
            <w:tcW w:w="800" w:type="dxa"/>
            <w:vAlign w:val="bottom"/>
            <w:gridSpan w:val="7"/>
            <w:vMerge w:val="continue"/>
          </w:tcPr>
          <w:p>
            <w:pPr>
              <w:spacing w:after="0"/>
              <w:rPr>
                <w:sz w:val="7"/>
                <w:szCs w:val="7"/>
                <w:color w:val="auto"/>
              </w:rPr>
            </w:pPr>
          </w:p>
        </w:tc>
        <w:tc>
          <w:tcPr>
            <w:tcW w:w="1040" w:type="dxa"/>
            <w:vAlign w:val="bottom"/>
            <w:gridSpan w:val="9"/>
            <w:vMerge w:val="continue"/>
          </w:tcPr>
          <w:p>
            <w:pPr>
              <w:spacing w:after="0"/>
              <w:rPr>
                <w:sz w:val="7"/>
                <w:szCs w:val="7"/>
                <w:color w:val="auto"/>
              </w:rPr>
            </w:pPr>
          </w:p>
        </w:tc>
        <w:tc>
          <w:tcPr>
            <w:tcW w:w="1000" w:type="dxa"/>
            <w:vAlign w:val="bottom"/>
            <w:gridSpan w:val="7"/>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5"/>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right"/>
              <w:spacing w:after="0" w:line="155" w:lineRule="exact"/>
              <w:rPr>
                <w:sz w:val="20"/>
                <w:szCs w:val="20"/>
                <w:color w:val="auto"/>
              </w:rPr>
            </w:pPr>
            <w:r>
              <w:rPr>
                <w:rFonts w:ascii="Arial" w:cs="Arial" w:eastAsia="Arial" w:hAnsi="Arial"/>
                <w:sz w:val="14"/>
                <w:szCs w:val="14"/>
                <w:color w:val="auto"/>
              </w:rPr>
              <w:t>3,207,081</w:t>
            </w:r>
          </w:p>
        </w:tc>
        <w:tc>
          <w:tcPr>
            <w:tcW w:w="0" w:type="dxa"/>
            <w:vAlign w:val="bottom"/>
          </w:tcPr>
          <w:p>
            <w:pPr>
              <w:spacing w:after="0"/>
              <w:rPr>
                <w:sz w:val="1"/>
                <w:szCs w:val="1"/>
                <w:color w:val="auto"/>
              </w:rPr>
            </w:pPr>
          </w:p>
        </w:tc>
      </w:tr>
      <w:tr>
        <w:trPr>
          <w:trHeight w:val="68"/>
        </w:trPr>
        <w:tc>
          <w:tcPr>
            <w:tcW w:w="1560" w:type="dxa"/>
            <w:vAlign w:val="bottom"/>
            <w:gridSpan w:val="4"/>
            <w:vMerge w:val="continue"/>
          </w:tcPr>
          <w:p>
            <w:pPr>
              <w:spacing w:after="0"/>
              <w:rPr>
                <w:sz w:val="5"/>
                <w:szCs w:val="5"/>
                <w:color w:val="auto"/>
              </w:rPr>
            </w:pPr>
          </w:p>
        </w:tc>
        <w:tc>
          <w:tcPr>
            <w:tcW w:w="8800" w:type="dxa"/>
            <w:vAlign w:val="bottom"/>
            <w:gridSpan w:val="62"/>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Micro-business loans</w:t>
            </w:r>
          </w:p>
        </w:tc>
        <w:tc>
          <w:tcPr>
            <w:tcW w:w="9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8,927,358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(4,142,176)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(1,627,919)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6"/>
          </w:tcPr>
          <w:p>
            <w:pPr>
              <w:jc w:val="center"/>
              <w:spacing w:after="0" w:line="155" w:lineRule="exact"/>
              <w:rPr>
                <w:sz w:val="20"/>
                <w:szCs w:val="20"/>
                <w:color w:val="auto"/>
              </w:rPr>
            </w:pPr>
            <w:r>
              <w:rPr>
                <w:rFonts w:ascii="Arial" w:cs="Arial" w:eastAsia="Arial" w:hAnsi="Arial"/>
                <w:sz w:val="14"/>
                <w:szCs w:val="14"/>
                <w:color w:val="auto"/>
                <w:w w:val="99"/>
              </w:rPr>
              <w:t>11,398,414</w:t>
            </w:r>
          </w:p>
        </w:tc>
        <w:tc>
          <w:tcPr>
            <w:tcW w:w="800" w:type="dxa"/>
            <w:vAlign w:val="bottom"/>
            <w:gridSpan w:val="7"/>
          </w:tcPr>
          <w:p>
            <w:pPr>
              <w:jc w:val="right"/>
              <w:ind w:right="20"/>
              <w:spacing w:after="0" w:line="155" w:lineRule="exact"/>
              <w:rPr>
                <w:sz w:val="20"/>
                <w:szCs w:val="20"/>
                <w:color w:val="auto"/>
              </w:rPr>
            </w:pPr>
            <w:r>
              <w:rPr>
                <w:rFonts w:ascii="Arial" w:cs="Arial" w:eastAsia="Arial" w:hAnsi="Arial"/>
                <w:sz w:val="14"/>
                <w:szCs w:val="14"/>
                <w:color w:val="auto"/>
              </w:rPr>
              <w:t>93,396</w:t>
            </w:r>
          </w:p>
        </w:tc>
        <w:tc>
          <w:tcPr>
            <w:tcW w:w="1040" w:type="dxa"/>
            <w:vAlign w:val="bottom"/>
            <w:gridSpan w:val="9"/>
          </w:tcPr>
          <w:p>
            <w:pPr>
              <w:jc w:val="right"/>
              <w:ind w:right="20"/>
              <w:spacing w:after="0" w:line="155" w:lineRule="exact"/>
              <w:rPr>
                <w:sz w:val="20"/>
                <w:szCs w:val="20"/>
                <w:color w:val="auto"/>
              </w:rPr>
            </w:pPr>
            <w:r>
              <w:rPr>
                <w:rFonts w:ascii="Arial" w:cs="Arial" w:eastAsia="Arial" w:hAnsi="Arial"/>
                <w:sz w:val="14"/>
                <w:szCs w:val="14"/>
                <w:color w:val="auto"/>
              </w:rPr>
              <w:t>(6,722,150)</w:t>
            </w:r>
          </w:p>
        </w:tc>
        <w:tc>
          <w:tcPr>
            <w:tcW w:w="1000" w:type="dxa"/>
            <w:vAlign w:val="bottom"/>
            <w:gridSpan w:val="7"/>
          </w:tcPr>
          <w:p>
            <w:pPr>
              <w:jc w:val="right"/>
              <w:ind w:right="40"/>
              <w:spacing w:after="0" w:line="155" w:lineRule="exact"/>
              <w:rPr>
                <w:sz w:val="20"/>
                <w:szCs w:val="20"/>
                <w:color w:val="auto"/>
              </w:rPr>
            </w:pPr>
            <w:r>
              <w:rPr>
                <w:rFonts w:ascii="Arial" w:cs="Arial" w:eastAsia="Arial" w:hAnsi="Arial"/>
                <w:sz w:val="14"/>
                <w:szCs w:val="14"/>
                <w:color w:val="auto"/>
              </w:rPr>
              <w:t>(599,450)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(61,009)</w:t>
            </w: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7,266,464</w:t>
            </w:r>
          </w:p>
        </w:tc>
        <w:tc>
          <w:tcPr>
            <w:tcW w:w="0" w:type="dxa"/>
            <w:vAlign w:val="bottom"/>
          </w:tcPr>
          <w:p>
            <w:pPr>
              <w:spacing w:after="0"/>
              <w:rPr>
                <w:sz w:val="1"/>
                <w:szCs w:val="1"/>
                <w:color w:val="auto"/>
              </w:rPr>
            </w:pPr>
          </w:p>
        </w:tc>
      </w:tr>
      <w:tr>
        <w:trPr>
          <w:trHeight w:val="151"/>
        </w:trPr>
        <w:tc>
          <w:tcPr>
            <w:tcW w:w="1560" w:type="dxa"/>
            <w:vAlign w:val="bottom"/>
            <w:gridSpan w:val="4"/>
          </w:tcPr>
          <w:p>
            <w:pPr>
              <w:spacing w:after="0" w:line="151" w:lineRule="exact"/>
              <w:rPr>
                <w:sz w:val="20"/>
                <w:szCs w:val="20"/>
                <w:color w:val="auto"/>
              </w:rPr>
            </w:pPr>
            <w:r>
              <w:rPr>
                <w:rFonts w:ascii="Arial" w:cs="Arial" w:eastAsia="Arial" w:hAnsi="Arial"/>
                <w:sz w:val="14"/>
                <w:szCs w:val="14"/>
                <w:color w:val="auto"/>
              </w:rPr>
              <w:t>Consumer loans</w:t>
            </w:r>
          </w:p>
        </w:tc>
        <w:tc>
          <w:tcPr>
            <w:tcW w:w="60" w:type="dxa"/>
            <w:vAlign w:val="bottom"/>
            <w:gridSpan w:val="3"/>
          </w:tcPr>
          <w:p>
            <w:pPr>
              <w:spacing w:after="0"/>
              <w:rPr>
                <w:sz w:val="13"/>
                <w:szCs w:val="13"/>
                <w:color w:val="auto"/>
              </w:rPr>
            </w:pPr>
          </w:p>
        </w:tc>
        <w:tc>
          <w:tcPr>
            <w:tcW w:w="84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2,921,075</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(3,313,501)</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auto"/>
            </w:tcBorders>
            <w:gridSpan w:val="3"/>
          </w:tcPr>
          <w:p>
            <w:pPr>
              <w:jc w:val="right"/>
              <w:ind w:right="20"/>
              <w:spacing w:after="0" w:line="151" w:lineRule="exact"/>
              <w:rPr>
                <w:sz w:val="20"/>
                <w:szCs w:val="20"/>
                <w:color w:val="auto"/>
              </w:rPr>
            </w:pPr>
            <w:r>
              <w:rPr>
                <w:rFonts w:ascii="Arial" w:cs="Arial" w:eastAsia="Arial" w:hAnsi="Arial"/>
                <w:sz w:val="14"/>
                <w:szCs w:val="14"/>
                <w:color w:val="auto"/>
              </w:rPr>
              <w:t>(1,025,878)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gridSpan w:val="5"/>
          </w:tcPr>
          <w:p>
            <w:pPr>
              <w:ind w:left="140"/>
              <w:spacing w:after="0" w:line="151" w:lineRule="exact"/>
              <w:rPr>
                <w:sz w:val="20"/>
                <w:szCs w:val="20"/>
                <w:color w:val="auto"/>
              </w:rPr>
            </w:pPr>
            <w:r>
              <w:rPr>
                <w:rFonts w:ascii="Arial" w:cs="Arial" w:eastAsia="Arial" w:hAnsi="Arial"/>
                <w:sz w:val="14"/>
                <w:szCs w:val="14"/>
                <w:color w:val="auto"/>
                <w:w w:val="99"/>
              </w:rPr>
              <w:t>6,578,251</w:t>
            </w:r>
          </w:p>
        </w:tc>
        <w:tc>
          <w:tcPr>
            <w:tcW w:w="20" w:type="dxa"/>
            <w:vAlign w:val="bottom"/>
            <w:tcBorders>
              <w:bottom w:val="single" w:sz="8" w:color="auto"/>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620" w:type="dxa"/>
            <w:vAlign w:val="bottom"/>
            <w:tcBorders>
              <w:bottom w:val="single" w:sz="8" w:color="auto"/>
            </w:tcBorders>
            <w:gridSpan w:val="3"/>
          </w:tcPr>
          <w:p>
            <w:pPr>
              <w:jc w:val="right"/>
              <w:ind w:right="20"/>
              <w:spacing w:after="0" w:line="151" w:lineRule="exact"/>
              <w:rPr>
                <w:sz w:val="20"/>
                <w:szCs w:val="20"/>
                <w:color w:val="auto"/>
              </w:rPr>
            </w:pPr>
            <w:r>
              <w:rPr>
                <w:rFonts w:ascii="Arial" w:cs="Arial" w:eastAsia="Arial" w:hAnsi="Arial"/>
                <w:sz w:val="14"/>
                <w:szCs w:val="14"/>
                <w:color w:val="auto"/>
              </w:rPr>
              <w:t>71,775</w:t>
            </w:r>
          </w:p>
        </w:tc>
        <w:tc>
          <w:tcPr>
            <w:tcW w:w="40" w:type="dxa"/>
            <w:vAlign w:val="bottom"/>
            <w:tcBorders>
              <w:bottom w:val="single" w:sz="8" w:color="auto"/>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860" w:type="dxa"/>
            <w:vAlign w:val="bottom"/>
            <w:tcBorders>
              <w:bottom w:val="single" w:sz="8" w:color="auto"/>
            </w:tcBorders>
            <w:gridSpan w:val="4"/>
          </w:tcPr>
          <w:p>
            <w:pPr>
              <w:jc w:val="right"/>
              <w:ind w:right="20"/>
              <w:spacing w:after="0" w:line="151" w:lineRule="exact"/>
              <w:rPr>
                <w:sz w:val="20"/>
                <w:szCs w:val="20"/>
                <w:color w:val="auto"/>
              </w:rPr>
            </w:pPr>
            <w:r>
              <w:rPr>
                <w:rFonts w:ascii="Arial" w:cs="Arial" w:eastAsia="Arial" w:hAnsi="Arial"/>
                <w:sz w:val="14"/>
                <w:szCs w:val="14"/>
                <w:color w:val="auto"/>
              </w:rPr>
              <w:t>(1,741,617)</w:t>
            </w:r>
          </w:p>
        </w:tc>
        <w:tc>
          <w:tcPr>
            <w:tcW w:w="20" w:type="dxa"/>
            <w:vAlign w:val="bottom"/>
            <w:tcBorders>
              <w:bottom w:val="single" w:sz="8" w:color="auto"/>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82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(15,273)</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60"/>
              <w:spacing w:after="0" w:line="151" w:lineRule="exact"/>
              <w:rPr>
                <w:sz w:val="20"/>
                <w:szCs w:val="20"/>
                <w:color w:val="auto"/>
              </w:rPr>
            </w:pPr>
            <w:r>
              <w:rPr>
                <w:rFonts w:ascii="Arial" w:cs="Arial" w:eastAsia="Arial" w:hAnsi="Arial"/>
                <w:sz w:val="14"/>
                <w:szCs w:val="14"/>
                <w:color w:val="auto"/>
              </w:rPr>
              <w:t>(3,228)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3,471,604</w:t>
            </w:r>
          </w:p>
        </w:tc>
        <w:tc>
          <w:tcPr>
            <w:tcW w:w="0" w:type="dxa"/>
            <w:vAlign w:val="bottom"/>
          </w:tcPr>
          <w:p>
            <w:pPr>
              <w:spacing w:after="0"/>
              <w:rPr>
                <w:sz w:val="1"/>
                <w:szCs w:val="1"/>
                <w:color w:val="auto"/>
              </w:rPr>
            </w:pPr>
          </w:p>
        </w:tc>
      </w:tr>
      <w:tr>
        <w:trPr>
          <w:trHeight w:val="154"/>
        </w:trPr>
        <w:tc>
          <w:tcPr>
            <w:tcW w:w="15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Total</w:t>
            </w:r>
          </w:p>
        </w:tc>
        <w:tc>
          <w:tcPr>
            <w:tcW w:w="90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24,948,967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(17,091,585)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(5,532,867)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6"/>
          </w:tcPr>
          <w:p>
            <w:pPr>
              <w:jc w:val="center"/>
              <w:spacing w:after="0" w:line="149" w:lineRule="exact"/>
              <w:rPr>
                <w:sz w:val="20"/>
                <w:szCs w:val="20"/>
                <w:color w:val="auto"/>
              </w:rPr>
            </w:pPr>
            <w:r>
              <w:rPr>
                <w:rFonts w:ascii="Arial" w:cs="Arial" w:eastAsia="Arial" w:hAnsi="Arial"/>
                <w:sz w:val="14"/>
                <w:szCs w:val="14"/>
                <w:color w:val="auto"/>
                <w:w w:val="99"/>
              </w:rPr>
              <w:t>32,685,118</w:t>
            </w:r>
          </w:p>
        </w:tc>
        <w:tc>
          <w:tcPr>
            <w:tcW w:w="800" w:type="dxa"/>
            <w:vAlign w:val="bottom"/>
            <w:gridSpan w:val="7"/>
          </w:tcPr>
          <w:p>
            <w:pPr>
              <w:jc w:val="right"/>
              <w:ind w:right="20"/>
              <w:spacing w:after="0" w:line="149" w:lineRule="exact"/>
              <w:rPr>
                <w:sz w:val="20"/>
                <w:szCs w:val="20"/>
                <w:color w:val="auto"/>
              </w:rPr>
            </w:pPr>
            <w:r>
              <w:rPr>
                <w:rFonts w:ascii="Arial" w:cs="Arial" w:eastAsia="Arial" w:hAnsi="Arial"/>
                <w:sz w:val="14"/>
                <w:szCs w:val="14"/>
                <w:color w:val="auto"/>
              </w:rPr>
              <w:t>622,946</w:t>
            </w:r>
          </w:p>
        </w:tc>
        <w:tc>
          <w:tcPr>
            <w:tcW w:w="1040" w:type="dxa"/>
            <w:vAlign w:val="bottom"/>
            <w:gridSpan w:val="9"/>
          </w:tcPr>
          <w:p>
            <w:pPr>
              <w:jc w:val="right"/>
              <w:ind w:right="20"/>
              <w:spacing w:after="0" w:line="149" w:lineRule="exact"/>
              <w:rPr>
                <w:sz w:val="20"/>
                <w:szCs w:val="20"/>
                <w:color w:val="auto"/>
              </w:rPr>
            </w:pPr>
            <w:r>
              <w:rPr>
                <w:rFonts w:ascii="Arial" w:cs="Arial" w:eastAsia="Arial" w:hAnsi="Arial"/>
                <w:sz w:val="14"/>
                <w:szCs w:val="14"/>
                <w:color w:val="auto"/>
              </w:rPr>
              <w:t>(12,657,280)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7"/>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(179,977)</w:t>
            </w:r>
          </w:p>
        </w:tc>
        <w:tc>
          <w:tcPr>
            <w:tcW w:w="200" w:type="dxa"/>
            <w:vAlign w:val="bottom"/>
          </w:tcPr>
          <w:p>
            <w:pPr>
              <w:spacing w:after="0"/>
              <w:rPr>
                <w:sz w:val="13"/>
                <w:szCs w:val="13"/>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22,795,322</w:t>
            </w:r>
          </w:p>
        </w:tc>
        <w:tc>
          <w:tcPr>
            <w:tcW w:w="0" w:type="dxa"/>
            <w:vAlign w:val="bottom"/>
          </w:tcPr>
          <w:p>
            <w:pPr>
              <w:spacing w:after="0"/>
              <w:rPr>
                <w:sz w:val="1"/>
                <w:szCs w:val="1"/>
                <w:color w:val="auto"/>
              </w:rPr>
            </w:pPr>
          </w:p>
        </w:tc>
      </w:tr>
      <w:tr>
        <w:trPr>
          <w:trHeight w:val="311"/>
        </w:trPr>
        <w:tc>
          <w:tcPr>
            <w:tcW w:w="1620" w:type="dxa"/>
            <w:vAlign w:val="bottom"/>
            <w:gridSpan w:val="7"/>
          </w:tcPr>
          <w:p>
            <w:pPr>
              <w:spacing w:after="0"/>
              <w:rPr>
                <w:sz w:val="20"/>
                <w:szCs w:val="20"/>
                <w:color w:val="auto"/>
              </w:rPr>
            </w:pPr>
            <w:r>
              <w:rPr>
                <w:rFonts w:ascii="Arial" w:cs="Arial" w:eastAsia="Arial" w:hAnsi="Arial"/>
                <w:sz w:val="14"/>
                <w:szCs w:val="14"/>
                <w:b w:val="1"/>
                <w:bCs w:val="1"/>
                <w:color w:val="auto"/>
              </w:rPr>
              <w:t>Stage 3</w:t>
            </w:r>
          </w:p>
        </w:tc>
        <w:tc>
          <w:tcPr>
            <w:tcW w:w="880" w:type="dxa"/>
            <w:vAlign w:val="bottom"/>
            <w:tcBorders>
              <w:top w:val="single" w:sz="8" w:color="auto"/>
            </w:tcBorders>
            <w:gridSpan w:val="3"/>
          </w:tcPr>
          <w:p>
            <w:pPr>
              <w:spacing w:after="0"/>
              <w:rPr>
                <w:sz w:val="24"/>
                <w:szCs w:val="24"/>
                <w:color w:val="auto"/>
              </w:rPr>
            </w:pPr>
          </w:p>
        </w:tc>
        <w:tc>
          <w:tcPr>
            <w:tcW w:w="140" w:type="dxa"/>
            <w:vAlign w:val="bottom"/>
            <w:gridSpan w:val="2"/>
          </w:tcPr>
          <w:p>
            <w:pPr>
              <w:spacing w:after="0"/>
              <w:rPr>
                <w:sz w:val="24"/>
                <w:szCs w:val="24"/>
                <w:color w:val="auto"/>
              </w:rPr>
            </w:pPr>
          </w:p>
        </w:tc>
        <w:tc>
          <w:tcPr>
            <w:tcW w:w="900" w:type="dxa"/>
            <w:vAlign w:val="bottom"/>
            <w:tcBorders>
              <w:top w:val="single" w:sz="8" w:color="auto"/>
            </w:tcBorders>
            <w:gridSpan w:val="4"/>
          </w:tcPr>
          <w:p>
            <w:pPr>
              <w:spacing w:after="0"/>
              <w:rPr>
                <w:sz w:val="24"/>
                <w:szCs w:val="24"/>
                <w:color w:val="auto"/>
              </w:rPr>
            </w:pPr>
          </w:p>
        </w:tc>
        <w:tc>
          <w:tcPr>
            <w:tcW w:w="120" w:type="dxa"/>
            <w:vAlign w:val="bottom"/>
            <w:gridSpan w:val="2"/>
          </w:tcPr>
          <w:p>
            <w:pPr>
              <w:spacing w:after="0"/>
              <w:rPr>
                <w:sz w:val="24"/>
                <w:szCs w:val="24"/>
                <w:color w:val="auto"/>
              </w:rPr>
            </w:pPr>
          </w:p>
        </w:tc>
        <w:tc>
          <w:tcPr>
            <w:tcW w:w="820" w:type="dxa"/>
            <w:vAlign w:val="bottom"/>
            <w:tcBorders>
              <w:top w:val="single" w:sz="8" w:color="auto"/>
            </w:tcBorders>
            <w:gridSpan w:val="4"/>
          </w:tcPr>
          <w:p>
            <w:pPr>
              <w:spacing w:after="0"/>
              <w:rPr>
                <w:sz w:val="24"/>
                <w:szCs w:val="24"/>
                <w:color w:val="auto"/>
              </w:rPr>
            </w:pPr>
          </w:p>
        </w:tc>
        <w:tc>
          <w:tcPr>
            <w:tcW w:w="140" w:type="dxa"/>
            <w:vAlign w:val="bottom"/>
            <w:gridSpan w:val="3"/>
          </w:tcPr>
          <w:p>
            <w:pPr>
              <w:spacing w:after="0"/>
              <w:rPr>
                <w:sz w:val="24"/>
                <w:szCs w:val="24"/>
                <w:color w:val="auto"/>
              </w:rPr>
            </w:pPr>
          </w:p>
        </w:tc>
        <w:tc>
          <w:tcPr>
            <w:tcW w:w="800" w:type="dxa"/>
            <w:vAlign w:val="bottom"/>
            <w:tcBorders>
              <w:top w:val="single" w:sz="8" w:color="auto"/>
            </w:tcBorders>
            <w:gridSpan w:val="6"/>
          </w:tcPr>
          <w:p>
            <w:pPr>
              <w:spacing w:after="0"/>
              <w:rPr>
                <w:sz w:val="24"/>
                <w:szCs w:val="24"/>
                <w:color w:val="auto"/>
              </w:rPr>
            </w:pPr>
          </w:p>
        </w:tc>
        <w:tc>
          <w:tcPr>
            <w:tcW w:w="160" w:type="dxa"/>
            <w:vAlign w:val="bottom"/>
            <w:gridSpan w:val="3"/>
          </w:tcPr>
          <w:p>
            <w:pPr>
              <w:spacing w:after="0"/>
              <w:rPr>
                <w:sz w:val="24"/>
                <w:szCs w:val="24"/>
                <w:color w:val="auto"/>
              </w:rPr>
            </w:pPr>
          </w:p>
        </w:tc>
        <w:tc>
          <w:tcPr>
            <w:tcW w:w="660" w:type="dxa"/>
            <w:vAlign w:val="bottom"/>
            <w:tcBorders>
              <w:top w:val="single" w:sz="8" w:color="auto"/>
            </w:tcBorders>
            <w:gridSpan w:val="5"/>
          </w:tcPr>
          <w:p>
            <w:pPr>
              <w:spacing w:after="0"/>
              <w:rPr>
                <w:sz w:val="24"/>
                <w:szCs w:val="24"/>
                <w:color w:val="auto"/>
              </w:rPr>
            </w:pPr>
          </w:p>
        </w:tc>
        <w:tc>
          <w:tcPr>
            <w:tcW w:w="140" w:type="dxa"/>
            <w:vAlign w:val="bottom"/>
            <w:gridSpan w:val="3"/>
          </w:tcPr>
          <w:p>
            <w:pPr>
              <w:spacing w:after="0"/>
              <w:rPr>
                <w:sz w:val="24"/>
                <w:szCs w:val="24"/>
                <w:color w:val="auto"/>
              </w:rPr>
            </w:pPr>
          </w:p>
        </w:tc>
        <w:tc>
          <w:tcPr>
            <w:tcW w:w="86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4"/>
                <w:szCs w:val="14"/>
                <w:b w:val="1"/>
                <w:bCs w:val="1"/>
                <w:color w:val="auto"/>
              </w:rPr>
              <w:t>New loans,</w:t>
            </w:r>
          </w:p>
        </w:tc>
        <w:tc>
          <w:tcPr>
            <w:tcW w:w="20" w:type="dxa"/>
            <w:vAlign w:val="bottom"/>
            <w:tcBorders>
              <w:top w:val="single" w:sz="8" w:color="auto"/>
            </w:tcBorders>
          </w:tcPr>
          <w:p>
            <w:pPr>
              <w:spacing w:after="0"/>
              <w:rPr>
                <w:sz w:val="24"/>
                <w:szCs w:val="24"/>
                <w:color w:val="auto"/>
              </w:rPr>
            </w:pPr>
          </w:p>
        </w:tc>
        <w:tc>
          <w:tcPr>
            <w:tcW w:w="160" w:type="dxa"/>
            <w:vAlign w:val="bottom"/>
            <w:gridSpan w:val="3"/>
          </w:tcPr>
          <w:p>
            <w:pPr>
              <w:spacing w:after="0"/>
              <w:rPr>
                <w:sz w:val="24"/>
                <w:szCs w:val="24"/>
                <w:color w:val="auto"/>
              </w:rPr>
            </w:pPr>
          </w:p>
        </w:tc>
        <w:tc>
          <w:tcPr>
            <w:tcW w:w="84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140" w:type="dxa"/>
            <w:vAlign w:val="bottom"/>
            <w:gridSpan w:val="3"/>
          </w:tcPr>
          <w:p>
            <w:pPr>
              <w:spacing w:after="0"/>
              <w:rPr>
                <w:sz w:val="24"/>
                <w:szCs w:val="24"/>
                <w:color w:val="auto"/>
              </w:rPr>
            </w:pPr>
          </w:p>
        </w:tc>
        <w:tc>
          <w:tcPr>
            <w:tcW w:w="820" w:type="dxa"/>
            <w:vAlign w:val="bottom"/>
            <w:tcBorders>
              <w:top w:val="single" w:sz="8" w:color="auto"/>
            </w:tcBorders>
            <w:gridSpan w:val="3"/>
          </w:tcPr>
          <w:p>
            <w:pPr>
              <w:spacing w:after="0"/>
              <w:rPr>
                <w:sz w:val="24"/>
                <w:szCs w:val="24"/>
                <w:color w:val="auto"/>
              </w:rPr>
            </w:pPr>
          </w:p>
        </w:tc>
        <w:tc>
          <w:tcPr>
            <w:tcW w:w="140" w:type="dxa"/>
            <w:vAlign w:val="bottom"/>
            <w:gridSpan w:val="3"/>
          </w:tcPr>
          <w:p>
            <w:pPr>
              <w:spacing w:after="0"/>
              <w:rPr>
                <w:sz w:val="24"/>
                <w:szCs w:val="24"/>
                <w:color w:val="auto"/>
              </w:rPr>
            </w:pPr>
          </w:p>
        </w:tc>
        <w:tc>
          <w:tcPr>
            <w:tcW w:w="800" w:type="dxa"/>
            <w:vAlign w:val="bottom"/>
            <w:tcBorders>
              <w:top w:val="single" w:sz="8" w:color="auto"/>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Borders>
              <w:top w:val="single" w:sz="8" w:color="auto"/>
            </w:tcBorders>
            <w:gridSpan w:val="4"/>
          </w:tcPr>
          <w:p>
            <w:pPr>
              <w:spacing w:after="0"/>
              <w:rPr>
                <w:sz w:val="10"/>
                <w:szCs w:val="10"/>
                <w:color w:val="auto"/>
              </w:rPr>
            </w:pPr>
          </w:p>
        </w:tc>
        <w:tc>
          <w:tcPr>
            <w:tcW w:w="4800" w:type="dxa"/>
            <w:vAlign w:val="bottom"/>
            <w:gridSpan w:val="37"/>
          </w:tcPr>
          <w:p>
            <w:pPr>
              <w:spacing w:after="0"/>
              <w:rPr>
                <w:sz w:val="10"/>
                <w:szCs w:val="10"/>
                <w:color w:val="auto"/>
              </w:rPr>
            </w:pPr>
          </w:p>
        </w:tc>
        <w:tc>
          <w:tcPr>
            <w:tcW w:w="860" w:type="dxa"/>
            <w:vAlign w:val="bottom"/>
            <w:tcBorders>
              <w:top w:val="single" w:sz="8" w:color="auto"/>
            </w:tcBorders>
            <w:gridSpan w:val="4"/>
            <w:vMerge w:val="continue"/>
          </w:tcPr>
          <w:p>
            <w:pPr>
              <w:spacing w:after="0"/>
              <w:rPr>
                <w:sz w:val="10"/>
                <w:szCs w:val="10"/>
                <w:color w:val="auto"/>
              </w:rPr>
            </w:pPr>
          </w:p>
        </w:tc>
        <w:tc>
          <w:tcPr>
            <w:tcW w:w="180" w:type="dxa"/>
            <w:vAlign w:val="bottom"/>
            <w:gridSpan w:val="4"/>
          </w:tcPr>
          <w:p>
            <w:pPr>
              <w:spacing w:after="0"/>
              <w:rPr>
                <w:sz w:val="10"/>
                <w:szCs w:val="10"/>
                <w:color w:val="auto"/>
              </w:rPr>
            </w:pPr>
          </w:p>
        </w:tc>
        <w:tc>
          <w:tcPr>
            <w:tcW w:w="840" w:type="dxa"/>
            <w:vAlign w:val="bottom"/>
            <w:tcBorders>
              <w:top w:val="single" w:sz="8" w:color="auto"/>
            </w:tcBorders>
            <w:gridSpan w:val="4"/>
            <w:vMerge w:val="continue"/>
          </w:tcPr>
          <w:p>
            <w:pPr>
              <w:spacing w:after="0"/>
              <w:rPr>
                <w:sz w:val="10"/>
                <w:szCs w:val="10"/>
                <w:color w:val="auto"/>
              </w:rPr>
            </w:pPr>
          </w:p>
        </w:tc>
        <w:tc>
          <w:tcPr>
            <w:tcW w:w="29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liquidation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between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80" w:type="dxa"/>
            <w:vAlign w:val="bottom"/>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December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Transfer to</w:t>
            </w:r>
          </w:p>
        </w:tc>
        <w:tc>
          <w:tcPr>
            <w:tcW w:w="40" w:type="dxa"/>
            <w:vAlign w:val="bottom"/>
          </w:tcPr>
          <w:p>
            <w:pPr>
              <w:spacing w:after="0"/>
              <w:rPr>
                <w:sz w:val="13"/>
                <w:szCs w:val="13"/>
                <w:color w:val="auto"/>
              </w:rPr>
            </w:pPr>
          </w:p>
        </w:tc>
        <w:tc>
          <w:tcPr>
            <w:tcW w:w="94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Transfer to</w:t>
            </w:r>
          </w:p>
        </w:tc>
        <w:tc>
          <w:tcPr>
            <w:tcW w:w="6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from</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from</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and write-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classes of</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Sale of loan</w:t>
            </w:r>
          </w:p>
        </w:tc>
        <w:tc>
          <w:tcPr>
            <w:tcW w:w="10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80" w:type="dxa"/>
            <w:vAlign w:val="bottom"/>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Loans by class</w:t>
            </w:r>
          </w:p>
        </w:tc>
        <w:tc>
          <w:tcPr>
            <w:tcW w:w="900" w:type="dxa"/>
            <w:vAlign w:val="bottom"/>
            <w:gridSpan w:val="5"/>
          </w:tcPr>
          <w:p>
            <w:pPr>
              <w:ind w:left="200"/>
              <w:spacing w:after="0"/>
              <w:rPr>
                <w:sz w:val="20"/>
                <w:szCs w:val="20"/>
                <w:color w:val="auto"/>
              </w:rPr>
            </w:pPr>
            <w:r>
              <w:rPr>
                <w:rFonts w:ascii="Arial" w:cs="Arial" w:eastAsia="Arial" w:hAnsi="Arial"/>
                <w:sz w:val="14"/>
                <w:szCs w:val="14"/>
                <w:b w:val="1"/>
                <w:bCs w:val="1"/>
                <w:color w:val="auto"/>
              </w:rPr>
              <w:t>31, 2021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Stage 1</w:t>
            </w:r>
          </w:p>
        </w:tc>
        <w:tc>
          <w:tcPr>
            <w:tcW w:w="40" w:type="dxa"/>
            <w:vAlign w:val="bottom"/>
          </w:tcPr>
          <w:p>
            <w:pPr>
              <w:spacing w:after="0"/>
              <w:rPr>
                <w:sz w:val="14"/>
                <w:szCs w:val="14"/>
                <w:color w:val="auto"/>
              </w:rPr>
            </w:pPr>
          </w:p>
        </w:tc>
        <w:tc>
          <w:tcPr>
            <w:tcW w:w="940" w:type="dxa"/>
            <w:vAlign w:val="bottom"/>
            <w:gridSpan w:val="6"/>
          </w:tcPr>
          <w:p>
            <w:pPr>
              <w:ind w:left="40"/>
              <w:spacing w:after="0"/>
              <w:rPr>
                <w:sz w:val="20"/>
                <w:szCs w:val="20"/>
                <w:color w:val="auto"/>
              </w:rPr>
            </w:pPr>
            <w:r>
              <w:rPr>
                <w:rFonts w:ascii="Arial" w:cs="Arial" w:eastAsia="Arial" w:hAnsi="Arial"/>
                <w:sz w:val="14"/>
                <w:szCs w:val="14"/>
                <w:b w:val="1"/>
                <w:bCs w:val="1"/>
                <w:color w:val="auto"/>
              </w:rPr>
              <w:t>Stage 2</w:t>
            </w: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rPr>
              <w:t>Stage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Stage 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offs, 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tcPr>
          <w:p>
            <w:pPr>
              <w:ind w:left="40"/>
              <w:spacing w:after="0"/>
              <w:rPr>
                <w:sz w:val="20"/>
                <w:szCs w:val="20"/>
                <w:color w:val="auto"/>
              </w:rPr>
            </w:pPr>
            <w:r>
              <w:rPr>
                <w:rFonts w:ascii="Arial" w:cs="Arial" w:eastAsia="Arial" w:hAnsi="Arial"/>
                <w:sz w:val="14"/>
                <w:szCs w:val="14"/>
                <w:b w:val="1"/>
                <w:bCs w:val="1"/>
                <w:color w:val="auto"/>
              </w:rPr>
              <w:t>portfolio</w:t>
            </w:r>
          </w:p>
        </w:tc>
        <w:tc>
          <w:tcPr>
            <w:tcW w:w="10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others</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31, 2022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gridSpan w:val="3"/>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4"/>
          </w:tcPr>
          <w:p>
            <w:pPr>
              <w:jc w:val="right"/>
              <w:ind w:right="160"/>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4"/>
          </w:tcPr>
          <w:p>
            <w:pPr>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Commercial loans</w:t>
            </w:r>
          </w:p>
        </w:tc>
        <w:tc>
          <w:tcPr>
            <w:tcW w:w="1040" w:type="dxa"/>
            <w:vAlign w:val="bottom"/>
            <w:gridSpan w:val="7"/>
          </w:tcPr>
          <w:p>
            <w:pPr>
              <w:jc w:val="right"/>
              <w:ind w:right="60"/>
              <w:spacing w:after="0" w:line="155" w:lineRule="exact"/>
              <w:rPr>
                <w:sz w:val="20"/>
                <w:szCs w:val="20"/>
                <w:color w:val="auto"/>
              </w:rPr>
            </w:pPr>
            <w:r>
              <w:rPr>
                <w:rFonts w:ascii="Arial" w:cs="Arial" w:eastAsia="Arial" w:hAnsi="Arial"/>
                <w:sz w:val="14"/>
                <w:szCs w:val="14"/>
                <w:color w:val="auto"/>
              </w:rPr>
              <w:t>8,756,743</w:t>
            </w: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(356,896)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(434,550)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782,333</w:t>
            </w:r>
          </w:p>
        </w:tc>
        <w:tc>
          <w:tcPr>
            <w:tcW w:w="40" w:type="dxa"/>
            <w:vAlign w:val="bottom"/>
          </w:tcPr>
          <w:p>
            <w:pPr>
              <w:spacing w:after="0"/>
              <w:rPr>
                <w:sz w:val="13"/>
                <w:szCs w:val="13"/>
                <w:color w:val="auto"/>
              </w:rPr>
            </w:pPr>
          </w:p>
        </w:tc>
        <w:tc>
          <w:tcPr>
            <w:tcW w:w="780" w:type="dxa"/>
            <w:vAlign w:val="bottom"/>
            <w:gridSpan w:val="6"/>
          </w:tcPr>
          <w:p>
            <w:pPr>
              <w:jc w:val="right"/>
              <w:ind w:right="20"/>
              <w:spacing w:after="0" w:line="155" w:lineRule="exact"/>
              <w:rPr>
                <w:sz w:val="20"/>
                <w:szCs w:val="20"/>
                <w:color w:val="auto"/>
              </w:rPr>
            </w:pPr>
            <w:r>
              <w:rPr>
                <w:rFonts w:ascii="Arial" w:cs="Arial" w:eastAsia="Arial" w:hAnsi="Arial"/>
                <w:sz w:val="14"/>
                <w:szCs w:val="14"/>
                <w:color w:val="auto"/>
              </w:rPr>
              <w:t>2,586,811</w:t>
            </w:r>
          </w:p>
        </w:tc>
        <w:tc>
          <w:tcPr>
            <w:tcW w:w="20" w:type="dxa"/>
            <w:vAlign w:val="bottom"/>
          </w:tcPr>
          <w:p>
            <w:pPr>
              <w:spacing w:after="0"/>
              <w:rPr>
                <w:sz w:val="13"/>
                <w:szCs w:val="13"/>
                <w:color w:val="auto"/>
              </w:rPr>
            </w:pPr>
          </w:p>
        </w:tc>
        <w:tc>
          <w:tcPr>
            <w:tcW w:w="1000" w:type="dxa"/>
            <w:vAlign w:val="bottom"/>
            <w:gridSpan w:val="7"/>
          </w:tcPr>
          <w:p>
            <w:pPr>
              <w:jc w:val="right"/>
              <w:spacing w:after="0" w:line="155" w:lineRule="exact"/>
              <w:rPr>
                <w:sz w:val="20"/>
                <w:szCs w:val="20"/>
                <w:color w:val="auto"/>
              </w:rPr>
            </w:pPr>
            <w:r>
              <w:rPr>
                <w:rFonts w:ascii="Arial" w:cs="Arial" w:eastAsia="Arial" w:hAnsi="Arial"/>
                <w:sz w:val="14"/>
                <w:szCs w:val="14"/>
                <w:color w:val="auto"/>
              </w:rPr>
              <w:t>(2,934,746)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7"/>
          </w:tcPr>
          <w:p>
            <w:pPr>
              <w:jc w:val="right"/>
              <w:ind w:right="60"/>
              <w:spacing w:after="0" w:line="155" w:lineRule="exact"/>
              <w:rPr>
                <w:sz w:val="20"/>
                <w:szCs w:val="20"/>
                <w:color w:val="auto"/>
              </w:rPr>
            </w:pPr>
            <w:r>
              <w:rPr>
                <w:rFonts w:ascii="Arial" w:cs="Arial" w:eastAsia="Arial" w:hAnsi="Arial"/>
                <w:sz w:val="14"/>
                <w:szCs w:val="14"/>
                <w:color w:val="auto"/>
              </w:rPr>
              <w:t>(95,866)</w:t>
            </w:r>
          </w:p>
        </w:tc>
        <w:tc>
          <w:tcPr>
            <w:tcW w:w="20" w:type="dxa"/>
            <w:vAlign w:val="bottom"/>
          </w:tcPr>
          <w:p>
            <w:pPr>
              <w:spacing w:after="0"/>
              <w:rPr>
                <w:sz w:val="13"/>
                <w:szCs w:val="13"/>
                <w:color w:val="auto"/>
              </w:rPr>
            </w:pPr>
          </w:p>
        </w:tc>
        <w:tc>
          <w:tcPr>
            <w:tcW w:w="960" w:type="dxa"/>
            <w:vAlign w:val="bottom"/>
            <w:gridSpan w:val="6"/>
          </w:tcPr>
          <w:p>
            <w:pPr>
              <w:jc w:val="right"/>
              <w:ind w:right="40"/>
              <w:spacing w:after="0" w:line="155" w:lineRule="exact"/>
              <w:rPr>
                <w:sz w:val="20"/>
                <w:szCs w:val="20"/>
                <w:color w:val="auto"/>
              </w:rPr>
            </w:pPr>
            <w:r>
              <w:rPr>
                <w:rFonts w:ascii="Arial" w:cs="Arial" w:eastAsia="Arial" w:hAnsi="Arial"/>
                <w:sz w:val="14"/>
                <w:szCs w:val="14"/>
                <w:color w:val="auto"/>
              </w:rPr>
              <w:t>(7,803)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(145,826)</w:t>
            </w: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8,150,200</w:t>
            </w: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Residential mortgage</w:t>
            </w:r>
          </w:p>
        </w:tc>
        <w:tc>
          <w:tcPr>
            <w:tcW w:w="1040" w:type="dxa"/>
            <w:vAlign w:val="bottom"/>
            <w:gridSpan w:val="7"/>
            <w:vMerge w:val="restart"/>
          </w:tcPr>
          <w:p>
            <w:pPr>
              <w:jc w:val="right"/>
              <w:ind w:right="60"/>
              <w:spacing w:after="0"/>
              <w:rPr>
                <w:sz w:val="20"/>
                <w:szCs w:val="20"/>
                <w:color w:val="auto"/>
              </w:rPr>
            </w:pPr>
            <w:r>
              <w:rPr>
                <w:rFonts w:ascii="Arial" w:cs="Arial" w:eastAsia="Arial" w:hAnsi="Arial"/>
                <w:sz w:val="14"/>
                <w:szCs w:val="14"/>
                <w:color w:val="auto"/>
              </w:rPr>
              <w:t>1,371,146</w:t>
            </w: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color w:val="auto"/>
              </w:rPr>
              <w:t>(27,176)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(23,225)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vMerge w:val="restart"/>
          </w:tcPr>
          <w:p>
            <w:pPr>
              <w:jc w:val="right"/>
              <w:spacing w:after="0"/>
              <w:rPr>
                <w:sz w:val="20"/>
                <w:szCs w:val="20"/>
                <w:color w:val="auto"/>
              </w:rPr>
            </w:pPr>
            <w:r>
              <w:rPr>
                <w:rFonts w:ascii="Arial" w:cs="Arial" w:eastAsia="Arial" w:hAnsi="Arial"/>
                <w:sz w:val="14"/>
                <w:szCs w:val="14"/>
                <w:color w:val="auto"/>
              </w:rPr>
              <w:t>84,000</w:t>
            </w:r>
          </w:p>
        </w:tc>
        <w:tc>
          <w:tcPr>
            <w:tcW w:w="40" w:type="dxa"/>
            <w:vAlign w:val="bottom"/>
          </w:tcPr>
          <w:p>
            <w:pPr>
              <w:spacing w:after="0"/>
              <w:rPr>
                <w:sz w:val="13"/>
                <w:szCs w:val="13"/>
                <w:color w:val="auto"/>
              </w:rPr>
            </w:pPr>
          </w:p>
        </w:tc>
        <w:tc>
          <w:tcPr>
            <w:tcW w:w="780" w:type="dxa"/>
            <w:vAlign w:val="bottom"/>
            <w:gridSpan w:val="6"/>
            <w:vMerge w:val="restart"/>
          </w:tcPr>
          <w:p>
            <w:pPr>
              <w:jc w:val="right"/>
              <w:ind w:right="20"/>
              <w:spacing w:after="0"/>
              <w:rPr>
                <w:sz w:val="20"/>
                <w:szCs w:val="20"/>
                <w:color w:val="auto"/>
              </w:rPr>
            </w:pPr>
            <w:r>
              <w:rPr>
                <w:rFonts w:ascii="Arial" w:cs="Arial" w:eastAsia="Arial" w:hAnsi="Arial"/>
                <w:sz w:val="14"/>
                <w:szCs w:val="14"/>
                <w:color w:val="auto"/>
              </w:rPr>
              <w:t>292,259</w:t>
            </w:r>
          </w:p>
        </w:tc>
        <w:tc>
          <w:tcPr>
            <w:tcW w:w="20" w:type="dxa"/>
            <w:vAlign w:val="bottom"/>
          </w:tcPr>
          <w:p>
            <w:pPr>
              <w:spacing w:after="0"/>
              <w:rPr>
                <w:sz w:val="13"/>
                <w:szCs w:val="13"/>
                <w:color w:val="auto"/>
              </w:rPr>
            </w:pPr>
          </w:p>
        </w:tc>
        <w:tc>
          <w:tcPr>
            <w:tcW w:w="1000" w:type="dxa"/>
            <w:vAlign w:val="bottom"/>
            <w:gridSpan w:val="7"/>
            <w:vMerge w:val="restart"/>
          </w:tcPr>
          <w:p>
            <w:pPr>
              <w:jc w:val="right"/>
              <w:spacing w:after="0"/>
              <w:rPr>
                <w:sz w:val="20"/>
                <w:szCs w:val="20"/>
                <w:color w:val="auto"/>
              </w:rPr>
            </w:pPr>
            <w:r>
              <w:rPr>
                <w:rFonts w:ascii="Arial" w:cs="Arial" w:eastAsia="Arial" w:hAnsi="Arial"/>
                <w:sz w:val="14"/>
                <w:szCs w:val="14"/>
                <w:color w:val="auto"/>
              </w:rPr>
              <w:t>(283,888)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w w:val="72"/>
              </w:rPr>
              <w:t>−</w:t>
            </w:r>
          </w:p>
        </w:tc>
        <w:tc>
          <w:tcPr>
            <w:tcW w:w="960" w:type="dxa"/>
            <w:vAlign w:val="bottom"/>
            <w:gridSpan w:val="6"/>
            <w:vMerge w:val="restart"/>
          </w:tcPr>
          <w:p>
            <w:pPr>
              <w:jc w:val="right"/>
              <w:ind w:right="40"/>
              <w:spacing w:after="0"/>
              <w:rPr>
                <w:sz w:val="20"/>
                <w:szCs w:val="20"/>
                <w:color w:val="auto"/>
              </w:rPr>
            </w:pPr>
            <w:r>
              <w:rPr>
                <w:rFonts w:ascii="Arial" w:cs="Arial" w:eastAsia="Arial" w:hAnsi="Arial"/>
                <w:sz w:val="14"/>
                <w:szCs w:val="14"/>
                <w:color w:val="auto"/>
              </w:rPr>
              <w:t>(2,442)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(22,613)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560" w:type="dxa"/>
            <w:vAlign w:val="bottom"/>
            <w:gridSpan w:val="4"/>
            <w:vMerge w:val="restart"/>
          </w:tcPr>
          <w:p>
            <w:pPr>
              <w:spacing w:after="0" w:line="155" w:lineRule="exact"/>
              <w:rPr>
                <w:sz w:val="20"/>
                <w:szCs w:val="20"/>
                <w:color w:val="auto"/>
              </w:rPr>
            </w:pPr>
            <w:r>
              <w:rPr>
                <w:rFonts w:ascii="Arial" w:cs="Arial" w:eastAsia="Arial" w:hAnsi="Arial"/>
                <w:sz w:val="14"/>
                <w:szCs w:val="14"/>
                <w:color w:val="auto"/>
              </w:rPr>
              <w:t>loans</w:t>
            </w:r>
          </w:p>
        </w:tc>
        <w:tc>
          <w:tcPr>
            <w:tcW w:w="1040" w:type="dxa"/>
            <w:vAlign w:val="bottom"/>
            <w:gridSpan w:val="7"/>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gridSpan w:val="7"/>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gridSpan w:val="3"/>
            <w:vMerge w:val="continue"/>
          </w:tcPr>
          <w:p>
            <w:pPr>
              <w:spacing w:after="0"/>
              <w:rPr>
                <w:sz w:val="7"/>
                <w:szCs w:val="7"/>
                <w:color w:val="auto"/>
              </w:rPr>
            </w:pPr>
          </w:p>
        </w:tc>
        <w:tc>
          <w:tcPr>
            <w:tcW w:w="96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right"/>
              <w:spacing w:after="0" w:line="155" w:lineRule="exact"/>
              <w:rPr>
                <w:sz w:val="20"/>
                <w:szCs w:val="20"/>
                <w:color w:val="auto"/>
              </w:rPr>
            </w:pPr>
            <w:r>
              <w:rPr>
                <w:rFonts w:ascii="Arial" w:cs="Arial" w:eastAsia="Arial" w:hAnsi="Arial"/>
                <w:sz w:val="14"/>
                <w:szCs w:val="14"/>
                <w:color w:val="auto"/>
              </w:rPr>
              <w:t>1,388,061</w:t>
            </w:r>
          </w:p>
        </w:tc>
        <w:tc>
          <w:tcPr>
            <w:tcW w:w="0" w:type="dxa"/>
            <w:vAlign w:val="bottom"/>
          </w:tcPr>
          <w:p>
            <w:pPr>
              <w:spacing w:after="0"/>
              <w:rPr>
                <w:sz w:val="1"/>
                <w:szCs w:val="1"/>
                <w:color w:val="auto"/>
              </w:rPr>
            </w:pPr>
          </w:p>
        </w:tc>
      </w:tr>
      <w:tr>
        <w:trPr>
          <w:trHeight w:val="68"/>
        </w:trPr>
        <w:tc>
          <w:tcPr>
            <w:tcW w:w="1560" w:type="dxa"/>
            <w:vAlign w:val="bottom"/>
            <w:gridSpan w:val="4"/>
            <w:vMerge w:val="continue"/>
          </w:tcPr>
          <w:p>
            <w:pPr>
              <w:spacing w:after="0"/>
              <w:rPr>
                <w:sz w:val="5"/>
                <w:szCs w:val="5"/>
                <w:color w:val="auto"/>
              </w:rPr>
            </w:pPr>
          </w:p>
        </w:tc>
        <w:tc>
          <w:tcPr>
            <w:tcW w:w="8800" w:type="dxa"/>
            <w:vAlign w:val="bottom"/>
            <w:gridSpan w:val="62"/>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Micro-business loans</w:t>
            </w:r>
          </w:p>
        </w:tc>
        <w:tc>
          <w:tcPr>
            <w:tcW w:w="1040" w:type="dxa"/>
            <w:vAlign w:val="bottom"/>
            <w:gridSpan w:val="7"/>
          </w:tcPr>
          <w:p>
            <w:pPr>
              <w:jc w:val="right"/>
              <w:ind w:right="60"/>
              <w:spacing w:after="0" w:line="155" w:lineRule="exact"/>
              <w:rPr>
                <w:sz w:val="20"/>
                <w:szCs w:val="20"/>
                <w:color w:val="auto"/>
              </w:rPr>
            </w:pPr>
            <w:r>
              <w:rPr>
                <w:rFonts w:ascii="Arial" w:cs="Arial" w:eastAsia="Arial" w:hAnsi="Arial"/>
                <w:sz w:val="14"/>
                <w:szCs w:val="14"/>
                <w:color w:val="auto"/>
              </w:rPr>
              <w:t>1,906,210</w:t>
            </w: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(95,327)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(93,396)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235,229</w:t>
            </w:r>
          </w:p>
        </w:tc>
        <w:tc>
          <w:tcPr>
            <w:tcW w:w="40" w:type="dxa"/>
            <w:vAlign w:val="bottom"/>
          </w:tcPr>
          <w:p>
            <w:pPr>
              <w:spacing w:after="0"/>
              <w:rPr>
                <w:sz w:val="13"/>
                <w:szCs w:val="13"/>
                <w:color w:val="auto"/>
              </w:rPr>
            </w:pPr>
          </w:p>
        </w:tc>
        <w:tc>
          <w:tcPr>
            <w:tcW w:w="780" w:type="dxa"/>
            <w:vAlign w:val="bottom"/>
            <w:gridSpan w:val="6"/>
          </w:tcPr>
          <w:p>
            <w:pPr>
              <w:jc w:val="right"/>
              <w:ind w:right="20"/>
              <w:spacing w:after="0" w:line="155" w:lineRule="exact"/>
              <w:rPr>
                <w:sz w:val="20"/>
                <w:szCs w:val="20"/>
                <w:color w:val="auto"/>
              </w:rPr>
            </w:pPr>
            <w:r>
              <w:rPr>
                <w:rFonts w:ascii="Arial" w:cs="Arial" w:eastAsia="Arial" w:hAnsi="Arial"/>
                <w:sz w:val="14"/>
                <w:szCs w:val="14"/>
                <w:color w:val="auto"/>
              </w:rPr>
              <w:t>1,627,919</w:t>
            </w:r>
          </w:p>
        </w:tc>
        <w:tc>
          <w:tcPr>
            <w:tcW w:w="20" w:type="dxa"/>
            <w:vAlign w:val="bottom"/>
          </w:tcPr>
          <w:p>
            <w:pPr>
              <w:spacing w:after="0"/>
              <w:rPr>
                <w:sz w:val="13"/>
                <w:szCs w:val="13"/>
                <w:color w:val="auto"/>
              </w:rPr>
            </w:pPr>
          </w:p>
        </w:tc>
        <w:tc>
          <w:tcPr>
            <w:tcW w:w="1000" w:type="dxa"/>
            <w:vAlign w:val="bottom"/>
            <w:gridSpan w:val="7"/>
          </w:tcPr>
          <w:p>
            <w:pPr>
              <w:jc w:val="right"/>
              <w:spacing w:after="0" w:line="155" w:lineRule="exact"/>
              <w:rPr>
                <w:sz w:val="20"/>
                <w:szCs w:val="20"/>
                <w:color w:val="auto"/>
              </w:rPr>
            </w:pPr>
            <w:r>
              <w:rPr>
                <w:rFonts w:ascii="Arial" w:cs="Arial" w:eastAsia="Arial" w:hAnsi="Arial"/>
                <w:sz w:val="14"/>
                <w:szCs w:val="14"/>
                <w:color w:val="auto"/>
              </w:rPr>
              <w:t>(1,905,488)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7"/>
          </w:tcPr>
          <w:p>
            <w:pPr>
              <w:jc w:val="right"/>
              <w:ind w:right="60"/>
              <w:spacing w:after="0" w:line="155" w:lineRule="exact"/>
              <w:rPr>
                <w:sz w:val="20"/>
                <w:szCs w:val="20"/>
                <w:color w:val="auto"/>
              </w:rPr>
            </w:pPr>
            <w:r>
              <w:rPr>
                <w:rFonts w:ascii="Arial" w:cs="Arial" w:eastAsia="Arial" w:hAnsi="Arial"/>
                <w:sz w:val="14"/>
                <w:szCs w:val="14"/>
                <w:color w:val="auto"/>
              </w:rPr>
              <w:t>85,153</w:t>
            </w:r>
          </w:p>
        </w:tc>
        <w:tc>
          <w:tcPr>
            <w:tcW w:w="20" w:type="dxa"/>
            <w:vAlign w:val="bottom"/>
          </w:tcPr>
          <w:p>
            <w:pPr>
              <w:spacing w:after="0"/>
              <w:rPr>
                <w:sz w:val="13"/>
                <w:szCs w:val="13"/>
                <w:color w:val="auto"/>
              </w:rPr>
            </w:pPr>
          </w:p>
        </w:tc>
        <w:tc>
          <w:tcPr>
            <w:tcW w:w="960" w:type="dxa"/>
            <w:vAlign w:val="bottom"/>
            <w:gridSpan w:val="6"/>
          </w:tcPr>
          <w:p>
            <w:pPr>
              <w:jc w:val="right"/>
              <w:ind w:right="40"/>
              <w:spacing w:after="0" w:line="155" w:lineRule="exact"/>
              <w:rPr>
                <w:sz w:val="20"/>
                <w:szCs w:val="20"/>
                <w:color w:val="auto"/>
              </w:rPr>
            </w:pPr>
            <w:r>
              <w:rPr>
                <w:rFonts w:ascii="Arial" w:cs="Arial" w:eastAsia="Arial" w:hAnsi="Arial"/>
                <w:sz w:val="14"/>
                <w:szCs w:val="14"/>
                <w:color w:val="auto"/>
              </w:rPr>
              <w:t>(909)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(17,832)</w:t>
            </w: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1,741,559</w:t>
            </w:r>
          </w:p>
        </w:tc>
        <w:tc>
          <w:tcPr>
            <w:tcW w:w="0" w:type="dxa"/>
            <w:vAlign w:val="bottom"/>
          </w:tcPr>
          <w:p>
            <w:pPr>
              <w:spacing w:after="0"/>
              <w:rPr>
                <w:sz w:val="1"/>
                <w:szCs w:val="1"/>
                <w:color w:val="auto"/>
              </w:rPr>
            </w:pPr>
          </w:p>
        </w:tc>
      </w:tr>
      <w:tr>
        <w:trPr>
          <w:trHeight w:val="151"/>
        </w:trPr>
        <w:tc>
          <w:tcPr>
            <w:tcW w:w="1560" w:type="dxa"/>
            <w:vAlign w:val="bottom"/>
            <w:gridSpan w:val="4"/>
          </w:tcPr>
          <w:p>
            <w:pPr>
              <w:spacing w:after="0" w:line="151" w:lineRule="exact"/>
              <w:rPr>
                <w:sz w:val="20"/>
                <w:szCs w:val="20"/>
                <w:color w:val="auto"/>
              </w:rPr>
            </w:pPr>
            <w:r>
              <w:rPr>
                <w:rFonts w:ascii="Arial" w:cs="Arial" w:eastAsia="Arial" w:hAnsi="Arial"/>
                <w:sz w:val="14"/>
                <w:szCs w:val="14"/>
                <w:color w:val="auto"/>
              </w:rPr>
              <w:t>Consumer loans</w:t>
            </w:r>
          </w:p>
        </w:tc>
        <w:tc>
          <w:tcPr>
            <w:tcW w:w="160" w:type="dxa"/>
            <w:vAlign w:val="bottom"/>
            <w:gridSpan w:val="4"/>
          </w:tcPr>
          <w:p>
            <w:pPr>
              <w:spacing w:after="0"/>
              <w:rPr>
                <w:sz w:val="13"/>
                <w:szCs w:val="13"/>
                <w:color w:val="auto"/>
              </w:rPr>
            </w:pPr>
          </w:p>
        </w:tc>
        <w:tc>
          <w:tcPr>
            <w:tcW w:w="880" w:type="dxa"/>
            <w:vAlign w:val="bottom"/>
            <w:tcBorders>
              <w:bottom w:val="single" w:sz="8" w:color="auto"/>
            </w:tcBorders>
            <w:gridSpan w:val="3"/>
          </w:tcPr>
          <w:p>
            <w:pPr>
              <w:jc w:val="right"/>
              <w:ind w:right="60"/>
              <w:spacing w:after="0" w:line="151" w:lineRule="exact"/>
              <w:rPr>
                <w:sz w:val="20"/>
                <w:szCs w:val="20"/>
                <w:color w:val="auto"/>
              </w:rPr>
            </w:pPr>
            <w:r>
              <w:rPr>
                <w:rFonts w:ascii="Arial" w:cs="Arial" w:eastAsia="Arial" w:hAnsi="Arial"/>
                <w:sz w:val="14"/>
                <w:szCs w:val="14"/>
                <w:color w:val="auto"/>
              </w:rPr>
              <w:t>1,099,329</w:t>
            </w:r>
          </w:p>
        </w:tc>
        <w:tc>
          <w:tcPr>
            <w:tcW w:w="140" w:type="dxa"/>
            <w:vAlign w:val="bottom"/>
            <w:gridSpan w:val="2"/>
          </w:tcPr>
          <w:p>
            <w:pPr>
              <w:spacing w:after="0"/>
              <w:rPr>
                <w:sz w:val="13"/>
                <w:szCs w:val="13"/>
                <w:color w:val="auto"/>
              </w:rPr>
            </w:pP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(58,137)</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(71,775)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5"/>
          </w:tcPr>
          <w:p>
            <w:pPr>
              <w:jc w:val="right"/>
              <w:spacing w:after="0" w:line="151" w:lineRule="exact"/>
              <w:rPr>
                <w:sz w:val="20"/>
                <w:szCs w:val="20"/>
                <w:color w:val="auto"/>
              </w:rPr>
            </w:pPr>
            <w:r>
              <w:rPr>
                <w:rFonts w:ascii="Arial" w:cs="Arial" w:eastAsia="Arial" w:hAnsi="Arial"/>
                <w:sz w:val="14"/>
                <w:szCs w:val="14"/>
                <w:color w:val="auto"/>
              </w:rPr>
              <w:t>300,120</w:t>
            </w: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Borders>
              <w:bottom w:val="single" w:sz="8" w:color="auto"/>
            </w:tcBorders>
            <w:gridSpan w:val="4"/>
          </w:tcPr>
          <w:p>
            <w:pPr>
              <w:jc w:val="right"/>
              <w:ind w:right="20"/>
              <w:spacing w:after="0" w:line="151" w:lineRule="exact"/>
              <w:rPr>
                <w:sz w:val="20"/>
                <w:szCs w:val="20"/>
                <w:color w:val="auto"/>
              </w:rPr>
            </w:pPr>
            <w:r>
              <w:rPr>
                <w:rFonts w:ascii="Arial" w:cs="Arial" w:eastAsia="Arial" w:hAnsi="Arial"/>
                <w:sz w:val="14"/>
                <w:szCs w:val="14"/>
                <w:color w:val="auto"/>
              </w:rPr>
              <w:t>1,025,878</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84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(1,205,204)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860" w:type="dxa"/>
            <w:vAlign w:val="bottom"/>
            <w:tcBorders>
              <w:bottom w:val="single" w:sz="8" w:color="auto"/>
            </w:tcBorders>
            <w:gridSpan w:val="4"/>
          </w:tcPr>
          <w:p>
            <w:pPr>
              <w:jc w:val="right"/>
              <w:ind w:right="60"/>
              <w:spacing w:after="0" w:line="151" w:lineRule="exact"/>
              <w:rPr>
                <w:sz w:val="20"/>
                <w:szCs w:val="20"/>
                <w:color w:val="auto"/>
              </w:rPr>
            </w:pPr>
            <w:r>
              <w:rPr>
                <w:rFonts w:ascii="Arial" w:cs="Arial" w:eastAsia="Arial" w:hAnsi="Arial"/>
                <w:sz w:val="14"/>
                <w:szCs w:val="14"/>
                <w:color w:val="auto"/>
              </w:rPr>
              <w:t>10,713</w:t>
            </w: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40" w:type="dxa"/>
            <w:vAlign w:val="bottom"/>
            <w:tcBorders>
              <w:bottom w:val="single" w:sz="8" w:color="auto"/>
            </w:tcBorders>
            <w:gridSpan w:val="4"/>
          </w:tcPr>
          <w:p>
            <w:pPr>
              <w:jc w:val="right"/>
              <w:ind w:right="40"/>
              <w:spacing w:after="0" w:line="151" w:lineRule="exact"/>
              <w:rPr>
                <w:sz w:val="20"/>
                <w:szCs w:val="20"/>
                <w:color w:val="auto"/>
              </w:rPr>
            </w:pPr>
            <w:r>
              <w:rPr>
                <w:rFonts w:ascii="Arial" w:cs="Arial" w:eastAsia="Arial" w:hAnsi="Arial"/>
                <w:sz w:val="14"/>
                <w:szCs w:val="14"/>
                <w:color w:val="auto"/>
              </w:rPr>
              <w:t>(304)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60"/>
              <w:spacing w:after="0" w:line="151" w:lineRule="exact"/>
              <w:rPr>
                <w:sz w:val="20"/>
                <w:szCs w:val="20"/>
                <w:color w:val="auto"/>
              </w:rPr>
            </w:pPr>
            <w:r>
              <w:rPr>
                <w:rFonts w:ascii="Arial" w:cs="Arial" w:eastAsia="Arial" w:hAnsi="Arial"/>
                <w:sz w:val="14"/>
                <w:szCs w:val="14"/>
                <w:color w:val="auto"/>
              </w:rPr>
              <w:t>(1,237)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1,099,383</w:t>
            </w:r>
          </w:p>
        </w:tc>
        <w:tc>
          <w:tcPr>
            <w:tcW w:w="0" w:type="dxa"/>
            <w:vAlign w:val="bottom"/>
          </w:tcPr>
          <w:p>
            <w:pPr>
              <w:spacing w:after="0"/>
              <w:rPr>
                <w:sz w:val="1"/>
                <w:szCs w:val="1"/>
                <w:color w:val="auto"/>
              </w:rPr>
            </w:pPr>
          </w:p>
        </w:tc>
      </w:tr>
      <w:tr>
        <w:trPr>
          <w:trHeight w:val="154"/>
        </w:trPr>
        <w:tc>
          <w:tcPr>
            <w:tcW w:w="15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gridSpan w:val="4"/>
          </w:tcPr>
          <w:p>
            <w:pPr>
              <w:spacing w:after="0"/>
              <w:rPr>
                <w:sz w:val="13"/>
                <w:szCs w:val="13"/>
                <w:color w:val="auto"/>
              </w:rPr>
            </w:pPr>
          </w:p>
        </w:tc>
        <w:tc>
          <w:tcPr>
            <w:tcW w:w="880" w:type="dxa"/>
            <w:vAlign w:val="bottom"/>
            <w:tcBorders>
              <w:bottom w:val="single" w:sz="8" w:color="auto"/>
            </w:tcBorders>
            <w:gridSpan w:val="3"/>
          </w:tcPr>
          <w:p>
            <w:pPr>
              <w:jc w:val="right"/>
              <w:ind w:right="60"/>
              <w:spacing w:after="0" w:line="149" w:lineRule="exact"/>
              <w:rPr>
                <w:sz w:val="20"/>
                <w:szCs w:val="20"/>
                <w:color w:val="auto"/>
              </w:rPr>
            </w:pPr>
            <w:r>
              <w:rPr>
                <w:rFonts w:ascii="Arial" w:cs="Arial" w:eastAsia="Arial" w:hAnsi="Arial"/>
                <w:sz w:val="14"/>
                <w:szCs w:val="14"/>
                <w:color w:val="auto"/>
              </w:rPr>
              <w:t>13,133,428</w:t>
            </w:r>
          </w:p>
        </w:tc>
        <w:tc>
          <w:tcPr>
            <w:tcW w:w="140" w:type="dxa"/>
            <w:vAlign w:val="bottom"/>
            <w:gridSpan w:val="2"/>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(537,536)</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(622,946)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1,401,682</w:t>
            </w: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Borders>
              <w:bottom w:val="single" w:sz="8" w:color="auto"/>
            </w:tcBorders>
            <w:gridSpan w:val="4"/>
          </w:tcPr>
          <w:p>
            <w:pPr>
              <w:jc w:val="right"/>
              <w:ind w:right="20"/>
              <w:spacing w:after="0" w:line="149" w:lineRule="exact"/>
              <w:rPr>
                <w:sz w:val="20"/>
                <w:szCs w:val="20"/>
                <w:color w:val="auto"/>
              </w:rPr>
            </w:pPr>
            <w:r>
              <w:rPr>
                <w:rFonts w:ascii="Arial" w:cs="Arial" w:eastAsia="Arial" w:hAnsi="Arial"/>
                <w:sz w:val="14"/>
                <w:szCs w:val="14"/>
                <w:color w:val="auto"/>
              </w:rPr>
              <w:t>5,532,867</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8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(6,329,326)</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w w:val="72"/>
              </w:rPr>
              <w:t>−</w:t>
            </w: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40" w:type="dxa"/>
            <w:vAlign w:val="bottom"/>
            <w:tcBorders>
              <w:bottom w:val="single" w:sz="8" w:color="auto"/>
            </w:tcBorders>
            <w:gridSpan w:val="4"/>
          </w:tcPr>
          <w:p>
            <w:pPr>
              <w:jc w:val="right"/>
              <w:ind w:right="40"/>
              <w:spacing w:after="0" w:line="149" w:lineRule="exact"/>
              <w:rPr>
                <w:sz w:val="20"/>
                <w:szCs w:val="20"/>
                <w:color w:val="auto"/>
              </w:rPr>
            </w:pPr>
            <w:r>
              <w:rPr>
                <w:rFonts w:ascii="Arial" w:cs="Arial" w:eastAsia="Arial" w:hAnsi="Arial"/>
                <w:sz w:val="14"/>
                <w:szCs w:val="14"/>
                <w:color w:val="auto"/>
              </w:rPr>
              <w:t>(11,458)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(187,508)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12,379,203</w:t>
            </w:r>
          </w:p>
        </w:tc>
        <w:tc>
          <w:tcPr>
            <w:tcW w:w="0" w:type="dxa"/>
            <w:vAlign w:val="bottom"/>
          </w:tcPr>
          <w:p>
            <w:pPr>
              <w:spacing w:after="0"/>
              <w:rPr>
                <w:sz w:val="1"/>
                <w:szCs w:val="1"/>
                <w:color w:val="auto"/>
              </w:rPr>
            </w:pPr>
          </w:p>
        </w:tc>
      </w:tr>
      <w:tr>
        <w:trPr>
          <w:trHeight w:val="311"/>
        </w:trPr>
        <w:tc>
          <w:tcPr>
            <w:tcW w:w="5240" w:type="dxa"/>
            <w:vAlign w:val="bottom"/>
            <w:gridSpan w:val="28"/>
          </w:tcPr>
          <w:p>
            <w:pPr>
              <w:spacing w:after="0"/>
              <w:rPr>
                <w:sz w:val="20"/>
                <w:szCs w:val="20"/>
                <w:color w:val="auto"/>
              </w:rPr>
            </w:pPr>
            <w:r>
              <w:rPr>
                <w:rFonts w:ascii="Arial" w:cs="Arial" w:eastAsia="Arial" w:hAnsi="Arial"/>
                <w:sz w:val="14"/>
                <w:szCs w:val="14"/>
                <w:b w:val="1"/>
                <w:bCs w:val="1"/>
                <w:color w:val="auto"/>
              </w:rPr>
              <w:t>Consolidated 3 Stages</w:t>
            </w:r>
          </w:p>
        </w:tc>
        <w:tc>
          <w:tcPr>
            <w:tcW w:w="96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Loan</w:t>
            </w:r>
          </w:p>
        </w:tc>
        <w:tc>
          <w:tcPr>
            <w:tcW w:w="5040" w:type="dxa"/>
            <w:vAlign w:val="bottom"/>
            <w:gridSpan w:val="31"/>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tcBorders>
              <w:top w:val="single" w:sz="8" w:color="auto"/>
            </w:tcBorders>
            <w:gridSpan w:val="5"/>
          </w:tcPr>
          <w:p>
            <w:pPr>
              <w:spacing w:after="0"/>
              <w:rPr>
                <w:sz w:val="10"/>
                <w:szCs w:val="10"/>
                <w:color w:val="auto"/>
              </w:rPr>
            </w:pPr>
          </w:p>
        </w:tc>
        <w:tc>
          <w:tcPr>
            <w:tcW w:w="3640" w:type="dxa"/>
            <w:vAlign w:val="bottom"/>
            <w:gridSpan w:val="22"/>
          </w:tcPr>
          <w:p>
            <w:pPr>
              <w:spacing w:after="0"/>
              <w:rPr>
                <w:sz w:val="10"/>
                <w:szCs w:val="10"/>
                <w:color w:val="auto"/>
              </w:rPr>
            </w:pPr>
          </w:p>
        </w:tc>
        <w:tc>
          <w:tcPr>
            <w:tcW w:w="960" w:type="dxa"/>
            <w:vAlign w:val="bottom"/>
            <w:gridSpan w:val="9"/>
            <w:vMerge w:val="continue"/>
          </w:tcPr>
          <w:p>
            <w:pPr>
              <w:spacing w:after="0"/>
              <w:rPr>
                <w:sz w:val="10"/>
                <w:szCs w:val="10"/>
                <w:color w:val="auto"/>
              </w:rPr>
            </w:pPr>
          </w:p>
        </w:tc>
        <w:tc>
          <w:tcPr>
            <w:tcW w:w="5040" w:type="dxa"/>
            <w:vAlign w:val="bottom"/>
            <w:gridSpan w:val="31"/>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9"/>
          </w:tcPr>
          <w:p>
            <w:pPr>
              <w:ind w:left="40"/>
              <w:spacing w:after="0" w:line="155" w:lineRule="exact"/>
              <w:rPr>
                <w:sz w:val="20"/>
                <w:szCs w:val="20"/>
                <w:color w:val="auto"/>
              </w:rPr>
            </w:pPr>
            <w:r>
              <w:rPr>
                <w:rFonts w:ascii="Arial" w:cs="Arial" w:eastAsia="Arial" w:hAnsi="Arial"/>
                <w:sz w:val="14"/>
                <w:szCs w:val="14"/>
                <w:b w:val="1"/>
                <w:bCs w:val="1"/>
                <w:color w:val="auto"/>
              </w:rPr>
              <w:t>portfolio</w:t>
            </w:r>
          </w:p>
        </w:tc>
        <w:tc>
          <w:tcPr>
            <w:tcW w:w="20" w:type="dxa"/>
            <w:vAlign w:val="bottom"/>
          </w:tcPr>
          <w:p>
            <w:pPr>
              <w:spacing w:after="0"/>
              <w:rPr>
                <w:sz w:val="13"/>
                <w:szCs w:val="13"/>
                <w:color w:val="auto"/>
              </w:rPr>
            </w:pPr>
          </w:p>
        </w:tc>
        <w:tc>
          <w:tcPr>
            <w:tcW w:w="1020" w:type="dxa"/>
            <w:vAlign w:val="bottom"/>
            <w:gridSpan w:val="8"/>
          </w:tcPr>
          <w:p>
            <w:pPr>
              <w:ind w:left="20"/>
              <w:spacing w:after="0" w:line="155" w:lineRule="exact"/>
              <w:rPr>
                <w:sz w:val="20"/>
                <w:szCs w:val="20"/>
                <w:color w:val="auto"/>
              </w:rPr>
            </w:pPr>
            <w:r>
              <w:rPr>
                <w:rFonts w:ascii="Arial" w:cs="Arial" w:eastAsia="Arial" w:hAnsi="Arial"/>
                <w:sz w:val="14"/>
                <w:szCs w:val="14"/>
                <w:b w:val="1"/>
                <w:bCs w:val="1"/>
                <w:color w:val="auto"/>
              </w:rPr>
              <w:t>New loans</w:t>
            </w:r>
          </w:p>
        </w:tc>
        <w:tc>
          <w:tcPr>
            <w:tcW w:w="1020" w:type="dxa"/>
            <w:vAlign w:val="bottom"/>
            <w:gridSpan w:val="8"/>
          </w:tcPr>
          <w:p>
            <w:pPr>
              <w:ind w:left="20"/>
              <w:spacing w:after="0" w:line="155" w:lineRule="exact"/>
              <w:rPr>
                <w:sz w:val="20"/>
                <w:szCs w:val="20"/>
                <w:color w:val="auto"/>
              </w:rPr>
            </w:pPr>
            <w:r>
              <w:rPr>
                <w:rFonts w:ascii="Arial" w:cs="Arial" w:eastAsia="Arial" w:hAnsi="Arial"/>
                <w:sz w:val="14"/>
                <w:szCs w:val="14"/>
                <w:b w:val="1"/>
                <w:bCs w:val="1"/>
                <w:color w:val="auto"/>
              </w:rPr>
              <w:t>Transfers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9"/>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960" w:type="dxa"/>
            <w:vAlign w:val="bottom"/>
            <w:gridSpan w:val="9"/>
          </w:tcPr>
          <w:p>
            <w:pPr>
              <w:ind w:left="40"/>
              <w:spacing w:after="0" w:line="155" w:lineRule="exact"/>
              <w:rPr>
                <w:sz w:val="20"/>
                <w:szCs w:val="20"/>
                <w:color w:val="auto"/>
              </w:rPr>
            </w:pPr>
            <w:r>
              <w:rPr>
                <w:rFonts w:ascii="Arial" w:cs="Arial" w:eastAsia="Arial" w:hAnsi="Arial"/>
                <w:sz w:val="14"/>
                <w:szCs w:val="14"/>
                <w:b w:val="1"/>
                <w:bCs w:val="1"/>
                <w:color w:val="auto"/>
              </w:rPr>
              <w:t>written off</w:t>
            </w:r>
          </w:p>
        </w:tc>
        <w:tc>
          <w:tcPr>
            <w:tcW w:w="20" w:type="dxa"/>
            <w:vAlign w:val="bottom"/>
          </w:tcPr>
          <w:p>
            <w:pPr>
              <w:spacing w:after="0"/>
              <w:rPr>
                <w:sz w:val="13"/>
                <w:szCs w:val="13"/>
                <w:color w:val="auto"/>
              </w:rPr>
            </w:pPr>
          </w:p>
        </w:tc>
        <w:tc>
          <w:tcPr>
            <w:tcW w:w="1020" w:type="dxa"/>
            <w:vAlign w:val="bottom"/>
            <w:gridSpan w:val="8"/>
          </w:tcPr>
          <w:p>
            <w:pPr>
              <w:ind w:left="20"/>
              <w:spacing w:after="0" w:line="155" w:lineRule="exact"/>
              <w:rPr>
                <w:sz w:val="20"/>
                <w:szCs w:val="20"/>
                <w:color w:val="auto"/>
              </w:rPr>
            </w:pPr>
            <w:r>
              <w:rPr>
                <w:rFonts w:ascii="Arial" w:cs="Arial" w:eastAsia="Arial" w:hAnsi="Arial"/>
                <w:sz w:val="14"/>
                <w:szCs w:val="14"/>
                <w:b w:val="1"/>
                <w:bCs w:val="1"/>
                <w:color w:val="auto"/>
              </w:rPr>
              <w:t>and</w:t>
            </w:r>
          </w:p>
        </w:tc>
        <w:tc>
          <w:tcPr>
            <w:tcW w:w="1020" w:type="dxa"/>
            <w:vAlign w:val="bottom"/>
            <w:gridSpan w:val="8"/>
          </w:tcPr>
          <w:p>
            <w:pPr>
              <w:ind w:left="20"/>
              <w:spacing w:after="0" w:line="155" w:lineRule="exact"/>
              <w:rPr>
                <w:sz w:val="20"/>
                <w:szCs w:val="20"/>
                <w:color w:val="auto"/>
              </w:rPr>
            </w:pPr>
            <w:r>
              <w:rPr>
                <w:rFonts w:ascii="Arial" w:cs="Arial" w:eastAsia="Arial" w:hAnsi="Arial"/>
                <w:sz w:val="14"/>
                <w:szCs w:val="14"/>
                <w:b w:val="1"/>
                <w:bCs w:val="1"/>
                <w:color w:val="auto"/>
              </w:rPr>
              <w:t>between</w:t>
            </w:r>
          </w:p>
        </w:tc>
        <w:tc>
          <w:tcPr>
            <w:tcW w:w="1000" w:type="dxa"/>
            <w:vAlign w:val="bottom"/>
            <w:gridSpan w:val="8"/>
          </w:tcPr>
          <w:p>
            <w:pPr>
              <w:ind w:left="40"/>
              <w:spacing w:after="0" w:line="155" w:lineRule="exact"/>
              <w:rPr>
                <w:sz w:val="20"/>
                <w:szCs w:val="20"/>
                <w:color w:val="auto"/>
              </w:rPr>
            </w:pPr>
            <w:r>
              <w:rPr>
                <w:rFonts w:ascii="Arial" w:cs="Arial" w:eastAsia="Arial" w:hAnsi="Arial"/>
                <w:sz w:val="14"/>
                <w:szCs w:val="14"/>
                <w:b w:val="1"/>
                <w:bCs w:val="1"/>
                <w:color w:val="auto"/>
              </w:rPr>
              <w:t>Sale of</w:t>
            </w:r>
          </w:p>
        </w:tc>
        <w:tc>
          <w:tcPr>
            <w:tcW w:w="110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Exchange</w:t>
            </w: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9"/>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960" w:type="dxa"/>
            <w:vAlign w:val="bottom"/>
            <w:gridSpan w:val="9"/>
          </w:tcPr>
          <w:p>
            <w:pPr>
              <w:ind w:left="40"/>
              <w:spacing w:after="0" w:line="155" w:lineRule="exact"/>
              <w:rPr>
                <w:sz w:val="20"/>
                <w:szCs w:val="20"/>
                <w:color w:val="auto"/>
              </w:rPr>
            </w:pPr>
            <w:r>
              <w:rPr>
                <w:rFonts w:ascii="Arial" w:cs="Arial" w:eastAsia="Arial" w:hAnsi="Arial"/>
                <w:sz w:val="14"/>
                <w:szCs w:val="14"/>
                <w:b w:val="1"/>
                <w:bCs w:val="1"/>
                <w:color w:val="auto"/>
              </w:rPr>
              <w:t>and</w:t>
            </w:r>
          </w:p>
        </w:tc>
        <w:tc>
          <w:tcPr>
            <w:tcW w:w="20" w:type="dxa"/>
            <w:vAlign w:val="bottom"/>
          </w:tcPr>
          <w:p>
            <w:pPr>
              <w:spacing w:after="0"/>
              <w:rPr>
                <w:sz w:val="13"/>
                <w:szCs w:val="13"/>
                <w:color w:val="auto"/>
              </w:rPr>
            </w:pPr>
          </w:p>
        </w:tc>
        <w:tc>
          <w:tcPr>
            <w:tcW w:w="1020" w:type="dxa"/>
            <w:vAlign w:val="bottom"/>
            <w:gridSpan w:val="8"/>
          </w:tcPr>
          <w:p>
            <w:pPr>
              <w:ind w:left="20"/>
              <w:spacing w:after="0" w:line="155" w:lineRule="exact"/>
              <w:rPr>
                <w:sz w:val="20"/>
                <w:szCs w:val="20"/>
                <w:color w:val="auto"/>
              </w:rPr>
            </w:pPr>
            <w:r>
              <w:rPr>
                <w:rFonts w:ascii="Arial" w:cs="Arial" w:eastAsia="Arial" w:hAnsi="Arial"/>
                <w:sz w:val="14"/>
                <w:szCs w:val="14"/>
                <w:b w:val="1"/>
                <w:bCs w:val="1"/>
                <w:color w:val="auto"/>
              </w:rPr>
              <w:t>liquidation,</w:t>
            </w:r>
          </w:p>
        </w:tc>
        <w:tc>
          <w:tcPr>
            <w:tcW w:w="1020" w:type="dxa"/>
            <w:vAlign w:val="bottom"/>
            <w:gridSpan w:val="8"/>
          </w:tcPr>
          <w:p>
            <w:pPr>
              <w:ind w:left="20"/>
              <w:spacing w:after="0" w:line="155" w:lineRule="exact"/>
              <w:rPr>
                <w:sz w:val="20"/>
                <w:szCs w:val="20"/>
                <w:color w:val="auto"/>
              </w:rPr>
            </w:pPr>
            <w:r>
              <w:rPr>
                <w:rFonts w:ascii="Arial" w:cs="Arial" w:eastAsia="Arial" w:hAnsi="Arial"/>
                <w:sz w:val="14"/>
                <w:szCs w:val="14"/>
                <w:b w:val="1"/>
                <w:bCs w:val="1"/>
                <w:color w:val="auto"/>
              </w:rPr>
              <w:t>classes of</w:t>
            </w:r>
          </w:p>
        </w:tc>
        <w:tc>
          <w:tcPr>
            <w:tcW w:w="1000" w:type="dxa"/>
            <w:vAlign w:val="bottom"/>
            <w:gridSpan w:val="8"/>
          </w:tcPr>
          <w:p>
            <w:pPr>
              <w:ind w:left="40"/>
              <w:spacing w:after="0" w:line="155" w:lineRule="exact"/>
              <w:rPr>
                <w:sz w:val="20"/>
                <w:szCs w:val="20"/>
                <w:color w:val="auto"/>
              </w:rPr>
            </w:pPr>
            <w:r>
              <w:rPr>
                <w:rFonts w:ascii="Arial" w:cs="Arial" w:eastAsia="Arial" w:hAnsi="Arial"/>
                <w:sz w:val="14"/>
                <w:szCs w:val="14"/>
                <w:b w:val="1"/>
                <w:bCs w:val="1"/>
                <w:color w:val="auto"/>
              </w:rPr>
              <w:t>loan</w:t>
            </w:r>
          </w:p>
        </w:tc>
        <w:tc>
          <w:tcPr>
            <w:tcW w:w="110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differences</w:t>
            </w: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Loans by class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9"/>
          </w:tcPr>
          <w:p>
            <w:pPr>
              <w:ind w:left="640"/>
              <w:spacing w:after="0"/>
              <w:rPr>
                <w:sz w:val="20"/>
                <w:szCs w:val="20"/>
                <w:color w:val="auto"/>
              </w:rPr>
            </w:pPr>
            <w:r>
              <w:rPr>
                <w:rFonts w:ascii="Arial" w:cs="Arial" w:eastAsia="Arial" w:hAnsi="Arial"/>
                <w:sz w:val="14"/>
                <w:szCs w:val="14"/>
                <w:b w:val="1"/>
                <w:bCs w:val="1"/>
                <w:color w:val="auto"/>
              </w:rPr>
              <w:t>31, 2021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9"/>
          </w:tcPr>
          <w:p>
            <w:pPr>
              <w:ind w:left="40"/>
              <w:spacing w:after="0"/>
              <w:rPr>
                <w:sz w:val="20"/>
                <w:szCs w:val="20"/>
                <w:color w:val="auto"/>
              </w:rPr>
            </w:pPr>
            <w:r>
              <w:rPr>
                <w:rFonts w:ascii="Arial" w:cs="Arial" w:eastAsia="Arial" w:hAnsi="Arial"/>
                <w:sz w:val="14"/>
                <w:szCs w:val="14"/>
                <w:b w:val="1"/>
                <w:bCs w:val="1"/>
                <w:color w:val="auto"/>
              </w:rPr>
              <w:t>forgiven</w:t>
            </w:r>
          </w:p>
        </w:tc>
        <w:tc>
          <w:tcPr>
            <w:tcW w:w="20" w:type="dxa"/>
            <w:vAlign w:val="bottom"/>
          </w:tcPr>
          <w:p>
            <w:pPr>
              <w:spacing w:after="0"/>
              <w:rPr>
                <w:sz w:val="14"/>
                <w:szCs w:val="14"/>
                <w:color w:val="auto"/>
              </w:rPr>
            </w:pPr>
          </w:p>
        </w:tc>
        <w:tc>
          <w:tcPr>
            <w:tcW w:w="1020" w:type="dxa"/>
            <w:vAlign w:val="bottom"/>
            <w:gridSpan w:val="8"/>
          </w:tcPr>
          <w:p>
            <w:pPr>
              <w:ind w:left="20"/>
              <w:spacing w:after="0"/>
              <w:rPr>
                <w:sz w:val="20"/>
                <w:szCs w:val="20"/>
                <w:color w:val="auto"/>
              </w:rPr>
            </w:pPr>
            <w:r>
              <w:rPr>
                <w:rFonts w:ascii="Arial" w:cs="Arial" w:eastAsia="Arial" w:hAnsi="Arial"/>
                <w:sz w:val="14"/>
                <w:szCs w:val="14"/>
                <w:b w:val="1"/>
                <w:bCs w:val="1"/>
                <w:color w:val="auto"/>
              </w:rPr>
              <w:t>net</w:t>
            </w:r>
          </w:p>
        </w:tc>
        <w:tc>
          <w:tcPr>
            <w:tcW w:w="1020" w:type="dxa"/>
            <w:vAlign w:val="bottom"/>
            <w:gridSpan w:val="8"/>
          </w:tcPr>
          <w:p>
            <w:pPr>
              <w:ind w:left="20"/>
              <w:spacing w:after="0"/>
              <w:rPr>
                <w:sz w:val="20"/>
                <w:szCs w:val="20"/>
                <w:color w:val="auto"/>
              </w:rPr>
            </w:pPr>
            <w:r>
              <w:rPr>
                <w:rFonts w:ascii="Arial" w:cs="Arial" w:eastAsia="Arial" w:hAnsi="Arial"/>
                <w:sz w:val="14"/>
                <w:szCs w:val="14"/>
                <w:b w:val="1"/>
                <w:bCs w:val="1"/>
                <w:color w:val="auto"/>
              </w:rPr>
              <w:t>loans</w:t>
            </w:r>
          </w:p>
        </w:tc>
        <w:tc>
          <w:tcPr>
            <w:tcW w:w="1000" w:type="dxa"/>
            <w:vAlign w:val="bottom"/>
            <w:gridSpan w:val="8"/>
          </w:tcPr>
          <w:p>
            <w:pPr>
              <w:ind w:left="40"/>
              <w:spacing w:after="0"/>
              <w:rPr>
                <w:sz w:val="20"/>
                <w:szCs w:val="20"/>
                <w:color w:val="auto"/>
              </w:rPr>
            </w:pPr>
            <w:r>
              <w:rPr>
                <w:rFonts w:ascii="Arial" w:cs="Arial" w:eastAsia="Arial" w:hAnsi="Arial"/>
                <w:sz w:val="14"/>
                <w:szCs w:val="14"/>
                <w:b w:val="1"/>
                <w:bCs w:val="1"/>
                <w:color w:val="auto"/>
              </w:rPr>
              <w:t>portfolio</w:t>
            </w: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and others</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31, 2022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Borders>
              <w:top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S/(000)</w:t>
            </w:r>
          </w:p>
        </w:tc>
        <w:tc>
          <w:tcPr>
            <w:tcW w:w="14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S/(000)</w:t>
            </w:r>
          </w:p>
        </w:tc>
        <w:tc>
          <w:tcPr>
            <w:tcW w:w="14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S/(000)</w:t>
            </w:r>
          </w:p>
        </w:tc>
        <w:tc>
          <w:tcPr>
            <w:tcW w:w="140" w:type="dxa"/>
            <w:vAlign w:val="bottom"/>
            <w:gridSpan w:val="3"/>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S/(000)</w:t>
            </w:r>
          </w:p>
        </w:tc>
        <w:tc>
          <w:tcPr>
            <w:tcW w:w="280" w:type="dxa"/>
            <w:vAlign w:val="bottom"/>
            <w:gridSpan w:val="2"/>
          </w:tcPr>
          <w:p>
            <w:pPr>
              <w:spacing w:after="0"/>
              <w:rPr>
                <w:sz w:val="15"/>
                <w:szCs w:val="15"/>
                <w:color w:val="auto"/>
              </w:rPr>
            </w:pPr>
          </w:p>
        </w:tc>
        <w:tc>
          <w:tcPr>
            <w:tcW w:w="8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72"/>
        </w:trPr>
        <w:tc>
          <w:tcPr>
            <w:tcW w:w="1560" w:type="dxa"/>
            <w:vAlign w:val="bottom"/>
            <w:gridSpan w:val="4"/>
          </w:tcPr>
          <w:p>
            <w:pPr>
              <w:spacing w:after="0"/>
              <w:rPr>
                <w:sz w:val="20"/>
                <w:szCs w:val="20"/>
                <w:color w:val="auto"/>
              </w:rPr>
            </w:pPr>
            <w:r>
              <w:rPr>
                <w:rFonts w:ascii="Arial" w:cs="Arial" w:eastAsia="Arial" w:hAnsi="Arial"/>
                <w:sz w:val="14"/>
                <w:szCs w:val="14"/>
                <w:color w:val="auto"/>
              </w:rPr>
              <w:t>Commercial loans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9"/>
          </w:tcPr>
          <w:p>
            <w:pPr>
              <w:jc w:val="right"/>
              <w:spacing w:after="0"/>
              <w:rPr>
                <w:sz w:val="20"/>
                <w:szCs w:val="20"/>
                <w:color w:val="auto"/>
              </w:rPr>
            </w:pPr>
            <w:r>
              <w:rPr>
                <w:rFonts w:ascii="Arial" w:cs="Arial" w:eastAsia="Arial" w:hAnsi="Arial"/>
                <w:sz w:val="14"/>
                <w:szCs w:val="14"/>
                <w:color w:val="auto"/>
              </w:rPr>
              <w:t>110,380,615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5"/>
          </w:tcPr>
          <w:p>
            <w:pPr>
              <w:jc w:val="right"/>
              <w:spacing w:after="0"/>
              <w:rPr>
                <w:sz w:val="20"/>
                <w:szCs w:val="20"/>
                <w:color w:val="auto"/>
              </w:rPr>
            </w:pPr>
            <w:r>
              <w:rPr>
                <w:rFonts w:ascii="Arial" w:cs="Arial" w:eastAsia="Arial" w:hAnsi="Arial"/>
                <w:sz w:val="14"/>
                <w:szCs w:val="14"/>
                <w:color w:val="auto"/>
                <w:w w:val="93"/>
              </w:rPr>
              <w:t>(421,319)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6"/>
          </w:tcPr>
          <w:p>
            <w:pPr>
              <w:jc w:val="right"/>
              <w:spacing w:after="0"/>
              <w:rPr>
                <w:sz w:val="20"/>
                <w:szCs w:val="20"/>
                <w:color w:val="auto"/>
              </w:rPr>
            </w:pPr>
            <w:r>
              <w:rPr>
                <w:rFonts w:ascii="Arial" w:cs="Arial" w:eastAsia="Arial" w:hAnsi="Arial"/>
                <w:sz w:val="14"/>
                <w:szCs w:val="14"/>
                <w:color w:val="auto"/>
              </w:rPr>
              <w:t>(5,352,990)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tcPr>
          <w:p>
            <w:pPr>
              <w:jc w:val="right"/>
              <w:spacing w:after="0"/>
              <w:rPr>
                <w:sz w:val="20"/>
                <w:szCs w:val="20"/>
                <w:color w:val="auto"/>
              </w:rPr>
            </w:pPr>
            <w:r>
              <w:rPr>
                <w:rFonts w:ascii="Arial" w:cs="Arial" w:eastAsia="Arial" w:hAnsi="Arial"/>
                <w:sz w:val="14"/>
                <w:szCs w:val="14"/>
                <w:color w:val="auto"/>
              </w:rPr>
              <w:t>496,646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(7,803)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(1,904,319)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103,190,830</w:t>
            </w: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Residential mortgage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9"/>
            <w:vMerge w:val="restart"/>
          </w:tcPr>
          <w:p>
            <w:pPr>
              <w:jc w:val="right"/>
              <w:spacing w:after="0"/>
              <w:rPr>
                <w:sz w:val="20"/>
                <w:szCs w:val="20"/>
                <w:color w:val="auto"/>
              </w:rPr>
            </w:pPr>
            <w:r>
              <w:rPr>
                <w:rFonts w:ascii="Arial" w:cs="Arial" w:eastAsia="Arial" w:hAnsi="Arial"/>
                <w:sz w:val="14"/>
                <w:szCs w:val="14"/>
                <w:color w:val="auto"/>
              </w:rPr>
              <w:t>21,831,460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(33,960)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1,710,542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vMerge w:val="restart"/>
          </w:tcPr>
          <w:p>
            <w:pPr>
              <w:jc w:val="right"/>
              <w:spacing w:after="0"/>
              <w:rPr>
                <w:sz w:val="20"/>
                <w:szCs w:val="20"/>
                <w:color w:val="auto"/>
              </w:rPr>
            </w:pPr>
            <w:r>
              <w:rPr>
                <w:rFonts w:ascii="Arial" w:cs="Arial" w:eastAsia="Arial" w:hAnsi="Arial"/>
                <w:sz w:val="14"/>
                <w:szCs w:val="14"/>
                <w:color w:val="auto"/>
              </w:rPr>
              <w:t>7,923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4"/>
                <w:szCs w:val="14"/>
                <w:color w:val="auto"/>
              </w:rPr>
              <w:t>(2,442)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(277,949)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560" w:type="dxa"/>
            <w:vAlign w:val="bottom"/>
            <w:gridSpan w:val="4"/>
            <w:vMerge w:val="restart"/>
          </w:tcPr>
          <w:p>
            <w:pPr>
              <w:spacing w:after="0" w:line="155" w:lineRule="exact"/>
              <w:rPr>
                <w:sz w:val="20"/>
                <w:szCs w:val="20"/>
                <w:color w:val="auto"/>
              </w:rPr>
            </w:pPr>
            <w:r>
              <w:rPr>
                <w:rFonts w:ascii="Arial" w:cs="Arial" w:eastAsia="Arial" w:hAnsi="Arial"/>
                <w:sz w:val="14"/>
                <w:szCs w:val="14"/>
                <w:color w:val="auto"/>
              </w:rPr>
              <w:t>loans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9"/>
            <w:vMerge w:val="continue"/>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right"/>
              <w:spacing w:after="0" w:line="155" w:lineRule="exact"/>
              <w:rPr>
                <w:sz w:val="20"/>
                <w:szCs w:val="20"/>
                <w:color w:val="auto"/>
              </w:rPr>
            </w:pPr>
            <w:r>
              <w:rPr>
                <w:rFonts w:ascii="Arial" w:cs="Arial" w:eastAsia="Arial" w:hAnsi="Arial"/>
                <w:sz w:val="14"/>
                <w:szCs w:val="14"/>
                <w:color w:val="auto"/>
              </w:rPr>
              <w:t>23,235,574</w:t>
            </w:r>
          </w:p>
        </w:tc>
        <w:tc>
          <w:tcPr>
            <w:tcW w:w="0" w:type="dxa"/>
            <w:vAlign w:val="bottom"/>
          </w:tcPr>
          <w:p>
            <w:pPr>
              <w:spacing w:after="0"/>
              <w:rPr>
                <w:sz w:val="1"/>
                <w:szCs w:val="1"/>
                <w:color w:val="auto"/>
              </w:rPr>
            </w:pPr>
          </w:p>
        </w:tc>
      </w:tr>
      <w:tr>
        <w:trPr>
          <w:trHeight w:val="68"/>
        </w:trPr>
        <w:tc>
          <w:tcPr>
            <w:tcW w:w="1560" w:type="dxa"/>
            <w:vAlign w:val="bottom"/>
            <w:gridSpan w:val="4"/>
            <w:vMerge w:val="continue"/>
          </w:tcPr>
          <w:p>
            <w:pPr>
              <w:spacing w:after="0"/>
              <w:rPr>
                <w:sz w:val="5"/>
                <w:szCs w:val="5"/>
                <w:color w:val="auto"/>
              </w:rPr>
            </w:pPr>
          </w:p>
        </w:tc>
        <w:tc>
          <w:tcPr>
            <w:tcW w:w="8800" w:type="dxa"/>
            <w:vAlign w:val="bottom"/>
            <w:gridSpan w:val="62"/>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560" w:type="dxa"/>
            <w:vAlign w:val="bottom"/>
            <w:gridSpan w:val="4"/>
          </w:tcPr>
          <w:p>
            <w:pPr>
              <w:spacing w:after="0" w:line="155" w:lineRule="exact"/>
              <w:rPr>
                <w:sz w:val="20"/>
                <w:szCs w:val="20"/>
                <w:color w:val="auto"/>
              </w:rPr>
            </w:pPr>
            <w:r>
              <w:rPr>
                <w:rFonts w:ascii="Arial" w:cs="Arial" w:eastAsia="Arial" w:hAnsi="Arial"/>
                <w:sz w:val="14"/>
                <w:szCs w:val="14"/>
                <w:color w:val="auto"/>
              </w:rPr>
              <w:t>Micro-business loans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9"/>
          </w:tcPr>
          <w:p>
            <w:pPr>
              <w:jc w:val="right"/>
              <w:spacing w:after="0" w:line="155" w:lineRule="exact"/>
              <w:rPr>
                <w:sz w:val="20"/>
                <w:szCs w:val="20"/>
                <w:color w:val="auto"/>
              </w:rPr>
            </w:pPr>
            <w:r>
              <w:rPr>
                <w:rFonts w:ascii="Arial" w:cs="Arial" w:eastAsia="Arial" w:hAnsi="Arial"/>
                <w:sz w:val="14"/>
                <w:szCs w:val="14"/>
                <w:color w:val="auto"/>
              </w:rPr>
              <w:t>21,637,264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7"/>
          </w:tcPr>
          <w:p>
            <w:pPr>
              <w:jc w:val="right"/>
              <w:spacing w:after="0" w:line="155" w:lineRule="exact"/>
              <w:rPr>
                <w:sz w:val="20"/>
                <w:szCs w:val="20"/>
                <w:color w:val="auto"/>
              </w:rPr>
            </w:pPr>
            <w:r>
              <w:rPr>
                <w:rFonts w:ascii="Arial" w:cs="Arial" w:eastAsia="Arial" w:hAnsi="Arial"/>
                <w:sz w:val="14"/>
                <w:szCs w:val="14"/>
                <w:color w:val="auto"/>
              </w:rPr>
              <w:t>(1,164,678)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3,497,658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(1,253,550)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(909)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(282,109)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22,433,676</w:t>
            </w:r>
          </w:p>
        </w:tc>
        <w:tc>
          <w:tcPr>
            <w:tcW w:w="0" w:type="dxa"/>
            <w:vAlign w:val="bottom"/>
          </w:tcPr>
          <w:p>
            <w:pPr>
              <w:spacing w:after="0"/>
              <w:rPr>
                <w:sz w:val="1"/>
                <w:szCs w:val="1"/>
                <w:color w:val="auto"/>
              </w:rPr>
            </w:pPr>
          </w:p>
        </w:tc>
      </w:tr>
      <w:tr>
        <w:trPr>
          <w:trHeight w:val="151"/>
        </w:trPr>
        <w:tc>
          <w:tcPr>
            <w:tcW w:w="1560" w:type="dxa"/>
            <w:vAlign w:val="bottom"/>
            <w:gridSpan w:val="4"/>
          </w:tcPr>
          <w:p>
            <w:pPr>
              <w:spacing w:after="0" w:line="151" w:lineRule="exact"/>
              <w:rPr>
                <w:sz w:val="20"/>
                <w:szCs w:val="20"/>
                <w:color w:val="auto"/>
              </w:rPr>
            </w:pPr>
            <w:r>
              <w:rPr>
                <w:rFonts w:ascii="Arial" w:cs="Arial" w:eastAsia="Arial" w:hAnsi="Arial"/>
                <w:sz w:val="14"/>
                <w:szCs w:val="14"/>
                <w:color w:val="auto"/>
              </w:rPr>
              <w:t>Consumer loans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880" w:type="dxa"/>
            <w:vAlign w:val="bottom"/>
            <w:tcBorders>
              <w:bottom w:val="single" w:sz="8" w:color="auto"/>
            </w:tcBorders>
            <w:gridSpan w:val="7"/>
          </w:tcPr>
          <w:p>
            <w:pPr>
              <w:jc w:val="right"/>
              <w:spacing w:after="0" w:line="151" w:lineRule="exact"/>
              <w:rPr>
                <w:sz w:val="20"/>
                <w:szCs w:val="20"/>
                <w:color w:val="auto"/>
              </w:rPr>
            </w:pPr>
            <w:r>
              <w:rPr>
                <w:rFonts w:ascii="Arial" w:cs="Arial" w:eastAsia="Arial" w:hAnsi="Arial"/>
                <w:sz w:val="14"/>
                <w:szCs w:val="14"/>
                <w:color w:val="auto"/>
              </w:rPr>
              <w:t>16,014,227</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5"/>
          </w:tcPr>
          <w:p>
            <w:pPr>
              <w:jc w:val="right"/>
              <w:spacing w:after="0" w:line="151" w:lineRule="exact"/>
              <w:rPr>
                <w:sz w:val="20"/>
                <w:szCs w:val="20"/>
                <w:color w:val="auto"/>
              </w:rPr>
            </w:pPr>
            <w:r>
              <w:rPr>
                <w:rFonts w:ascii="Arial" w:cs="Arial" w:eastAsia="Arial" w:hAnsi="Arial"/>
                <w:sz w:val="14"/>
                <w:szCs w:val="14"/>
                <w:color w:val="auto"/>
                <w:w w:val="93"/>
              </w:rPr>
              <w:t>(955,301)</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6"/>
          </w:tcPr>
          <w:p>
            <w:pPr>
              <w:jc w:val="right"/>
              <w:spacing w:after="0" w:line="151" w:lineRule="exact"/>
              <w:rPr>
                <w:sz w:val="20"/>
                <w:szCs w:val="20"/>
                <w:color w:val="auto"/>
              </w:rPr>
            </w:pPr>
            <w:r>
              <w:rPr>
                <w:rFonts w:ascii="Arial" w:cs="Arial" w:eastAsia="Arial" w:hAnsi="Arial"/>
                <w:sz w:val="14"/>
                <w:szCs w:val="14"/>
                <w:color w:val="auto"/>
              </w:rPr>
              <w:t>4,185,085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5"/>
          </w:tcPr>
          <w:p>
            <w:pPr>
              <w:jc w:val="right"/>
              <w:spacing w:after="0" w:line="151" w:lineRule="exact"/>
              <w:rPr>
                <w:sz w:val="20"/>
                <w:szCs w:val="20"/>
                <w:color w:val="auto"/>
              </w:rPr>
            </w:pPr>
            <w:r>
              <w:rPr>
                <w:rFonts w:ascii="Arial" w:cs="Arial" w:eastAsia="Arial" w:hAnsi="Arial"/>
                <w:sz w:val="14"/>
                <w:szCs w:val="14"/>
                <w:color w:val="auto"/>
              </w:rPr>
              <w:t>748,981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spacing w:after="0" w:line="151" w:lineRule="exact"/>
              <w:rPr>
                <w:sz w:val="20"/>
                <w:szCs w:val="20"/>
                <w:color w:val="auto"/>
              </w:rPr>
            </w:pPr>
            <w:r>
              <w:rPr>
                <w:rFonts w:ascii="Arial" w:cs="Arial" w:eastAsia="Arial" w:hAnsi="Arial"/>
                <w:sz w:val="14"/>
                <w:szCs w:val="14"/>
                <w:color w:val="auto"/>
              </w:rPr>
              <w:t>(304)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(34,766)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19,957,922</w:t>
            </w:r>
          </w:p>
        </w:tc>
        <w:tc>
          <w:tcPr>
            <w:tcW w:w="0" w:type="dxa"/>
            <w:vAlign w:val="bottom"/>
          </w:tcPr>
          <w:p>
            <w:pPr>
              <w:spacing w:after="0"/>
              <w:rPr>
                <w:sz w:val="1"/>
                <w:szCs w:val="1"/>
                <w:color w:val="auto"/>
              </w:rPr>
            </w:pPr>
          </w:p>
        </w:tc>
      </w:tr>
      <w:tr>
        <w:trPr>
          <w:trHeight w:val="154"/>
        </w:trPr>
        <w:tc>
          <w:tcPr>
            <w:tcW w:w="15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880" w:type="dxa"/>
            <w:vAlign w:val="bottom"/>
            <w:tcBorders>
              <w:bottom w:val="single" w:sz="8" w:color="auto"/>
            </w:tcBorders>
            <w:gridSpan w:val="7"/>
          </w:tcPr>
          <w:p>
            <w:pPr>
              <w:jc w:val="right"/>
              <w:spacing w:after="0" w:line="149" w:lineRule="exact"/>
              <w:rPr>
                <w:sz w:val="20"/>
                <w:szCs w:val="20"/>
                <w:color w:val="auto"/>
              </w:rPr>
            </w:pPr>
            <w:r>
              <w:rPr>
                <w:rFonts w:ascii="Arial" w:cs="Arial" w:eastAsia="Arial" w:hAnsi="Arial"/>
                <w:sz w:val="14"/>
                <w:szCs w:val="14"/>
                <w:color w:val="auto"/>
              </w:rPr>
              <w:t>169,863,566</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7"/>
          </w:tcPr>
          <w:p>
            <w:pPr>
              <w:jc w:val="right"/>
              <w:spacing w:after="0" w:line="149" w:lineRule="exact"/>
              <w:rPr>
                <w:sz w:val="20"/>
                <w:szCs w:val="20"/>
                <w:color w:val="auto"/>
              </w:rPr>
            </w:pPr>
            <w:r>
              <w:rPr>
                <w:rFonts w:ascii="Arial" w:cs="Arial" w:eastAsia="Arial" w:hAnsi="Arial"/>
                <w:sz w:val="14"/>
                <w:szCs w:val="14"/>
                <w:color w:val="auto"/>
              </w:rPr>
              <w:t>(2,575,258)</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4,040,295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(11,458)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(2,499,143)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168,818,002</w:t>
            </w:r>
          </w:p>
        </w:tc>
        <w:tc>
          <w:tcPr>
            <w:tcW w:w="0" w:type="dxa"/>
            <w:vAlign w:val="bottom"/>
          </w:tcPr>
          <w:p>
            <w:pPr>
              <w:spacing w:after="0"/>
              <w:rPr>
                <w:sz w:val="1"/>
                <w:szCs w:val="1"/>
                <w:color w:val="auto"/>
              </w:rPr>
            </w:pPr>
          </w:p>
        </w:tc>
      </w:tr>
    </w:tbl>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7"/>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Stage 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New loans,</w:t>
            </w:r>
          </w:p>
        </w:tc>
        <w:tc>
          <w:tcPr>
            <w:tcW w:w="60" w:type="dxa"/>
            <w:vAlign w:val="bottom"/>
          </w:tcPr>
          <w:p>
            <w:pPr>
              <w:spacing w:after="0"/>
              <w:rPr>
                <w:sz w:val="14"/>
                <w:szCs w:val="14"/>
                <w:color w:val="auto"/>
              </w:rPr>
            </w:pPr>
          </w:p>
        </w:tc>
        <w:tc>
          <w:tcPr>
            <w:tcW w:w="9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liquidation</w:t>
            </w:r>
          </w:p>
        </w:tc>
        <w:tc>
          <w:tcPr>
            <w:tcW w:w="60" w:type="dxa"/>
            <w:vAlign w:val="bottom"/>
          </w:tcPr>
          <w:p>
            <w:pPr>
              <w:spacing w:after="0"/>
              <w:rPr>
                <w:sz w:val="13"/>
                <w:szCs w:val="13"/>
                <w:color w:val="auto"/>
              </w:rPr>
            </w:pPr>
          </w:p>
        </w:tc>
        <w:tc>
          <w:tcPr>
            <w:tcW w:w="94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60" w:type="dxa"/>
            <w:vAlign w:val="bottom"/>
          </w:tcPr>
          <w:p>
            <w:pPr>
              <w:spacing w:after="0"/>
              <w:rPr>
                <w:sz w:val="13"/>
                <w:szCs w:val="13"/>
                <w:color w:val="auto"/>
              </w:rPr>
            </w:pPr>
          </w:p>
        </w:tc>
        <w:tc>
          <w:tcPr>
            <w:tcW w:w="86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108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c>
          <w:tcPr>
            <w:tcW w:w="102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Transfer to</w:t>
            </w:r>
          </w:p>
        </w:tc>
        <w:tc>
          <w:tcPr>
            <w:tcW w:w="20" w:type="dxa"/>
            <w:vAlign w:val="bottom"/>
          </w:tcPr>
          <w:p>
            <w:pPr>
              <w:spacing w:after="0"/>
              <w:rPr>
                <w:sz w:val="13"/>
                <w:szCs w:val="13"/>
                <w:color w:val="auto"/>
              </w:rPr>
            </w:pPr>
          </w:p>
        </w:tc>
        <w:tc>
          <w:tcPr>
            <w:tcW w:w="94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Transfer to</w:t>
            </w:r>
          </w:p>
        </w:tc>
        <w:tc>
          <w:tcPr>
            <w:tcW w:w="20" w:type="dxa"/>
            <w:vAlign w:val="bottom"/>
          </w:tcPr>
          <w:p>
            <w:pPr>
              <w:spacing w:after="0"/>
              <w:rPr>
                <w:sz w:val="13"/>
                <w:szCs w:val="13"/>
                <w:color w:val="auto"/>
              </w:rPr>
            </w:pPr>
          </w:p>
        </w:tc>
        <w:tc>
          <w:tcPr>
            <w:tcW w:w="6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from</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and write-</w:t>
            </w:r>
          </w:p>
        </w:tc>
        <w:tc>
          <w:tcPr>
            <w:tcW w:w="60" w:type="dxa"/>
            <w:vAlign w:val="bottom"/>
          </w:tcPr>
          <w:p>
            <w:pPr>
              <w:spacing w:after="0"/>
              <w:rPr>
                <w:sz w:val="13"/>
                <w:szCs w:val="13"/>
                <w:color w:val="auto"/>
              </w:rPr>
            </w:pPr>
          </w:p>
        </w:tc>
        <w:tc>
          <w:tcPr>
            <w:tcW w:w="94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classes of</w:t>
            </w:r>
          </w:p>
        </w:tc>
        <w:tc>
          <w:tcPr>
            <w:tcW w:w="60" w:type="dxa"/>
            <w:vAlign w:val="bottom"/>
          </w:tcPr>
          <w:p>
            <w:pPr>
              <w:spacing w:after="0"/>
              <w:rPr>
                <w:sz w:val="13"/>
                <w:szCs w:val="13"/>
                <w:color w:val="auto"/>
              </w:rPr>
            </w:pPr>
          </w:p>
        </w:tc>
        <w:tc>
          <w:tcPr>
            <w:tcW w:w="86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108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Loans by class</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5"/>
          </w:tcPr>
          <w:p>
            <w:pPr>
              <w:ind w:left="40"/>
              <w:spacing w:after="0"/>
              <w:rPr>
                <w:sz w:val="20"/>
                <w:szCs w:val="20"/>
                <w:color w:val="auto"/>
              </w:rPr>
            </w:pPr>
            <w:r>
              <w:rPr>
                <w:rFonts w:ascii="Arial" w:cs="Arial" w:eastAsia="Arial" w:hAnsi="Arial"/>
                <w:sz w:val="14"/>
                <w:szCs w:val="14"/>
                <w:b w:val="1"/>
                <w:bCs w:val="1"/>
                <w:color w:val="auto"/>
              </w:rPr>
              <w:t>Stage 2</w:t>
            </w:r>
          </w:p>
        </w:tc>
        <w:tc>
          <w:tcPr>
            <w:tcW w:w="20" w:type="dxa"/>
            <w:vAlign w:val="bottom"/>
          </w:tcPr>
          <w:p>
            <w:pPr>
              <w:spacing w:after="0"/>
              <w:rPr>
                <w:sz w:val="14"/>
                <w:szCs w:val="1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Stage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6"/>
          </w:tcPr>
          <w:p>
            <w:pPr>
              <w:ind w:left="60"/>
              <w:spacing w:after="0"/>
              <w:rPr>
                <w:sz w:val="20"/>
                <w:szCs w:val="20"/>
                <w:color w:val="auto"/>
              </w:rPr>
            </w:pPr>
            <w:r>
              <w:rPr>
                <w:rFonts w:ascii="Arial" w:cs="Arial" w:eastAsia="Arial" w:hAnsi="Arial"/>
                <w:sz w:val="14"/>
                <w:szCs w:val="14"/>
                <w:b w:val="1"/>
                <w:bCs w:val="1"/>
                <w:color w:val="auto"/>
              </w:rPr>
              <w:t>offs, net</w:t>
            </w:r>
          </w:p>
        </w:tc>
        <w:tc>
          <w:tcPr>
            <w:tcW w:w="60" w:type="dxa"/>
            <w:vAlign w:val="bottom"/>
          </w:tcPr>
          <w:p>
            <w:pPr>
              <w:spacing w:after="0"/>
              <w:rPr>
                <w:sz w:val="14"/>
                <w:szCs w:val="14"/>
                <w:color w:val="auto"/>
              </w:rPr>
            </w:pPr>
          </w:p>
        </w:tc>
        <w:tc>
          <w:tcPr>
            <w:tcW w:w="940" w:type="dxa"/>
            <w:vAlign w:val="bottom"/>
            <w:gridSpan w:val="6"/>
          </w:tcPr>
          <w:p>
            <w:pPr>
              <w:ind w:left="40"/>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4"/>
                <w:szCs w:val="14"/>
                <w:color w:val="auto"/>
              </w:rPr>
            </w:pPr>
          </w:p>
        </w:tc>
        <w:tc>
          <w:tcPr>
            <w:tcW w:w="860" w:type="dxa"/>
            <w:vAlign w:val="bottom"/>
            <w:gridSpan w:val="6"/>
          </w:tcPr>
          <w:p>
            <w:pPr>
              <w:ind w:left="60"/>
              <w:spacing w:after="0"/>
              <w:rPr>
                <w:sz w:val="20"/>
                <w:szCs w:val="20"/>
                <w:color w:val="auto"/>
              </w:rPr>
            </w:pPr>
            <w:r>
              <w:rPr>
                <w:rFonts w:ascii="Arial" w:cs="Arial" w:eastAsia="Arial" w:hAnsi="Arial"/>
                <w:sz w:val="14"/>
                <w:szCs w:val="14"/>
                <w:b w:val="1"/>
                <w:bCs w:val="1"/>
                <w:color w:val="auto"/>
              </w:rPr>
              <w:t>portfolio</w:t>
            </w: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and others</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153"/>
        </w:trPr>
        <w:tc>
          <w:tcPr>
            <w:tcW w:w="14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rPr>
              <w:t>S/(000)</w:t>
            </w:r>
          </w:p>
        </w:tc>
        <w:tc>
          <w:tcPr>
            <w:tcW w:w="1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gridSpan w:val="4"/>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Commercial loans</w:t>
            </w:r>
          </w:p>
        </w:tc>
        <w:tc>
          <w:tcPr>
            <w:tcW w:w="9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84,366,795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(13,032,923)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(912,504)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8,283,495</w:t>
            </w:r>
          </w:p>
        </w:tc>
        <w:tc>
          <w:tcPr>
            <w:tcW w:w="800" w:type="dxa"/>
            <w:vAlign w:val="bottom"/>
            <w:gridSpan w:val="5"/>
          </w:tcPr>
          <w:p>
            <w:pPr>
              <w:jc w:val="right"/>
              <w:ind w:right="40"/>
              <w:spacing w:after="0" w:line="155" w:lineRule="exact"/>
              <w:rPr>
                <w:sz w:val="20"/>
                <w:szCs w:val="20"/>
                <w:color w:val="auto"/>
              </w:rPr>
            </w:pPr>
            <w:r>
              <w:rPr>
                <w:rFonts w:ascii="Arial" w:cs="Arial" w:eastAsia="Arial" w:hAnsi="Arial"/>
                <w:sz w:val="14"/>
                <w:szCs w:val="14"/>
                <w:color w:val="auto"/>
              </w:rPr>
              <w:t>464,932</w:t>
            </w:r>
          </w:p>
        </w:tc>
        <w:tc>
          <w:tcPr>
            <w:tcW w:w="40" w:type="dxa"/>
            <w:vAlign w:val="bottom"/>
          </w:tcPr>
          <w:p>
            <w:pPr>
              <w:spacing w:after="0"/>
              <w:rPr>
                <w:sz w:val="13"/>
                <w:szCs w:val="13"/>
                <w:color w:val="auto"/>
              </w:rPr>
            </w:pPr>
          </w:p>
        </w:tc>
        <w:tc>
          <w:tcPr>
            <w:tcW w:w="900" w:type="dxa"/>
            <w:vAlign w:val="bottom"/>
            <w:gridSpan w:val="6"/>
          </w:tcPr>
          <w:p>
            <w:pPr>
              <w:ind w:left="240"/>
              <w:spacing w:after="0" w:line="155" w:lineRule="exact"/>
              <w:rPr>
                <w:sz w:val="20"/>
                <w:szCs w:val="20"/>
                <w:color w:val="auto"/>
              </w:rPr>
            </w:pPr>
            <w:r>
              <w:rPr>
                <w:rFonts w:ascii="Arial" w:cs="Arial" w:eastAsia="Arial" w:hAnsi="Arial"/>
                <w:sz w:val="14"/>
                <w:szCs w:val="14"/>
                <w:color w:val="auto"/>
              </w:rPr>
              <w:t>5,398,312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1,482,015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4,231,341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90,281,463</w:t>
            </w: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Residential mortgage</w:t>
            </w:r>
          </w:p>
        </w:tc>
        <w:tc>
          <w:tcPr>
            <w:tcW w:w="980" w:type="dxa"/>
            <w:vAlign w:val="bottom"/>
            <w:gridSpan w:val="4"/>
            <w:vMerge w:val="restart"/>
          </w:tcPr>
          <w:p>
            <w:pPr>
              <w:jc w:val="right"/>
              <w:spacing w:after="0"/>
              <w:rPr>
                <w:sz w:val="20"/>
                <w:szCs w:val="20"/>
                <w:color w:val="auto"/>
              </w:rPr>
            </w:pPr>
            <w:r>
              <w:rPr>
                <w:rFonts w:ascii="Arial" w:cs="Arial" w:eastAsia="Arial" w:hAnsi="Arial"/>
                <w:sz w:val="14"/>
                <w:szCs w:val="14"/>
                <w:color w:val="auto"/>
              </w:rPr>
              <w:t>18,063,315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(2,595,038)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(226,183)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4"/>
                <w:szCs w:val="14"/>
                <w:color w:val="auto"/>
              </w:rPr>
              <w:t>1,622,944</w:t>
            </w:r>
          </w:p>
        </w:tc>
        <w:tc>
          <w:tcPr>
            <w:tcW w:w="800" w:type="dxa"/>
            <w:vAlign w:val="bottom"/>
            <w:gridSpan w:val="5"/>
            <w:vMerge w:val="restart"/>
          </w:tcPr>
          <w:p>
            <w:pPr>
              <w:ind w:left="320"/>
              <w:spacing w:after="0"/>
              <w:rPr>
                <w:sz w:val="20"/>
                <w:szCs w:val="20"/>
                <w:color w:val="auto"/>
              </w:rPr>
            </w:pPr>
            <w:r>
              <w:rPr>
                <w:rFonts w:ascii="Arial" w:cs="Arial" w:eastAsia="Arial" w:hAnsi="Arial"/>
                <w:sz w:val="14"/>
                <w:szCs w:val="14"/>
                <w:color w:val="auto"/>
              </w:rPr>
              <w:t>76,745</w:t>
            </w:r>
          </w:p>
        </w:tc>
        <w:tc>
          <w:tcPr>
            <w:tcW w:w="40" w:type="dxa"/>
            <w:vAlign w:val="bottom"/>
          </w:tcPr>
          <w:p>
            <w:pPr>
              <w:spacing w:after="0"/>
              <w:rPr>
                <w:sz w:val="13"/>
                <w:szCs w:val="13"/>
                <w:color w:val="auto"/>
              </w:rPr>
            </w:pPr>
          </w:p>
        </w:tc>
        <w:tc>
          <w:tcPr>
            <w:tcW w:w="900" w:type="dxa"/>
            <w:vAlign w:val="bottom"/>
            <w:gridSpan w:val="6"/>
            <w:vMerge w:val="restart"/>
          </w:tcPr>
          <w:p>
            <w:pPr>
              <w:ind w:left="240"/>
              <w:spacing w:after="0"/>
              <w:rPr>
                <w:sz w:val="20"/>
                <w:szCs w:val="20"/>
                <w:color w:val="auto"/>
              </w:rPr>
            </w:pPr>
            <w:r>
              <w:rPr>
                <w:rFonts w:ascii="Arial" w:cs="Arial" w:eastAsia="Arial" w:hAnsi="Arial"/>
                <w:sz w:val="14"/>
                <w:szCs w:val="14"/>
                <w:color w:val="auto"/>
              </w:rPr>
              <w:t>1,378,089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5"/>
            <w:vMerge w:val="restart"/>
          </w:tcPr>
          <w:p>
            <w:pPr>
              <w:jc w:val="right"/>
              <w:spacing w:after="0"/>
              <w:rPr>
                <w:sz w:val="20"/>
                <w:szCs w:val="20"/>
                <w:color w:val="auto"/>
              </w:rPr>
            </w:pPr>
            <w:r>
              <w:rPr>
                <w:rFonts w:ascii="Arial" w:cs="Arial" w:eastAsia="Arial" w:hAnsi="Arial"/>
                <w:sz w:val="14"/>
                <w:szCs w:val="14"/>
                <w:color w:val="auto"/>
              </w:rPr>
              <w:t>(45,768)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(474)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428,559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0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loans</w:t>
            </w:r>
          </w:p>
        </w:tc>
        <w:tc>
          <w:tcPr>
            <w:tcW w:w="9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8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right"/>
              <w:spacing w:after="0" w:line="155" w:lineRule="exact"/>
              <w:rPr>
                <w:sz w:val="20"/>
                <w:szCs w:val="20"/>
                <w:color w:val="auto"/>
              </w:rPr>
            </w:pPr>
            <w:r>
              <w:rPr>
                <w:rFonts w:ascii="Arial" w:cs="Arial" w:eastAsia="Arial" w:hAnsi="Arial"/>
                <w:sz w:val="14"/>
                <w:szCs w:val="14"/>
                <w:color w:val="auto"/>
              </w:rPr>
              <w:t>18,702,189</w:t>
            </w:r>
          </w:p>
        </w:tc>
        <w:tc>
          <w:tcPr>
            <w:tcW w:w="0" w:type="dxa"/>
            <w:vAlign w:val="bottom"/>
          </w:tcPr>
          <w:p>
            <w:pPr>
              <w:spacing w:after="0"/>
              <w:rPr>
                <w:sz w:val="1"/>
                <w:szCs w:val="1"/>
                <w:color w:val="auto"/>
              </w:rPr>
            </w:pPr>
          </w:p>
        </w:tc>
      </w:tr>
      <w:tr>
        <w:trPr>
          <w:trHeight w:val="68"/>
        </w:trPr>
        <w:tc>
          <w:tcPr>
            <w:tcW w:w="1600" w:type="dxa"/>
            <w:vAlign w:val="bottom"/>
            <w:gridSpan w:val="3"/>
            <w:vMerge w:val="continue"/>
          </w:tcPr>
          <w:p>
            <w:pPr>
              <w:spacing w:after="0"/>
              <w:rPr>
                <w:sz w:val="5"/>
                <w:szCs w:val="5"/>
                <w:color w:val="auto"/>
              </w:rPr>
            </w:pPr>
          </w:p>
        </w:tc>
        <w:tc>
          <w:tcPr>
            <w:tcW w:w="8760" w:type="dxa"/>
            <w:vAlign w:val="bottom"/>
            <w:gridSpan w:val="55"/>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Micro-business loans</w:t>
            </w:r>
          </w:p>
        </w:tc>
        <w:tc>
          <w:tcPr>
            <w:tcW w:w="9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11,580,793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(12,106,836)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(332,694)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4,401,320</w:t>
            </w:r>
          </w:p>
        </w:tc>
        <w:tc>
          <w:tcPr>
            <w:tcW w:w="800" w:type="dxa"/>
            <w:vAlign w:val="bottom"/>
            <w:gridSpan w:val="5"/>
          </w:tcPr>
          <w:p>
            <w:pPr>
              <w:jc w:val="right"/>
              <w:ind w:right="40"/>
              <w:spacing w:after="0" w:line="155" w:lineRule="exact"/>
              <w:rPr>
                <w:sz w:val="20"/>
                <w:szCs w:val="20"/>
                <w:color w:val="auto"/>
              </w:rPr>
            </w:pPr>
            <w:r>
              <w:rPr>
                <w:rFonts w:ascii="Arial" w:cs="Arial" w:eastAsia="Arial" w:hAnsi="Arial"/>
                <w:sz w:val="14"/>
                <w:szCs w:val="14"/>
                <w:color w:val="auto"/>
              </w:rPr>
              <w:t>142,517</w:t>
            </w:r>
          </w:p>
        </w:tc>
        <w:tc>
          <w:tcPr>
            <w:tcW w:w="40" w:type="dxa"/>
            <w:vAlign w:val="bottom"/>
          </w:tcPr>
          <w:p>
            <w:pPr>
              <w:spacing w:after="0"/>
              <w:rPr>
                <w:sz w:val="13"/>
                <w:szCs w:val="13"/>
                <w:color w:val="auto"/>
              </w:rPr>
            </w:pPr>
          </w:p>
        </w:tc>
        <w:tc>
          <w:tcPr>
            <w:tcW w:w="900" w:type="dxa"/>
            <w:vAlign w:val="bottom"/>
            <w:gridSpan w:val="6"/>
          </w:tcPr>
          <w:p>
            <w:pPr>
              <w:ind w:left="240"/>
              <w:spacing w:after="0" w:line="155" w:lineRule="exact"/>
              <w:rPr>
                <w:sz w:val="20"/>
                <w:szCs w:val="20"/>
                <w:color w:val="auto"/>
              </w:rPr>
            </w:pPr>
            <w:r>
              <w:rPr>
                <w:rFonts w:ascii="Arial" w:cs="Arial" w:eastAsia="Arial" w:hAnsi="Arial"/>
                <w:sz w:val="14"/>
                <w:szCs w:val="14"/>
                <w:color w:val="auto"/>
              </w:rPr>
              <w:t>9,164,707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(2,193,954)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147,843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10,803,696</w:t>
            </w:r>
          </w:p>
        </w:tc>
        <w:tc>
          <w:tcPr>
            <w:tcW w:w="0" w:type="dxa"/>
            <w:vAlign w:val="bottom"/>
          </w:tcPr>
          <w:p>
            <w:pPr>
              <w:spacing w:after="0"/>
              <w:rPr>
                <w:sz w:val="1"/>
                <w:szCs w:val="1"/>
                <w:color w:val="auto"/>
              </w:rPr>
            </w:pPr>
          </w:p>
        </w:tc>
      </w:tr>
      <w:tr>
        <w:trPr>
          <w:trHeight w:val="151"/>
        </w:trPr>
        <w:tc>
          <w:tcPr>
            <w:tcW w:w="1600" w:type="dxa"/>
            <w:vAlign w:val="bottom"/>
            <w:gridSpan w:val="3"/>
          </w:tcPr>
          <w:p>
            <w:pPr>
              <w:spacing w:after="0" w:line="151" w:lineRule="exact"/>
              <w:rPr>
                <w:sz w:val="20"/>
                <w:szCs w:val="20"/>
                <w:color w:val="auto"/>
              </w:rPr>
            </w:pPr>
            <w:r>
              <w:rPr>
                <w:rFonts w:ascii="Arial" w:cs="Arial" w:eastAsia="Arial" w:hAnsi="Arial"/>
                <w:sz w:val="14"/>
                <w:szCs w:val="14"/>
                <w:color w:val="auto"/>
              </w:rPr>
              <w:t>Consumer loans</w:t>
            </w:r>
          </w:p>
        </w:tc>
        <w:tc>
          <w:tcPr>
            <w:tcW w:w="980" w:type="dxa"/>
            <w:vAlign w:val="bottom"/>
            <w:tcBorders>
              <w:bottom w:val="single" w:sz="8" w:color="auto"/>
            </w:tcBorders>
            <w:gridSpan w:val="4"/>
          </w:tcPr>
          <w:p>
            <w:pPr>
              <w:jc w:val="right"/>
              <w:spacing w:after="0" w:line="151" w:lineRule="exact"/>
              <w:rPr>
                <w:sz w:val="20"/>
                <w:szCs w:val="20"/>
                <w:color w:val="auto"/>
              </w:rPr>
            </w:pPr>
            <w:r>
              <w:rPr>
                <w:rFonts w:ascii="Arial" w:cs="Arial" w:eastAsia="Arial" w:hAnsi="Arial"/>
                <w:sz w:val="14"/>
                <w:szCs w:val="14"/>
                <w:color w:val="auto"/>
              </w:rPr>
              <w:t>9,980,504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(4,602,656)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(685,511)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gridSpan w:val="4"/>
          </w:tcPr>
          <w:p>
            <w:pPr>
              <w:jc w:val="right"/>
              <w:spacing w:after="0" w:line="151" w:lineRule="exact"/>
              <w:rPr>
                <w:sz w:val="20"/>
                <w:szCs w:val="20"/>
                <w:color w:val="auto"/>
              </w:rPr>
            </w:pPr>
            <w:r>
              <w:rPr>
                <w:rFonts w:ascii="Arial" w:cs="Arial" w:eastAsia="Arial" w:hAnsi="Arial"/>
                <w:sz w:val="14"/>
                <w:szCs w:val="14"/>
                <w:color w:val="auto"/>
              </w:rPr>
              <w:t>1,961,919</w:t>
            </w:r>
          </w:p>
        </w:tc>
        <w:tc>
          <w:tcPr>
            <w:tcW w:w="140" w:type="dxa"/>
            <w:vAlign w:val="bottom"/>
            <w:gridSpan w:val="2"/>
          </w:tcPr>
          <w:p>
            <w:pPr>
              <w:spacing w:after="0"/>
              <w:rPr>
                <w:sz w:val="13"/>
                <w:szCs w:val="13"/>
                <w:color w:val="auto"/>
              </w:rPr>
            </w:pPr>
          </w:p>
        </w:tc>
        <w:tc>
          <w:tcPr>
            <w:tcW w:w="660" w:type="dxa"/>
            <w:vAlign w:val="bottom"/>
            <w:tcBorders>
              <w:bottom w:val="single" w:sz="8" w:color="auto"/>
            </w:tcBorders>
            <w:gridSpan w:val="3"/>
          </w:tcPr>
          <w:p>
            <w:pPr>
              <w:ind w:left="180"/>
              <w:spacing w:after="0" w:line="151" w:lineRule="exact"/>
              <w:rPr>
                <w:sz w:val="20"/>
                <w:szCs w:val="20"/>
                <w:color w:val="auto"/>
              </w:rPr>
            </w:pPr>
            <w:r>
              <w:rPr>
                <w:rFonts w:ascii="Arial" w:cs="Arial" w:eastAsia="Arial" w:hAnsi="Arial"/>
                <w:sz w:val="14"/>
                <w:szCs w:val="14"/>
                <w:color w:val="auto"/>
              </w:rPr>
              <w:t>72,304</w:t>
            </w: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0" w:type="dxa"/>
            <w:vAlign w:val="bottom"/>
            <w:tcBorders>
              <w:bottom w:val="single" w:sz="8" w:color="auto"/>
            </w:tcBorders>
            <w:gridSpan w:val="3"/>
          </w:tcPr>
          <w:p>
            <w:pPr>
              <w:ind w:left="140"/>
              <w:spacing w:after="0" w:line="151" w:lineRule="exact"/>
              <w:rPr>
                <w:sz w:val="20"/>
                <w:szCs w:val="20"/>
                <w:color w:val="auto"/>
              </w:rPr>
            </w:pPr>
            <w:r>
              <w:rPr>
                <w:rFonts w:ascii="Arial" w:cs="Arial" w:eastAsia="Arial" w:hAnsi="Arial"/>
                <w:sz w:val="14"/>
                <w:szCs w:val="14"/>
                <w:color w:val="auto"/>
              </w:rPr>
              <w:t>4,394,600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bottom w:val="single" w:sz="8" w:color="auto"/>
            </w:tcBorders>
            <w:gridSpan w:val="4"/>
          </w:tcPr>
          <w:p>
            <w:pPr>
              <w:jc w:val="right"/>
              <w:spacing w:after="0" w:line="151" w:lineRule="exact"/>
              <w:rPr>
                <w:sz w:val="20"/>
                <w:szCs w:val="20"/>
                <w:color w:val="auto"/>
              </w:rPr>
            </w:pPr>
            <w:r>
              <w:rPr>
                <w:rFonts w:ascii="Arial" w:cs="Arial" w:eastAsia="Arial" w:hAnsi="Arial"/>
                <w:sz w:val="14"/>
                <w:szCs w:val="14"/>
                <w:color w:val="auto"/>
              </w:rPr>
              <w:t>757,707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140" w:type="dxa"/>
            <w:vAlign w:val="bottom"/>
            <w:gridSpan w:val="3"/>
          </w:tcPr>
          <w:p>
            <w:pPr>
              <w:spacing w:after="0"/>
              <w:rPr>
                <w:sz w:val="13"/>
                <w:szCs w:val="13"/>
                <w:color w:val="auto"/>
              </w:rPr>
            </w:pPr>
          </w:p>
        </w:tc>
        <w:tc>
          <w:tcPr>
            <w:tcW w:w="8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114,956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11,993,823</w:t>
            </w:r>
          </w:p>
        </w:tc>
        <w:tc>
          <w:tcPr>
            <w:tcW w:w="0" w:type="dxa"/>
            <w:vAlign w:val="bottom"/>
          </w:tcPr>
          <w:p>
            <w:pPr>
              <w:spacing w:after="0"/>
              <w:rPr>
                <w:sz w:val="1"/>
                <w:szCs w:val="1"/>
                <w:color w:val="auto"/>
              </w:rPr>
            </w:pPr>
          </w:p>
        </w:tc>
      </w:tr>
      <w:tr>
        <w:trPr>
          <w:trHeight w:val="154"/>
        </w:trPr>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123,991,407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(32,337,453)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(2,156,892)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16,269,678</w:t>
            </w:r>
          </w:p>
        </w:tc>
        <w:tc>
          <w:tcPr>
            <w:tcW w:w="140" w:type="dxa"/>
            <w:vAlign w:val="bottom"/>
            <w:gridSpan w:val="2"/>
          </w:tcPr>
          <w:p>
            <w:pPr>
              <w:spacing w:after="0"/>
              <w:rPr>
                <w:sz w:val="13"/>
                <w:szCs w:val="13"/>
                <w:color w:val="auto"/>
              </w:rPr>
            </w:pPr>
          </w:p>
        </w:tc>
        <w:tc>
          <w:tcPr>
            <w:tcW w:w="660" w:type="dxa"/>
            <w:vAlign w:val="bottom"/>
            <w:tcBorders>
              <w:bottom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756,498</w:t>
            </w: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0" w:type="dxa"/>
            <w:vAlign w:val="bottom"/>
            <w:tcBorders>
              <w:bottom w:val="single" w:sz="8" w:color="auto"/>
            </w:tcBorders>
            <w:gridSpan w:val="3"/>
          </w:tcPr>
          <w:p>
            <w:pPr>
              <w:ind w:left="60"/>
              <w:spacing w:after="0" w:line="149" w:lineRule="exact"/>
              <w:rPr>
                <w:sz w:val="20"/>
                <w:szCs w:val="20"/>
                <w:color w:val="auto"/>
              </w:rPr>
            </w:pPr>
            <w:r>
              <w:rPr>
                <w:rFonts w:ascii="Arial" w:cs="Arial" w:eastAsia="Arial" w:hAnsi="Arial"/>
                <w:sz w:val="14"/>
                <w:szCs w:val="14"/>
                <w:color w:val="auto"/>
              </w:rPr>
              <w:t>20,335,708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(474)</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4,922,699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131,781,171</w:t>
            </w:r>
          </w:p>
        </w:tc>
        <w:tc>
          <w:tcPr>
            <w:tcW w:w="0" w:type="dxa"/>
            <w:vAlign w:val="bottom"/>
          </w:tcPr>
          <w:p>
            <w:pPr>
              <w:spacing w:after="0"/>
              <w:rPr>
                <w:sz w:val="1"/>
                <w:szCs w:val="1"/>
                <w:color w:val="auto"/>
              </w:rPr>
            </w:pPr>
          </w:p>
        </w:tc>
      </w:tr>
      <w:tr>
        <w:trPr>
          <w:trHeight w:val="311"/>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Stage 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New loans,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Transfers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w w:val="99"/>
              </w:rPr>
              <w:t>Transfer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liquidation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between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8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80" w:type="dxa"/>
            <w:vAlign w:val="bottom"/>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December</w:t>
            </w:r>
          </w:p>
        </w:tc>
        <w:tc>
          <w:tcPr>
            <w:tcW w:w="20" w:type="dxa"/>
            <w:vAlign w:val="bottom"/>
          </w:tcPr>
          <w:p>
            <w:pPr>
              <w:spacing w:after="0"/>
              <w:rPr>
                <w:sz w:val="13"/>
                <w:szCs w:val="13"/>
                <w:color w:val="auto"/>
              </w:rPr>
            </w:pPr>
          </w:p>
        </w:tc>
        <w:tc>
          <w:tcPr>
            <w:tcW w:w="102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Transfer to</w:t>
            </w:r>
          </w:p>
        </w:tc>
        <w:tc>
          <w:tcPr>
            <w:tcW w:w="20" w:type="dxa"/>
            <w:vAlign w:val="bottom"/>
          </w:tcPr>
          <w:p>
            <w:pPr>
              <w:spacing w:after="0"/>
              <w:rPr>
                <w:sz w:val="13"/>
                <w:szCs w:val="13"/>
                <w:color w:val="auto"/>
              </w:rPr>
            </w:pPr>
          </w:p>
        </w:tc>
        <w:tc>
          <w:tcPr>
            <w:tcW w:w="94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Transfer to</w:t>
            </w:r>
          </w:p>
        </w:tc>
        <w:tc>
          <w:tcPr>
            <w:tcW w:w="20" w:type="dxa"/>
            <w:vAlign w:val="bottom"/>
          </w:tcPr>
          <w:p>
            <w:pPr>
              <w:spacing w:after="0"/>
              <w:rPr>
                <w:sz w:val="13"/>
                <w:szCs w:val="13"/>
                <w:color w:val="auto"/>
              </w:rPr>
            </w:pPr>
          </w:p>
        </w:tc>
        <w:tc>
          <w:tcPr>
            <w:tcW w:w="6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and write-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classes of</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8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80" w:type="dxa"/>
            <w:vAlign w:val="bottom"/>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Loans by class</w:t>
            </w:r>
          </w:p>
        </w:tc>
        <w:tc>
          <w:tcPr>
            <w:tcW w:w="980" w:type="dxa"/>
            <w:vAlign w:val="bottom"/>
            <w:gridSpan w:val="4"/>
          </w:tcPr>
          <w:p>
            <w:pPr>
              <w:ind w:left="100"/>
              <w:spacing w:after="0"/>
              <w:rPr>
                <w:sz w:val="20"/>
                <w:szCs w:val="20"/>
                <w:color w:val="auto"/>
              </w:rPr>
            </w:pPr>
            <w:r>
              <w:rPr>
                <w:rFonts w:ascii="Arial" w:cs="Arial" w:eastAsia="Arial" w:hAnsi="Arial"/>
                <w:sz w:val="14"/>
                <w:szCs w:val="14"/>
                <w:b w:val="1"/>
                <w:bCs w:val="1"/>
                <w:color w:val="auto"/>
              </w:rPr>
              <w:t>31, 2020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5"/>
          </w:tcPr>
          <w:p>
            <w:pPr>
              <w:ind w:left="40"/>
              <w:spacing w:after="0"/>
              <w:rPr>
                <w:sz w:val="20"/>
                <w:szCs w:val="20"/>
                <w:color w:val="auto"/>
              </w:rPr>
            </w:pPr>
            <w:r>
              <w:rPr>
                <w:rFonts w:ascii="Arial" w:cs="Arial" w:eastAsia="Arial" w:hAnsi="Arial"/>
                <w:sz w:val="14"/>
                <w:szCs w:val="14"/>
                <w:b w:val="1"/>
                <w:bCs w:val="1"/>
                <w:color w:val="auto"/>
              </w:rPr>
              <w:t>Stage 1</w:t>
            </w:r>
          </w:p>
        </w:tc>
        <w:tc>
          <w:tcPr>
            <w:tcW w:w="20" w:type="dxa"/>
            <w:vAlign w:val="bottom"/>
          </w:tcPr>
          <w:p>
            <w:pPr>
              <w:spacing w:after="0"/>
              <w:rPr>
                <w:sz w:val="14"/>
                <w:szCs w:val="1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Stage 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5"/>
          </w:tcPr>
          <w:p>
            <w:pPr>
              <w:ind w:left="60"/>
              <w:spacing w:after="0"/>
              <w:rPr>
                <w:sz w:val="20"/>
                <w:szCs w:val="20"/>
                <w:color w:val="auto"/>
              </w:rPr>
            </w:pPr>
            <w:r>
              <w:rPr>
                <w:rFonts w:ascii="Arial" w:cs="Arial" w:eastAsia="Arial" w:hAnsi="Arial"/>
                <w:sz w:val="14"/>
                <w:szCs w:val="14"/>
                <w:b w:val="1"/>
                <w:bCs w:val="1"/>
                <w:color w:val="auto"/>
              </w:rPr>
              <w:t>offs, net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ind w:left="60"/>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ind w:left="60"/>
              <w:spacing w:after="0"/>
              <w:rPr>
                <w:sz w:val="20"/>
                <w:szCs w:val="20"/>
                <w:color w:val="auto"/>
              </w:rPr>
            </w:pPr>
            <w:r>
              <w:rPr>
                <w:rFonts w:ascii="Arial" w:cs="Arial" w:eastAsia="Arial" w:hAnsi="Arial"/>
                <w:sz w:val="14"/>
                <w:szCs w:val="14"/>
                <w:b w:val="1"/>
                <w:bCs w:val="1"/>
                <w:color w:val="auto"/>
              </w:rPr>
              <w:t>portfolio</w:t>
            </w:r>
          </w:p>
        </w:tc>
        <w:tc>
          <w:tcPr>
            <w:tcW w:w="8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others</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153"/>
        </w:trPr>
        <w:tc>
          <w:tcPr>
            <w:tcW w:w="1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gridSpan w:val="3"/>
          </w:tcPr>
          <w:p>
            <w:pPr>
              <w:jc w:val="right"/>
              <w:ind w:right="18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gridSpan w:val="5"/>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tcBorders>
            <w:gridSpan w:val="4"/>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Commercial loans</w:t>
            </w:r>
          </w:p>
        </w:tc>
        <w:tc>
          <w:tcPr>
            <w:tcW w:w="9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10,090,159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(8,283,495)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(3,350,523)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13,032,923</w:t>
            </w:r>
          </w:p>
        </w:tc>
        <w:tc>
          <w:tcPr>
            <w:tcW w:w="840" w:type="dxa"/>
            <w:vAlign w:val="bottom"/>
            <w:gridSpan w:val="6"/>
          </w:tcPr>
          <w:p>
            <w:pPr>
              <w:ind w:left="340"/>
              <w:spacing w:after="0" w:line="155" w:lineRule="exact"/>
              <w:rPr>
                <w:sz w:val="20"/>
                <w:szCs w:val="20"/>
                <w:color w:val="auto"/>
              </w:rPr>
            </w:pPr>
            <w:r>
              <w:rPr>
                <w:rFonts w:ascii="Arial" w:cs="Arial" w:eastAsia="Arial" w:hAnsi="Arial"/>
                <w:sz w:val="14"/>
                <w:szCs w:val="14"/>
                <w:color w:val="auto"/>
                <w:w w:val="94"/>
              </w:rPr>
              <w:t>800,280</w:t>
            </w:r>
          </w:p>
        </w:tc>
        <w:tc>
          <w:tcPr>
            <w:tcW w:w="980" w:type="dxa"/>
            <w:vAlign w:val="bottom"/>
            <w:gridSpan w:val="8"/>
          </w:tcPr>
          <w:p>
            <w:pPr>
              <w:ind w:left="240"/>
              <w:spacing w:after="0" w:line="155" w:lineRule="exact"/>
              <w:rPr>
                <w:sz w:val="20"/>
                <w:szCs w:val="20"/>
                <w:color w:val="auto"/>
              </w:rPr>
            </w:pPr>
            <w:r>
              <w:rPr>
                <w:rFonts w:ascii="Arial" w:cs="Arial" w:eastAsia="Arial" w:hAnsi="Arial"/>
                <w:sz w:val="14"/>
                <w:szCs w:val="14"/>
                <w:color w:val="auto"/>
              </w:rPr>
              <w:t>(2,042,256)</w:t>
            </w:r>
          </w:p>
        </w:tc>
        <w:tc>
          <w:tcPr>
            <w:tcW w:w="20" w:type="dxa"/>
            <w:vAlign w:val="bottom"/>
          </w:tcPr>
          <w:p>
            <w:pPr>
              <w:spacing w:after="0"/>
              <w:rPr>
                <w:sz w:val="13"/>
                <w:szCs w:val="13"/>
                <w:color w:val="auto"/>
              </w:rPr>
            </w:pPr>
          </w:p>
        </w:tc>
        <w:tc>
          <w:tcPr>
            <w:tcW w:w="980" w:type="dxa"/>
            <w:vAlign w:val="bottom"/>
            <w:gridSpan w:val="6"/>
          </w:tcPr>
          <w:p>
            <w:pPr>
              <w:jc w:val="right"/>
              <w:ind w:right="40"/>
              <w:spacing w:after="0" w:line="155" w:lineRule="exact"/>
              <w:rPr>
                <w:sz w:val="20"/>
                <w:szCs w:val="20"/>
                <w:color w:val="auto"/>
              </w:rPr>
            </w:pPr>
            <w:r>
              <w:rPr>
                <w:rFonts w:ascii="Arial" w:cs="Arial" w:eastAsia="Arial" w:hAnsi="Arial"/>
                <w:sz w:val="14"/>
                <w:szCs w:val="14"/>
                <w:color w:val="auto"/>
              </w:rPr>
              <w:t>800,739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294,582</w:t>
            </w: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11,342,409</w:t>
            </w: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Residential mortgage</w:t>
            </w:r>
          </w:p>
        </w:tc>
        <w:tc>
          <w:tcPr>
            <w:tcW w:w="980" w:type="dxa"/>
            <w:vAlign w:val="bottom"/>
            <w:gridSpan w:val="4"/>
            <w:vMerge w:val="restart"/>
          </w:tcPr>
          <w:p>
            <w:pPr>
              <w:jc w:val="right"/>
              <w:spacing w:after="0"/>
              <w:rPr>
                <w:sz w:val="20"/>
                <w:szCs w:val="20"/>
                <w:color w:val="auto"/>
              </w:rPr>
            </w:pPr>
            <w:r>
              <w:rPr>
                <w:rFonts w:ascii="Arial" w:cs="Arial" w:eastAsia="Arial" w:hAnsi="Arial"/>
                <w:sz w:val="14"/>
                <w:szCs w:val="14"/>
                <w:color w:val="auto"/>
              </w:rPr>
              <w:t>1,360,460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(1,622,944)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(516,497)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4"/>
                <w:szCs w:val="14"/>
                <w:color w:val="auto"/>
              </w:rPr>
              <w:t>2,595,038</w:t>
            </w:r>
          </w:p>
        </w:tc>
        <w:tc>
          <w:tcPr>
            <w:tcW w:w="840" w:type="dxa"/>
            <w:vAlign w:val="bottom"/>
            <w:gridSpan w:val="6"/>
            <w:vMerge w:val="restart"/>
          </w:tcPr>
          <w:p>
            <w:pPr>
              <w:ind w:left="340"/>
              <w:spacing w:after="0"/>
              <w:rPr>
                <w:sz w:val="20"/>
                <w:szCs w:val="20"/>
                <w:color w:val="auto"/>
              </w:rPr>
            </w:pPr>
            <w:r>
              <w:rPr>
                <w:rFonts w:ascii="Arial" w:cs="Arial" w:eastAsia="Arial" w:hAnsi="Arial"/>
                <w:sz w:val="14"/>
                <w:szCs w:val="14"/>
                <w:color w:val="auto"/>
                <w:w w:val="94"/>
              </w:rPr>
              <w:t>185,299</w:t>
            </w:r>
          </w:p>
        </w:tc>
        <w:tc>
          <w:tcPr>
            <w:tcW w:w="980" w:type="dxa"/>
            <w:vAlign w:val="bottom"/>
            <w:gridSpan w:val="8"/>
            <w:vMerge w:val="restart"/>
          </w:tcPr>
          <w:p>
            <w:pPr>
              <w:ind w:left="360"/>
              <w:spacing w:after="0"/>
              <w:rPr>
                <w:sz w:val="20"/>
                <w:szCs w:val="20"/>
                <w:color w:val="auto"/>
              </w:rPr>
            </w:pPr>
            <w:r>
              <w:rPr>
                <w:rFonts w:ascii="Arial" w:cs="Arial" w:eastAsia="Arial" w:hAnsi="Arial"/>
                <w:sz w:val="14"/>
                <w:szCs w:val="14"/>
                <w:color w:val="auto"/>
              </w:rPr>
              <w:t>(255,142)</w:t>
            </w:r>
          </w:p>
        </w:tc>
        <w:tc>
          <w:tcPr>
            <w:tcW w:w="20" w:type="dxa"/>
            <w:vAlign w:val="bottom"/>
          </w:tcPr>
          <w:p>
            <w:pPr>
              <w:spacing w:after="0"/>
              <w:rPr>
                <w:sz w:val="13"/>
                <w:szCs w:val="13"/>
                <w:color w:val="auto"/>
              </w:rPr>
            </w:pPr>
          </w:p>
        </w:tc>
        <w:tc>
          <w:tcPr>
            <w:tcW w:w="980" w:type="dxa"/>
            <w:vAlign w:val="bottom"/>
            <w:gridSpan w:val="6"/>
            <w:vMerge w:val="restart"/>
          </w:tcPr>
          <w:p>
            <w:pPr>
              <w:jc w:val="right"/>
              <w:ind w:right="40"/>
              <w:spacing w:after="0"/>
              <w:rPr>
                <w:sz w:val="20"/>
                <w:szCs w:val="20"/>
                <w:color w:val="auto"/>
              </w:rPr>
            </w:pPr>
            <w:r>
              <w:rPr>
                <w:rFonts w:ascii="Arial" w:cs="Arial" w:eastAsia="Arial" w:hAnsi="Arial"/>
                <w:sz w:val="14"/>
                <w:szCs w:val="14"/>
                <w:color w:val="auto"/>
              </w:rPr>
              <w:t>(5,529)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vMerge w:val="restart"/>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17,440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0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loans</w:t>
            </w:r>
          </w:p>
        </w:tc>
        <w:tc>
          <w:tcPr>
            <w:tcW w:w="9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840" w:type="dxa"/>
            <w:vAlign w:val="bottom"/>
            <w:gridSpan w:val="6"/>
            <w:vMerge w:val="continue"/>
          </w:tcPr>
          <w:p>
            <w:pPr>
              <w:spacing w:after="0"/>
              <w:rPr>
                <w:sz w:val="7"/>
                <w:szCs w:val="7"/>
                <w:color w:val="auto"/>
              </w:rPr>
            </w:pPr>
          </w:p>
        </w:tc>
        <w:tc>
          <w:tcPr>
            <w:tcW w:w="98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5"/>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right"/>
              <w:spacing w:after="0" w:line="155" w:lineRule="exact"/>
              <w:rPr>
                <w:sz w:val="20"/>
                <w:szCs w:val="20"/>
                <w:color w:val="auto"/>
              </w:rPr>
            </w:pPr>
            <w:r>
              <w:rPr>
                <w:rFonts w:ascii="Arial" w:cs="Arial" w:eastAsia="Arial" w:hAnsi="Arial"/>
                <w:sz w:val="14"/>
                <w:szCs w:val="14"/>
                <w:color w:val="auto"/>
              </w:rPr>
              <w:t>1,758,125</w:t>
            </w:r>
          </w:p>
        </w:tc>
        <w:tc>
          <w:tcPr>
            <w:tcW w:w="0" w:type="dxa"/>
            <w:vAlign w:val="bottom"/>
          </w:tcPr>
          <w:p>
            <w:pPr>
              <w:spacing w:after="0"/>
              <w:rPr>
                <w:sz w:val="1"/>
                <w:szCs w:val="1"/>
                <w:color w:val="auto"/>
              </w:rPr>
            </w:pPr>
          </w:p>
        </w:tc>
      </w:tr>
      <w:tr>
        <w:trPr>
          <w:trHeight w:val="68"/>
        </w:trPr>
        <w:tc>
          <w:tcPr>
            <w:tcW w:w="1600" w:type="dxa"/>
            <w:vAlign w:val="bottom"/>
            <w:gridSpan w:val="3"/>
            <w:vMerge w:val="continue"/>
          </w:tcPr>
          <w:p>
            <w:pPr>
              <w:spacing w:after="0"/>
              <w:rPr>
                <w:sz w:val="5"/>
                <w:szCs w:val="5"/>
                <w:color w:val="auto"/>
              </w:rPr>
            </w:pPr>
          </w:p>
        </w:tc>
        <w:tc>
          <w:tcPr>
            <w:tcW w:w="8760" w:type="dxa"/>
            <w:vAlign w:val="bottom"/>
            <w:gridSpan w:val="55"/>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Micro-business loans</w:t>
            </w:r>
          </w:p>
        </w:tc>
        <w:tc>
          <w:tcPr>
            <w:tcW w:w="9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8,451,947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(4,401,320)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(1,921,386)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12,106,836</w:t>
            </w:r>
          </w:p>
        </w:tc>
        <w:tc>
          <w:tcPr>
            <w:tcW w:w="840" w:type="dxa"/>
            <w:vAlign w:val="bottom"/>
            <w:gridSpan w:val="6"/>
          </w:tcPr>
          <w:p>
            <w:pPr>
              <w:ind w:left="340"/>
              <w:spacing w:after="0" w:line="155" w:lineRule="exact"/>
              <w:rPr>
                <w:sz w:val="20"/>
                <w:szCs w:val="20"/>
                <w:color w:val="auto"/>
              </w:rPr>
            </w:pPr>
            <w:r>
              <w:rPr>
                <w:rFonts w:ascii="Arial" w:cs="Arial" w:eastAsia="Arial" w:hAnsi="Arial"/>
                <w:sz w:val="14"/>
                <w:szCs w:val="14"/>
                <w:color w:val="auto"/>
                <w:w w:val="94"/>
              </w:rPr>
              <w:t>164,077</w:t>
            </w:r>
          </w:p>
        </w:tc>
        <w:tc>
          <w:tcPr>
            <w:tcW w:w="980" w:type="dxa"/>
            <w:vAlign w:val="bottom"/>
            <w:gridSpan w:val="8"/>
          </w:tcPr>
          <w:p>
            <w:pPr>
              <w:ind w:left="240"/>
              <w:spacing w:after="0" w:line="155" w:lineRule="exact"/>
              <w:rPr>
                <w:sz w:val="20"/>
                <w:szCs w:val="20"/>
                <w:color w:val="auto"/>
              </w:rPr>
            </w:pPr>
            <w:r>
              <w:rPr>
                <w:rFonts w:ascii="Arial" w:cs="Arial" w:eastAsia="Arial" w:hAnsi="Arial"/>
                <w:sz w:val="14"/>
                <w:szCs w:val="14"/>
                <w:color w:val="auto"/>
              </w:rPr>
              <w:t>(4,686,408)</w:t>
            </w:r>
          </w:p>
        </w:tc>
        <w:tc>
          <w:tcPr>
            <w:tcW w:w="20" w:type="dxa"/>
            <w:vAlign w:val="bottom"/>
          </w:tcPr>
          <w:p>
            <w:pPr>
              <w:spacing w:after="0"/>
              <w:rPr>
                <w:sz w:val="13"/>
                <w:szCs w:val="13"/>
                <w:color w:val="auto"/>
              </w:rPr>
            </w:pPr>
          </w:p>
        </w:tc>
        <w:tc>
          <w:tcPr>
            <w:tcW w:w="980" w:type="dxa"/>
            <w:vAlign w:val="bottom"/>
            <w:gridSpan w:val="6"/>
          </w:tcPr>
          <w:p>
            <w:pPr>
              <w:jc w:val="right"/>
              <w:ind w:right="40"/>
              <w:spacing w:after="0" w:line="155" w:lineRule="exact"/>
              <w:rPr>
                <w:sz w:val="20"/>
                <w:szCs w:val="20"/>
                <w:color w:val="auto"/>
              </w:rPr>
            </w:pPr>
            <w:r>
              <w:rPr>
                <w:rFonts w:ascii="Arial" w:cs="Arial" w:eastAsia="Arial" w:hAnsi="Arial"/>
                <w:sz w:val="14"/>
                <w:szCs w:val="14"/>
                <w:color w:val="auto"/>
              </w:rPr>
              <w:t>(794,634)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8,246</w:t>
            </w: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8,927,358</w:t>
            </w:r>
          </w:p>
        </w:tc>
        <w:tc>
          <w:tcPr>
            <w:tcW w:w="0" w:type="dxa"/>
            <w:vAlign w:val="bottom"/>
          </w:tcPr>
          <w:p>
            <w:pPr>
              <w:spacing w:after="0"/>
              <w:rPr>
                <w:sz w:val="1"/>
                <w:szCs w:val="1"/>
                <w:color w:val="auto"/>
              </w:rPr>
            </w:pPr>
          </w:p>
        </w:tc>
      </w:tr>
      <w:tr>
        <w:trPr>
          <w:trHeight w:val="151"/>
        </w:trPr>
        <w:tc>
          <w:tcPr>
            <w:tcW w:w="1600" w:type="dxa"/>
            <w:vAlign w:val="bottom"/>
            <w:gridSpan w:val="3"/>
          </w:tcPr>
          <w:p>
            <w:pPr>
              <w:spacing w:after="0" w:line="151" w:lineRule="exact"/>
              <w:rPr>
                <w:sz w:val="20"/>
                <w:szCs w:val="20"/>
                <w:color w:val="auto"/>
              </w:rPr>
            </w:pPr>
            <w:r>
              <w:rPr>
                <w:rFonts w:ascii="Arial" w:cs="Arial" w:eastAsia="Arial" w:hAnsi="Arial"/>
                <w:sz w:val="14"/>
                <w:szCs w:val="14"/>
                <w:color w:val="auto"/>
              </w:rPr>
              <w:t>Consumer loans</w:t>
            </w:r>
          </w:p>
        </w:tc>
        <w:tc>
          <w:tcPr>
            <w:tcW w:w="40" w:type="dxa"/>
            <w:vAlign w:val="bottom"/>
          </w:tcPr>
          <w:p>
            <w:pPr>
              <w:spacing w:after="0"/>
              <w:rPr>
                <w:sz w:val="13"/>
                <w:szCs w:val="13"/>
                <w:color w:val="auto"/>
              </w:rPr>
            </w:pPr>
          </w:p>
        </w:tc>
        <w:tc>
          <w:tcPr>
            <w:tcW w:w="94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2,584,176</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(1,961,919)</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(854,967)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4,602,656</w:t>
            </w:r>
          </w:p>
        </w:tc>
        <w:tc>
          <w:tcPr>
            <w:tcW w:w="20" w:type="dxa"/>
            <w:vAlign w:val="bottom"/>
            <w:tcBorders>
              <w:bottom w:val="single" w:sz="8" w:color="auto"/>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680" w:type="dxa"/>
            <w:vAlign w:val="bottom"/>
            <w:tcBorders>
              <w:bottom w:val="single" w:sz="8" w:color="auto"/>
            </w:tcBorders>
            <w:gridSpan w:val="3"/>
          </w:tcPr>
          <w:p>
            <w:pPr>
              <w:ind w:left="180"/>
              <w:spacing w:after="0" w:line="151" w:lineRule="exact"/>
              <w:rPr>
                <w:sz w:val="20"/>
                <w:szCs w:val="20"/>
                <w:color w:val="auto"/>
              </w:rPr>
            </w:pPr>
            <w:r>
              <w:rPr>
                <w:rFonts w:ascii="Arial" w:cs="Arial" w:eastAsia="Arial" w:hAnsi="Arial"/>
                <w:sz w:val="14"/>
                <w:szCs w:val="14"/>
                <w:color w:val="auto"/>
                <w:w w:val="94"/>
              </w:rPr>
              <w:t>214,329</w:t>
            </w:r>
          </w:p>
        </w:tc>
        <w:tc>
          <w:tcPr>
            <w:tcW w:w="40" w:type="dxa"/>
            <w:vAlign w:val="bottom"/>
            <w:tcBorders>
              <w:bottom w:val="single" w:sz="8" w:color="auto"/>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0" w:type="dxa"/>
            <w:vAlign w:val="bottom"/>
            <w:tcBorders>
              <w:bottom w:val="single" w:sz="8" w:color="auto"/>
            </w:tcBorders>
            <w:gridSpan w:val="4"/>
          </w:tcPr>
          <w:p>
            <w:pPr>
              <w:ind w:left="60"/>
              <w:spacing w:after="0" w:line="151" w:lineRule="exact"/>
              <w:rPr>
                <w:sz w:val="20"/>
                <w:szCs w:val="20"/>
                <w:color w:val="auto"/>
              </w:rPr>
            </w:pPr>
            <w:r>
              <w:rPr>
                <w:rFonts w:ascii="Arial" w:cs="Arial" w:eastAsia="Arial" w:hAnsi="Arial"/>
                <w:sz w:val="14"/>
                <w:szCs w:val="14"/>
                <w:color w:val="auto"/>
              </w:rPr>
              <w:t>(1,666,707)</w:t>
            </w: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84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(576)</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60"/>
              <w:spacing w:after="0" w:line="151" w:lineRule="exact"/>
              <w:rPr>
                <w:sz w:val="20"/>
                <w:szCs w:val="20"/>
                <w:color w:val="auto"/>
              </w:rPr>
            </w:pPr>
            <w:r>
              <w:rPr>
                <w:rFonts w:ascii="Arial" w:cs="Arial" w:eastAsia="Arial" w:hAnsi="Arial"/>
                <w:sz w:val="14"/>
                <w:szCs w:val="14"/>
                <w:color w:val="auto"/>
              </w:rPr>
              <w:t>4,083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2,921,075</w:t>
            </w:r>
          </w:p>
        </w:tc>
        <w:tc>
          <w:tcPr>
            <w:tcW w:w="0" w:type="dxa"/>
            <w:vAlign w:val="bottom"/>
          </w:tcPr>
          <w:p>
            <w:pPr>
              <w:spacing w:after="0"/>
              <w:rPr>
                <w:sz w:val="1"/>
                <w:szCs w:val="1"/>
                <w:color w:val="auto"/>
              </w:rPr>
            </w:pPr>
          </w:p>
        </w:tc>
      </w:tr>
      <w:tr>
        <w:trPr>
          <w:trHeight w:val="154"/>
        </w:trPr>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w:t>
            </w: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22,486,742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(16,269,678)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(6,643,373)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32,337,453</w:t>
            </w:r>
          </w:p>
        </w:tc>
        <w:tc>
          <w:tcPr>
            <w:tcW w:w="84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1,363,985</w:t>
            </w:r>
          </w:p>
        </w:tc>
        <w:tc>
          <w:tcPr>
            <w:tcW w:w="980" w:type="dxa"/>
            <w:vAlign w:val="bottom"/>
            <w:gridSpan w:val="8"/>
          </w:tcPr>
          <w:p>
            <w:pPr>
              <w:ind w:left="240"/>
              <w:spacing w:after="0" w:line="149" w:lineRule="exact"/>
              <w:rPr>
                <w:sz w:val="20"/>
                <w:szCs w:val="20"/>
                <w:color w:val="auto"/>
              </w:rPr>
            </w:pPr>
            <w:r>
              <w:rPr>
                <w:rFonts w:ascii="Arial" w:cs="Arial" w:eastAsia="Arial" w:hAnsi="Arial"/>
                <w:sz w:val="14"/>
                <w:szCs w:val="14"/>
                <w:color w:val="auto"/>
              </w:rPr>
              <w:t>(8,650,513)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324,351</w:t>
            </w:r>
          </w:p>
        </w:tc>
        <w:tc>
          <w:tcPr>
            <w:tcW w:w="200" w:type="dxa"/>
            <w:vAlign w:val="bottom"/>
          </w:tcPr>
          <w:p>
            <w:pPr>
              <w:spacing w:after="0"/>
              <w:rPr>
                <w:sz w:val="13"/>
                <w:szCs w:val="13"/>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24,948,967</w:t>
            </w:r>
          </w:p>
        </w:tc>
        <w:tc>
          <w:tcPr>
            <w:tcW w:w="0" w:type="dxa"/>
            <w:vAlign w:val="bottom"/>
          </w:tcPr>
          <w:p>
            <w:pPr>
              <w:spacing w:after="0"/>
              <w:rPr>
                <w:sz w:val="1"/>
                <w:szCs w:val="1"/>
                <w:color w:val="auto"/>
              </w:rPr>
            </w:pPr>
          </w:p>
        </w:tc>
      </w:tr>
      <w:tr>
        <w:trPr>
          <w:trHeight w:val="311"/>
        </w:trPr>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Stage 3</w:t>
            </w: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bottom w:val="single" w:sz="8" w:color="auto"/>
            </w:tcBorders>
            <w:gridSpan w:val="5"/>
            <w:vMerge w:val="restart"/>
          </w:tcPr>
          <w:p>
            <w:pPr>
              <w:ind w:left="40"/>
              <w:spacing w:after="0"/>
              <w:rPr>
                <w:sz w:val="20"/>
                <w:szCs w:val="20"/>
                <w:color w:val="auto"/>
              </w:rPr>
            </w:pPr>
            <w:r>
              <w:rPr>
                <w:rFonts w:ascii="Arial" w:cs="Arial" w:eastAsia="Arial" w:hAnsi="Arial"/>
                <w:sz w:val="14"/>
                <w:szCs w:val="14"/>
                <w:b w:val="1"/>
                <w:bCs w:val="1"/>
                <w:color w:val="auto"/>
              </w:rPr>
              <w:t>New loans,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auto"/>
              <w:bottom w:val="single" w:sz="8" w:color="auto"/>
            </w:tcBorders>
            <w:gridSpan w:val="4"/>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w w:val="96"/>
              </w:rPr>
              <w:t>Transfer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liquidation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Sale of</w:t>
            </w:r>
          </w:p>
        </w:tc>
        <w:tc>
          <w:tcPr>
            <w:tcW w:w="8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80" w:type="dxa"/>
            <w:vAlign w:val="bottom"/>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Transfer to</w:t>
            </w:r>
          </w:p>
        </w:tc>
        <w:tc>
          <w:tcPr>
            <w:tcW w:w="20" w:type="dxa"/>
            <w:vAlign w:val="bottom"/>
          </w:tcPr>
          <w:p>
            <w:pPr>
              <w:spacing w:after="0"/>
              <w:rPr>
                <w:sz w:val="13"/>
                <w:szCs w:val="13"/>
                <w:color w:val="auto"/>
              </w:rPr>
            </w:pPr>
          </w:p>
        </w:tc>
        <w:tc>
          <w:tcPr>
            <w:tcW w:w="94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Transfer to</w:t>
            </w:r>
          </w:p>
        </w:tc>
        <w:tc>
          <w:tcPr>
            <w:tcW w:w="20" w:type="dxa"/>
            <w:vAlign w:val="bottom"/>
          </w:tcPr>
          <w:p>
            <w:pPr>
              <w:spacing w:after="0"/>
              <w:rPr>
                <w:sz w:val="13"/>
                <w:szCs w:val="13"/>
                <w:color w:val="auto"/>
              </w:rPr>
            </w:pPr>
          </w:p>
        </w:tc>
        <w:tc>
          <w:tcPr>
            <w:tcW w:w="6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from</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and write-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classes of</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loan</w:t>
            </w:r>
          </w:p>
        </w:tc>
        <w:tc>
          <w:tcPr>
            <w:tcW w:w="8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80" w:type="dxa"/>
            <w:vAlign w:val="bottom"/>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Loans by class</w:t>
            </w:r>
          </w:p>
        </w:tc>
        <w:tc>
          <w:tcPr>
            <w:tcW w:w="980" w:type="dxa"/>
            <w:vAlign w:val="bottom"/>
            <w:gridSpan w:val="4"/>
          </w:tcPr>
          <w:p>
            <w:pPr>
              <w:ind w:left="20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Stage 1</w:t>
            </w:r>
          </w:p>
        </w:tc>
        <w:tc>
          <w:tcPr>
            <w:tcW w:w="20" w:type="dxa"/>
            <w:vAlign w:val="bottom"/>
          </w:tcPr>
          <w:p>
            <w:pPr>
              <w:spacing w:after="0"/>
              <w:rPr>
                <w:sz w:val="14"/>
                <w:szCs w:val="14"/>
                <w:color w:val="auto"/>
              </w:rPr>
            </w:pPr>
          </w:p>
        </w:tc>
        <w:tc>
          <w:tcPr>
            <w:tcW w:w="940" w:type="dxa"/>
            <w:vAlign w:val="bottom"/>
            <w:gridSpan w:val="5"/>
          </w:tcPr>
          <w:p>
            <w:pPr>
              <w:ind w:left="60"/>
              <w:spacing w:after="0"/>
              <w:rPr>
                <w:sz w:val="20"/>
                <w:szCs w:val="20"/>
                <w:color w:val="auto"/>
              </w:rPr>
            </w:pPr>
            <w:r>
              <w:rPr>
                <w:rFonts w:ascii="Arial" w:cs="Arial" w:eastAsia="Arial" w:hAnsi="Arial"/>
                <w:sz w:val="14"/>
                <w:szCs w:val="14"/>
                <w:b w:val="1"/>
                <w:bCs w:val="1"/>
                <w:color w:val="auto"/>
              </w:rPr>
              <w:t>Stage 2</w:t>
            </w:r>
          </w:p>
        </w:tc>
        <w:tc>
          <w:tcPr>
            <w:tcW w:w="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Stage 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Stage 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5"/>
          </w:tcPr>
          <w:p>
            <w:pPr>
              <w:ind w:left="40"/>
              <w:spacing w:after="0"/>
              <w:rPr>
                <w:sz w:val="20"/>
                <w:szCs w:val="20"/>
                <w:color w:val="auto"/>
              </w:rPr>
            </w:pPr>
            <w:r>
              <w:rPr>
                <w:rFonts w:ascii="Arial" w:cs="Arial" w:eastAsia="Arial" w:hAnsi="Arial"/>
                <w:sz w:val="14"/>
                <w:szCs w:val="14"/>
                <w:b w:val="1"/>
                <w:bCs w:val="1"/>
                <w:color w:val="auto"/>
              </w:rPr>
              <w:t>offs, net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ind w:left="40"/>
              <w:spacing w:after="0"/>
              <w:rPr>
                <w:sz w:val="20"/>
                <w:szCs w:val="20"/>
                <w:color w:val="auto"/>
              </w:rPr>
            </w:pPr>
            <w:r>
              <w:rPr>
                <w:rFonts w:ascii="Arial" w:cs="Arial" w:eastAsia="Arial" w:hAnsi="Arial"/>
                <w:sz w:val="14"/>
                <w:szCs w:val="14"/>
                <w:b w:val="1"/>
                <w:bCs w:val="1"/>
                <w:color w:val="auto"/>
              </w:rPr>
              <w:t>portfolio</w:t>
            </w:r>
          </w:p>
        </w:tc>
        <w:tc>
          <w:tcPr>
            <w:tcW w:w="8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others</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153"/>
        </w:trPr>
        <w:tc>
          <w:tcPr>
            <w:tcW w:w="1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auto"/>
            </w:tcBorders>
            <w:gridSpan w:val="4"/>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gridSpan w:val="4"/>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Commercial loans</w:t>
            </w:r>
          </w:p>
        </w:tc>
        <w:tc>
          <w:tcPr>
            <w:tcW w:w="1120" w:type="dxa"/>
            <w:vAlign w:val="bottom"/>
            <w:gridSpan w:val="6"/>
          </w:tcPr>
          <w:p>
            <w:pPr>
              <w:jc w:val="right"/>
              <w:ind w:right="40"/>
              <w:spacing w:after="0" w:line="155" w:lineRule="exact"/>
              <w:rPr>
                <w:sz w:val="20"/>
                <w:szCs w:val="20"/>
                <w:color w:val="auto"/>
              </w:rPr>
            </w:pPr>
            <w:r>
              <w:rPr>
                <w:rFonts w:ascii="Arial" w:cs="Arial" w:eastAsia="Arial" w:hAnsi="Arial"/>
                <w:sz w:val="14"/>
                <w:szCs w:val="14"/>
                <w:color w:val="auto"/>
              </w:rPr>
              <w:t>6,850,481</w:t>
            </w: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(464,932)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(800,280)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912,504</w:t>
            </w:r>
          </w:p>
        </w:tc>
        <w:tc>
          <w:tcPr>
            <w:tcW w:w="840" w:type="dxa"/>
            <w:vAlign w:val="bottom"/>
            <w:gridSpan w:val="6"/>
          </w:tcPr>
          <w:p>
            <w:pPr>
              <w:jc w:val="right"/>
              <w:ind w:right="20"/>
              <w:spacing w:after="0" w:line="155" w:lineRule="exact"/>
              <w:rPr>
                <w:sz w:val="20"/>
                <w:szCs w:val="20"/>
                <w:color w:val="auto"/>
              </w:rPr>
            </w:pPr>
            <w:r>
              <w:rPr>
                <w:rFonts w:ascii="Arial" w:cs="Arial" w:eastAsia="Arial" w:hAnsi="Arial"/>
                <w:sz w:val="14"/>
                <w:szCs w:val="14"/>
                <w:color w:val="auto"/>
              </w:rPr>
              <w:t>3,350,523</w:t>
            </w:r>
          </w:p>
        </w:tc>
        <w:tc>
          <w:tcPr>
            <w:tcW w:w="940" w:type="dxa"/>
            <w:vAlign w:val="bottom"/>
            <w:gridSpan w:val="7"/>
          </w:tcPr>
          <w:p>
            <w:pPr>
              <w:ind w:left="220"/>
              <w:spacing w:after="0" w:line="155" w:lineRule="exact"/>
              <w:rPr>
                <w:sz w:val="20"/>
                <w:szCs w:val="20"/>
                <w:color w:val="auto"/>
              </w:rPr>
            </w:pPr>
            <w:r>
              <w:rPr>
                <w:rFonts w:ascii="Arial" w:cs="Arial" w:eastAsia="Arial" w:hAnsi="Arial"/>
                <w:sz w:val="14"/>
                <w:szCs w:val="14"/>
                <w:color w:val="auto"/>
                <w:w w:val="97"/>
              </w:rPr>
              <w:t>(1,413,990)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6"/>
          </w:tcPr>
          <w:p>
            <w:pPr>
              <w:jc w:val="right"/>
              <w:ind w:right="60"/>
              <w:spacing w:after="0" w:line="155" w:lineRule="exact"/>
              <w:rPr>
                <w:sz w:val="20"/>
                <w:szCs w:val="20"/>
                <w:color w:val="auto"/>
              </w:rPr>
            </w:pPr>
            <w:r>
              <w:rPr>
                <w:rFonts w:ascii="Arial" w:cs="Arial" w:eastAsia="Arial" w:hAnsi="Arial"/>
                <w:sz w:val="14"/>
                <w:szCs w:val="14"/>
                <w:color w:val="auto"/>
              </w:rPr>
              <w:t>5,957</w:t>
            </w:r>
          </w:p>
        </w:tc>
        <w:tc>
          <w:tcPr>
            <w:tcW w:w="20" w:type="dxa"/>
            <w:vAlign w:val="bottom"/>
          </w:tcPr>
          <w:p>
            <w:pPr>
              <w:spacing w:after="0"/>
              <w:rPr>
                <w:sz w:val="13"/>
                <w:szCs w:val="13"/>
                <w:color w:val="auto"/>
              </w:rPr>
            </w:pPr>
          </w:p>
        </w:tc>
        <w:tc>
          <w:tcPr>
            <w:tcW w:w="860" w:type="dxa"/>
            <w:vAlign w:val="bottom"/>
            <w:gridSpan w:val="5"/>
          </w:tcPr>
          <w:p>
            <w:pPr>
              <w:jc w:val="right"/>
              <w:ind w:right="40"/>
              <w:spacing w:after="0" w:line="155" w:lineRule="exact"/>
              <w:rPr>
                <w:sz w:val="20"/>
                <w:szCs w:val="20"/>
                <w:color w:val="auto"/>
              </w:rPr>
            </w:pPr>
            <w:r>
              <w:rPr>
                <w:rFonts w:ascii="Arial" w:cs="Arial" w:eastAsia="Arial" w:hAnsi="Arial"/>
                <w:sz w:val="14"/>
                <w:szCs w:val="14"/>
                <w:color w:val="auto"/>
              </w:rPr>
              <w:t>(30,101)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346,581</w:t>
            </w: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8,756,743</w:t>
            </w: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Residential mortgage</w:t>
            </w:r>
          </w:p>
        </w:tc>
        <w:tc>
          <w:tcPr>
            <w:tcW w:w="1120" w:type="dxa"/>
            <w:vAlign w:val="bottom"/>
            <w:gridSpan w:val="6"/>
            <w:vMerge w:val="restart"/>
          </w:tcPr>
          <w:p>
            <w:pPr>
              <w:jc w:val="right"/>
              <w:ind w:right="40"/>
              <w:spacing w:after="0"/>
              <w:rPr>
                <w:sz w:val="20"/>
                <w:szCs w:val="20"/>
                <w:color w:val="auto"/>
              </w:rPr>
            </w:pPr>
            <w:r>
              <w:rPr>
                <w:rFonts w:ascii="Arial" w:cs="Arial" w:eastAsia="Arial" w:hAnsi="Arial"/>
                <w:sz w:val="14"/>
                <w:szCs w:val="14"/>
                <w:color w:val="auto"/>
              </w:rPr>
              <w:t>1,144,605</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(76,745)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(185,299)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4"/>
                <w:szCs w:val="14"/>
                <w:color w:val="auto"/>
              </w:rPr>
              <w:t>226,183</w:t>
            </w:r>
          </w:p>
        </w:tc>
        <w:tc>
          <w:tcPr>
            <w:tcW w:w="840" w:type="dxa"/>
            <w:vAlign w:val="bottom"/>
            <w:gridSpan w:val="6"/>
            <w:vMerge w:val="restart"/>
          </w:tcPr>
          <w:p>
            <w:pPr>
              <w:jc w:val="right"/>
              <w:ind w:right="20"/>
              <w:spacing w:after="0"/>
              <w:rPr>
                <w:sz w:val="20"/>
                <w:szCs w:val="20"/>
                <w:color w:val="auto"/>
              </w:rPr>
            </w:pPr>
            <w:r>
              <w:rPr>
                <w:rFonts w:ascii="Arial" w:cs="Arial" w:eastAsia="Arial" w:hAnsi="Arial"/>
                <w:sz w:val="14"/>
                <w:szCs w:val="14"/>
                <w:color w:val="auto"/>
              </w:rPr>
              <w:t>516,497</w:t>
            </w:r>
          </w:p>
        </w:tc>
        <w:tc>
          <w:tcPr>
            <w:tcW w:w="940" w:type="dxa"/>
            <w:vAlign w:val="bottom"/>
            <w:gridSpan w:val="7"/>
            <w:vMerge w:val="restart"/>
          </w:tcPr>
          <w:p>
            <w:pPr>
              <w:ind w:left="340"/>
              <w:spacing w:after="0"/>
              <w:rPr>
                <w:sz w:val="20"/>
                <w:szCs w:val="20"/>
                <w:color w:val="auto"/>
              </w:rPr>
            </w:pPr>
            <w:r>
              <w:rPr>
                <w:rFonts w:ascii="Arial" w:cs="Arial" w:eastAsia="Arial" w:hAnsi="Arial"/>
                <w:sz w:val="14"/>
                <w:szCs w:val="14"/>
                <w:color w:val="auto"/>
                <w:w w:val="96"/>
              </w:rPr>
              <w:t>(270,401)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6"/>
            <w:vMerge w:val="restart"/>
          </w:tcPr>
          <w:p>
            <w:pPr>
              <w:jc w:val="right"/>
              <w:ind w:right="60"/>
              <w:spacing w:after="0"/>
              <w:rPr>
                <w:sz w:val="20"/>
                <w:szCs w:val="20"/>
                <w:color w:val="auto"/>
              </w:rPr>
            </w:pPr>
            <w:r>
              <w:rPr>
                <w:rFonts w:ascii="Arial" w:cs="Arial" w:eastAsia="Arial" w:hAnsi="Arial"/>
                <w:sz w:val="14"/>
                <w:szCs w:val="14"/>
                <w:color w:val="auto"/>
              </w:rPr>
              <w:t>(3,696)</w:t>
            </w:r>
          </w:p>
        </w:tc>
        <w:tc>
          <w:tcPr>
            <w:tcW w:w="20" w:type="dxa"/>
            <w:vAlign w:val="bottom"/>
          </w:tcPr>
          <w:p>
            <w:pPr>
              <w:spacing w:after="0"/>
              <w:rPr>
                <w:sz w:val="13"/>
                <w:szCs w:val="13"/>
                <w:color w:val="auto"/>
              </w:rPr>
            </w:pPr>
          </w:p>
        </w:tc>
        <w:tc>
          <w:tcPr>
            <w:tcW w:w="860" w:type="dxa"/>
            <w:vAlign w:val="bottom"/>
            <w:gridSpan w:val="5"/>
            <w:vMerge w:val="restart"/>
          </w:tcPr>
          <w:p>
            <w:pPr>
              <w:jc w:val="right"/>
              <w:ind w:right="40"/>
              <w:spacing w:after="0"/>
              <w:rPr>
                <w:sz w:val="20"/>
                <w:szCs w:val="20"/>
                <w:color w:val="auto"/>
              </w:rPr>
            </w:pPr>
            <w:r>
              <w:rPr>
                <w:rFonts w:ascii="Arial" w:cs="Arial" w:eastAsia="Arial" w:hAnsi="Arial"/>
                <w:sz w:val="14"/>
                <w:szCs w:val="14"/>
                <w:color w:val="auto"/>
              </w:rPr>
              <w:t>(9,126)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29,128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0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loans</w:t>
            </w:r>
          </w:p>
        </w:tc>
        <w:tc>
          <w:tcPr>
            <w:tcW w:w="1120" w:type="dxa"/>
            <w:vAlign w:val="bottom"/>
            <w:gridSpan w:val="6"/>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840" w:type="dxa"/>
            <w:vAlign w:val="bottom"/>
            <w:gridSpan w:val="6"/>
            <w:vMerge w:val="continue"/>
          </w:tcPr>
          <w:p>
            <w:pPr>
              <w:spacing w:after="0"/>
              <w:rPr>
                <w:sz w:val="7"/>
                <w:szCs w:val="7"/>
                <w:color w:val="auto"/>
              </w:rPr>
            </w:pPr>
          </w:p>
        </w:tc>
        <w:tc>
          <w:tcPr>
            <w:tcW w:w="94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right"/>
              <w:spacing w:after="0" w:line="155" w:lineRule="exact"/>
              <w:rPr>
                <w:sz w:val="20"/>
                <w:szCs w:val="20"/>
                <w:color w:val="auto"/>
              </w:rPr>
            </w:pPr>
            <w:r>
              <w:rPr>
                <w:rFonts w:ascii="Arial" w:cs="Arial" w:eastAsia="Arial" w:hAnsi="Arial"/>
                <w:sz w:val="14"/>
                <w:szCs w:val="14"/>
                <w:color w:val="auto"/>
              </w:rPr>
              <w:t>1,371,146</w:t>
            </w:r>
          </w:p>
        </w:tc>
        <w:tc>
          <w:tcPr>
            <w:tcW w:w="0" w:type="dxa"/>
            <w:vAlign w:val="bottom"/>
          </w:tcPr>
          <w:p>
            <w:pPr>
              <w:spacing w:after="0"/>
              <w:rPr>
                <w:sz w:val="1"/>
                <w:szCs w:val="1"/>
                <w:color w:val="auto"/>
              </w:rPr>
            </w:pPr>
          </w:p>
        </w:tc>
      </w:tr>
      <w:tr>
        <w:trPr>
          <w:trHeight w:val="68"/>
        </w:trPr>
        <w:tc>
          <w:tcPr>
            <w:tcW w:w="1600" w:type="dxa"/>
            <w:vAlign w:val="bottom"/>
            <w:gridSpan w:val="3"/>
            <w:vMerge w:val="continue"/>
          </w:tcPr>
          <w:p>
            <w:pPr>
              <w:spacing w:after="0"/>
              <w:rPr>
                <w:sz w:val="5"/>
                <w:szCs w:val="5"/>
                <w:color w:val="auto"/>
              </w:rPr>
            </w:pPr>
          </w:p>
        </w:tc>
        <w:tc>
          <w:tcPr>
            <w:tcW w:w="8760" w:type="dxa"/>
            <w:vAlign w:val="bottom"/>
            <w:gridSpan w:val="55"/>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Micro-business loans</w:t>
            </w:r>
          </w:p>
        </w:tc>
        <w:tc>
          <w:tcPr>
            <w:tcW w:w="1120" w:type="dxa"/>
            <w:vAlign w:val="bottom"/>
            <w:gridSpan w:val="6"/>
          </w:tcPr>
          <w:p>
            <w:pPr>
              <w:jc w:val="right"/>
              <w:ind w:right="40"/>
              <w:spacing w:after="0" w:line="155" w:lineRule="exact"/>
              <w:rPr>
                <w:sz w:val="20"/>
                <w:szCs w:val="20"/>
                <w:color w:val="auto"/>
              </w:rPr>
            </w:pPr>
            <w:r>
              <w:rPr>
                <w:rFonts w:ascii="Arial" w:cs="Arial" w:eastAsia="Arial" w:hAnsi="Arial"/>
                <w:sz w:val="14"/>
                <w:szCs w:val="14"/>
                <w:color w:val="auto"/>
              </w:rPr>
              <w:t>1,978,448</w:t>
            </w: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(142,517)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(164,077)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332,694</w:t>
            </w:r>
          </w:p>
        </w:tc>
        <w:tc>
          <w:tcPr>
            <w:tcW w:w="840" w:type="dxa"/>
            <w:vAlign w:val="bottom"/>
            <w:gridSpan w:val="6"/>
          </w:tcPr>
          <w:p>
            <w:pPr>
              <w:jc w:val="right"/>
              <w:ind w:right="20"/>
              <w:spacing w:after="0" w:line="155" w:lineRule="exact"/>
              <w:rPr>
                <w:sz w:val="20"/>
                <w:szCs w:val="20"/>
                <w:color w:val="auto"/>
              </w:rPr>
            </w:pPr>
            <w:r>
              <w:rPr>
                <w:rFonts w:ascii="Arial" w:cs="Arial" w:eastAsia="Arial" w:hAnsi="Arial"/>
                <w:sz w:val="14"/>
                <w:szCs w:val="14"/>
                <w:color w:val="auto"/>
              </w:rPr>
              <w:t>1,921,386</w:t>
            </w:r>
          </w:p>
        </w:tc>
        <w:tc>
          <w:tcPr>
            <w:tcW w:w="940" w:type="dxa"/>
            <w:vAlign w:val="bottom"/>
            <w:gridSpan w:val="7"/>
          </w:tcPr>
          <w:p>
            <w:pPr>
              <w:ind w:left="220"/>
              <w:spacing w:after="0" w:line="155" w:lineRule="exact"/>
              <w:rPr>
                <w:sz w:val="20"/>
                <w:szCs w:val="20"/>
                <w:color w:val="auto"/>
              </w:rPr>
            </w:pPr>
            <w:r>
              <w:rPr>
                <w:rFonts w:ascii="Arial" w:cs="Arial" w:eastAsia="Arial" w:hAnsi="Arial"/>
                <w:sz w:val="14"/>
                <w:szCs w:val="14"/>
                <w:color w:val="auto"/>
                <w:w w:val="97"/>
              </w:rPr>
              <w:t>(2,017,681)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6"/>
          </w:tcPr>
          <w:p>
            <w:pPr>
              <w:jc w:val="right"/>
              <w:ind w:right="60"/>
              <w:spacing w:after="0" w:line="155" w:lineRule="exact"/>
              <w:rPr>
                <w:sz w:val="20"/>
                <w:szCs w:val="20"/>
                <w:color w:val="auto"/>
              </w:rPr>
            </w:pPr>
            <w:r>
              <w:rPr>
                <w:rFonts w:ascii="Arial" w:cs="Arial" w:eastAsia="Arial" w:hAnsi="Arial"/>
                <w:sz w:val="14"/>
                <w:szCs w:val="14"/>
                <w:color w:val="auto"/>
              </w:rPr>
              <w:t>(9,675)</w:t>
            </w:r>
          </w:p>
        </w:tc>
        <w:tc>
          <w:tcPr>
            <w:tcW w:w="20" w:type="dxa"/>
            <w:vAlign w:val="bottom"/>
          </w:tcPr>
          <w:p>
            <w:pPr>
              <w:spacing w:after="0"/>
              <w:rPr>
                <w:sz w:val="13"/>
                <w:szCs w:val="13"/>
                <w:color w:val="auto"/>
              </w:rPr>
            </w:pPr>
          </w:p>
        </w:tc>
        <w:tc>
          <w:tcPr>
            <w:tcW w:w="860" w:type="dxa"/>
            <w:vAlign w:val="bottom"/>
            <w:gridSpan w:val="5"/>
          </w:tcPr>
          <w:p>
            <w:pPr>
              <w:jc w:val="right"/>
              <w:ind w:right="40"/>
              <w:spacing w:after="0" w:line="155" w:lineRule="exact"/>
              <w:rPr>
                <w:sz w:val="20"/>
                <w:szCs w:val="20"/>
                <w:color w:val="auto"/>
              </w:rPr>
            </w:pPr>
            <w:r>
              <w:rPr>
                <w:rFonts w:ascii="Arial" w:cs="Arial" w:eastAsia="Arial" w:hAnsi="Arial"/>
                <w:sz w:val="14"/>
                <w:szCs w:val="14"/>
                <w:color w:val="auto"/>
              </w:rPr>
              <w:t>(6,629)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14,261</w:t>
            </w: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1,906,210</w:t>
            </w:r>
          </w:p>
        </w:tc>
        <w:tc>
          <w:tcPr>
            <w:tcW w:w="0" w:type="dxa"/>
            <w:vAlign w:val="bottom"/>
          </w:tcPr>
          <w:p>
            <w:pPr>
              <w:spacing w:after="0"/>
              <w:rPr>
                <w:sz w:val="1"/>
                <w:szCs w:val="1"/>
                <w:color w:val="auto"/>
              </w:rPr>
            </w:pPr>
          </w:p>
        </w:tc>
      </w:tr>
      <w:tr>
        <w:trPr>
          <w:trHeight w:val="151"/>
        </w:trPr>
        <w:tc>
          <w:tcPr>
            <w:tcW w:w="1600" w:type="dxa"/>
            <w:vAlign w:val="bottom"/>
            <w:gridSpan w:val="3"/>
          </w:tcPr>
          <w:p>
            <w:pPr>
              <w:spacing w:after="0" w:line="151" w:lineRule="exact"/>
              <w:rPr>
                <w:sz w:val="20"/>
                <w:szCs w:val="20"/>
                <w:color w:val="auto"/>
              </w:rPr>
            </w:pPr>
            <w:r>
              <w:rPr>
                <w:rFonts w:ascii="Arial" w:cs="Arial" w:eastAsia="Arial" w:hAnsi="Arial"/>
                <w:sz w:val="14"/>
                <w:szCs w:val="14"/>
                <w:color w:val="auto"/>
              </w:rPr>
              <w:t>Consumer loans</w:t>
            </w:r>
          </w:p>
        </w:tc>
        <w:tc>
          <w:tcPr>
            <w:tcW w:w="160" w:type="dxa"/>
            <w:vAlign w:val="bottom"/>
            <w:gridSpan w:val="3"/>
          </w:tcPr>
          <w:p>
            <w:pPr>
              <w:spacing w:after="0"/>
              <w:rPr>
                <w:sz w:val="13"/>
                <w:szCs w:val="13"/>
                <w:color w:val="auto"/>
              </w:rPr>
            </w:pPr>
          </w:p>
        </w:tc>
        <w:tc>
          <w:tcPr>
            <w:tcW w:w="96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1,641,295</w:t>
            </w:r>
          </w:p>
        </w:tc>
        <w:tc>
          <w:tcPr>
            <w:tcW w:w="140" w:type="dxa"/>
            <w:vAlign w:val="bottom"/>
            <w:gridSpan w:val="2"/>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(72,304)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(214,329)</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685,511</w:t>
            </w:r>
          </w:p>
        </w:tc>
        <w:tc>
          <w:tcPr>
            <w:tcW w:w="140" w:type="dxa"/>
            <w:vAlign w:val="bottom"/>
            <w:gridSpan w:val="2"/>
          </w:tcPr>
          <w:p>
            <w:pPr>
              <w:spacing w:after="0"/>
              <w:rPr>
                <w:sz w:val="13"/>
                <w:szCs w:val="13"/>
                <w:color w:val="auto"/>
              </w:rPr>
            </w:pPr>
          </w:p>
        </w:tc>
        <w:tc>
          <w:tcPr>
            <w:tcW w:w="700" w:type="dxa"/>
            <w:vAlign w:val="bottom"/>
            <w:tcBorders>
              <w:bottom w:val="single" w:sz="8" w:color="auto"/>
            </w:tcBorders>
            <w:gridSpan w:val="4"/>
          </w:tcPr>
          <w:p>
            <w:pPr>
              <w:jc w:val="right"/>
              <w:ind w:right="20"/>
              <w:spacing w:after="0" w:line="151" w:lineRule="exact"/>
              <w:rPr>
                <w:sz w:val="20"/>
                <w:szCs w:val="20"/>
                <w:color w:val="auto"/>
              </w:rPr>
            </w:pPr>
            <w:r>
              <w:rPr>
                <w:rFonts w:ascii="Arial" w:cs="Arial" w:eastAsia="Arial" w:hAnsi="Arial"/>
                <w:sz w:val="14"/>
                <w:szCs w:val="14"/>
                <w:color w:val="auto"/>
              </w:rPr>
              <w:t>854,967</w:t>
            </w:r>
          </w:p>
        </w:tc>
        <w:tc>
          <w:tcPr>
            <w:tcW w:w="20" w:type="dxa"/>
            <w:vAlign w:val="bottom"/>
            <w:tcBorders>
              <w:bottom w:val="single" w:sz="8" w:color="auto"/>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760" w:type="dxa"/>
            <w:vAlign w:val="bottom"/>
            <w:tcBorders>
              <w:bottom w:val="single" w:sz="8" w:color="auto"/>
            </w:tcBorders>
            <w:gridSpan w:val="3"/>
          </w:tcPr>
          <w:p>
            <w:pPr>
              <w:ind w:left="40"/>
              <w:spacing w:after="0" w:line="151" w:lineRule="exact"/>
              <w:rPr>
                <w:sz w:val="20"/>
                <w:szCs w:val="20"/>
                <w:color w:val="auto"/>
              </w:rPr>
            </w:pPr>
            <w:r>
              <w:rPr>
                <w:rFonts w:ascii="Arial" w:cs="Arial" w:eastAsia="Arial" w:hAnsi="Arial"/>
                <w:sz w:val="14"/>
                <w:szCs w:val="14"/>
                <w:color w:val="auto"/>
                <w:w w:val="97"/>
              </w:rPr>
              <w:t>(1,808,007)</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Borders>
              <w:bottom w:val="single" w:sz="8" w:color="auto"/>
            </w:tcBorders>
            <w:gridSpan w:val="4"/>
          </w:tcPr>
          <w:p>
            <w:pPr>
              <w:jc w:val="right"/>
              <w:ind w:right="60"/>
              <w:spacing w:after="0" w:line="151" w:lineRule="exact"/>
              <w:rPr>
                <w:sz w:val="20"/>
                <w:szCs w:val="20"/>
                <w:color w:val="auto"/>
              </w:rPr>
            </w:pPr>
            <w:r>
              <w:rPr>
                <w:rFonts w:ascii="Arial" w:cs="Arial" w:eastAsia="Arial" w:hAnsi="Arial"/>
                <w:sz w:val="14"/>
                <w:szCs w:val="14"/>
                <w:color w:val="auto"/>
              </w:rPr>
              <w:t>7,414</w:t>
            </w: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4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(1,237)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60"/>
              <w:spacing w:after="0" w:line="151" w:lineRule="exact"/>
              <w:rPr>
                <w:sz w:val="20"/>
                <w:szCs w:val="20"/>
                <w:color w:val="auto"/>
              </w:rPr>
            </w:pPr>
            <w:r>
              <w:rPr>
                <w:rFonts w:ascii="Arial" w:cs="Arial" w:eastAsia="Arial" w:hAnsi="Arial"/>
                <w:sz w:val="14"/>
                <w:szCs w:val="14"/>
                <w:color w:val="auto"/>
              </w:rPr>
              <w:t>6,019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1,099,329</w:t>
            </w:r>
          </w:p>
        </w:tc>
        <w:tc>
          <w:tcPr>
            <w:tcW w:w="0" w:type="dxa"/>
            <w:vAlign w:val="bottom"/>
          </w:tcPr>
          <w:p>
            <w:pPr>
              <w:spacing w:after="0"/>
              <w:rPr>
                <w:sz w:val="1"/>
                <w:szCs w:val="1"/>
                <w:color w:val="auto"/>
              </w:rPr>
            </w:pPr>
          </w:p>
        </w:tc>
      </w:tr>
      <w:tr>
        <w:trPr>
          <w:trHeight w:val="154"/>
        </w:trPr>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gridSpan w:val="3"/>
          </w:tcPr>
          <w:p>
            <w:pPr>
              <w:spacing w:after="0"/>
              <w:rPr>
                <w:sz w:val="13"/>
                <w:szCs w:val="13"/>
                <w:color w:val="auto"/>
              </w:rPr>
            </w:pPr>
          </w:p>
        </w:tc>
        <w:tc>
          <w:tcPr>
            <w:tcW w:w="960" w:type="dxa"/>
            <w:vAlign w:val="bottom"/>
            <w:tcBorders>
              <w:bottom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11,614,829</w:t>
            </w:r>
          </w:p>
        </w:tc>
        <w:tc>
          <w:tcPr>
            <w:tcW w:w="140" w:type="dxa"/>
            <w:vAlign w:val="bottom"/>
            <w:gridSpan w:val="2"/>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(756,498)</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(1,363,985)</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2,156,892</w:t>
            </w:r>
          </w:p>
        </w:tc>
        <w:tc>
          <w:tcPr>
            <w:tcW w:w="140" w:type="dxa"/>
            <w:vAlign w:val="bottom"/>
            <w:gridSpan w:val="2"/>
          </w:tcPr>
          <w:p>
            <w:pPr>
              <w:spacing w:after="0"/>
              <w:rPr>
                <w:sz w:val="13"/>
                <w:szCs w:val="13"/>
                <w:color w:val="auto"/>
              </w:rPr>
            </w:pPr>
          </w:p>
        </w:tc>
        <w:tc>
          <w:tcPr>
            <w:tcW w:w="700" w:type="dxa"/>
            <w:vAlign w:val="bottom"/>
            <w:tcBorders>
              <w:bottom w:val="single" w:sz="8" w:color="auto"/>
            </w:tcBorders>
            <w:gridSpan w:val="4"/>
          </w:tcPr>
          <w:p>
            <w:pPr>
              <w:jc w:val="right"/>
              <w:ind w:right="20"/>
              <w:spacing w:after="0" w:line="149" w:lineRule="exact"/>
              <w:rPr>
                <w:sz w:val="20"/>
                <w:szCs w:val="20"/>
                <w:color w:val="auto"/>
              </w:rPr>
            </w:pPr>
            <w:r>
              <w:rPr>
                <w:rFonts w:ascii="Arial" w:cs="Arial" w:eastAsia="Arial" w:hAnsi="Arial"/>
                <w:sz w:val="14"/>
                <w:szCs w:val="14"/>
                <w:color w:val="auto"/>
              </w:rPr>
              <w:t>6,643,373</w:t>
            </w:r>
          </w:p>
        </w:tc>
        <w:tc>
          <w:tcPr>
            <w:tcW w:w="20" w:type="dxa"/>
            <w:vAlign w:val="bottom"/>
            <w:tcBorders>
              <w:bottom w:val="single" w:sz="8" w:color="auto"/>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760" w:type="dxa"/>
            <w:vAlign w:val="bottom"/>
            <w:tcBorders>
              <w:bottom w:val="single" w:sz="8" w:color="auto"/>
            </w:tcBorders>
            <w:gridSpan w:val="3"/>
          </w:tcPr>
          <w:p>
            <w:pPr>
              <w:ind w:left="40"/>
              <w:spacing w:after="0" w:line="149" w:lineRule="exact"/>
              <w:rPr>
                <w:sz w:val="20"/>
                <w:szCs w:val="20"/>
                <w:color w:val="auto"/>
              </w:rPr>
            </w:pPr>
            <w:r>
              <w:rPr>
                <w:rFonts w:ascii="Arial" w:cs="Arial" w:eastAsia="Arial" w:hAnsi="Arial"/>
                <w:sz w:val="14"/>
                <w:szCs w:val="14"/>
                <w:color w:val="auto"/>
                <w:w w:val="97"/>
              </w:rPr>
              <w:t>(5,510,079)</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w w:val="97"/>
              </w:rPr>
              <w:t>−</w:t>
            </w: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40" w:type="dxa"/>
            <w:vAlign w:val="bottom"/>
            <w:tcBorders>
              <w:bottom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(47,093)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395,989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13,133,428</w:t>
            </w:r>
          </w:p>
        </w:tc>
        <w:tc>
          <w:tcPr>
            <w:tcW w:w="0" w:type="dxa"/>
            <w:vAlign w:val="bottom"/>
          </w:tcPr>
          <w:p>
            <w:pPr>
              <w:spacing w:after="0"/>
              <w:rPr>
                <w:sz w:val="1"/>
                <w:szCs w:val="1"/>
                <w:color w:val="auto"/>
              </w:rPr>
            </w:pPr>
          </w:p>
        </w:tc>
      </w:tr>
      <w:tr>
        <w:trPr>
          <w:trHeight w:val="311"/>
        </w:trPr>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Consolidated 3 Stages</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Loan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7"/>
          </w:tcPr>
          <w:p>
            <w:pPr>
              <w:ind w:left="60"/>
              <w:spacing w:after="0" w:line="155" w:lineRule="exact"/>
              <w:rPr>
                <w:sz w:val="20"/>
                <w:szCs w:val="20"/>
                <w:color w:val="auto"/>
              </w:rPr>
            </w:pPr>
            <w:r>
              <w:rPr>
                <w:rFonts w:ascii="Arial" w:cs="Arial" w:eastAsia="Arial" w:hAnsi="Arial"/>
                <w:sz w:val="14"/>
                <w:szCs w:val="14"/>
                <w:b w:val="1"/>
                <w:bCs w:val="1"/>
                <w:color w:val="auto"/>
              </w:rPr>
              <w:t>portfolio</w:t>
            </w:r>
          </w:p>
        </w:tc>
        <w:tc>
          <w:tcPr>
            <w:tcW w:w="1000" w:type="dxa"/>
            <w:vAlign w:val="bottom"/>
            <w:gridSpan w:val="9"/>
          </w:tcPr>
          <w:p>
            <w:pPr>
              <w:ind w:left="20"/>
              <w:spacing w:after="0" w:line="155" w:lineRule="exact"/>
              <w:rPr>
                <w:sz w:val="20"/>
                <w:szCs w:val="20"/>
                <w:color w:val="auto"/>
              </w:rPr>
            </w:pPr>
            <w:r>
              <w:rPr>
                <w:rFonts w:ascii="Arial" w:cs="Arial" w:eastAsia="Arial" w:hAnsi="Arial"/>
                <w:sz w:val="14"/>
                <w:szCs w:val="14"/>
                <w:b w:val="1"/>
                <w:bCs w:val="1"/>
                <w:color w:val="auto"/>
              </w:rPr>
              <w:t>New loans</w:t>
            </w:r>
          </w:p>
        </w:tc>
        <w:tc>
          <w:tcPr>
            <w:tcW w:w="1000" w:type="dxa"/>
            <w:vAlign w:val="bottom"/>
            <w:gridSpan w:val="7"/>
          </w:tcPr>
          <w:p>
            <w:pPr>
              <w:spacing w:after="0" w:line="155" w:lineRule="exact"/>
              <w:rPr>
                <w:sz w:val="20"/>
                <w:szCs w:val="20"/>
                <w:color w:val="auto"/>
              </w:rPr>
            </w:pPr>
            <w:r>
              <w:rPr>
                <w:rFonts w:ascii="Arial" w:cs="Arial" w:eastAsia="Arial" w:hAnsi="Arial"/>
                <w:sz w:val="14"/>
                <w:szCs w:val="14"/>
                <w:b w:val="1"/>
                <w:bCs w:val="1"/>
                <w:color w:val="auto"/>
              </w:rPr>
              <w:t>Transfers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7"/>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1000" w:type="dxa"/>
            <w:vAlign w:val="bottom"/>
            <w:gridSpan w:val="7"/>
          </w:tcPr>
          <w:p>
            <w:pPr>
              <w:ind w:left="60"/>
              <w:spacing w:after="0" w:line="155" w:lineRule="exact"/>
              <w:rPr>
                <w:sz w:val="20"/>
                <w:szCs w:val="20"/>
                <w:color w:val="auto"/>
              </w:rPr>
            </w:pPr>
            <w:r>
              <w:rPr>
                <w:rFonts w:ascii="Arial" w:cs="Arial" w:eastAsia="Arial" w:hAnsi="Arial"/>
                <w:sz w:val="14"/>
                <w:szCs w:val="14"/>
                <w:b w:val="1"/>
                <w:bCs w:val="1"/>
                <w:color w:val="auto"/>
              </w:rPr>
              <w:t>written off</w:t>
            </w:r>
          </w:p>
        </w:tc>
        <w:tc>
          <w:tcPr>
            <w:tcW w:w="1000" w:type="dxa"/>
            <w:vAlign w:val="bottom"/>
            <w:gridSpan w:val="9"/>
          </w:tcPr>
          <w:p>
            <w:pPr>
              <w:ind w:left="20"/>
              <w:spacing w:after="0" w:line="155" w:lineRule="exact"/>
              <w:rPr>
                <w:sz w:val="20"/>
                <w:szCs w:val="20"/>
                <w:color w:val="auto"/>
              </w:rPr>
            </w:pPr>
            <w:r>
              <w:rPr>
                <w:rFonts w:ascii="Arial" w:cs="Arial" w:eastAsia="Arial" w:hAnsi="Arial"/>
                <w:sz w:val="14"/>
                <w:szCs w:val="14"/>
                <w:b w:val="1"/>
                <w:bCs w:val="1"/>
                <w:color w:val="auto"/>
              </w:rPr>
              <w:t>and</w:t>
            </w:r>
          </w:p>
        </w:tc>
        <w:tc>
          <w:tcPr>
            <w:tcW w:w="1000" w:type="dxa"/>
            <w:vAlign w:val="bottom"/>
            <w:gridSpan w:val="7"/>
          </w:tcPr>
          <w:p>
            <w:pPr>
              <w:spacing w:after="0" w:line="155" w:lineRule="exact"/>
              <w:rPr>
                <w:sz w:val="20"/>
                <w:szCs w:val="20"/>
                <w:color w:val="auto"/>
              </w:rPr>
            </w:pPr>
            <w:r>
              <w:rPr>
                <w:rFonts w:ascii="Arial" w:cs="Arial" w:eastAsia="Arial" w:hAnsi="Arial"/>
                <w:sz w:val="14"/>
                <w:szCs w:val="14"/>
                <w:b w:val="1"/>
                <w:bCs w:val="1"/>
                <w:color w:val="auto"/>
              </w:rPr>
              <w:t>between</w:t>
            </w:r>
          </w:p>
        </w:tc>
        <w:tc>
          <w:tcPr>
            <w:tcW w:w="92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Sale of</w:t>
            </w:r>
          </w:p>
        </w:tc>
        <w:tc>
          <w:tcPr>
            <w:tcW w:w="10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Exchange</w:t>
            </w: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7"/>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1000" w:type="dxa"/>
            <w:vAlign w:val="bottom"/>
            <w:gridSpan w:val="7"/>
          </w:tcPr>
          <w:p>
            <w:pPr>
              <w:ind w:left="60"/>
              <w:spacing w:after="0" w:line="155" w:lineRule="exact"/>
              <w:rPr>
                <w:sz w:val="20"/>
                <w:szCs w:val="20"/>
                <w:color w:val="auto"/>
              </w:rPr>
            </w:pPr>
            <w:r>
              <w:rPr>
                <w:rFonts w:ascii="Arial" w:cs="Arial" w:eastAsia="Arial" w:hAnsi="Arial"/>
                <w:sz w:val="14"/>
                <w:szCs w:val="14"/>
                <w:b w:val="1"/>
                <w:bCs w:val="1"/>
                <w:color w:val="auto"/>
              </w:rPr>
              <w:t>and</w:t>
            </w:r>
          </w:p>
        </w:tc>
        <w:tc>
          <w:tcPr>
            <w:tcW w:w="1000" w:type="dxa"/>
            <w:vAlign w:val="bottom"/>
            <w:gridSpan w:val="9"/>
          </w:tcPr>
          <w:p>
            <w:pPr>
              <w:ind w:left="20"/>
              <w:spacing w:after="0" w:line="155" w:lineRule="exact"/>
              <w:rPr>
                <w:sz w:val="20"/>
                <w:szCs w:val="20"/>
                <w:color w:val="auto"/>
              </w:rPr>
            </w:pPr>
            <w:r>
              <w:rPr>
                <w:rFonts w:ascii="Arial" w:cs="Arial" w:eastAsia="Arial" w:hAnsi="Arial"/>
                <w:sz w:val="14"/>
                <w:szCs w:val="14"/>
                <w:b w:val="1"/>
                <w:bCs w:val="1"/>
                <w:color w:val="auto"/>
              </w:rPr>
              <w:t>liquidation,</w:t>
            </w:r>
          </w:p>
        </w:tc>
        <w:tc>
          <w:tcPr>
            <w:tcW w:w="1000" w:type="dxa"/>
            <w:vAlign w:val="bottom"/>
            <w:gridSpan w:val="7"/>
          </w:tcPr>
          <w:p>
            <w:pPr>
              <w:spacing w:after="0" w:line="155" w:lineRule="exact"/>
              <w:rPr>
                <w:sz w:val="20"/>
                <w:szCs w:val="20"/>
                <w:color w:val="auto"/>
              </w:rPr>
            </w:pPr>
            <w:r>
              <w:rPr>
                <w:rFonts w:ascii="Arial" w:cs="Arial" w:eastAsia="Arial" w:hAnsi="Arial"/>
                <w:sz w:val="14"/>
                <w:szCs w:val="14"/>
                <w:b w:val="1"/>
                <w:bCs w:val="1"/>
                <w:color w:val="auto"/>
              </w:rPr>
              <w:t>classes of</w:t>
            </w:r>
          </w:p>
        </w:tc>
        <w:tc>
          <w:tcPr>
            <w:tcW w:w="92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loan</w:t>
            </w:r>
          </w:p>
        </w:tc>
        <w:tc>
          <w:tcPr>
            <w:tcW w:w="10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differences</w:t>
            </w: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Loans by class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8"/>
          </w:tcPr>
          <w:p>
            <w:pPr>
              <w:ind w:left="640"/>
              <w:spacing w:after="0"/>
              <w:rPr>
                <w:sz w:val="20"/>
                <w:szCs w:val="20"/>
                <w:color w:val="auto"/>
              </w:rPr>
            </w:pPr>
            <w:r>
              <w:rPr>
                <w:rFonts w:ascii="Arial" w:cs="Arial" w:eastAsia="Arial" w:hAnsi="Arial"/>
                <w:sz w:val="14"/>
                <w:szCs w:val="14"/>
                <w:b w:val="1"/>
                <w:bCs w:val="1"/>
                <w:color w:val="auto"/>
              </w:rPr>
              <w:t>31, 2020</w:t>
            </w:r>
          </w:p>
        </w:tc>
        <w:tc>
          <w:tcPr>
            <w:tcW w:w="140" w:type="dxa"/>
            <w:vAlign w:val="bottom"/>
          </w:tcPr>
          <w:p>
            <w:pPr>
              <w:spacing w:after="0"/>
              <w:rPr>
                <w:sz w:val="14"/>
                <w:szCs w:val="14"/>
                <w:color w:val="auto"/>
              </w:rPr>
            </w:pPr>
          </w:p>
        </w:tc>
        <w:tc>
          <w:tcPr>
            <w:tcW w:w="1000" w:type="dxa"/>
            <w:vAlign w:val="bottom"/>
            <w:gridSpan w:val="7"/>
          </w:tcPr>
          <w:p>
            <w:pPr>
              <w:ind w:left="60"/>
              <w:spacing w:after="0"/>
              <w:rPr>
                <w:sz w:val="20"/>
                <w:szCs w:val="20"/>
                <w:color w:val="auto"/>
              </w:rPr>
            </w:pPr>
            <w:r>
              <w:rPr>
                <w:rFonts w:ascii="Arial" w:cs="Arial" w:eastAsia="Arial" w:hAnsi="Arial"/>
                <w:sz w:val="14"/>
                <w:szCs w:val="14"/>
                <w:b w:val="1"/>
                <w:bCs w:val="1"/>
                <w:color w:val="auto"/>
              </w:rPr>
              <w:t>forgiven</w:t>
            </w:r>
          </w:p>
        </w:tc>
        <w:tc>
          <w:tcPr>
            <w:tcW w:w="1000" w:type="dxa"/>
            <w:vAlign w:val="bottom"/>
            <w:gridSpan w:val="9"/>
          </w:tcPr>
          <w:p>
            <w:pPr>
              <w:ind w:left="20"/>
              <w:spacing w:after="0"/>
              <w:rPr>
                <w:sz w:val="20"/>
                <w:szCs w:val="20"/>
                <w:color w:val="auto"/>
              </w:rPr>
            </w:pPr>
            <w:r>
              <w:rPr>
                <w:rFonts w:ascii="Arial" w:cs="Arial" w:eastAsia="Arial" w:hAnsi="Arial"/>
                <w:sz w:val="14"/>
                <w:szCs w:val="14"/>
                <w:b w:val="1"/>
                <w:bCs w:val="1"/>
                <w:color w:val="auto"/>
              </w:rPr>
              <w:t>net</w:t>
            </w:r>
          </w:p>
        </w:tc>
        <w:tc>
          <w:tcPr>
            <w:tcW w:w="1000" w:type="dxa"/>
            <w:vAlign w:val="bottom"/>
            <w:gridSpan w:val="7"/>
          </w:tcPr>
          <w:p>
            <w:pPr>
              <w:spacing w:after="0"/>
              <w:rPr>
                <w:sz w:val="20"/>
                <w:szCs w:val="20"/>
                <w:color w:val="auto"/>
              </w:rPr>
            </w:pPr>
            <w:r>
              <w:rPr>
                <w:rFonts w:ascii="Arial" w:cs="Arial" w:eastAsia="Arial" w:hAnsi="Arial"/>
                <w:sz w:val="14"/>
                <w:szCs w:val="14"/>
                <w:b w:val="1"/>
                <w:bCs w:val="1"/>
                <w:color w:val="auto"/>
              </w:rPr>
              <w:t>loans</w:t>
            </w:r>
          </w:p>
        </w:tc>
        <w:tc>
          <w:tcPr>
            <w:tcW w:w="920" w:type="dxa"/>
            <w:vAlign w:val="bottom"/>
            <w:gridSpan w:val="7"/>
          </w:tcPr>
          <w:p>
            <w:pPr>
              <w:ind w:left="20"/>
              <w:spacing w:after="0"/>
              <w:rPr>
                <w:sz w:val="20"/>
                <w:szCs w:val="20"/>
                <w:color w:val="auto"/>
              </w:rPr>
            </w:pPr>
            <w:r>
              <w:rPr>
                <w:rFonts w:ascii="Arial" w:cs="Arial" w:eastAsia="Arial" w:hAnsi="Arial"/>
                <w:sz w:val="14"/>
                <w:szCs w:val="14"/>
                <w:b w:val="1"/>
                <w:bCs w:val="1"/>
                <w:color w:val="auto"/>
              </w:rPr>
              <w:t>portfolio</w:t>
            </w: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and others</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153"/>
        </w:trPr>
        <w:tc>
          <w:tcPr>
            <w:tcW w:w="1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Borders>
              <w:top w:val="single" w:sz="8" w:color="auto"/>
            </w:tcBorders>
            <w:gridSpan w:val="6"/>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20" w:type="dxa"/>
            <w:vAlign w:val="bottom"/>
            <w:tcBorders>
              <w:top w:val="single" w:sz="8" w:color="auto"/>
            </w:tcBorders>
            <w:gridSpan w:val="5"/>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5"/>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gridSpan w:val="2"/>
          </w:tcPr>
          <w:p>
            <w:pPr>
              <w:spacing w:after="0"/>
              <w:rPr>
                <w:sz w:val="13"/>
                <w:szCs w:val="13"/>
                <w:color w:val="auto"/>
              </w:rPr>
            </w:pPr>
          </w:p>
        </w:tc>
        <w:tc>
          <w:tcPr>
            <w:tcW w:w="60" w:type="dxa"/>
            <w:vAlign w:val="bottom"/>
            <w:tcBorders>
              <w:top w:val="single" w:sz="8" w:color="auto"/>
            </w:tcBorders>
            <w:gridSpan w:val="2"/>
          </w:tcPr>
          <w:p>
            <w:pPr>
              <w:spacing w:after="0"/>
              <w:rPr>
                <w:sz w:val="13"/>
                <w:szCs w:val="13"/>
                <w:color w:val="auto"/>
              </w:rPr>
            </w:pPr>
          </w:p>
        </w:tc>
        <w:tc>
          <w:tcPr>
            <w:tcW w:w="820" w:type="dxa"/>
            <w:vAlign w:val="bottom"/>
            <w:tcBorders>
              <w:top w:val="single" w:sz="8" w:color="auto"/>
            </w:tcBorders>
            <w:gridSpan w:val="4"/>
          </w:tcPr>
          <w:p>
            <w:pPr>
              <w:spacing w:after="0" w:line="153" w:lineRule="exact"/>
              <w:rPr>
                <w:sz w:val="20"/>
                <w:szCs w:val="20"/>
                <w:color w:val="auto"/>
              </w:rPr>
            </w:pPr>
            <w:r>
              <w:rPr>
                <w:rFonts w:ascii="Arial" w:cs="Arial" w:eastAsia="Arial" w:hAnsi="Arial"/>
                <w:sz w:val="14"/>
                <w:szCs w:val="14"/>
                <w:b w:val="1"/>
                <w:bCs w:val="1"/>
                <w:color w:val="auto"/>
              </w:rPr>
              <w:t>S/(000)</w:t>
            </w:r>
          </w:p>
        </w:tc>
        <w:tc>
          <w:tcPr>
            <w:tcW w:w="16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gridSpan w:val="3"/>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b w:val="1"/>
                <w:bCs w:val="1"/>
                <w:color w:val="auto"/>
              </w:rPr>
              <w:t>S/(000)</w:t>
            </w:r>
          </w:p>
        </w:tc>
        <w:tc>
          <w:tcPr>
            <w:tcW w:w="280" w:type="dxa"/>
            <w:vAlign w:val="bottom"/>
            <w:gridSpan w:val="2"/>
          </w:tcPr>
          <w:p>
            <w:pPr>
              <w:spacing w:after="0"/>
              <w:rPr>
                <w:sz w:val="13"/>
                <w:szCs w:val="13"/>
                <w:color w:val="auto"/>
              </w:rPr>
            </w:pPr>
          </w:p>
        </w:tc>
        <w:tc>
          <w:tcPr>
            <w:tcW w:w="88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Commercial loans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8"/>
          </w:tcPr>
          <w:p>
            <w:pPr>
              <w:jc w:val="right"/>
              <w:spacing w:after="0" w:line="155" w:lineRule="exact"/>
              <w:rPr>
                <w:sz w:val="20"/>
                <w:szCs w:val="20"/>
                <w:color w:val="auto"/>
              </w:rPr>
            </w:pPr>
            <w:r>
              <w:rPr>
                <w:rFonts w:ascii="Arial" w:cs="Arial" w:eastAsia="Arial" w:hAnsi="Arial"/>
                <w:sz w:val="14"/>
                <w:szCs w:val="14"/>
                <w:color w:val="auto"/>
              </w:rPr>
              <w:t>101,307,435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4"/>
          </w:tcPr>
          <w:p>
            <w:pPr>
              <w:jc w:val="right"/>
              <w:spacing w:after="0" w:line="155" w:lineRule="exact"/>
              <w:rPr>
                <w:sz w:val="20"/>
                <w:szCs w:val="20"/>
                <w:color w:val="auto"/>
              </w:rPr>
            </w:pPr>
            <w:r>
              <w:rPr>
                <w:rFonts w:ascii="Arial" w:cs="Arial" w:eastAsia="Arial" w:hAnsi="Arial"/>
                <w:sz w:val="14"/>
                <w:szCs w:val="14"/>
                <w:color w:val="auto"/>
                <w:w w:val="96"/>
              </w:rPr>
              <w:t>(160,079)</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2,102,145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2,288,711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(30,101)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4,872,504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110,380,615</w:t>
            </w: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Residential mortgage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8"/>
            <w:vMerge w:val="restart"/>
          </w:tcPr>
          <w:p>
            <w:pPr>
              <w:jc w:val="right"/>
              <w:spacing w:after="0"/>
              <w:rPr>
                <w:sz w:val="20"/>
                <w:szCs w:val="20"/>
                <w:color w:val="auto"/>
              </w:rPr>
            </w:pPr>
            <w:r>
              <w:rPr>
                <w:rFonts w:ascii="Arial" w:cs="Arial" w:eastAsia="Arial" w:hAnsi="Arial"/>
                <w:sz w:val="14"/>
                <w:szCs w:val="14"/>
                <w:color w:val="auto"/>
              </w:rPr>
              <w:t>20,568,380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(39,189)</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891,735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color w:val="auto"/>
              </w:rPr>
              <w:t>(54,993)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(9,600)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475,127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0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loans</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8"/>
            <w:vMerge w:val="continue"/>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right"/>
              <w:spacing w:after="0" w:line="155" w:lineRule="exact"/>
              <w:rPr>
                <w:sz w:val="20"/>
                <w:szCs w:val="20"/>
                <w:color w:val="auto"/>
              </w:rPr>
            </w:pPr>
            <w:r>
              <w:rPr>
                <w:rFonts w:ascii="Arial" w:cs="Arial" w:eastAsia="Arial" w:hAnsi="Arial"/>
                <w:sz w:val="14"/>
                <w:szCs w:val="14"/>
                <w:color w:val="auto"/>
              </w:rPr>
              <w:t>21,831,460</w:t>
            </w:r>
          </w:p>
        </w:tc>
        <w:tc>
          <w:tcPr>
            <w:tcW w:w="0" w:type="dxa"/>
            <w:vAlign w:val="bottom"/>
          </w:tcPr>
          <w:p>
            <w:pPr>
              <w:spacing w:after="0"/>
              <w:rPr>
                <w:sz w:val="1"/>
                <w:szCs w:val="1"/>
                <w:color w:val="auto"/>
              </w:rPr>
            </w:pPr>
          </w:p>
        </w:tc>
      </w:tr>
      <w:tr>
        <w:trPr>
          <w:trHeight w:val="68"/>
        </w:trPr>
        <w:tc>
          <w:tcPr>
            <w:tcW w:w="1600" w:type="dxa"/>
            <w:vAlign w:val="bottom"/>
            <w:gridSpan w:val="3"/>
            <w:vMerge w:val="continue"/>
          </w:tcPr>
          <w:p>
            <w:pPr>
              <w:spacing w:after="0"/>
              <w:rPr>
                <w:sz w:val="5"/>
                <w:szCs w:val="5"/>
                <w:color w:val="auto"/>
              </w:rPr>
            </w:pPr>
          </w:p>
        </w:tc>
        <w:tc>
          <w:tcPr>
            <w:tcW w:w="8760" w:type="dxa"/>
            <w:vAlign w:val="bottom"/>
            <w:gridSpan w:val="55"/>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00" w:type="dxa"/>
            <w:vAlign w:val="bottom"/>
            <w:gridSpan w:val="3"/>
          </w:tcPr>
          <w:p>
            <w:pPr>
              <w:spacing w:after="0" w:line="155" w:lineRule="exact"/>
              <w:rPr>
                <w:sz w:val="20"/>
                <w:szCs w:val="20"/>
                <w:color w:val="auto"/>
              </w:rPr>
            </w:pPr>
            <w:r>
              <w:rPr>
                <w:rFonts w:ascii="Arial" w:cs="Arial" w:eastAsia="Arial" w:hAnsi="Arial"/>
                <w:sz w:val="14"/>
                <w:szCs w:val="14"/>
                <w:color w:val="auto"/>
              </w:rPr>
              <w:t>Micro-business loans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8"/>
          </w:tcPr>
          <w:p>
            <w:pPr>
              <w:jc w:val="right"/>
              <w:spacing w:after="0" w:line="155" w:lineRule="exact"/>
              <w:rPr>
                <w:sz w:val="20"/>
                <w:szCs w:val="20"/>
                <w:color w:val="auto"/>
              </w:rPr>
            </w:pPr>
            <w:r>
              <w:rPr>
                <w:rFonts w:ascii="Arial" w:cs="Arial" w:eastAsia="Arial" w:hAnsi="Arial"/>
                <w:sz w:val="14"/>
                <w:szCs w:val="14"/>
                <w:color w:val="auto"/>
              </w:rPr>
              <w:t>22,011,188</w:t>
            </w:r>
          </w:p>
        </w:tc>
        <w:tc>
          <w:tcPr>
            <w:tcW w:w="140" w:type="dxa"/>
            <w:vAlign w:val="bottom"/>
          </w:tcPr>
          <w:p>
            <w:pPr>
              <w:spacing w:after="0"/>
              <w:rPr>
                <w:sz w:val="13"/>
                <w:szCs w:val="13"/>
                <w:color w:val="auto"/>
              </w:rPr>
            </w:pPr>
          </w:p>
        </w:tc>
        <w:tc>
          <w:tcPr>
            <w:tcW w:w="82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(1,517,271)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3,977,889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(2,998,263)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(6,629)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170,350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21,637,264</w:t>
            </w:r>
          </w:p>
        </w:tc>
        <w:tc>
          <w:tcPr>
            <w:tcW w:w="0" w:type="dxa"/>
            <w:vAlign w:val="bottom"/>
          </w:tcPr>
          <w:p>
            <w:pPr>
              <w:spacing w:after="0"/>
              <w:rPr>
                <w:sz w:val="1"/>
                <w:szCs w:val="1"/>
                <w:color w:val="auto"/>
              </w:rPr>
            </w:pPr>
          </w:p>
        </w:tc>
      </w:tr>
      <w:tr>
        <w:trPr>
          <w:trHeight w:val="151"/>
        </w:trPr>
        <w:tc>
          <w:tcPr>
            <w:tcW w:w="1600" w:type="dxa"/>
            <w:vAlign w:val="bottom"/>
            <w:gridSpan w:val="3"/>
          </w:tcPr>
          <w:p>
            <w:pPr>
              <w:spacing w:after="0" w:line="151" w:lineRule="exact"/>
              <w:rPr>
                <w:sz w:val="20"/>
                <w:szCs w:val="20"/>
                <w:color w:val="auto"/>
              </w:rPr>
            </w:pPr>
            <w:r>
              <w:rPr>
                <w:rFonts w:ascii="Arial" w:cs="Arial" w:eastAsia="Arial" w:hAnsi="Arial"/>
                <w:sz w:val="14"/>
                <w:szCs w:val="14"/>
                <w:color w:val="auto"/>
              </w:rPr>
              <w:t>Consumer loans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880" w:type="dxa"/>
            <w:vAlign w:val="bottom"/>
            <w:tcBorders>
              <w:bottom w:val="single" w:sz="8" w:color="auto"/>
            </w:tcBorders>
            <w:gridSpan w:val="6"/>
          </w:tcPr>
          <w:p>
            <w:pPr>
              <w:jc w:val="right"/>
              <w:spacing w:after="0" w:line="151" w:lineRule="exact"/>
              <w:rPr>
                <w:sz w:val="20"/>
                <w:szCs w:val="20"/>
                <w:color w:val="auto"/>
              </w:rPr>
            </w:pPr>
            <w:r>
              <w:rPr>
                <w:rFonts w:ascii="Arial" w:cs="Arial" w:eastAsia="Arial" w:hAnsi="Arial"/>
                <w:sz w:val="14"/>
                <w:szCs w:val="14"/>
                <w:color w:val="auto"/>
              </w:rPr>
              <w:t>14,205,975</w:t>
            </w:r>
          </w:p>
        </w:tc>
        <w:tc>
          <w:tcPr>
            <w:tcW w:w="140" w:type="dxa"/>
            <w:vAlign w:val="bottom"/>
          </w:tcPr>
          <w:p>
            <w:pPr>
              <w:spacing w:after="0"/>
              <w:rPr>
                <w:sz w:val="13"/>
                <w:szCs w:val="13"/>
                <w:color w:val="auto"/>
              </w:rPr>
            </w:pPr>
          </w:p>
        </w:tc>
        <w:tc>
          <w:tcPr>
            <w:tcW w:w="820" w:type="dxa"/>
            <w:vAlign w:val="bottom"/>
            <w:tcBorders>
              <w:bottom w:val="single" w:sz="8" w:color="auto"/>
            </w:tcBorders>
            <w:gridSpan w:val="5"/>
          </w:tcPr>
          <w:p>
            <w:pPr>
              <w:jc w:val="right"/>
              <w:spacing w:after="0" w:line="151" w:lineRule="exact"/>
              <w:rPr>
                <w:sz w:val="20"/>
                <w:szCs w:val="20"/>
                <w:color w:val="auto"/>
              </w:rPr>
            </w:pPr>
            <w:r>
              <w:rPr>
                <w:rFonts w:ascii="Arial" w:cs="Arial" w:eastAsia="Arial" w:hAnsi="Arial"/>
                <w:sz w:val="14"/>
                <w:szCs w:val="14"/>
                <w:color w:val="auto"/>
              </w:rPr>
              <w:t>(1,349,843)</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5"/>
          </w:tcPr>
          <w:p>
            <w:pPr>
              <w:jc w:val="right"/>
              <w:spacing w:after="0" w:line="151" w:lineRule="exact"/>
              <w:rPr>
                <w:sz w:val="20"/>
                <w:szCs w:val="20"/>
                <w:color w:val="auto"/>
              </w:rPr>
            </w:pPr>
            <w:r>
              <w:rPr>
                <w:rFonts w:ascii="Arial" w:cs="Arial" w:eastAsia="Arial" w:hAnsi="Arial"/>
                <w:sz w:val="14"/>
                <w:szCs w:val="14"/>
                <w:color w:val="auto"/>
              </w:rPr>
              <w:t>2,269,729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jc w:val="right"/>
              <w:spacing w:after="0" w:line="151" w:lineRule="exact"/>
              <w:rPr>
                <w:sz w:val="20"/>
                <w:szCs w:val="20"/>
                <w:color w:val="auto"/>
              </w:rPr>
            </w:pPr>
            <w:r>
              <w:rPr>
                <w:rFonts w:ascii="Arial" w:cs="Arial" w:eastAsia="Arial" w:hAnsi="Arial"/>
                <w:sz w:val="14"/>
                <w:szCs w:val="14"/>
                <w:color w:val="auto"/>
              </w:rPr>
              <w:t>764,545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(1,237)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125,058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16,014,227</w:t>
            </w:r>
          </w:p>
        </w:tc>
        <w:tc>
          <w:tcPr>
            <w:tcW w:w="0" w:type="dxa"/>
            <w:vAlign w:val="bottom"/>
          </w:tcPr>
          <w:p>
            <w:pPr>
              <w:spacing w:after="0"/>
              <w:rPr>
                <w:sz w:val="1"/>
                <w:szCs w:val="1"/>
                <w:color w:val="auto"/>
              </w:rPr>
            </w:pPr>
          </w:p>
        </w:tc>
      </w:tr>
      <w:tr>
        <w:trPr>
          <w:trHeight w:val="154"/>
        </w:trPr>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88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158,092,978</w:t>
            </w:r>
          </w:p>
        </w:tc>
        <w:tc>
          <w:tcPr>
            <w:tcW w:w="140" w:type="dxa"/>
            <w:vAlign w:val="bottom"/>
          </w:tcPr>
          <w:p>
            <w:pPr>
              <w:spacing w:after="0"/>
              <w:rPr>
                <w:sz w:val="13"/>
                <w:szCs w:val="13"/>
                <w:color w:val="auto"/>
              </w:rPr>
            </w:pPr>
          </w:p>
        </w:tc>
        <w:tc>
          <w:tcPr>
            <w:tcW w:w="82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(3,066,382)</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9,241,498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(47,567)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5,643,039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169,863,566</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9" w:name="page80"/>
    <w:bookmarkEnd w:id="79"/>
    <w:p>
      <w:pPr>
        <w:jc w:val="both"/>
        <w:ind w:left="940" w:right="80" w:hanging="315"/>
        <w:spacing w:after="0" w:line="245" w:lineRule="auto"/>
        <w:tabs>
          <w:tab w:leader="none" w:pos="9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of December 31, 2022, and 2021, the allowance for loan losses for direct loans, indirect loans and due from customers on banker’s acceptances, was determined under the expected credit loss model as established in IFRS 9. The movement in the allowance for loan losses is shown below for direct loans and indirect loans and due from customers on banker’s acceptances is shown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Stage 1</w:t>
            </w:r>
          </w:p>
        </w:tc>
        <w:tc>
          <w:tcPr>
            <w:tcW w:w="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New loans</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Changes</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24"/>
        </w:trPr>
        <w:tc>
          <w:tcPr>
            <w:tcW w:w="1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6"/>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Transfer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Transfer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w w:val="99"/>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Transfer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liquidation,</w:t>
            </w:r>
          </w:p>
        </w:tc>
        <w:tc>
          <w:tcPr>
            <w:tcW w:w="8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 PDs,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from</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and write-</w:t>
            </w:r>
          </w:p>
        </w:tc>
        <w:tc>
          <w:tcPr>
            <w:tcW w:w="8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LGDs,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classes</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Loans by class</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31, 2021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Stage 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ind w:left="60"/>
              <w:spacing w:after="0"/>
              <w:rPr>
                <w:sz w:val="20"/>
                <w:szCs w:val="20"/>
                <w:color w:val="auto"/>
              </w:rPr>
            </w:pPr>
            <w:r>
              <w:rPr>
                <w:rFonts w:ascii="Arial" w:cs="Arial" w:eastAsia="Arial" w:hAnsi="Arial"/>
                <w:sz w:val="14"/>
                <w:szCs w:val="14"/>
                <w:b w:val="1"/>
                <w:bCs w:val="1"/>
                <w:color w:val="auto"/>
              </w:rPr>
              <w:t>Stage 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Stage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Stage 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6"/>
          </w:tcPr>
          <w:p>
            <w:pPr>
              <w:ind w:left="40"/>
              <w:spacing w:after="0"/>
              <w:rPr>
                <w:sz w:val="20"/>
                <w:szCs w:val="20"/>
                <w:color w:val="auto"/>
              </w:rPr>
            </w:pPr>
            <w:r>
              <w:rPr>
                <w:rFonts w:ascii="Arial" w:cs="Arial" w:eastAsia="Arial" w:hAnsi="Arial"/>
                <w:sz w:val="14"/>
                <w:szCs w:val="14"/>
                <w:b w:val="1"/>
                <w:bCs w:val="1"/>
                <w:color w:val="auto"/>
              </w:rPr>
              <w:t>offs, net</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EADs(*)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loans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portfolio</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others</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31, 2022</w:t>
            </w:r>
          </w:p>
        </w:tc>
        <w:tc>
          <w:tcPr>
            <w:tcW w:w="0" w:type="dxa"/>
            <w:vAlign w:val="bottom"/>
          </w:tcPr>
          <w:p>
            <w:pPr>
              <w:spacing w:after="0"/>
              <w:rPr>
                <w:sz w:val="1"/>
                <w:szCs w:val="1"/>
                <w:color w:val="auto"/>
              </w:rPr>
            </w:pPr>
          </w:p>
        </w:tc>
      </w:tr>
      <w:tr>
        <w:trPr>
          <w:trHeight w:val="153"/>
        </w:trPr>
        <w:tc>
          <w:tcPr>
            <w:tcW w:w="14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auto"/>
            </w:tcBorders>
            <w:gridSpan w:val="4"/>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80" w:type="dxa"/>
            <w:vAlign w:val="bottom"/>
          </w:tcPr>
          <w:p>
            <w:pPr>
              <w:spacing w:after="0"/>
              <w:rPr>
                <w:sz w:val="13"/>
                <w:szCs w:val="13"/>
                <w:color w:val="auto"/>
              </w:rPr>
            </w:pPr>
          </w:p>
        </w:tc>
        <w:tc>
          <w:tcPr>
            <w:tcW w:w="7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Commercial loans</w:t>
            </w:r>
          </w:p>
        </w:tc>
        <w:tc>
          <w:tcPr>
            <w:tcW w:w="76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607,880</w:t>
            </w:r>
          </w:p>
        </w:tc>
        <w:tc>
          <w:tcPr>
            <w:tcW w:w="20" w:type="dxa"/>
            <w:vAlign w:val="bottom"/>
          </w:tcPr>
          <w:p>
            <w:pPr>
              <w:spacing w:after="0"/>
              <w:rPr>
                <w:sz w:val="13"/>
                <w:szCs w:val="13"/>
                <w:color w:val="auto"/>
              </w:rPr>
            </w:pPr>
          </w:p>
        </w:tc>
        <w:tc>
          <w:tcPr>
            <w:tcW w:w="820" w:type="dxa"/>
            <w:vAlign w:val="bottom"/>
            <w:gridSpan w:val="5"/>
          </w:tcPr>
          <w:p>
            <w:pPr>
              <w:jc w:val="right"/>
              <w:ind w:right="40"/>
              <w:spacing w:after="0" w:line="155" w:lineRule="exact"/>
              <w:rPr>
                <w:sz w:val="20"/>
                <w:szCs w:val="20"/>
                <w:color w:val="auto"/>
              </w:rPr>
            </w:pPr>
            <w:r>
              <w:rPr>
                <w:rFonts w:ascii="Arial" w:cs="Arial" w:eastAsia="Arial" w:hAnsi="Arial"/>
                <w:sz w:val="14"/>
                <w:szCs w:val="14"/>
                <w:color w:val="auto"/>
              </w:rPr>
              <w:t>(167,527)</w:t>
            </w:r>
          </w:p>
        </w:tc>
        <w:tc>
          <w:tcPr>
            <w:tcW w:w="20" w:type="dxa"/>
            <w:vAlign w:val="bottom"/>
          </w:tcPr>
          <w:p>
            <w:pPr>
              <w:spacing w:after="0"/>
              <w:rPr>
                <w:sz w:val="13"/>
                <w:szCs w:val="13"/>
                <w:color w:val="auto"/>
              </w:rPr>
            </w:pPr>
          </w:p>
        </w:tc>
        <w:tc>
          <w:tcPr>
            <w:tcW w:w="8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(16,135)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168,102</w:t>
            </w:r>
          </w:p>
        </w:tc>
        <w:tc>
          <w:tcPr>
            <w:tcW w:w="82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41,729</w:t>
            </w: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86,676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(120,997)</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(12,101)</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(15,728)</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571,899</w:t>
            </w: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Residential mortgage</w:t>
            </w: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76,706</w:t>
            </w:r>
          </w:p>
        </w:tc>
        <w:tc>
          <w:tcPr>
            <w:tcW w:w="20" w:type="dxa"/>
            <w:vAlign w:val="bottom"/>
          </w:tcPr>
          <w:p>
            <w:pPr>
              <w:spacing w:after="0"/>
              <w:rPr>
                <w:sz w:val="13"/>
                <w:szCs w:val="13"/>
                <w:color w:val="auto"/>
              </w:rPr>
            </w:pPr>
          </w:p>
        </w:tc>
        <w:tc>
          <w:tcPr>
            <w:tcW w:w="820" w:type="dxa"/>
            <w:vAlign w:val="bottom"/>
            <w:gridSpan w:val="5"/>
            <w:vMerge w:val="restart"/>
          </w:tcPr>
          <w:p>
            <w:pPr>
              <w:jc w:val="right"/>
              <w:ind w:right="40"/>
              <w:spacing w:after="0"/>
              <w:rPr>
                <w:sz w:val="20"/>
                <w:szCs w:val="20"/>
                <w:color w:val="auto"/>
              </w:rPr>
            </w:pPr>
            <w:r>
              <w:rPr>
                <w:rFonts w:ascii="Arial" w:cs="Arial" w:eastAsia="Arial" w:hAnsi="Arial"/>
                <w:sz w:val="14"/>
                <w:szCs w:val="14"/>
                <w:color w:val="auto"/>
              </w:rPr>
              <w:t>(27,467)</w:t>
            </w:r>
          </w:p>
        </w:tc>
        <w:tc>
          <w:tcPr>
            <w:tcW w:w="20" w:type="dxa"/>
            <w:vAlign w:val="bottom"/>
          </w:tcPr>
          <w:p>
            <w:pPr>
              <w:spacing w:after="0"/>
              <w:rPr>
                <w:sz w:val="13"/>
                <w:szCs w:val="13"/>
                <w:color w:val="auto"/>
              </w:rPr>
            </w:pPr>
          </w:p>
        </w:tc>
        <w:tc>
          <w:tcPr>
            <w:tcW w:w="800" w:type="dxa"/>
            <w:vAlign w:val="bottom"/>
            <w:gridSpan w:val="5"/>
            <w:vMerge w:val="restart"/>
          </w:tcPr>
          <w:p>
            <w:pPr>
              <w:jc w:val="right"/>
              <w:spacing w:after="0"/>
              <w:rPr>
                <w:sz w:val="20"/>
                <w:szCs w:val="20"/>
                <w:color w:val="auto"/>
              </w:rPr>
            </w:pPr>
            <w:r>
              <w:rPr>
                <w:rFonts w:ascii="Arial" w:cs="Arial" w:eastAsia="Arial" w:hAnsi="Arial"/>
                <w:sz w:val="14"/>
                <w:szCs w:val="14"/>
                <w:color w:val="auto"/>
              </w:rPr>
              <w:t>(778)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vMerge w:val="restart"/>
          </w:tcPr>
          <w:p>
            <w:pPr>
              <w:jc w:val="right"/>
              <w:ind w:right="20"/>
              <w:spacing w:after="0"/>
              <w:rPr>
                <w:sz w:val="20"/>
                <w:szCs w:val="20"/>
                <w:color w:val="auto"/>
              </w:rPr>
            </w:pPr>
            <w:r>
              <w:rPr>
                <w:rFonts w:ascii="Arial" w:cs="Arial" w:eastAsia="Arial" w:hAnsi="Arial"/>
                <w:sz w:val="14"/>
                <w:szCs w:val="14"/>
                <w:color w:val="auto"/>
              </w:rPr>
              <w:t>52,161</w:t>
            </w: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4"/>
                <w:szCs w:val="14"/>
                <w:color w:val="auto"/>
              </w:rPr>
              <w:t>15,910</w:t>
            </w:r>
          </w:p>
        </w:tc>
        <w:tc>
          <w:tcPr>
            <w:tcW w:w="20" w:type="dxa"/>
            <w:vAlign w:val="bottom"/>
          </w:tcPr>
          <w:p>
            <w:pPr>
              <w:spacing w:after="0"/>
              <w:rPr>
                <w:sz w:val="13"/>
                <w:szCs w:val="13"/>
                <w:color w:val="auto"/>
              </w:rPr>
            </w:pPr>
          </w:p>
        </w:tc>
        <w:tc>
          <w:tcPr>
            <w:tcW w:w="960" w:type="dxa"/>
            <w:vAlign w:val="bottom"/>
            <w:gridSpan w:val="4"/>
            <w:vMerge w:val="restart"/>
          </w:tcPr>
          <w:p>
            <w:pPr>
              <w:jc w:val="right"/>
              <w:spacing w:after="0"/>
              <w:rPr>
                <w:sz w:val="20"/>
                <w:szCs w:val="20"/>
                <w:color w:val="auto"/>
              </w:rPr>
            </w:pPr>
            <w:r>
              <w:rPr>
                <w:rFonts w:ascii="Arial" w:cs="Arial" w:eastAsia="Arial" w:hAnsi="Arial"/>
                <w:sz w:val="14"/>
                <w:szCs w:val="14"/>
                <w:color w:val="auto"/>
              </w:rPr>
              <w:t>10,256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(43,766)</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2,274</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(1,760)</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83,536</w:t>
            </w:r>
          </w:p>
        </w:tc>
        <w:tc>
          <w:tcPr>
            <w:tcW w:w="0" w:type="dxa"/>
            <w:vAlign w:val="bottom"/>
          </w:tcPr>
          <w:p>
            <w:pPr>
              <w:spacing w:after="0"/>
              <w:rPr>
                <w:sz w:val="1"/>
                <w:szCs w:val="1"/>
                <w:color w:val="auto"/>
              </w:rPr>
            </w:pPr>
          </w:p>
        </w:tc>
      </w:tr>
      <w:tr>
        <w:trPr>
          <w:trHeight w:val="87"/>
        </w:trPr>
        <w:tc>
          <w:tcPr>
            <w:tcW w:w="1620" w:type="dxa"/>
            <w:vAlign w:val="bottom"/>
            <w:gridSpan w:val="6"/>
            <w:vMerge w:val="restart"/>
          </w:tcPr>
          <w:p>
            <w:pPr>
              <w:spacing w:after="0" w:line="155" w:lineRule="exact"/>
              <w:rPr>
                <w:sz w:val="20"/>
                <w:szCs w:val="20"/>
                <w:color w:val="auto"/>
              </w:rPr>
            </w:pPr>
            <w:r>
              <w:rPr>
                <w:rFonts w:ascii="Arial" w:cs="Arial" w:eastAsia="Arial" w:hAnsi="Arial"/>
                <w:sz w:val="14"/>
                <w:szCs w:val="14"/>
                <w:color w:val="auto"/>
              </w:rPr>
              <w:t>loans</w:t>
            </w:r>
          </w:p>
        </w:tc>
        <w:tc>
          <w:tcPr>
            <w:tcW w:w="7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82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2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Micro-business loans</w:t>
            </w:r>
          </w:p>
        </w:tc>
        <w:tc>
          <w:tcPr>
            <w:tcW w:w="76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434,162</w:t>
            </w:r>
          </w:p>
        </w:tc>
        <w:tc>
          <w:tcPr>
            <w:tcW w:w="20" w:type="dxa"/>
            <w:vAlign w:val="bottom"/>
          </w:tcPr>
          <w:p>
            <w:pPr>
              <w:spacing w:after="0"/>
              <w:rPr>
                <w:sz w:val="13"/>
                <w:szCs w:val="13"/>
                <w:color w:val="auto"/>
              </w:rPr>
            </w:pPr>
          </w:p>
        </w:tc>
        <w:tc>
          <w:tcPr>
            <w:tcW w:w="820" w:type="dxa"/>
            <w:vAlign w:val="bottom"/>
            <w:gridSpan w:val="5"/>
          </w:tcPr>
          <w:p>
            <w:pPr>
              <w:jc w:val="right"/>
              <w:ind w:right="40"/>
              <w:spacing w:after="0" w:line="155" w:lineRule="exact"/>
              <w:rPr>
                <w:sz w:val="20"/>
                <w:szCs w:val="20"/>
                <w:color w:val="auto"/>
              </w:rPr>
            </w:pPr>
            <w:r>
              <w:rPr>
                <w:rFonts w:ascii="Arial" w:cs="Arial" w:eastAsia="Arial" w:hAnsi="Arial"/>
                <w:sz w:val="14"/>
                <w:szCs w:val="14"/>
                <w:color w:val="auto"/>
              </w:rPr>
              <w:t>(372,672)</w:t>
            </w:r>
          </w:p>
        </w:tc>
        <w:tc>
          <w:tcPr>
            <w:tcW w:w="20" w:type="dxa"/>
            <w:vAlign w:val="bottom"/>
          </w:tcPr>
          <w:p>
            <w:pPr>
              <w:spacing w:after="0"/>
              <w:rPr>
                <w:sz w:val="13"/>
                <w:szCs w:val="13"/>
                <w:color w:val="auto"/>
              </w:rPr>
            </w:pPr>
          </w:p>
        </w:tc>
        <w:tc>
          <w:tcPr>
            <w:tcW w:w="8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(14,219)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152,072</w:t>
            </w:r>
          </w:p>
        </w:tc>
        <w:tc>
          <w:tcPr>
            <w:tcW w:w="82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17,632</w:t>
            </w: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471,157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(352,379)</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(14,695)</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(5,098)</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315,960</w:t>
            </w:r>
          </w:p>
        </w:tc>
        <w:tc>
          <w:tcPr>
            <w:tcW w:w="0" w:type="dxa"/>
            <w:vAlign w:val="bottom"/>
          </w:tcPr>
          <w:p>
            <w:pPr>
              <w:spacing w:after="0"/>
              <w:rPr>
                <w:sz w:val="1"/>
                <w:szCs w:val="1"/>
                <w:color w:val="auto"/>
              </w:rPr>
            </w:pPr>
          </w:p>
        </w:tc>
      </w:tr>
      <w:tr>
        <w:trPr>
          <w:trHeight w:val="151"/>
        </w:trPr>
        <w:tc>
          <w:tcPr>
            <w:tcW w:w="1620" w:type="dxa"/>
            <w:vAlign w:val="bottom"/>
            <w:gridSpan w:val="6"/>
          </w:tcPr>
          <w:p>
            <w:pPr>
              <w:spacing w:after="0" w:line="151" w:lineRule="exact"/>
              <w:rPr>
                <w:sz w:val="20"/>
                <w:szCs w:val="20"/>
                <w:color w:val="auto"/>
              </w:rPr>
            </w:pPr>
            <w:r>
              <w:rPr>
                <w:rFonts w:ascii="Arial" w:cs="Arial" w:eastAsia="Arial" w:hAnsi="Arial"/>
                <w:sz w:val="14"/>
                <w:szCs w:val="14"/>
                <w:color w:val="auto"/>
              </w:rPr>
              <w:t>Consumer loans</w:t>
            </w:r>
          </w:p>
        </w:tc>
        <w:tc>
          <w:tcPr>
            <w:tcW w:w="76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317,597</w:t>
            </w: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80" w:type="dxa"/>
            <w:vAlign w:val="bottom"/>
            <w:tcBorders>
              <w:bottom w:val="single" w:sz="8" w:color="auto"/>
            </w:tcBorders>
            <w:gridSpan w:val="2"/>
          </w:tcPr>
          <w:p>
            <w:pPr>
              <w:jc w:val="right"/>
              <w:ind w:right="40"/>
              <w:spacing w:after="0" w:line="151" w:lineRule="exact"/>
              <w:rPr>
                <w:sz w:val="20"/>
                <w:szCs w:val="20"/>
                <w:color w:val="auto"/>
              </w:rPr>
            </w:pPr>
            <w:r>
              <w:rPr>
                <w:rFonts w:ascii="Arial" w:cs="Arial" w:eastAsia="Arial" w:hAnsi="Arial"/>
                <w:sz w:val="14"/>
                <w:szCs w:val="14"/>
                <w:color w:val="auto"/>
              </w:rPr>
              <w:t>(195,412)</w:t>
            </w: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(9,065)</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Borders>
              <w:bottom w:val="single" w:sz="8" w:color="auto"/>
            </w:tcBorders>
            <w:gridSpan w:val="3"/>
          </w:tcPr>
          <w:p>
            <w:pPr>
              <w:jc w:val="right"/>
              <w:ind w:right="20"/>
              <w:spacing w:after="0" w:line="151" w:lineRule="exact"/>
              <w:rPr>
                <w:sz w:val="20"/>
                <w:szCs w:val="20"/>
                <w:color w:val="auto"/>
              </w:rPr>
            </w:pPr>
            <w:r>
              <w:rPr>
                <w:rFonts w:ascii="Arial" w:cs="Arial" w:eastAsia="Arial" w:hAnsi="Arial"/>
                <w:sz w:val="14"/>
                <w:szCs w:val="14"/>
                <w:color w:val="auto"/>
              </w:rPr>
              <w:t>190,973</w:t>
            </w:r>
          </w:p>
        </w:tc>
        <w:tc>
          <w:tcPr>
            <w:tcW w:w="40" w:type="dxa"/>
            <w:vAlign w:val="bottom"/>
            <w:tcBorders>
              <w:bottom w:val="single" w:sz="8" w:color="auto"/>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ind w:right="20"/>
              <w:spacing w:after="0" w:line="151" w:lineRule="exact"/>
              <w:rPr>
                <w:sz w:val="20"/>
                <w:szCs w:val="20"/>
                <w:color w:val="auto"/>
              </w:rPr>
            </w:pPr>
            <w:r>
              <w:rPr>
                <w:rFonts w:ascii="Arial" w:cs="Arial" w:eastAsia="Arial" w:hAnsi="Arial"/>
                <w:sz w:val="14"/>
                <w:szCs w:val="14"/>
                <w:color w:val="auto"/>
              </w:rPr>
              <w:t>54,506</w:t>
            </w:r>
          </w:p>
        </w:tc>
        <w:tc>
          <w:tcPr>
            <w:tcW w:w="20" w:type="dxa"/>
            <w:vAlign w:val="bottom"/>
            <w:tcBorders>
              <w:bottom w:val="single" w:sz="8" w:color="auto"/>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340,981</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(419,651)</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24,522</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(4,129)</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300,322</w:t>
            </w:r>
          </w:p>
        </w:tc>
        <w:tc>
          <w:tcPr>
            <w:tcW w:w="0" w:type="dxa"/>
            <w:vAlign w:val="bottom"/>
          </w:tcPr>
          <w:p>
            <w:pPr>
              <w:spacing w:after="0"/>
              <w:rPr>
                <w:sz w:val="1"/>
                <w:szCs w:val="1"/>
                <w:color w:val="auto"/>
              </w:rPr>
            </w:pPr>
          </w:p>
        </w:tc>
      </w:tr>
      <w:tr>
        <w:trPr>
          <w:trHeight w:val="154"/>
        </w:trPr>
        <w:tc>
          <w:tcPr>
            <w:tcW w:w="162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Total</w:t>
            </w:r>
          </w:p>
        </w:tc>
        <w:tc>
          <w:tcPr>
            <w:tcW w:w="760" w:type="dxa"/>
            <w:vAlign w:val="bottom"/>
            <w:tcBorders>
              <w:bottom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1,436,345</w:t>
            </w: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8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(763,078)</w:t>
            </w: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(40,197)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Borders>
              <w:bottom w:val="single" w:sz="8" w:color="auto"/>
            </w:tcBorders>
            <w:gridSpan w:val="3"/>
          </w:tcPr>
          <w:p>
            <w:pPr>
              <w:jc w:val="right"/>
              <w:ind w:right="20"/>
              <w:spacing w:after="0" w:line="149" w:lineRule="exact"/>
              <w:rPr>
                <w:sz w:val="20"/>
                <w:szCs w:val="20"/>
                <w:color w:val="auto"/>
              </w:rPr>
            </w:pPr>
            <w:r>
              <w:rPr>
                <w:rFonts w:ascii="Arial" w:cs="Arial" w:eastAsia="Arial" w:hAnsi="Arial"/>
                <w:sz w:val="14"/>
                <w:szCs w:val="14"/>
                <w:color w:val="auto"/>
              </w:rPr>
              <w:t>563,308</w:t>
            </w:r>
          </w:p>
        </w:tc>
        <w:tc>
          <w:tcPr>
            <w:tcW w:w="40" w:type="dxa"/>
            <w:vAlign w:val="bottom"/>
            <w:tcBorders>
              <w:bottom w:val="single" w:sz="8" w:color="auto"/>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129,777</w:t>
            </w:r>
          </w:p>
        </w:tc>
        <w:tc>
          <w:tcPr>
            <w:tcW w:w="20" w:type="dxa"/>
            <w:vAlign w:val="bottom"/>
            <w:tcBorders>
              <w:bottom w:val="single" w:sz="8" w:color="auto"/>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909,070</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(936,793)</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(26,715)</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1,271,717</w:t>
            </w:r>
          </w:p>
        </w:tc>
        <w:tc>
          <w:tcPr>
            <w:tcW w:w="0" w:type="dxa"/>
            <w:vAlign w:val="bottom"/>
          </w:tcPr>
          <w:p>
            <w:pPr>
              <w:spacing w:after="0"/>
              <w:rPr>
                <w:sz w:val="1"/>
                <w:szCs w:val="1"/>
                <w:color w:val="auto"/>
              </w:rPr>
            </w:pPr>
          </w:p>
        </w:tc>
      </w:tr>
      <w:tr>
        <w:trPr>
          <w:trHeight w:val="311"/>
        </w:trPr>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Stage 2</w:t>
            </w: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New loans</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Changes</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24"/>
        </w:trPr>
        <w:tc>
          <w:tcPr>
            <w:tcW w:w="1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6"/>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at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w w:val="99"/>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Transfer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liquidation,</w:t>
            </w:r>
          </w:p>
        </w:tc>
        <w:tc>
          <w:tcPr>
            <w:tcW w:w="8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 PDs,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from</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and write-</w:t>
            </w:r>
          </w:p>
        </w:tc>
        <w:tc>
          <w:tcPr>
            <w:tcW w:w="8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LGDs,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classes</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Loans by class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31, 2021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Stage 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Stage 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Stage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Stage 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6"/>
          </w:tcPr>
          <w:p>
            <w:pPr>
              <w:ind w:left="40"/>
              <w:spacing w:after="0"/>
              <w:rPr>
                <w:sz w:val="20"/>
                <w:szCs w:val="20"/>
                <w:color w:val="auto"/>
              </w:rPr>
            </w:pPr>
            <w:r>
              <w:rPr>
                <w:rFonts w:ascii="Arial" w:cs="Arial" w:eastAsia="Arial" w:hAnsi="Arial"/>
                <w:sz w:val="14"/>
                <w:szCs w:val="14"/>
                <w:b w:val="1"/>
                <w:bCs w:val="1"/>
                <w:color w:val="auto"/>
              </w:rPr>
              <w:t>offs, net</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EADs(*)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loans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portfolio</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others</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31, 2022</w:t>
            </w:r>
          </w:p>
        </w:tc>
        <w:tc>
          <w:tcPr>
            <w:tcW w:w="0" w:type="dxa"/>
            <w:vAlign w:val="bottom"/>
          </w:tcPr>
          <w:p>
            <w:pPr>
              <w:spacing w:after="0"/>
              <w:rPr>
                <w:sz w:val="1"/>
                <w:szCs w:val="1"/>
                <w:color w:val="auto"/>
              </w:rPr>
            </w:pPr>
          </w:p>
        </w:tc>
      </w:tr>
      <w:tr>
        <w:trPr>
          <w:trHeight w:val="153"/>
        </w:trPr>
        <w:tc>
          <w:tcPr>
            <w:tcW w:w="14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80" w:type="dxa"/>
            <w:vAlign w:val="bottom"/>
          </w:tcPr>
          <w:p>
            <w:pPr>
              <w:spacing w:after="0"/>
              <w:rPr>
                <w:sz w:val="13"/>
                <w:szCs w:val="13"/>
                <w:color w:val="auto"/>
              </w:rPr>
            </w:pPr>
          </w:p>
        </w:tc>
        <w:tc>
          <w:tcPr>
            <w:tcW w:w="7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Commercial loans</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652,781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(168,102)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(225,459)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167,527</w:t>
            </w:r>
          </w:p>
        </w:tc>
        <w:tc>
          <w:tcPr>
            <w:tcW w:w="82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61,995</w:t>
            </w: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(218,631)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167,455</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58,569</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(2,878)</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493,257</w:t>
            </w: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Residential mortgage</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97,388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4"/>
                <w:szCs w:val="14"/>
                <w:color w:val="auto"/>
              </w:rPr>
              <w:t>(52,161)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5"/>
            <w:vMerge w:val="restart"/>
          </w:tcPr>
          <w:p>
            <w:pPr>
              <w:jc w:val="right"/>
              <w:spacing w:after="0"/>
              <w:rPr>
                <w:sz w:val="20"/>
                <w:szCs w:val="20"/>
                <w:color w:val="auto"/>
              </w:rPr>
            </w:pPr>
            <w:r>
              <w:rPr>
                <w:rFonts w:ascii="Arial" w:cs="Arial" w:eastAsia="Arial" w:hAnsi="Arial"/>
                <w:sz w:val="14"/>
                <w:szCs w:val="14"/>
                <w:color w:val="auto"/>
              </w:rPr>
              <w:t>(21,869)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vMerge w:val="restart"/>
          </w:tcPr>
          <w:p>
            <w:pPr>
              <w:jc w:val="right"/>
              <w:ind w:right="20"/>
              <w:spacing w:after="0"/>
              <w:rPr>
                <w:sz w:val="20"/>
                <w:szCs w:val="20"/>
                <w:color w:val="auto"/>
              </w:rPr>
            </w:pPr>
            <w:r>
              <w:rPr>
                <w:rFonts w:ascii="Arial" w:cs="Arial" w:eastAsia="Arial" w:hAnsi="Arial"/>
                <w:sz w:val="14"/>
                <w:szCs w:val="14"/>
                <w:color w:val="auto"/>
              </w:rPr>
              <w:t>27,467</w:t>
            </w: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4"/>
                <w:szCs w:val="14"/>
                <w:color w:val="auto"/>
              </w:rPr>
              <w:t>13,888</w:t>
            </w: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(11,992)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76,064</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(2,028)</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126,832</w:t>
            </w:r>
          </w:p>
        </w:tc>
        <w:tc>
          <w:tcPr>
            <w:tcW w:w="0" w:type="dxa"/>
            <w:vAlign w:val="bottom"/>
          </w:tcPr>
          <w:p>
            <w:pPr>
              <w:spacing w:after="0"/>
              <w:rPr>
                <w:sz w:val="1"/>
                <w:szCs w:val="1"/>
                <w:color w:val="auto"/>
              </w:rPr>
            </w:pPr>
          </w:p>
        </w:tc>
      </w:tr>
      <w:tr>
        <w:trPr>
          <w:trHeight w:val="87"/>
        </w:trPr>
        <w:tc>
          <w:tcPr>
            <w:tcW w:w="1620" w:type="dxa"/>
            <w:vAlign w:val="bottom"/>
            <w:gridSpan w:val="6"/>
            <w:vMerge w:val="restart"/>
          </w:tcPr>
          <w:p>
            <w:pPr>
              <w:spacing w:after="0" w:line="155" w:lineRule="exact"/>
              <w:rPr>
                <w:sz w:val="20"/>
                <w:szCs w:val="20"/>
                <w:color w:val="auto"/>
              </w:rPr>
            </w:pPr>
            <w:r>
              <w:rPr>
                <w:rFonts w:ascii="Arial" w:cs="Arial" w:eastAsia="Arial" w:hAnsi="Arial"/>
                <w:sz w:val="14"/>
                <w:szCs w:val="14"/>
                <w:color w:val="auto"/>
              </w:rPr>
              <w:t>loans</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82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2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Micro-business loans</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625,255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(152,072)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(274,896)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372,672</w:t>
            </w:r>
          </w:p>
        </w:tc>
        <w:tc>
          <w:tcPr>
            <w:tcW w:w="82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34,163</w:t>
            </w: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(384,376)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381,863</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(56,841)</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(4,855)</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540,913</w:t>
            </w:r>
          </w:p>
        </w:tc>
        <w:tc>
          <w:tcPr>
            <w:tcW w:w="0" w:type="dxa"/>
            <w:vAlign w:val="bottom"/>
          </w:tcPr>
          <w:p>
            <w:pPr>
              <w:spacing w:after="0"/>
              <w:rPr>
                <w:sz w:val="1"/>
                <w:szCs w:val="1"/>
                <w:color w:val="auto"/>
              </w:rPr>
            </w:pPr>
          </w:p>
        </w:tc>
      </w:tr>
      <w:tr>
        <w:trPr>
          <w:trHeight w:val="151"/>
        </w:trPr>
        <w:tc>
          <w:tcPr>
            <w:tcW w:w="1600" w:type="dxa"/>
            <w:vAlign w:val="bottom"/>
            <w:gridSpan w:val="5"/>
          </w:tcPr>
          <w:p>
            <w:pPr>
              <w:spacing w:after="0" w:line="151" w:lineRule="exact"/>
              <w:rPr>
                <w:sz w:val="20"/>
                <w:szCs w:val="20"/>
                <w:color w:val="auto"/>
              </w:rPr>
            </w:pPr>
            <w:r>
              <w:rPr>
                <w:rFonts w:ascii="Arial" w:cs="Arial" w:eastAsia="Arial" w:hAnsi="Arial"/>
                <w:sz w:val="14"/>
                <w:szCs w:val="14"/>
                <w:color w:val="auto"/>
              </w:rPr>
              <w:t>Consumer loans</w:t>
            </w: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51" w:lineRule="exact"/>
              <w:rPr>
                <w:sz w:val="20"/>
                <w:szCs w:val="20"/>
                <w:color w:val="auto"/>
              </w:rPr>
            </w:pPr>
            <w:r>
              <w:rPr>
                <w:rFonts w:ascii="Arial" w:cs="Arial" w:eastAsia="Arial" w:hAnsi="Arial"/>
                <w:sz w:val="14"/>
                <w:szCs w:val="14"/>
                <w:color w:val="auto"/>
              </w:rPr>
              <w:t>637,763</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(190,973)</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(312,930)</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Borders>
              <w:bottom w:val="single" w:sz="8" w:color="auto"/>
            </w:tcBorders>
            <w:gridSpan w:val="3"/>
          </w:tcPr>
          <w:p>
            <w:pPr>
              <w:jc w:val="right"/>
              <w:ind w:right="20"/>
              <w:spacing w:after="0" w:line="151" w:lineRule="exact"/>
              <w:rPr>
                <w:sz w:val="20"/>
                <w:szCs w:val="20"/>
                <w:color w:val="auto"/>
              </w:rPr>
            </w:pPr>
            <w:r>
              <w:rPr>
                <w:rFonts w:ascii="Arial" w:cs="Arial" w:eastAsia="Arial" w:hAnsi="Arial"/>
                <w:sz w:val="14"/>
                <w:szCs w:val="14"/>
                <w:color w:val="auto"/>
              </w:rPr>
              <w:t>195,412</w:t>
            </w:r>
          </w:p>
        </w:tc>
        <w:tc>
          <w:tcPr>
            <w:tcW w:w="40" w:type="dxa"/>
            <w:vAlign w:val="bottom"/>
            <w:tcBorders>
              <w:bottom w:val="single" w:sz="8" w:color="auto"/>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ind w:right="20"/>
              <w:spacing w:after="0" w:line="151" w:lineRule="exact"/>
              <w:rPr>
                <w:sz w:val="20"/>
                <w:szCs w:val="20"/>
                <w:color w:val="auto"/>
              </w:rPr>
            </w:pPr>
            <w:r>
              <w:rPr>
                <w:rFonts w:ascii="Arial" w:cs="Arial" w:eastAsia="Arial" w:hAnsi="Arial"/>
                <w:sz w:val="14"/>
                <w:szCs w:val="14"/>
                <w:color w:val="auto"/>
              </w:rPr>
              <w:t>62,043</w:t>
            </w:r>
          </w:p>
        </w:tc>
        <w:tc>
          <w:tcPr>
            <w:tcW w:w="20" w:type="dxa"/>
            <w:vAlign w:val="bottom"/>
            <w:tcBorders>
              <w:bottom w:val="single" w:sz="8" w:color="auto"/>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(132,340)</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183,112</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(1,803)</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(710)</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439,574</w:t>
            </w:r>
          </w:p>
        </w:tc>
        <w:tc>
          <w:tcPr>
            <w:tcW w:w="0" w:type="dxa"/>
            <w:vAlign w:val="bottom"/>
          </w:tcPr>
          <w:p>
            <w:pPr>
              <w:spacing w:after="0"/>
              <w:rPr>
                <w:sz w:val="1"/>
                <w:szCs w:val="1"/>
                <w:color w:val="auto"/>
              </w:rPr>
            </w:pPr>
          </w:p>
        </w:tc>
      </w:tr>
      <w:tr>
        <w:trPr>
          <w:trHeight w:val="154"/>
        </w:trPr>
        <w:tc>
          <w:tcPr>
            <w:tcW w:w="16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2,013,187</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(563,308)</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(835,154)</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Borders>
              <w:bottom w:val="single" w:sz="8" w:color="auto"/>
            </w:tcBorders>
            <w:gridSpan w:val="3"/>
          </w:tcPr>
          <w:p>
            <w:pPr>
              <w:jc w:val="right"/>
              <w:ind w:right="20"/>
              <w:spacing w:after="0" w:line="149" w:lineRule="exact"/>
              <w:rPr>
                <w:sz w:val="20"/>
                <w:szCs w:val="20"/>
                <w:color w:val="auto"/>
              </w:rPr>
            </w:pPr>
            <w:r>
              <w:rPr>
                <w:rFonts w:ascii="Arial" w:cs="Arial" w:eastAsia="Arial" w:hAnsi="Arial"/>
                <w:sz w:val="14"/>
                <w:szCs w:val="14"/>
                <w:color w:val="auto"/>
              </w:rPr>
              <w:t>763,078</w:t>
            </w:r>
          </w:p>
        </w:tc>
        <w:tc>
          <w:tcPr>
            <w:tcW w:w="40" w:type="dxa"/>
            <w:vAlign w:val="bottom"/>
            <w:tcBorders>
              <w:bottom w:val="single" w:sz="8" w:color="auto"/>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172,089</w:t>
            </w:r>
          </w:p>
        </w:tc>
        <w:tc>
          <w:tcPr>
            <w:tcW w:w="20" w:type="dxa"/>
            <w:vAlign w:val="bottom"/>
            <w:tcBorders>
              <w:bottom w:val="single" w:sz="8" w:color="auto"/>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(747,339)</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808,494</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(10,471)</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1,600,576</w:t>
            </w:r>
          </w:p>
        </w:tc>
        <w:tc>
          <w:tcPr>
            <w:tcW w:w="0" w:type="dxa"/>
            <w:vAlign w:val="bottom"/>
          </w:tcPr>
          <w:p>
            <w:pPr>
              <w:spacing w:after="0"/>
              <w:rPr>
                <w:sz w:val="1"/>
                <w:szCs w:val="1"/>
                <w:color w:val="auto"/>
              </w:rPr>
            </w:pPr>
          </w:p>
        </w:tc>
      </w:tr>
      <w:tr>
        <w:trPr>
          <w:trHeight w:val="311"/>
        </w:trPr>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Stage 3</w:t>
            </w:r>
          </w:p>
        </w:tc>
        <w:tc>
          <w:tcPr>
            <w:tcW w:w="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New loans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Changes</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24"/>
        </w:trPr>
        <w:tc>
          <w:tcPr>
            <w:tcW w:w="1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6"/>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at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liquidation,</w:t>
            </w: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PDs,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from</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from</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and write-</w:t>
            </w: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LGDs,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classes</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Loans by class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31, 2021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Stage 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Stage 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Stage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Stage 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6"/>
          </w:tcPr>
          <w:p>
            <w:pPr>
              <w:ind w:left="20"/>
              <w:spacing w:after="0"/>
              <w:rPr>
                <w:sz w:val="20"/>
                <w:szCs w:val="20"/>
                <w:color w:val="auto"/>
              </w:rPr>
            </w:pPr>
            <w:r>
              <w:rPr>
                <w:rFonts w:ascii="Arial" w:cs="Arial" w:eastAsia="Arial" w:hAnsi="Arial"/>
                <w:sz w:val="14"/>
                <w:szCs w:val="14"/>
                <w:b w:val="1"/>
                <w:bCs w:val="1"/>
                <w:color w:val="auto"/>
              </w:rPr>
              <w:t>offs, net</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EADs(*)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loans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portfolio</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others</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31, 2022</w:t>
            </w:r>
          </w:p>
        </w:tc>
        <w:tc>
          <w:tcPr>
            <w:tcW w:w="0" w:type="dxa"/>
            <w:vAlign w:val="bottom"/>
          </w:tcPr>
          <w:p>
            <w:pPr>
              <w:spacing w:after="0"/>
              <w:rPr>
                <w:sz w:val="1"/>
                <w:szCs w:val="1"/>
                <w:color w:val="auto"/>
              </w:rPr>
            </w:pPr>
          </w:p>
        </w:tc>
      </w:tr>
      <w:tr>
        <w:trPr>
          <w:trHeight w:val="153"/>
        </w:trPr>
        <w:tc>
          <w:tcPr>
            <w:tcW w:w="14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80" w:type="dxa"/>
            <w:vAlign w:val="bottom"/>
          </w:tcPr>
          <w:p>
            <w:pPr>
              <w:spacing w:after="0"/>
              <w:rPr>
                <w:sz w:val="13"/>
                <w:szCs w:val="13"/>
                <w:color w:val="auto"/>
              </w:rPr>
            </w:pPr>
          </w:p>
        </w:tc>
        <w:tc>
          <w:tcPr>
            <w:tcW w:w="7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Commercial loans</w:t>
            </w: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2,730,792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(41,729)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(61,995)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16,135</w:t>
            </w:r>
          </w:p>
        </w:tc>
        <w:tc>
          <w:tcPr>
            <w:tcW w:w="40" w:type="dxa"/>
            <w:vAlign w:val="bottom"/>
          </w:tcPr>
          <w:p>
            <w:pPr>
              <w:spacing w:after="0"/>
              <w:rPr>
                <w:sz w:val="13"/>
                <w:szCs w:val="13"/>
                <w:color w:val="auto"/>
              </w:rPr>
            </w:pPr>
          </w:p>
        </w:tc>
        <w:tc>
          <w:tcPr>
            <w:tcW w:w="7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225,459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(734,370)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814,163</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(51,601)</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(7,590)</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(42,377)</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2,846,887</w:t>
            </w: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Residential mortgage</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800,639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4"/>
                <w:szCs w:val="14"/>
                <w:color w:val="auto"/>
              </w:rPr>
              <w:t>(15,910)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5"/>
            <w:vMerge w:val="restart"/>
          </w:tcPr>
          <w:p>
            <w:pPr>
              <w:jc w:val="right"/>
              <w:spacing w:after="0"/>
              <w:rPr>
                <w:sz w:val="20"/>
                <w:szCs w:val="20"/>
                <w:color w:val="auto"/>
              </w:rPr>
            </w:pPr>
            <w:r>
              <w:rPr>
                <w:rFonts w:ascii="Arial" w:cs="Arial" w:eastAsia="Arial" w:hAnsi="Arial"/>
                <w:sz w:val="14"/>
                <w:szCs w:val="14"/>
                <w:color w:val="auto"/>
              </w:rPr>
              <w:t>(13,888)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14"/>
                <w:szCs w:val="14"/>
                <w:color w:val="auto"/>
              </w:rPr>
              <w:t>778</w:t>
            </w:r>
          </w:p>
        </w:tc>
        <w:tc>
          <w:tcPr>
            <w:tcW w:w="40" w:type="dxa"/>
            <w:vAlign w:val="bottom"/>
          </w:tcPr>
          <w:p>
            <w:pPr>
              <w:spacing w:after="0"/>
              <w:rPr>
                <w:sz w:val="13"/>
                <w:szCs w:val="13"/>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4"/>
                <w:szCs w:val="14"/>
                <w:color w:val="auto"/>
              </w:rPr>
              <w:t>21,869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(163,673)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143,014</w:t>
            </w:r>
          </w:p>
        </w:tc>
        <w:tc>
          <w:tcPr>
            <w:tcW w:w="14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(1,671)</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(13,378)</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757,780</w:t>
            </w:r>
          </w:p>
        </w:tc>
        <w:tc>
          <w:tcPr>
            <w:tcW w:w="0" w:type="dxa"/>
            <w:vAlign w:val="bottom"/>
          </w:tcPr>
          <w:p>
            <w:pPr>
              <w:spacing w:after="0"/>
              <w:rPr>
                <w:sz w:val="1"/>
                <w:szCs w:val="1"/>
                <w:color w:val="auto"/>
              </w:rPr>
            </w:pPr>
          </w:p>
        </w:tc>
      </w:tr>
      <w:tr>
        <w:trPr>
          <w:trHeight w:val="87"/>
        </w:trPr>
        <w:tc>
          <w:tcPr>
            <w:tcW w:w="1620" w:type="dxa"/>
            <w:vAlign w:val="bottom"/>
            <w:gridSpan w:val="6"/>
            <w:vMerge w:val="restart"/>
          </w:tcPr>
          <w:p>
            <w:pPr>
              <w:spacing w:after="0" w:line="155" w:lineRule="exact"/>
              <w:rPr>
                <w:sz w:val="20"/>
                <w:szCs w:val="20"/>
                <w:color w:val="auto"/>
              </w:rPr>
            </w:pPr>
            <w:r>
              <w:rPr>
                <w:rFonts w:ascii="Arial" w:cs="Arial" w:eastAsia="Arial" w:hAnsi="Arial"/>
                <w:sz w:val="14"/>
                <w:szCs w:val="14"/>
                <w:color w:val="auto"/>
              </w:rPr>
              <w:t>loans</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2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Micro-business loans</w:t>
            </w: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1,148,632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(17,632)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(34,163)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14,219</w:t>
            </w:r>
          </w:p>
        </w:tc>
        <w:tc>
          <w:tcPr>
            <w:tcW w:w="40" w:type="dxa"/>
            <w:vAlign w:val="bottom"/>
          </w:tcPr>
          <w:p>
            <w:pPr>
              <w:spacing w:after="0"/>
              <w:rPr>
                <w:sz w:val="13"/>
                <w:szCs w:val="13"/>
                <w:color w:val="auto"/>
              </w:rPr>
            </w:pPr>
          </w:p>
        </w:tc>
        <w:tc>
          <w:tcPr>
            <w:tcW w:w="7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274,896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(1,351,918)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9"/>
              </w:rPr>
              <w:t>1,048,630</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46,447</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(830)</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(15,127)</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1,113,154</w:t>
            </w:r>
          </w:p>
        </w:tc>
        <w:tc>
          <w:tcPr>
            <w:tcW w:w="0" w:type="dxa"/>
            <w:vAlign w:val="bottom"/>
          </w:tcPr>
          <w:p>
            <w:pPr>
              <w:spacing w:after="0"/>
              <w:rPr>
                <w:sz w:val="1"/>
                <w:szCs w:val="1"/>
                <w:color w:val="auto"/>
              </w:rPr>
            </w:pPr>
          </w:p>
        </w:tc>
      </w:tr>
      <w:tr>
        <w:trPr>
          <w:trHeight w:val="151"/>
        </w:trPr>
        <w:tc>
          <w:tcPr>
            <w:tcW w:w="1580" w:type="dxa"/>
            <w:vAlign w:val="bottom"/>
            <w:gridSpan w:val="4"/>
          </w:tcPr>
          <w:p>
            <w:pPr>
              <w:spacing w:after="0" w:line="151" w:lineRule="exact"/>
              <w:rPr>
                <w:sz w:val="20"/>
                <w:szCs w:val="20"/>
                <w:color w:val="auto"/>
              </w:rPr>
            </w:pPr>
            <w:r>
              <w:rPr>
                <w:rFonts w:ascii="Arial" w:cs="Arial" w:eastAsia="Arial" w:hAnsi="Arial"/>
                <w:sz w:val="14"/>
                <w:szCs w:val="14"/>
                <w:color w:val="auto"/>
              </w:rPr>
              <w:t>Consumer loans</w:t>
            </w:r>
          </w:p>
        </w:tc>
        <w:tc>
          <w:tcPr>
            <w:tcW w:w="40" w:type="dxa"/>
            <w:vAlign w:val="bottom"/>
            <w:tcBorders>
              <w:bottom w:val="single" w:sz="8" w:color="auto"/>
            </w:tcBorders>
            <w:gridSpan w:val="2"/>
          </w:tcPr>
          <w:p>
            <w:pPr>
              <w:spacing w:after="0"/>
              <w:rPr>
                <w:sz w:val="13"/>
                <w:szCs w:val="13"/>
                <w:color w:val="auto"/>
              </w:rPr>
            </w:pPr>
          </w:p>
        </w:tc>
        <w:tc>
          <w:tcPr>
            <w:tcW w:w="720" w:type="dxa"/>
            <w:vAlign w:val="bottom"/>
            <w:tcBorders>
              <w:bottom w:val="single" w:sz="8" w:color="auto"/>
            </w:tcBorders>
            <w:gridSpan w:val="2"/>
          </w:tcPr>
          <w:p>
            <w:pPr>
              <w:jc w:val="right"/>
              <w:ind w:right="40"/>
              <w:spacing w:after="0" w:line="151" w:lineRule="exact"/>
              <w:rPr>
                <w:sz w:val="20"/>
                <w:szCs w:val="20"/>
                <w:color w:val="auto"/>
              </w:rPr>
            </w:pPr>
            <w:r>
              <w:rPr>
                <w:rFonts w:ascii="Arial" w:cs="Arial" w:eastAsia="Arial" w:hAnsi="Arial"/>
                <w:sz w:val="14"/>
                <w:szCs w:val="14"/>
                <w:color w:val="auto"/>
              </w:rPr>
              <w:t>941,416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(54,506)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gridSpan w:val="4"/>
          </w:tcPr>
          <w:p>
            <w:pPr>
              <w:jc w:val="right"/>
              <w:spacing w:after="0" w:line="151" w:lineRule="exact"/>
              <w:rPr>
                <w:sz w:val="20"/>
                <w:szCs w:val="20"/>
                <w:color w:val="auto"/>
              </w:rPr>
            </w:pPr>
            <w:r>
              <w:rPr>
                <w:rFonts w:ascii="Arial" w:cs="Arial" w:eastAsia="Arial" w:hAnsi="Arial"/>
                <w:sz w:val="14"/>
                <w:szCs w:val="14"/>
                <w:color w:val="auto"/>
              </w:rPr>
              <w:t>(62,043)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9,065</w:t>
            </w:r>
          </w:p>
        </w:tc>
        <w:tc>
          <w:tcPr>
            <w:tcW w:w="40" w:type="dxa"/>
            <w:vAlign w:val="bottom"/>
            <w:tcBorders>
              <w:bottom w:val="single" w:sz="8" w:color="auto"/>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312,930</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4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(1,028,864)</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822,883</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5,154</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(249)</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(4,914)</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940,872</w:t>
            </w:r>
          </w:p>
        </w:tc>
        <w:tc>
          <w:tcPr>
            <w:tcW w:w="0" w:type="dxa"/>
            <w:vAlign w:val="bottom"/>
          </w:tcPr>
          <w:p>
            <w:pPr>
              <w:spacing w:after="0"/>
              <w:rPr>
                <w:sz w:val="1"/>
                <w:szCs w:val="1"/>
                <w:color w:val="auto"/>
              </w:rPr>
            </w:pPr>
          </w:p>
        </w:tc>
      </w:tr>
      <w:tr>
        <w:trPr>
          <w:trHeight w:val="154"/>
        </w:trPr>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auto"/>
            </w:tcBorders>
            <w:gridSpan w:val="2"/>
          </w:tcPr>
          <w:p>
            <w:pPr>
              <w:spacing w:after="0"/>
              <w:rPr>
                <w:sz w:val="13"/>
                <w:szCs w:val="13"/>
                <w:color w:val="auto"/>
              </w:rPr>
            </w:pPr>
          </w:p>
        </w:tc>
        <w:tc>
          <w:tcPr>
            <w:tcW w:w="72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5,621,479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(129,777)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(172,089)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40,197</w:t>
            </w:r>
          </w:p>
        </w:tc>
        <w:tc>
          <w:tcPr>
            <w:tcW w:w="40" w:type="dxa"/>
            <w:vAlign w:val="bottom"/>
            <w:tcBorders>
              <w:bottom w:val="single" w:sz="8" w:color="auto"/>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835,154</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(3,278,825)</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2,828,690</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(10,340)</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(75,796)</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5,658,693</w:t>
            </w:r>
          </w:p>
        </w:tc>
        <w:tc>
          <w:tcPr>
            <w:tcW w:w="0" w:type="dxa"/>
            <w:vAlign w:val="bottom"/>
          </w:tcPr>
          <w:p>
            <w:pPr>
              <w:spacing w:after="0"/>
              <w:rPr>
                <w:sz w:val="1"/>
                <w:szCs w:val="1"/>
                <w:color w:val="auto"/>
              </w:rPr>
            </w:pPr>
          </w:p>
        </w:tc>
      </w:tr>
      <w:tr>
        <w:trPr>
          <w:trHeight w:val="311"/>
        </w:trPr>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Consolidated 3 Stages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Loan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8"/>
          </w:tcPr>
          <w:p>
            <w:pPr>
              <w:ind w:left="20"/>
              <w:spacing w:after="0"/>
              <w:rPr>
                <w:sz w:val="20"/>
                <w:szCs w:val="20"/>
                <w:color w:val="auto"/>
              </w:rPr>
            </w:pPr>
            <w:r>
              <w:rPr>
                <w:rFonts w:ascii="Arial" w:cs="Arial" w:eastAsia="Arial" w:hAnsi="Arial"/>
                <w:sz w:val="14"/>
                <w:szCs w:val="14"/>
                <w:b w:val="1"/>
                <w:bCs w:val="1"/>
                <w:color w:val="auto"/>
              </w:rPr>
              <w:t>Credit loss of the period</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24"/>
        </w:trPr>
        <w:tc>
          <w:tcPr>
            <w:tcW w:w="1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rPr>
              <w:t>Balance</w:t>
            </w:r>
          </w:p>
        </w:tc>
        <w:tc>
          <w:tcPr>
            <w:tcW w:w="84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portfolio</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New loans</w:t>
            </w:r>
          </w:p>
        </w:tc>
        <w:tc>
          <w:tcPr>
            <w:tcW w:w="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Changes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Transfers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w w:val="96"/>
              </w:rPr>
              <w:t>at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written off</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and</w:t>
            </w:r>
          </w:p>
        </w:tc>
        <w:tc>
          <w:tcPr>
            <w:tcW w:w="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PDs,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84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and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liquidation,</w:t>
            </w:r>
          </w:p>
        </w:tc>
        <w:tc>
          <w:tcPr>
            <w:tcW w:w="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LGDs,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classes</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67"/>
        </w:trPr>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Loans by class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10"/>
          </w:tcPr>
          <w:p>
            <w:pPr>
              <w:ind w:left="700"/>
              <w:spacing w:after="0"/>
              <w:rPr>
                <w:sz w:val="20"/>
                <w:szCs w:val="20"/>
                <w:color w:val="auto"/>
              </w:rPr>
            </w:pPr>
            <w:r>
              <w:rPr>
                <w:rFonts w:ascii="Arial" w:cs="Arial" w:eastAsia="Arial" w:hAnsi="Arial"/>
                <w:sz w:val="14"/>
                <w:szCs w:val="14"/>
                <w:b w:val="1"/>
                <w:bCs w:val="1"/>
                <w:color w:val="auto"/>
              </w:rPr>
              <w:t>31, 2021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forgiven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7"/>
          </w:tcPr>
          <w:p>
            <w:pPr>
              <w:ind w:left="20"/>
              <w:spacing w:after="0"/>
              <w:rPr>
                <w:sz w:val="20"/>
                <w:szCs w:val="20"/>
                <w:color w:val="auto"/>
              </w:rPr>
            </w:pPr>
            <w:r>
              <w:rPr>
                <w:rFonts w:ascii="Arial" w:cs="Arial" w:eastAsia="Arial" w:hAnsi="Arial"/>
                <w:sz w:val="14"/>
                <w:szCs w:val="14"/>
                <w:b w:val="1"/>
                <w:bCs w:val="1"/>
                <w:color w:val="auto"/>
              </w:rPr>
              <w:t>net</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EADs(*)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loans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portfolio</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others</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53"/>
        </w:trPr>
        <w:tc>
          <w:tcPr>
            <w:tcW w:w="14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Borders>
              <w:top w:val="single" w:sz="8" w:color="auto"/>
            </w:tcBorders>
            <w:gridSpan w:val="6"/>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gridSpan w:val="3"/>
          </w:tcPr>
          <w:p>
            <w:pPr>
              <w:spacing w:after="0"/>
              <w:rPr>
                <w:sz w:val="13"/>
                <w:szCs w:val="13"/>
                <w:color w:val="auto"/>
              </w:rPr>
            </w:pPr>
          </w:p>
        </w:tc>
        <w:tc>
          <w:tcPr>
            <w:tcW w:w="40" w:type="dxa"/>
            <w:vAlign w:val="bottom"/>
            <w:tcBorders>
              <w:top w:val="single" w:sz="8" w:color="auto"/>
            </w:tcBorders>
            <w:gridSpan w:val="2"/>
          </w:tcPr>
          <w:p>
            <w:pPr>
              <w:spacing w:after="0"/>
              <w:rPr>
                <w:sz w:val="13"/>
                <w:szCs w:val="13"/>
                <w:color w:val="auto"/>
              </w:rPr>
            </w:pPr>
          </w:p>
        </w:tc>
        <w:tc>
          <w:tcPr>
            <w:tcW w:w="7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80" w:type="dxa"/>
            <w:vAlign w:val="bottom"/>
          </w:tcPr>
          <w:p>
            <w:pPr>
              <w:spacing w:after="0"/>
              <w:rPr>
                <w:sz w:val="13"/>
                <w:szCs w:val="13"/>
                <w:color w:val="auto"/>
              </w:rPr>
            </w:pPr>
          </w:p>
        </w:tc>
        <w:tc>
          <w:tcPr>
            <w:tcW w:w="7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620" w:type="dxa"/>
            <w:vAlign w:val="bottom"/>
            <w:gridSpan w:val="6"/>
          </w:tcPr>
          <w:p>
            <w:pPr>
              <w:spacing w:after="0" w:line="155" w:lineRule="exact"/>
              <w:rPr>
                <w:sz w:val="20"/>
                <w:szCs w:val="20"/>
                <w:color w:val="auto"/>
              </w:rPr>
            </w:pPr>
            <w:r>
              <w:rPr>
                <w:rFonts w:ascii="Arial" w:cs="Arial" w:eastAsia="Arial" w:hAnsi="Arial"/>
                <w:sz w:val="14"/>
                <w:szCs w:val="14"/>
                <w:color w:val="auto"/>
              </w:rPr>
              <w:t>Commercial loans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10"/>
          </w:tcPr>
          <w:p>
            <w:pPr>
              <w:jc w:val="right"/>
              <w:spacing w:after="0" w:line="155" w:lineRule="exact"/>
              <w:rPr>
                <w:sz w:val="20"/>
                <w:szCs w:val="20"/>
                <w:color w:val="auto"/>
              </w:rPr>
            </w:pPr>
            <w:r>
              <w:rPr>
                <w:rFonts w:ascii="Arial" w:cs="Arial" w:eastAsia="Arial" w:hAnsi="Arial"/>
                <w:sz w:val="14"/>
                <w:szCs w:val="14"/>
                <w:color w:val="auto"/>
              </w:rPr>
              <w:t>3,991,453</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(421,319)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(445,006)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860,621</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(5,133)</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(7,590)</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(60,983)</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3,912,043</w:t>
            </w:r>
          </w:p>
        </w:tc>
        <w:tc>
          <w:tcPr>
            <w:tcW w:w="0" w:type="dxa"/>
            <w:vAlign w:val="bottom"/>
          </w:tcPr>
          <w:p>
            <w:pPr>
              <w:spacing w:after="0"/>
              <w:rPr>
                <w:sz w:val="1"/>
                <w:szCs w:val="1"/>
                <w:color w:val="auto"/>
              </w:rPr>
            </w:pPr>
          </w:p>
        </w:tc>
      </w:tr>
      <w:tr>
        <w:trPr>
          <w:trHeight w:val="155"/>
        </w:trPr>
        <w:tc>
          <w:tcPr>
            <w:tcW w:w="2400" w:type="dxa"/>
            <w:vAlign w:val="bottom"/>
            <w:gridSpan w:val="10"/>
          </w:tcPr>
          <w:p>
            <w:pPr>
              <w:spacing w:after="0" w:line="155" w:lineRule="exact"/>
              <w:rPr>
                <w:sz w:val="20"/>
                <w:szCs w:val="20"/>
                <w:color w:val="auto"/>
              </w:rPr>
            </w:pPr>
            <w:r>
              <w:rPr>
                <w:rFonts w:ascii="Arial" w:cs="Arial" w:eastAsia="Arial" w:hAnsi="Arial"/>
                <w:sz w:val="14"/>
                <w:szCs w:val="14"/>
                <w:color w:val="auto"/>
              </w:rPr>
              <w:t>Residential mortgage loans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974,733</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(33,960)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(131,449)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175,312</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2,349</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(1,671)</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(17,166)</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968,148</w:t>
            </w:r>
          </w:p>
        </w:tc>
        <w:tc>
          <w:tcPr>
            <w:tcW w:w="0" w:type="dxa"/>
            <w:vAlign w:val="bottom"/>
          </w:tcPr>
          <w:p>
            <w:pPr>
              <w:spacing w:after="0"/>
              <w:rPr>
                <w:sz w:val="1"/>
                <w:szCs w:val="1"/>
                <w:color w:val="auto"/>
              </w:rPr>
            </w:pPr>
          </w:p>
        </w:tc>
      </w:tr>
      <w:tr>
        <w:trPr>
          <w:trHeight w:val="155"/>
        </w:trPr>
        <w:tc>
          <w:tcPr>
            <w:tcW w:w="1620" w:type="dxa"/>
            <w:vAlign w:val="bottom"/>
            <w:gridSpan w:val="6"/>
            <w:vMerge w:val="restart"/>
          </w:tcPr>
          <w:p>
            <w:pPr>
              <w:spacing w:after="0"/>
              <w:rPr>
                <w:sz w:val="20"/>
                <w:szCs w:val="20"/>
                <w:color w:val="auto"/>
              </w:rPr>
            </w:pPr>
            <w:r>
              <w:rPr>
                <w:rFonts w:ascii="Arial" w:cs="Arial" w:eastAsia="Arial" w:hAnsi="Arial"/>
                <w:sz w:val="14"/>
                <w:szCs w:val="14"/>
                <w:color w:val="auto"/>
              </w:rPr>
              <w:t>Micro-business loans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10"/>
            <w:vMerge w:val="restart"/>
          </w:tcPr>
          <w:p>
            <w:pPr>
              <w:jc w:val="right"/>
              <w:spacing w:after="0"/>
              <w:rPr>
                <w:sz w:val="20"/>
                <w:szCs w:val="20"/>
                <w:color w:val="auto"/>
              </w:rPr>
            </w:pPr>
            <w:r>
              <w:rPr>
                <w:rFonts w:ascii="Arial" w:cs="Arial" w:eastAsia="Arial" w:hAnsi="Arial"/>
                <w:sz w:val="14"/>
                <w:szCs w:val="14"/>
                <w:color w:val="auto"/>
              </w:rPr>
              <w:t>2,208,049</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4"/>
                <w:szCs w:val="14"/>
                <w:color w:val="auto"/>
              </w:rPr>
              <w:t>(1,164,678)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(100,459)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1,078</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(25,089)</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(830)</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(25,080)</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1,970,027</w:t>
            </w:r>
          </w:p>
        </w:tc>
        <w:tc>
          <w:tcPr>
            <w:tcW w:w="0" w:type="dxa"/>
            <w:vAlign w:val="bottom"/>
          </w:tcPr>
          <w:p>
            <w:pPr>
              <w:spacing w:after="0"/>
              <w:rPr>
                <w:sz w:val="1"/>
                <w:szCs w:val="1"/>
                <w:color w:val="auto"/>
              </w:rPr>
            </w:pPr>
          </w:p>
        </w:tc>
      </w:tr>
      <w:tr>
        <w:trPr>
          <w:trHeight w:val="87"/>
        </w:trPr>
        <w:tc>
          <w:tcPr>
            <w:tcW w:w="16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10"/>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,114</w:t>
            </w: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620" w:type="dxa"/>
            <w:vAlign w:val="bottom"/>
            <w:gridSpan w:val="6"/>
          </w:tcPr>
          <w:p>
            <w:pPr>
              <w:spacing w:after="0" w:line="151" w:lineRule="exact"/>
              <w:rPr>
                <w:sz w:val="20"/>
                <w:szCs w:val="20"/>
                <w:color w:val="auto"/>
              </w:rPr>
            </w:pPr>
            <w:r>
              <w:rPr>
                <w:rFonts w:ascii="Arial" w:cs="Arial" w:eastAsia="Arial" w:hAnsi="Arial"/>
                <w:sz w:val="14"/>
                <w:szCs w:val="14"/>
                <w:color w:val="auto"/>
              </w:rPr>
              <w:t>Consumer loans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4"/>
          </w:tcPr>
          <w:p>
            <w:pPr>
              <w:spacing w:after="0"/>
              <w:rPr>
                <w:sz w:val="13"/>
                <w:szCs w:val="13"/>
                <w:color w:val="auto"/>
              </w:rPr>
            </w:pPr>
          </w:p>
        </w:tc>
        <w:tc>
          <w:tcPr>
            <w:tcW w:w="780" w:type="dxa"/>
            <w:vAlign w:val="bottom"/>
            <w:tcBorders>
              <w:bottom w:val="single" w:sz="8" w:color="auto"/>
            </w:tcBorders>
            <w:gridSpan w:val="6"/>
          </w:tcPr>
          <w:p>
            <w:pPr>
              <w:jc w:val="right"/>
              <w:spacing w:after="0" w:line="151" w:lineRule="exact"/>
              <w:rPr>
                <w:sz w:val="20"/>
                <w:szCs w:val="20"/>
                <w:color w:val="auto"/>
              </w:rPr>
            </w:pPr>
            <w:r>
              <w:rPr>
                <w:rFonts w:ascii="Arial" w:cs="Arial" w:eastAsia="Arial" w:hAnsi="Arial"/>
                <w:sz w:val="14"/>
                <w:szCs w:val="14"/>
                <w:color w:val="auto"/>
              </w:rPr>
              <w:t>1,896,776</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spacing w:after="0" w:line="151" w:lineRule="exact"/>
              <w:rPr>
                <w:sz w:val="20"/>
                <w:szCs w:val="20"/>
                <w:color w:val="auto"/>
              </w:rPr>
            </w:pPr>
            <w:r>
              <w:rPr>
                <w:rFonts w:ascii="Arial" w:cs="Arial" w:eastAsia="Arial" w:hAnsi="Arial"/>
                <w:sz w:val="14"/>
                <w:szCs w:val="14"/>
                <w:color w:val="auto"/>
              </w:rPr>
              <w:t>(955,301)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135,078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586,344</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27,873</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(249)</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(9,753)</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1,680,768</w:t>
            </w:r>
          </w:p>
        </w:tc>
        <w:tc>
          <w:tcPr>
            <w:tcW w:w="0" w:type="dxa"/>
            <w:vAlign w:val="bottom"/>
          </w:tcPr>
          <w:p>
            <w:pPr>
              <w:spacing w:after="0"/>
              <w:rPr>
                <w:sz w:val="1"/>
                <w:szCs w:val="1"/>
                <w:color w:val="auto"/>
              </w:rPr>
            </w:pPr>
          </w:p>
        </w:tc>
      </w:tr>
      <w:tr>
        <w:trPr>
          <w:trHeight w:val="154"/>
        </w:trPr>
        <w:tc>
          <w:tcPr>
            <w:tcW w:w="162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4"/>
          </w:tcPr>
          <w:p>
            <w:pPr>
              <w:spacing w:after="0"/>
              <w:rPr>
                <w:sz w:val="13"/>
                <w:szCs w:val="13"/>
                <w:color w:val="auto"/>
              </w:rPr>
            </w:pPr>
          </w:p>
        </w:tc>
        <w:tc>
          <w:tcPr>
            <w:tcW w:w="78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9,071,011</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(2,575,258)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(541,836)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2,700,391</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(10,340)</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(112,982)</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8,530,986</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7"/>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Stage 1</w:t>
            </w:r>
          </w:p>
        </w:tc>
        <w:tc>
          <w:tcPr>
            <w:tcW w:w="40" w:type="dxa"/>
            <w:vAlign w:val="bottom"/>
          </w:tcPr>
          <w:p>
            <w:pPr>
              <w:spacing w:after="0"/>
              <w:rPr>
                <w:sz w:val="14"/>
                <w:szCs w:val="14"/>
                <w:color w:val="auto"/>
              </w:rPr>
            </w:pPr>
          </w:p>
        </w:tc>
        <w:tc>
          <w:tcPr>
            <w:tcW w:w="9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New loans</w:t>
            </w:r>
          </w:p>
        </w:tc>
        <w:tc>
          <w:tcPr>
            <w:tcW w:w="9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Changes</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24"/>
        </w:trPr>
        <w:tc>
          <w:tcPr>
            <w:tcW w:w="12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6"/>
            <w:vMerge w:val="continue"/>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at</w:t>
            </w:r>
          </w:p>
        </w:tc>
        <w:tc>
          <w:tcPr>
            <w:tcW w:w="20" w:type="dxa"/>
            <w:vAlign w:val="bottom"/>
          </w:tcPr>
          <w:p>
            <w:pPr>
              <w:spacing w:after="0"/>
              <w:rPr>
                <w:sz w:val="13"/>
                <w:szCs w:val="13"/>
                <w:color w:val="auto"/>
              </w:rPr>
            </w:pPr>
          </w:p>
        </w:tc>
        <w:tc>
          <w:tcPr>
            <w:tcW w:w="7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40" w:type="dxa"/>
            <w:vAlign w:val="bottom"/>
          </w:tcPr>
          <w:p>
            <w:pPr>
              <w:spacing w:after="0"/>
              <w:rPr>
                <w:sz w:val="13"/>
                <w:szCs w:val="13"/>
                <w:color w:val="auto"/>
              </w:rPr>
            </w:pPr>
          </w:p>
        </w:tc>
        <w:tc>
          <w:tcPr>
            <w:tcW w:w="78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Transfer</w:t>
            </w:r>
          </w:p>
        </w:tc>
        <w:tc>
          <w:tcPr>
            <w:tcW w:w="98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liquidation,</w:t>
            </w:r>
          </w:p>
        </w:tc>
        <w:tc>
          <w:tcPr>
            <w:tcW w:w="96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in PDs,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December</w:t>
            </w:r>
          </w:p>
        </w:tc>
        <w:tc>
          <w:tcPr>
            <w:tcW w:w="20" w:type="dxa"/>
            <w:vAlign w:val="bottom"/>
          </w:tcPr>
          <w:p>
            <w:pPr>
              <w:spacing w:after="0"/>
              <w:rPr>
                <w:sz w:val="13"/>
                <w:szCs w:val="13"/>
                <w:color w:val="auto"/>
              </w:rPr>
            </w:pPr>
          </w:p>
        </w:tc>
        <w:tc>
          <w:tcPr>
            <w:tcW w:w="7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to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to</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from</w:t>
            </w:r>
          </w:p>
        </w:tc>
        <w:tc>
          <w:tcPr>
            <w:tcW w:w="40" w:type="dxa"/>
            <w:vAlign w:val="bottom"/>
          </w:tcPr>
          <w:p>
            <w:pPr>
              <w:spacing w:after="0"/>
              <w:rPr>
                <w:sz w:val="13"/>
                <w:szCs w:val="13"/>
                <w:color w:val="auto"/>
              </w:rPr>
            </w:pPr>
          </w:p>
        </w:tc>
        <w:tc>
          <w:tcPr>
            <w:tcW w:w="78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from</w:t>
            </w:r>
          </w:p>
        </w:tc>
        <w:tc>
          <w:tcPr>
            <w:tcW w:w="98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and write-</w:t>
            </w:r>
          </w:p>
        </w:tc>
        <w:tc>
          <w:tcPr>
            <w:tcW w:w="96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LGDs,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classes</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Loans by class</w:t>
            </w:r>
          </w:p>
        </w:tc>
        <w:tc>
          <w:tcPr>
            <w:tcW w:w="7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31, 2020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Stage 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7"/>
          </w:tcPr>
          <w:p>
            <w:pPr>
              <w:ind w:left="20"/>
              <w:spacing w:after="0"/>
              <w:rPr>
                <w:sz w:val="20"/>
                <w:szCs w:val="20"/>
                <w:color w:val="auto"/>
              </w:rPr>
            </w:pPr>
            <w:r>
              <w:rPr>
                <w:rFonts w:ascii="Arial" w:cs="Arial" w:eastAsia="Arial" w:hAnsi="Arial"/>
                <w:sz w:val="14"/>
                <w:szCs w:val="14"/>
                <w:b w:val="1"/>
                <w:bCs w:val="1"/>
                <w:color w:val="auto"/>
              </w:rPr>
              <w:t>Stage 2</w:t>
            </w:r>
          </w:p>
        </w:tc>
        <w:tc>
          <w:tcPr>
            <w:tcW w:w="40" w:type="dxa"/>
            <w:vAlign w:val="bottom"/>
          </w:tcPr>
          <w:p>
            <w:pPr>
              <w:spacing w:after="0"/>
              <w:rPr>
                <w:sz w:val="14"/>
                <w:szCs w:val="14"/>
                <w:color w:val="auto"/>
              </w:rPr>
            </w:pPr>
          </w:p>
        </w:tc>
        <w:tc>
          <w:tcPr>
            <w:tcW w:w="780" w:type="dxa"/>
            <w:vAlign w:val="bottom"/>
            <w:gridSpan w:val="5"/>
          </w:tcPr>
          <w:p>
            <w:pPr>
              <w:ind w:left="20"/>
              <w:spacing w:after="0"/>
              <w:rPr>
                <w:sz w:val="20"/>
                <w:szCs w:val="20"/>
                <w:color w:val="auto"/>
              </w:rPr>
            </w:pPr>
            <w:r>
              <w:rPr>
                <w:rFonts w:ascii="Arial" w:cs="Arial" w:eastAsia="Arial" w:hAnsi="Arial"/>
                <w:sz w:val="14"/>
                <w:szCs w:val="14"/>
                <w:b w:val="1"/>
                <w:bCs w:val="1"/>
                <w:color w:val="auto"/>
              </w:rPr>
              <w:t>Stage 3</w:t>
            </w:r>
          </w:p>
        </w:tc>
        <w:tc>
          <w:tcPr>
            <w:tcW w:w="980" w:type="dxa"/>
            <w:vAlign w:val="bottom"/>
            <w:gridSpan w:val="6"/>
          </w:tcPr>
          <w:p>
            <w:pPr>
              <w:ind w:left="40"/>
              <w:spacing w:after="0"/>
              <w:rPr>
                <w:sz w:val="20"/>
                <w:szCs w:val="20"/>
                <w:color w:val="auto"/>
              </w:rPr>
            </w:pPr>
            <w:r>
              <w:rPr>
                <w:rFonts w:ascii="Arial" w:cs="Arial" w:eastAsia="Arial" w:hAnsi="Arial"/>
                <w:sz w:val="14"/>
                <w:szCs w:val="14"/>
                <w:b w:val="1"/>
                <w:bCs w:val="1"/>
                <w:color w:val="auto"/>
              </w:rPr>
              <w:t>offs, net</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EADs(*)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loans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portfolio</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others</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153"/>
        </w:trPr>
        <w:tc>
          <w:tcPr>
            <w:tcW w:w="12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80" w:type="dxa"/>
            <w:vAlign w:val="bottom"/>
          </w:tcPr>
          <w:p>
            <w:pPr>
              <w:spacing w:after="0"/>
              <w:rPr>
                <w:sz w:val="13"/>
                <w:szCs w:val="13"/>
                <w:color w:val="auto"/>
              </w:rPr>
            </w:pPr>
          </w:p>
        </w:tc>
        <w:tc>
          <w:tcPr>
            <w:tcW w:w="7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Commercial loans</w:t>
            </w:r>
          </w:p>
        </w:tc>
        <w:tc>
          <w:tcPr>
            <w:tcW w:w="78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721,503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(336,903)</w:t>
            </w:r>
          </w:p>
        </w:tc>
        <w:tc>
          <w:tcPr>
            <w:tcW w:w="780" w:type="dxa"/>
            <w:vAlign w:val="bottom"/>
            <w:gridSpan w:val="5"/>
          </w:tcPr>
          <w:p>
            <w:pPr>
              <w:jc w:val="center"/>
              <w:ind w:left="171"/>
              <w:spacing w:after="0" w:line="155" w:lineRule="exact"/>
              <w:rPr>
                <w:sz w:val="20"/>
                <w:szCs w:val="20"/>
                <w:color w:val="auto"/>
              </w:rPr>
            </w:pPr>
            <w:r>
              <w:rPr>
                <w:rFonts w:ascii="Arial" w:cs="Arial" w:eastAsia="Arial" w:hAnsi="Arial"/>
                <w:sz w:val="14"/>
                <w:szCs w:val="14"/>
                <w:color w:val="auto"/>
                <w:w w:val="95"/>
              </w:rPr>
              <w:t>(21,434)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7"/>
          </w:tcPr>
          <w:p>
            <w:pPr>
              <w:ind w:left="240"/>
              <w:spacing w:after="0" w:line="155" w:lineRule="exact"/>
              <w:rPr>
                <w:sz w:val="20"/>
                <w:szCs w:val="20"/>
                <w:color w:val="auto"/>
              </w:rPr>
            </w:pPr>
            <w:r>
              <w:rPr>
                <w:rFonts w:ascii="Arial" w:cs="Arial" w:eastAsia="Arial" w:hAnsi="Arial"/>
                <w:sz w:val="14"/>
                <w:szCs w:val="14"/>
                <w:color w:val="auto"/>
              </w:rPr>
              <w:t>305,143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29,199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(3,446)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(178,612)</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67,526</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24,904</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607,880</w:t>
            </w: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Residential</w:t>
            </w:r>
          </w:p>
        </w:tc>
        <w:tc>
          <w:tcPr>
            <w:tcW w:w="78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157,935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(46,021)</w:t>
            </w:r>
          </w:p>
        </w:tc>
        <w:tc>
          <w:tcPr>
            <w:tcW w:w="780" w:type="dxa"/>
            <w:vAlign w:val="bottom"/>
            <w:gridSpan w:val="5"/>
            <w:vMerge w:val="restart"/>
          </w:tcPr>
          <w:p>
            <w:pPr>
              <w:jc w:val="center"/>
              <w:ind w:left="251"/>
              <w:spacing w:after="0"/>
              <w:rPr>
                <w:sz w:val="20"/>
                <w:szCs w:val="20"/>
                <w:color w:val="auto"/>
              </w:rPr>
            </w:pPr>
            <w:r>
              <w:rPr>
                <w:rFonts w:ascii="Arial" w:cs="Arial" w:eastAsia="Arial" w:hAnsi="Arial"/>
                <w:sz w:val="14"/>
                <w:szCs w:val="14"/>
                <w:color w:val="auto"/>
                <w:w w:val="94"/>
              </w:rPr>
              <w:t>(3,699)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7"/>
            <w:vMerge w:val="restart"/>
          </w:tcPr>
          <w:p>
            <w:pPr>
              <w:ind w:left="320"/>
              <w:spacing w:after="0"/>
              <w:rPr>
                <w:sz w:val="20"/>
                <w:szCs w:val="20"/>
                <w:color w:val="auto"/>
              </w:rPr>
            </w:pPr>
            <w:r>
              <w:rPr>
                <w:rFonts w:ascii="Arial" w:cs="Arial" w:eastAsia="Arial" w:hAnsi="Arial"/>
                <w:sz w:val="14"/>
                <w:szCs w:val="14"/>
                <w:color w:val="auto"/>
              </w:rPr>
              <w:t>60,588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39,211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48,386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(184,733)</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14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4,881</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76,706</w:t>
            </w:r>
          </w:p>
        </w:tc>
        <w:tc>
          <w:tcPr>
            <w:tcW w:w="0" w:type="dxa"/>
            <w:vAlign w:val="bottom"/>
          </w:tcPr>
          <w:p>
            <w:pPr>
              <w:spacing w:after="0"/>
              <w:rPr>
                <w:sz w:val="1"/>
                <w:szCs w:val="1"/>
                <w:color w:val="auto"/>
              </w:rPr>
            </w:pPr>
          </w:p>
        </w:tc>
      </w:tr>
      <w:tr>
        <w:trPr>
          <w:trHeight w:val="87"/>
        </w:trPr>
        <w:tc>
          <w:tcPr>
            <w:tcW w:w="138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mortgage loans</w:t>
            </w:r>
          </w:p>
        </w:tc>
        <w:tc>
          <w:tcPr>
            <w:tcW w:w="7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7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Micro-business</w:t>
            </w:r>
          </w:p>
        </w:tc>
        <w:tc>
          <w:tcPr>
            <w:tcW w:w="78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610,188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(659,532)</w:t>
            </w:r>
          </w:p>
        </w:tc>
        <w:tc>
          <w:tcPr>
            <w:tcW w:w="780" w:type="dxa"/>
            <w:vAlign w:val="bottom"/>
            <w:gridSpan w:val="5"/>
            <w:vMerge w:val="restart"/>
          </w:tcPr>
          <w:p>
            <w:pPr>
              <w:jc w:val="center"/>
              <w:ind w:left="171"/>
              <w:spacing w:after="0"/>
              <w:rPr>
                <w:sz w:val="20"/>
                <w:szCs w:val="20"/>
                <w:color w:val="auto"/>
              </w:rPr>
            </w:pPr>
            <w:r>
              <w:rPr>
                <w:rFonts w:ascii="Arial" w:cs="Arial" w:eastAsia="Arial" w:hAnsi="Arial"/>
                <w:sz w:val="14"/>
                <w:szCs w:val="14"/>
                <w:color w:val="auto"/>
                <w:w w:val="95"/>
              </w:rPr>
              <w:t>(18,743)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7"/>
            <w:vMerge w:val="restart"/>
          </w:tcPr>
          <w:p>
            <w:pPr>
              <w:ind w:left="240"/>
              <w:spacing w:after="0"/>
              <w:rPr>
                <w:sz w:val="20"/>
                <w:szCs w:val="20"/>
                <w:color w:val="auto"/>
              </w:rPr>
            </w:pPr>
            <w:r>
              <w:rPr>
                <w:rFonts w:ascii="Arial" w:cs="Arial" w:eastAsia="Arial" w:hAnsi="Arial"/>
                <w:sz w:val="14"/>
                <w:szCs w:val="14"/>
                <w:color w:val="auto"/>
              </w:rPr>
              <w:t>276,189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25,295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834,576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(583,915)</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(63,200)</w:t>
            </w:r>
          </w:p>
        </w:tc>
        <w:tc>
          <w:tcPr>
            <w:tcW w:w="14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13,304</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434,162</w:t>
            </w:r>
          </w:p>
        </w:tc>
        <w:tc>
          <w:tcPr>
            <w:tcW w:w="0" w:type="dxa"/>
            <w:vAlign w:val="bottom"/>
          </w:tcPr>
          <w:p>
            <w:pPr>
              <w:spacing w:after="0"/>
              <w:rPr>
                <w:sz w:val="1"/>
                <w:szCs w:val="1"/>
                <w:color w:val="auto"/>
              </w:rPr>
            </w:pPr>
          </w:p>
        </w:tc>
      </w:tr>
      <w:tr>
        <w:trPr>
          <w:trHeight w:val="87"/>
        </w:trPr>
        <w:tc>
          <w:tcPr>
            <w:tcW w:w="138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loans</w:t>
            </w:r>
          </w:p>
        </w:tc>
        <w:tc>
          <w:tcPr>
            <w:tcW w:w="7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7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380" w:type="dxa"/>
            <w:vAlign w:val="bottom"/>
            <w:gridSpan w:val="3"/>
          </w:tcPr>
          <w:p>
            <w:pPr>
              <w:spacing w:after="0" w:line="151" w:lineRule="exact"/>
              <w:rPr>
                <w:sz w:val="20"/>
                <w:szCs w:val="20"/>
                <w:color w:val="auto"/>
              </w:rPr>
            </w:pPr>
            <w:r>
              <w:rPr>
                <w:rFonts w:ascii="Arial" w:cs="Arial" w:eastAsia="Arial" w:hAnsi="Arial"/>
                <w:sz w:val="14"/>
                <w:szCs w:val="14"/>
                <w:color w:val="auto"/>
              </w:rPr>
              <w:t>Consumer loans</w:t>
            </w:r>
          </w:p>
        </w:tc>
        <w:tc>
          <w:tcPr>
            <w:tcW w:w="780" w:type="dxa"/>
            <w:vAlign w:val="bottom"/>
            <w:tcBorders>
              <w:bottom w:val="single" w:sz="8" w:color="auto"/>
            </w:tcBorders>
            <w:gridSpan w:val="4"/>
          </w:tcPr>
          <w:p>
            <w:pPr>
              <w:jc w:val="right"/>
              <w:ind w:right="40"/>
              <w:spacing w:after="0" w:line="151" w:lineRule="exact"/>
              <w:rPr>
                <w:sz w:val="20"/>
                <w:szCs w:val="20"/>
                <w:color w:val="auto"/>
              </w:rPr>
            </w:pPr>
            <w:r>
              <w:rPr>
                <w:rFonts w:ascii="Arial" w:cs="Arial" w:eastAsia="Arial" w:hAnsi="Arial"/>
                <w:sz w:val="14"/>
                <w:szCs w:val="14"/>
                <w:color w:val="auto"/>
              </w:rPr>
              <w:t>355,436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bottom w:val="single" w:sz="8" w:color="auto"/>
            </w:tcBorders>
            <w:gridSpan w:val="4"/>
          </w:tcPr>
          <w:p>
            <w:pPr>
              <w:jc w:val="right"/>
              <w:ind w:right="40"/>
              <w:spacing w:after="0" w:line="151" w:lineRule="exact"/>
              <w:rPr>
                <w:sz w:val="20"/>
                <w:szCs w:val="20"/>
                <w:color w:val="auto"/>
              </w:rPr>
            </w:pPr>
            <w:r>
              <w:rPr>
                <w:rFonts w:ascii="Arial" w:cs="Arial" w:eastAsia="Arial" w:hAnsi="Arial"/>
                <w:sz w:val="14"/>
                <w:szCs w:val="14"/>
                <w:color w:val="auto"/>
              </w:rPr>
              <w:t>(305,127)</w:t>
            </w:r>
          </w:p>
        </w:tc>
        <w:tc>
          <w:tcPr>
            <w:tcW w:w="140" w:type="dxa"/>
            <w:vAlign w:val="bottom"/>
            <w:gridSpan w:val="3"/>
          </w:tcPr>
          <w:p>
            <w:pPr>
              <w:spacing w:after="0"/>
              <w:rPr>
                <w:sz w:val="13"/>
                <w:szCs w:val="13"/>
                <w:color w:val="auto"/>
              </w:rPr>
            </w:pPr>
          </w:p>
        </w:tc>
        <w:tc>
          <w:tcPr>
            <w:tcW w:w="640" w:type="dxa"/>
            <w:vAlign w:val="bottom"/>
            <w:tcBorders>
              <w:bottom w:val="single" w:sz="8" w:color="auto"/>
            </w:tcBorders>
            <w:gridSpan w:val="2"/>
          </w:tcPr>
          <w:p>
            <w:pPr>
              <w:jc w:val="center"/>
              <w:ind w:left="31"/>
              <w:spacing w:after="0" w:line="151" w:lineRule="exact"/>
              <w:rPr>
                <w:sz w:val="20"/>
                <w:szCs w:val="20"/>
                <w:color w:val="auto"/>
              </w:rPr>
            </w:pPr>
            <w:r>
              <w:rPr>
                <w:rFonts w:ascii="Arial" w:cs="Arial" w:eastAsia="Arial" w:hAnsi="Arial"/>
                <w:sz w:val="14"/>
                <w:szCs w:val="14"/>
                <w:color w:val="auto"/>
                <w:w w:val="95"/>
              </w:rPr>
              <w:t>(25,628)</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80" w:type="dxa"/>
            <w:vAlign w:val="bottom"/>
            <w:tcBorders>
              <w:bottom w:val="single" w:sz="8" w:color="auto"/>
            </w:tcBorders>
            <w:gridSpan w:val="4"/>
          </w:tcPr>
          <w:p>
            <w:pPr>
              <w:ind w:left="120"/>
              <w:spacing w:after="0" w:line="151" w:lineRule="exact"/>
              <w:rPr>
                <w:sz w:val="20"/>
                <w:szCs w:val="20"/>
                <w:color w:val="auto"/>
              </w:rPr>
            </w:pPr>
            <w:r>
              <w:rPr>
                <w:rFonts w:ascii="Arial" w:cs="Arial" w:eastAsia="Arial" w:hAnsi="Arial"/>
                <w:sz w:val="14"/>
                <w:szCs w:val="14"/>
                <w:color w:val="auto"/>
              </w:rPr>
              <w:t>202,265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82,773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204,751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(199,591)</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(4,484)</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7,202</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317,597</w:t>
            </w:r>
          </w:p>
        </w:tc>
        <w:tc>
          <w:tcPr>
            <w:tcW w:w="0" w:type="dxa"/>
            <w:vAlign w:val="bottom"/>
          </w:tcPr>
          <w:p>
            <w:pPr>
              <w:spacing w:after="0"/>
              <w:rPr>
                <w:sz w:val="1"/>
                <w:szCs w:val="1"/>
                <w:color w:val="auto"/>
              </w:rPr>
            </w:pPr>
          </w:p>
        </w:tc>
      </w:tr>
      <w:tr>
        <w:trPr>
          <w:trHeight w:val="154"/>
        </w:trPr>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gridSpan w:val="4"/>
          </w:tcPr>
          <w:p>
            <w:pPr>
              <w:jc w:val="right"/>
              <w:ind w:right="40"/>
              <w:spacing w:after="0" w:line="149" w:lineRule="exact"/>
              <w:rPr>
                <w:sz w:val="20"/>
                <w:szCs w:val="20"/>
                <w:color w:val="auto"/>
              </w:rPr>
            </w:pPr>
            <w:r>
              <w:rPr>
                <w:rFonts w:ascii="Arial" w:cs="Arial" w:eastAsia="Arial" w:hAnsi="Arial"/>
                <w:sz w:val="14"/>
                <w:szCs w:val="14"/>
                <w:color w:val="auto"/>
              </w:rPr>
              <w:t>1,845,062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bottom w:val="single" w:sz="8" w:color="auto"/>
            </w:tcBorders>
            <w:gridSpan w:val="4"/>
          </w:tcPr>
          <w:p>
            <w:pPr>
              <w:jc w:val="right"/>
              <w:ind w:right="40"/>
              <w:spacing w:after="0" w:line="149" w:lineRule="exact"/>
              <w:rPr>
                <w:sz w:val="20"/>
                <w:szCs w:val="20"/>
                <w:color w:val="auto"/>
              </w:rPr>
            </w:pPr>
            <w:r>
              <w:rPr>
                <w:rFonts w:ascii="Arial" w:cs="Arial" w:eastAsia="Arial" w:hAnsi="Arial"/>
                <w:sz w:val="14"/>
                <w:szCs w:val="14"/>
                <w:color w:val="auto"/>
              </w:rPr>
              <w:t>(1,347,583)</w:t>
            </w:r>
          </w:p>
        </w:tc>
        <w:tc>
          <w:tcPr>
            <w:tcW w:w="140" w:type="dxa"/>
            <w:vAlign w:val="bottom"/>
            <w:gridSpan w:val="3"/>
          </w:tcPr>
          <w:p>
            <w:pPr>
              <w:spacing w:after="0"/>
              <w:rPr>
                <w:sz w:val="13"/>
                <w:szCs w:val="13"/>
                <w:color w:val="auto"/>
              </w:rPr>
            </w:pPr>
          </w:p>
        </w:tc>
        <w:tc>
          <w:tcPr>
            <w:tcW w:w="640" w:type="dxa"/>
            <w:vAlign w:val="bottom"/>
            <w:tcBorders>
              <w:bottom w:val="single" w:sz="8" w:color="auto"/>
            </w:tcBorders>
            <w:gridSpan w:val="2"/>
          </w:tcPr>
          <w:p>
            <w:pPr>
              <w:jc w:val="center"/>
              <w:ind w:left="31"/>
              <w:spacing w:after="0" w:line="149" w:lineRule="exact"/>
              <w:rPr>
                <w:sz w:val="20"/>
                <w:szCs w:val="20"/>
                <w:color w:val="auto"/>
              </w:rPr>
            </w:pPr>
            <w:r>
              <w:rPr>
                <w:rFonts w:ascii="Arial" w:cs="Arial" w:eastAsia="Arial" w:hAnsi="Arial"/>
                <w:sz w:val="14"/>
                <w:szCs w:val="14"/>
                <w:color w:val="auto"/>
                <w:w w:val="95"/>
              </w:rPr>
              <w:t>(69,504)</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80" w:type="dxa"/>
            <w:vAlign w:val="bottom"/>
            <w:tcBorders>
              <w:bottom w:val="single" w:sz="8" w:color="auto"/>
            </w:tcBorders>
            <w:gridSpan w:val="4"/>
          </w:tcPr>
          <w:p>
            <w:pPr>
              <w:ind w:left="120"/>
              <w:spacing w:after="0" w:line="149" w:lineRule="exact"/>
              <w:rPr>
                <w:sz w:val="20"/>
                <w:szCs w:val="20"/>
                <w:color w:val="auto"/>
              </w:rPr>
            </w:pPr>
            <w:r>
              <w:rPr>
                <w:rFonts w:ascii="Arial" w:cs="Arial" w:eastAsia="Arial" w:hAnsi="Arial"/>
                <w:sz w:val="14"/>
                <w:szCs w:val="14"/>
                <w:color w:val="auto"/>
              </w:rPr>
              <w:t>844,185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176,478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1,084,267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(1,146,851)</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50,291</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1,436,345</w:t>
            </w:r>
          </w:p>
        </w:tc>
        <w:tc>
          <w:tcPr>
            <w:tcW w:w="0" w:type="dxa"/>
            <w:vAlign w:val="bottom"/>
          </w:tcPr>
          <w:p>
            <w:pPr>
              <w:spacing w:after="0"/>
              <w:rPr>
                <w:sz w:val="1"/>
                <w:szCs w:val="1"/>
                <w:color w:val="auto"/>
              </w:rPr>
            </w:pPr>
          </w:p>
        </w:tc>
      </w:tr>
      <w:tr>
        <w:trPr>
          <w:trHeight w:val="350"/>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Stage 2</w:t>
            </w:r>
          </w:p>
        </w:tc>
        <w:tc>
          <w:tcPr>
            <w:tcW w:w="40" w:type="dxa"/>
            <w:vAlign w:val="bottom"/>
          </w:tcPr>
          <w:p>
            <w:pPr>
              <w:spacing w:after="0"/>
              <w:rPr>
                <w:sz w:val="24"/>
                <w:szCs w:val="24"/>
                <w:color w:val="auto"/>
              </w:rPr>
            </w:pPr>
          </w:p>
        </w:tc>
        <w:tc>
          <w:tcPr>
            <w:tcW w:w="9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New loans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Changes</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24"/>
        </w:trPr>
        <w:tc>
          <w:tcPr>
            <w:tcW w:w="12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20" w:type="dxa"/>
            <w:vAlign w:val="bottom"/>
          </w:tcPr>
          <w:p>
            <w:pPr>
              <w:spacing w:after="0"/>
              <w:rPr>
                <w:sz w:val="13"/>
                <w:szCs w:val="13"/>
                <w:color w:val="auto"/>
              </w:rPr>
            </w:pPr>
          </w:p>
        </w:tc>
        <w:tc>
          <w:tcPr>
            <w:tcW w:w="7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Transfer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Transfer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liquidation,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 PDs,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20" w:type="dxa"/>
            <w:vAlign w:val="bottom"/>
          </w:tcPr>
          <w:p>
            <w:pPr>
              <w:spacing w:after="0"/>
              <w:rPr>
                <w:sz w:val="13"/>
                <w:szCs w:val="13"/>
                <w:color w:val="auto"/>
              </w:rPr>
            </w:pPr>
          </w:p>
        </w:tc>
        <w:tc>
          <w:tcPr>
            <w:tcW w:w="7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to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to</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from</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and write-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LGDs,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classes</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Loans by class</w:t>
            </w:r>
          </w:p>
        </w:tc>
        <w:tc>
          <w:tcPr>
            <w:tcW w:w="7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31, 2020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Stage 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5"/>
          </w:tcPr>
          <w:p>
            <w:pPr>
              <w:ind w:left="60"/>
              <w:spacing w:after="0"/>
              <w:rPr>
                <w:sz w:val="20"/>
                <w:szCs w:val="20"/>
                <w:color w:val="auto"/>
              </w:rPr>
            </w:pPr>
            <w:r>
              <w:rPr>
                <w:rFonts w:ascii="Arial" w:cs="Arial" w:eastAsia="Arial" w:hAnsi="Arial"/>
                <w:sz w:val="14"/>
                <w:szCs w:val="14"/>
                <w:b w:val="1"/>
                <w:bCs w:val="1"/>
                <w:color w:val="auto"/>
              </w:rPr>
              <w:t>Stage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6"/>
          </w:tcPr>
          <w:p>
            <w:pPr>
              <w:ind w:left="60"/>
              <w:spacing w:after="0"/>
              <w:rPr>
                <w:sz w:val="20"/>
                <w:szCs w:val="20"/>
                <w:color w:val="auto"/>
              </w:rPr>
            </w:pPr>
            <w:r>
              <w:rPr>
                <w:rFonts w:ascii="Arial" w:cs="Arial" w:eastAsia="Arial" w:hAnsi="Arial"/>
                <w:sz w:val="14"/>
                <w:szCs w:val="14"/>
                <w:b w:val="1"/>
                <w:bCs w:val="1"/>
                <w:color w:val="auto"/>
              </w:rPr>
              <w:t>Stage 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Stage 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offs, net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EADs(*)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loans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portfolio</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others</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153"/>
        </w:trPr>
        <w:tc>
          <w:tcPr>
            <w:tcW w:w="1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top w:val="single" w:sz="8" w:color="auto"/>
            </w:tcBorders>
            <w:gridSpan w:val="4"/>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top w:val="single" w:sz="8" w:color="auto"/>
            </w:tcBorders>
            <w:gridSpan w:val="5"/>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gridSpan w:val="5"/>
          </w:tcPr>
          <w:p>
            <w:pPr>
              <w:jc w:val="right"/>
              <w:ind w:right="22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gridSpan w:val="3"/>
          </w:tcPr>
          <w:p>
            <w:pPr>
              <w:jc w:val="right"/>
              <w:ind w:right="16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80" w:type="dxa"/>
            <w:vAlign w:val="bottom"/>
          </w:tcPr>
          <w:p>
            <w:pPr>
              <w:spacing w:after="0"/>
              <w:rPr>
                <w:sz w:val="13"/>
                <w:szCs w:val="13"/>
                <w:color w:val="auto"/>
              </w:rPr>
            </w:pPr>
          </w:p>
        </w:tc>
        <w:tc>
          <w:tcPr>
            <w:tcW w:w="7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Commercial loans</w:t>
            </w:r>
          </w:p>
        </w:tc>
        <w:tc>
          <w:tcPr>
            <w:tcW w:w="7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666,002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(305,143)</w:t>
            </w:r>
          </w:p>
        </w:tc>
        <w:tc>
          <w:tcPr>
            <w:tcW w:w="80" w:type="dxa"/>
            <w:vAlign w:val="bottom"/>
          </w:tcPr>
          <w:p>
            <w:pPr>
              <w:spacing w:after="0"/>
              <w:rPr>
                <w:sz w:val="13"/>
                <w:szCs w:val="13"/>
                <w:color w:val="auto"/>
              </w:rPr>
            </w:pPr>
          </w:p>
        </w:tc>
        <w:tc>
          <w:tcPr>
            <w:tcW w:w="840" w:type="dxa"/>
            <w:vAlign w:val="bottom"/>
            <w:gridSpan w:val="7"/>
          </w:tcPr>
          <w:p>
            <w:pPr>
              <w:jc w:val="right"/>
              <w:spacing w:after="0" w:line="155" w:lineRule="exact"/>
              <w:rPr>
                <w:sz w:val="20"/>
                <w:szCs w:val="20"/>
                <w:color w:val="auto"/>
              </w:rPr>
            </w:pPr>
            <w:r>
              <w:rPr>
                <w:rFonts w:ascii="Arial" w:cs="Arial" w:eastAsia="Arial" w:hAnsi="Arial"/>
                <w:sz w:val="14"/>
                <w:szCs w:val="14"/>
                <w:color w:val="auto"/>
              </w:rPr>
              <w:t>(299,463)</w:t>
            </w:r>
          </w:p>
        </w:tc>
        <w:tc>
          <w:tcPr>
            <w:tcW w:w="880" w:type="dxa"/>
            <w:vAlign w:val="bottom"/>
            <w:gridSpan w:val="9"/>
          </w:tcPr>
          <w:p>
            <w:pPr>
              <w:ind w:left="360"/>
              <w:spacing w:after="0" w:line="155" w:lineRule="exact"/>
              <w:rPr>
                <w:sz w:val="20"/>
                <w:szCs w:val="20"/>
                <w:color w:val="auto"/>
              </w:rPr>
            </w:pPr>
            <w:r>
              <w:rPr>
                <w:rFonts w:ascii="Arial" w:cs="Arial" w:eastAsia="Arial" w:hAnsi="Arial"/>
                <w:sz w:val="14"/>
                <w:szCs w:val="14"/>
                <w:color w:val="auto"/>
                <w:w w:val="98"/>
              </w:rPr>
              <w:t>336,903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97,276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(197,390)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264,953</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83,136</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6,507</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652,781</w:t>
            </w: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Residential</w:t>
            </w:r>
          </w:p>
        </w:tc>
        <w:tc>
          <w:tcPr>
            <w:tcW w:w="780" w:type="dxa"/>
            <w:vAlign w:val="bottom"/>
            <w:gridSpan w:val="4"/>
            <w:vMerge w:val="restart"/>
          </w:tcPr>
          <w:p>
            <w:pPr>
              <w:jc w:val="right"/>
              <w:spacing w:after="0"/>
              <w:rPr>
                <w:sz w:val="20"/>
                <w:szCs w:val="20"/>
                <w:color w:val="auto"/>
              </w:rPr>
            </w:pPr>
            <w:r>
              <w:rPr>
                <w:rFonts w:ascii="Arial" w:cs="Arial" w:eastAsia="Arial" w:hAnsi="Arial"/>
                <w:sz w:val="14"/>
                <w:szCs w:val="14"/>
                <w:color w:val="auto"/>
              </w:rPr>
              <w:t>111,739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(60,588)</w:t>
            </w:r>
          </w:p>
        </w:tc>
        <w:tc>
          <w:tcPr>
            <w:tcW w:w="80" w:type="dxa"/>
            <w:vAlign w:val="bottom"/>
          </w:tcPr>
          <w:p>
            <w:pPr>
              <w:spacing w:after="0"/>
              <w:rPr>
                <w:sz w:val="13"/>
                <w:szCs w:val="13"/>
                <w:color w:val="auto"/>
              </w:rPr>
            </w:pPr>
          </w:p>
        </w:tc>
        <w:tc>
          <w:tcPr>
            <w:tcW w:w="840" w:type="dxa"/>
            <w:vAlign w:val="bottom"/>
            <w:gridSpan w:val="7"/>
            <w:vMerge w:val="restart"/>
          </w:tcPr>
          <w:p>
            <w:pPr>
              <w:jc w:val="right"/>
              <w:spacing w:after="0"/>
              <w:rPr>
                <w:sz w:val="20"/>
                <w:szCs w:val="20"/>
                <w:color w:val="auto"/>
              </w:rPr>
            </w:pPr>
            <w:r>
              <w:rPr>
                <w:rFonts w:ascii="Arial" w:cs="Arial" w:eastAsia="Arial" w:hAnsi="Arial"/>
                <w:sz w:val="14"/>
                <w:szCs w:val="14"/>
                <w:color w:val="auto"/>
              </w:rPr>
              <w:t>(45,120)</w:t>
            </w:r>
          </w:p>
        </w:tc>
        <w:tc>
          <w:tcPr>
            <w:tcW w:w="880" w:type="dxa"/>
            <w:vAlign w:val="bottom"/>
            <w:gridSpan w:val="9"/>
            <w:vMerge w:val="restart"/>
          </w:tcPr>
          <w:p>
            <w:pPr>
              <w:ind w:left="440"/>
              <w:spacing w:after="0"/>
              <w:rPr>
                <w:sz w:val="20"/>
                <w:szCs w:val="20"/>
                <w:color w:val="auto"/>
              </w:rPr>
            </w:pPr>
            <w:r>
              <w:rPr>
                <w:rFonts w:ascii="Arial" w:cs="Arial" w:eastAsia="Arial" w:hAnsi="Arial"/>
                <w:sz w:val="14"/>
                <w:szCs w:val="14"/>
                <w:color w:val="auto"/>
                <w:w w:val="97"/>
              </w:rPr>
              <w:t>46,021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94,787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10,612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(61,872)</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(298)</w:t>
            </w:r>
          </w:p>
        </w:tc>
        <w:tc>
          <w:tcPr>
            <w:tcW w:w="14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2,107</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97,388</w:t>
            </w:r>
          </w:p>
        </w:tc>
        <w:tc>
          <w:tcPr>
            <w:tcW w:w="0" w:type="dxa"/>
            <w:vAlign w:val="bottom"/>
          </w:tcPr>
          <w:p>
            <w:pPr>
              <w:spacing w:after="0"/>
              <w:rPr>
                <w:sz w:val="1"/>
                <w:szCs w:val="1"/>
                <w:color w:val="auto"/>
              </w:rPr>
            </w:pPr>
          </w:p>
        </w:tc>
      </w:tr>
      <w:tr>
        <w:trPr>
          <w:trHeight w:val="87"/>
        </w:trPr>
        <w:tc>
          <w:tcPr>
            <w:tcW w:w="138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mortgage loans</w:t>
            </w:r>
          </w:p>
        </w:tc>
        <w:tc>
          <w:tcPr>
            <w:tcW w:w="7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7"/>
            <w:vMerge w:val="continue"/>
          </w:tcPr>
          <w:p>
            <w:pPr>
              <w:spacing w:after="0"/>
              <w:rPr>
                <w:sz w:val="7"/>
                <w:szCs w:val="7"/>
                <w:color w:val="auto"/>
              </w:rPr>
            </w:pPr>
          </w:p>
        </w:tc>
        <w:tc>
          <w:tcPr>
            <w:tcW w:w="880" w:type="dxa"/>
            <w:vAlign w:val="bottom"/>
            <w:gridSpan w:val="9"/>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Micro-business</w:t>
            </w:r>
          </w:p>
        </w:tc>
        <w:tc>
          <w:tcPr>
            <w:tcW w:w="780" w:type="dxa"/>
            <w:vAlign w:val="bottom"/>
            <w:gridSpan w:val="4"/>
            <w:vMerge w:val="restart"/>
          </w:tcPr>
          <w:p>
            <w:pPr>
              <w:jc w:val="right"/>
              <w:spacing w:after="0"/>
              <w:rPr>
                <w:sz w:val="20"/>
                <w:szCs w:val="20"/>
                <w:color w:val="auto"/>
              </w:rPr>
            </w:pPr>
            <w:r>
              <w:rPr>
                <w:rFonts w:ascii="Arial" w:cs="Arial" w:eastAsia="Arial" w:hAnsi="Arial"/>
                <w:sz w:val="14"/>
                <w:szCs w:val="14"/>
                <w:color w:val="auto"/>
              </w:rPr>
              <w:t>1,087,978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(276,189)</w:t>
            </w:r>
          </w:p>
        </w:tc>
        <w:tc>
          <w:tcPr>
            <w:tcW w:w="80" w:type="dxa"/>
            <w:vAlign w:val="bottom"/>
          </w:tcPr>
          <w:p>
            <w:pPr>
              <w:spacing w:after="0"/>
              <w:rPr>
                <w:sz w:val="13"/>
                <w:szCs w:val="13"/>
                <w:color w:val="auto"/>
              </w:rPr>
            </w:pPr>
          </w:p>
        </w:tc>
        <w:tc>
          <w:tcPr>
            <w:tcW w:w="840" w:type="dxa"/>
            <w:vAlign w:val="bottom"/>
            <w:gridSpan w:val="7"/>
            <w:vMerge w:val="restart"/>
          </w:tcPr>
          <w:p>
            <w:pPr>
              <w:jc w:val="right"/>
              <w:spacing w:after="0"/>
              <w:rPr>
                <w:sz w:val="20"/>
                <w:szCs w:val="20"/>
                <w:color w:val="auto"/>
              </w:rPr>
            </w:pPr>
            <w:r>
              <w:rPr>
                <w:rFonts w:ascii="Arial" w:cs="Arial" w:eastAsia="Arial" w:hAnsi="Arial"/>
                <w:sz w:val="14"/>
                <w:szCs w:val="14"/>
                <w:color w:val="auto"/>
              </w:rPr>
              <w:t>(383,355)</w:t>
            </w:r>
          </w:p>
        </w:tc>
        <w:tc>
          <w:tcPr>
            <w:tcW w:w="880" w:type="dxa"/>
            <w:vAlign w:val="bottom"/>
            <w:gridSpan w:val="9"/>
            <w:vMerge w:val="restart"/>
          </w:tcPr>
          <w:p>
            <w:pPr>
              <w:ind w:left="360"/>
              <w:spacing w:after="0"/>
              <w:rPr>
                <w:sz w:val="20"/>
                <w:szCs w:val="20"/>
                <w:color w:val="auto"/>
              </w:rPr>
            </w:pPr>
            <w:r>
              <w:rPr>
                <w:rFonts w:ascii="Arial" w:cs="Arial" w:eastAsia="Arial" w:hAnsi="Arial"/>
                <w:sz w:val="14"/>
                <w:szCs w:val="14"/>
                <w:color w:val="auto"/>
                <w:w w:val="98"/>
              </w:rPr>
              <w:t>659,532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67,236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(479,918)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31,194</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(81,319)</w:t>
            </w:r>
          </w:p>
        </w:tc>
        <w:tc>
          <w:tcPr>
            <w:tcW w:w="14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625,255</w:t>
            </w:r>
          </w:p>
        </w:tc>
        <w:tc>
          <w:tcPr>
            <w:tcW w:w="0" w:type="dxa"/>
            <w:vAlign w:val="bottom"/>
          </w:tcPr>
          <w:p>
            <w:pPr>
              <w:spacing w:after="0"/>
              <w:rPr>
                <w:sz w:val="1"/>
                <w:szCs w:val="1"/>
                <w:color w:val="auto"/>
              </w:rPr>
            </w:pPr>
          </w:p>
        </w:tc>
      </w:tr>
      <w:tr>
        <w:trPr>
          <w:trHeight w:val="87"/>
        </w:trPr>
        <w:tc>
          <w:tcPr>
            <w:tcW w:w="138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loans</w:t>
            </w:r>
          </w:p>
        </w:tc>
        <w:tc>
          <w:tcPr>
            <w:tcW w:w="7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7"/>
            <w:vMerge w:val="continue"/>
          </w:tcPr>
          <w:p>
            <w:pPr>
              <w:spacing w:after="0"/>
              <w:rPr>
                <w:sz w:val="7"/>
                <w:szCs w:val="7"/>
                <w:color w:val="auto"/>
              </w:rPr>
            </w:pPr>
          </w:p>
        </w:tc>
        <w:tc>
          <w:tcPr>
            <w:tcW w:w="880" w:type="dxa"/>
            <w:vAlign w:val="bottom"/>
            <w:gridSpan w:val="9"/>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380" w:type="dxa"/>
            <w:vAlign w:val="bottom"/>
            <w:gridSpan w:val="3"/>
          </w:tcPr>
          <w:p>
            <w:pPr>
              <w:spacing w:after="0" w:line="151" w:lineRule="exact"/>
              <w:rPr>
                <w:sz w:val="20"/>
                <w:szCs w:val="20"/>
                <w:color w:val="auto"/>
              </w:rPr>
            </w:pPr>
            <w:r>
              <w:rPr>
                <w:rFonts w:ascii="Arial" w:cs="Arial" w:eastAsia="Arial" w:hAnsi="Arial"/>
                <w:sz w:val="14"/>
                <w:szCs w:val="14"/>
                <w:color w:val="auto"/>
              </w:rPr>
              <w:t>Consumer loans</w:t>
            </w:r>
          </w:p>
        </w:tc>
        <w:tc>
          <w:tcPr>
            <w:tcW w:w="4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946,312</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(202,265)</w:t>
            </w: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Borders>
              <w:bottom w:val="single" w:sz="8" w:color="auto"/>
            </w:tcBorders>
            <w:gridSpan w:val="5"/>
          </w:tcPr>
          <w:p>
            <w:pPr>
              <w:jc w:val="right"/>
              <w:spacing w:after="0" w:line="151" w:lineRule="exact"/>
              <w:rPr>
                <w:sz w:val="20"/>
                <w:szCs w:val="20"/>
                <w:color w:val="auto"/>
              </w:rPr>
            </w:pPr>
            <w:r>
              <w:rPr>
                <w:rFonts w:ascii="Arial" w:cs="Arial" w:eastAsia="Arial" w:hAnsi="Arial"/>
                <w:sz w:val="14"/>
                <w:szCs w:val="14"/>
                <w:color w:val="auto"/>
              </w:rPr>
              <w:t>(412,088)</w:t>
            </w:r>
          </w:p>
        </w:tc>
        <w:tc>
          <w:tcPr>
            <w:tcW w:w="40" w:type="dxa"/>
            <w:vAlign w:val="bottom"/>
            <w:tcBorders>
              <w:bottom w:val="single" w:sz="8" w:color="auto"/>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700" w:type="dxa"/>
            <w:vAlign w:val="bottom"/>
            <w:tcBorders>
              <w:bottom w:val="single" w:sz="8" w:color="auto"/>
            </w:tcBorders>
            <w:gridSpan w:val="4"/>
          </w:tcPr>
          <w:p>
            <w:pPr>
              <w:ind w:left="180"/>
              <w:spacing w:after="0" w:line="151" w:lineRule="exact"/>
              <w:rPr>
                <w:sz w:val="20"/>
                <w:szCs w:val="20"/>
                <w:color w:val="auto"/>
              </w:rPr>
            </w:pPr>
            <w:r>
              <w:rPr>
                <w:rFonts w:ascii="Arial" w:cs="Arial" w:eastAsia="Arial" w:hAnsi="Arial"/>
                <w:sz w:val="14"/>
                <w:szCs w:val="14"/>
                <w:color w:val="auto"/>
                <w:w w:val="98"/>
              </w:rPr>
              <w:t>305,127</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ind w:right="20"/>
              <w:spacing w:after="0" w:line="151" w:lineRule="exact"/>
              <w:rPr>
                <w:sz w:val="20"/>
                <w:szCs w:val="20"/>
                <w:color w:val="auto"/>
              </w:rPr>
            </w:pPr>
            <w:r>
              <w:rPr>
                <w:rFonts w:ascii="Arial" w:cs="Arial" w:eastAsia="Arial" w:hAnsi="Arial"/>
                <w:sz w:val="14"/>
                <w:szCs w:val="14"/>
                <w:color w:val="auto"/>
              </w:rPr>
              <w:t>188,858</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0" w:type="dxa"/>
            <w:vAlign w:val="bottom"/>
            <w:tcBorders>
              <w:bottom w:val="single" w:sz="8" w:color="auto"/>
            </w:tcBorders>
            <w:gridSpan w:val="2"/>
          </w:tcPr>
          <w:p>
            <w:pPr>
              <w:jc w:val="right"/>
              <w:ind w:right="20"/>
              <w:spacing w:after="0" w:line="151" w:lineRule="exact"/>
              <w:rPr>
                <w:sz w:val="20"/>
                <w:szCs w:val="20"/>
                <w:color w:val="auto"/>
              </w:rPr>
            </w:pPr>
            <w:r>
              <w:rPr>
                <w:rFonts w:ascii="Arial" w:cs="Arial" w:eastAsia="Arial" w:hAnsi="Arial"/>
                <w:sz w:val="14"/>
                <w:szCs w:val="14"/>
                <w:color w:val="auto"/>
              </w:rPr>
              <w:t>(334,140)</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147,216</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(1,519)</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262</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637,763</w:t>
            </w:r>
          </w:p>
        </w:tc>
        <w:tc>
          <w:tcPr>
            <w:tcW w:w="0" w:type="dxa"/>
            <w:vAlign w:val="bottom"/>
          </w:tcPr>
          <w:p>
            <w:pPr>
              <w:spacing w:after="0"/>
              <w:rPr>
                <w:sz w:val="1"/>
                <w:szCs w:val="1"/>
                <w:color w:val="auto"/>
              </w:rPr>
            </w:pPr>
          </w:p>
        </w:tc>
      </w:tr>
      <w:tr>
        <w:trPr>
          <w:trHeight w:val="154"/>
        </w:trPr>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2,812,031</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(844,185)</w:t>
            </w: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(1,140,026)</w:t>
            </w:r>
          </w:p>
        </w:tc>
        <w:tc>
          <w:tcPr>
            <w:tcW w:w="40" w:type="dxa"/>
            <w:vAlign w:val="bottom"/>
            <w:tcBorders>
              <w:bottom w:val="single" w:sz="8" w:color="auto"/>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700" w:type="dxa"/>
            <w:vAlign w:val="bottom"/>
            <w:tcBorders>
              <w:bottom w:val="single" w:sz="8" w:color="auto"/>
            </w:tcBorders>
            <w:gridSpan w:val="4"/>
          </w:tcPr>
          <w:p>
            <w:pPr>
              <w:ind w:left="60"/>
              <w:spacing w:after="0" w:line="149" w:lineRule="exact"/>
              <w:rPr>
                <w:sz w:val="20"/>
                <w:szCs w:val="20"/>
                <w:color w:val="auto"/>
              </w:rPr>
            </w:pPr>
            <w:r>
              <w:rPr>
                <w:rFonts w:ascii="Arial" w:cs="Arial" w:eastAsia="Arial" w:hAnsi="Arial"/>
                <w:sz w:val="14"/>
                <w:szCs w:val="14"/>
                <w:color w:val="auto"/>
                <w:w w:val="99"/>
              </w:rPr>
              <w:t>1,347,583</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448,157</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(1,000,836)</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381,491</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8,972</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2,013,187</w:t>
            </w:r>
          </w:p>
        </w:tc>
        <w:tc>
          <w:tcPr>
            <w:tcW w:w="0" w:type="dxa"/>
            <w:vAlign w:val="bottom"/>
          </w:tcPr>
          <w:p>
            <w:pPr>
              <w:spacing w:after="0"/>
              <w:rPr>
                <w:sz w:val="1"/>
                <w:szCs w:val="1"/>
                <w:color w:val="auto"/>
              </w:rPr>
            </w:pPr>
          </w:p>
        </w:tc>
      </w:tr>
      <w:tr>
        <w:trPr>
          <w:trHeight w:val="350"/>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Stage 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New loans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Changes</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Transfer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Transfer</w:t>
            </w:r>
          </w:p>
        </w:tc>
        <w:tc>
          <w:tcPr>
            <w:tcW w:w="40" w:type="dxa"/>
            <w:vAlign w:val="bottom"/>
          </w:tcPr>
          <w:p>
            <w:pPr>
              <w:spacing w:after="0"/>
              <w:rPr>
                <w:sz w:val="13"/>
                <w:szCs w:val="13"/>
                <w:color w:val="auto"/>
              </w:rPr>
            </w:pPr>
          </w:p>
        </w:tc>
        <w:tc>
          <w:tcPr>
            <w:tcW w:w="78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Transfer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liquidation,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PDs,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to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to</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40" w:type="dxa"/>
            <w:vAlign w:val="bottom"/>
          </w:tcPr>
          <w:p>
            <w:pPr>
              <w:spacing w:after="0"/>
              <w:rPr>
                <w:sz w:val="13"/>
                <w:szCs w:val="13"/>
                <w:color w:val="auto"/>
              </w:rPr>
            </w:pPr>
          </w:p>
        </w:tc>
        <w:tc>
          <w:tcPr>
            <w:tcW w:w="78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from</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and write-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LGDs,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classes</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7"/>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Loans by class</w:t>
            </w:r>
          </w:p>
        </w:tc>
        <w:tc>
          <w:tcPr>
            <w:tcW w:w="7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31, 2020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Stage 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Stage 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6"/>
          </w:tcPr>
          <w:p>
            <w:pPr>
              <w:ind w:left="40"/>
              <w:spacing w:after="0"/>
              <w:rPr>
                <w:sz w:val="20"/>
                <w:szCs w:val="20"/>
                <w:color w:val="auto"/>
              </w:rPr>
            </w:pPr>
            <w:r>
              <w:rPr>
                <w:rFonts w:ascii="Arial" w:cs="Arial" w:eastAsia="Arial" w:hAnsi="Arial"/>
                <w:sz w:val="14"/>
                <w:szCs w:val="14"/>
                <w:b w:val="1"/>
                <w:bCs w:val="1"/>
                <w:color w:val="auto"/>
              </w:rPr>
              <w:t>Stage 1</w:t>
            </w:r>
          </w:p>
        </w:tc>
        <w:tc>
          <w:tcPr>
            <w:tcW w:w="40" w:type="dxa"/>
            <w:vAlign w:val="bottom"/>
          </w:tcPr>
          <w:p>
            <w:pPr>
              <w:spacing w:after="0"/>
              <w:rPr>
                <w:sz w:val="14"/>
                <w:szCs w:val="14"/>
                <w:color w:val="auto"/>
              </w:rPr>
            </w:pPr>
          </w:p>
        </w:tc>
        <w:tc>
          <w:tcPr>
            <w:tcW w:w="780" w:type="dxa"/>
            <w:vAlign w:val="bottom"/>
            <w:gridSpan w:val="5"/>
          </w:tcPr>
          <w:p>
            <w:pPr>
              <w:ind w:left="40"/>
              <w:spacing w:after="0"/>
              <w:rPr>
                <w:sz w:val="20"/>
                <w:szCs w:val="20"/>
                <w:color w:val="auto"/>
              </w:rPr>
            </w:pPr>
            <w:r>
              <w:rPr>
                <w:rFonts w:ascii="Arial" w:cs="Arial" w:eastAsia="Arial" w:hAnsi="Arial"/>
                <w:sz w:val="14"/>
                <w:szCs w:val="14"/>
                <w:b w:val="1"/>
                <w:bCs w:val="1"/>
                <w:color w:val="auto"/>
              </w:rPr>
              <w:t>Stage 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offs, net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EADs(*)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loans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portfolio</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others</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153"/>
        </w:trPr>
        <w:tc>
          <w:tcPr>
            <w:tcW w:w="1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gridSpan w:val="4"/>
          </w:tcPr>
          <w:p>
            <w:pPr>
              <w:jc w:val="right"/>
              <w:ind w:right="28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gridSpan w:val="3"/>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80" w:type="dxa"/>
            <w:vAlign w:val="bottom"/>
          </w:tcPr>
          <w:p>
            <w:pPr>
              <w:spacing w:after="0"/>
              <w:rPr>
                <w:sz w:val="13"/>
                <w:szCs w:val="13"/>
                <w:color w:val="auto"/>
              </w:rPr>
            </w:pPr>
          </w:p>
        </w:tc>
        <w:tc>
          <w:tcPr>
            <w:tcW w:w="7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Commercial loans</w:t>
            </w:r>
          </w:p>
        </w:tc>
        <w:tc>
          <w:tcPr>
            <w:tcW w:w="920" w:type="dxa"/>
            <w:vAlign w:val="bottom"/>
            <w:gridSpan w:val="6"/>
          </w:tcPr>
          <w:p>
            <w:pPr>
              <w:jc w:val="right"/>
              <w:ind w:right="60"/>
              <w:spacing w:after="0" w:line="155" w:lineRule="exact"/>
              <w:rPr>
                <w:sz w:val="20"/>
                <w:szCs w:val="20"/>
                <w:color w:val="auto"/>
              </w:rPr>
            </w:pPr>
            <w:r>
              <w:rPr>
                <w:rFonts w:ascii="Arial" w:cs="Arial" w:eastAsia="Arial" w:hAnsi="Arial"/>
                <w:sz w:val="14"/>
                <w:szCs w:val="14"/>
                <w:color w:val="auto"/>
              </w:rPr>
              <w:t>2,229,427</w:t>
            </w:r>
          </w:p>
        </w:tc>
        <w:tc>
          <w:tcPr>
            <w:tcW w:w="20" w:type="dxa"/>
            <w:vAlign w:val="bottom"/>
          </w:tcPr>
          <w:p>
            <w:pPr>
              <w:spacing w:after="0"/>
              <w:rPr>
                <w:sz w:val="13"/>
                <w:szCs w:val="13"/>
                <w:color w:val="auto"/>
              </w:rPr>
            </w:pPr>
          </w:p>
        </w:tc>
        <w:tc>
          <w:tcPr>
            <w:tcW w:w="80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(29,199)</w:t>
            </w:r>
          </w:p>
        </w:tc>
        <w:tc>
          <w:tcPr>
            <w:tcW w:w="820" w:type="dxa"/>
            <w:vAlign w:val="bottom"/>
            <w:gridSpan w:val="6"/>
          </w:tcPr>
          <w:p>
            <w:pPr>
              <w:jc w:val="center"/>
              <w:ind w:left="211"/>
              <w:spacing w:after="0" w:line="155" w:lineRule="exact"/>
              <w:rPr>
                <w:sz w:val="20"/>
                <w:szCs w:val="20"/>
                <w:color w:val="auto"/>
              </w:rPr>
            </w:pPr>
            <w:r>
              <w:rPr>
                <w:rFonts w:ascii="Arial" w:cs="Arial" w:eastAsia="Arial" w:hAnsi="Arial"/>
                <w:sz w:val="14"/>
                <w:szCs w:val="14"/>
                <w:color w:val="auto"/>
                <w:w w:val="95"/>
              </w:rPr>
              <w:t>(97,276)</w:t>
            </w:r>
          </w:p>
        </w:tc>
        <w:tc>
          <w:tcPr>
            <w:tcW w:w="20" w:type="dxa"/>
            <w:vAlign w:val="bottom"/>
          </w:tcPr>
          <w:p>
            <w:pPr>
              <w:spacing w:after="0"/>
              <w:rPr>
                <w:sz w:val="13"/>
                <w:szCs w:val="13"/>
                <w:color w:val="auto"/>
              </w:rPr>
            </w:pPr>
          </w:p>
        </w:tc>
        <w:tc>
          <w:tcPr>
            <w:tcW w:w="800" w:type="dxa"/>
            <w:vAlign w:val="bottom"/>
            <w:gridSpan w:val="7"/>
          </w:tcPr>
          <w:p>
            <w:pPr>
              <w:ind w:left="360"/>
              <w:spacing w:after="0" w:line="155" w:lineRule="exact"/>
              <w:rPr>
                <w:sz w:val="20"/>
                <w:szCs w:val="20"/>
                <w:color w:val="auto"/>
              </w:rPr>
            </w:pPr>
            <w:r>
              <w:rPr>
                <w:rFonts w:ascii="Arial" w:cs="Arial" w:eastAsia="Arial" w:hAnsi="Arial"/>
                <w:sz w:val="14"/>
                <w:szCs w:val="14"/>
                <w:color w:val="auto"/>
                <w:w w:val="97"/>
              </w:rPr>
              <w:t>21,434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299,463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(471,283)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742,567</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(26,219)</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(27,726)</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89,604</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2,730,792</w:t>
            </w: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Residential mortgage</w:t>
            </w:r>
          </w:p>
        </w:tc>
        <w:tc>
          <w:tcPr>
            <w:tcW w:w="920" w:type="dxa"/>
            <w:vAlign w:val="bottom"/>
            <w:gridSpan w:val="6"/>
            <w:vMerge w:val="restart"/>
          </w:tcPr>
          <w:p>
            <w:pPr>
              <w:jc w:val="right"/>
              <w:ind w:right="60"/>
              <w:spacing w:after="0"/>
              <w:rPr>
                <w:sz w:val="20"/>
                <w:szCs w:val="20"/>
                <w:color w:val="auto"/>
              </w:rPr>
            </w:pPr>
            <w:r>
              <w:rPr>
                <w:rFonts w:ascii="Arial" w:cs="Arial" w:eastAsia="Arial" w:hAnsi="Arial"/>
                <w:sz w:val="14"/>
                <w:szCs w:val="14"/>
                <w:color w:val="auto"/>
              </w:rPr>
              <w:t>639,750</w:t>
            </w:r>
          </w:p>
        </w:tc>
        <w:tc>
          <w:tcPr>
            <w:tcW w:w="20" w:type="dxa"/>
            <w:vAlign w:val="bottom"/>
          </w:tcPr>
          <w:p>
            <w:pPr>
              <w:spacing w:after="0"/>
              <w:rPr>
                <w:sz w:val="13"/>
                <w:szCs w:val="13"/>
                <w:color w:val="auto"/>
              </w:rPr>
            </w:pP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(39,211)</w:t>
            </w:r>
          </w:p>
        </w:tc>
        <w:tc>
          <w:tcPr>
            <w:tcW w:w="820" w:type="dxa"/>
            <w:vAlign w:val="bottom"/>
            <w:gridSpan w:val="6"/>
            <w:vMerge w:val="restart"/>
          </w:tcPr>
          <w:p>
            <w:pPr>
              <w:jc w:val="center"/>
              <w:ind w:left="211"/>
              <w:spacing w:after="0"/>
              <w:rPr>
                <w:sz w:val="20"/>
                <w:szCs w:val="20"/>
                <w:color w:val="auto"/>
              </w:rPr>
            </w:pPr>
            <w:r>
              <w:rPr>
                <w:rFonts w:ascii="Arial" w:cs="Arial" w:eastAsia="Arial" w:hAnsi="Arial"/>
                <w:sz w:val="14"/>
                <w:szCs w:val="14"/>
                <w:color w:val="auto"/>
                <w:w w:val="95"/>
              </w:rPr>
              <w:t>(94,787)</w:t>
            </w:r>
          </w:p>
        </w:tc>
        <w:tc>
          <w:tcPr>
            <w:tcW w:w="20" w:type="dxa"/>
            <w:vAlign w:val="bottom"/>
          </w:tcPr>
          <w:p>
            <w:pPr>
              <w:spacing w:after="0"/>
              <w:rPr>
                <w:sz w:val="13"/>
                <w:szCs w:val="13"/>
                <w:color w:val="auto"/>
              </w:rPr>
            </w:pPr>
          </w:p>
        </w:tc>
        <w:tc>
          <w:tcPr>
            <w:tcW w:w="800" w:type="dxa"/>
            <w:vAlign w:val="bottom"/>
            <w:gridSpan w:val="7"/>
            <w:vMerge w:val="restart"/>
          </w:tcPr>
          <w:p>
            <w:pPr>
              <w:ind w:left="440"/>
              <w:spacing w:after="0"/>
              <w:rPr>
                <w:sz w:val="20"/>
                <w:szCs w:val="20"/>
                <w:color w:val="auto"/>
              </w:rPr>
            </w:pPr>
            <w:r>
              <w:rPr>
                <w:rFonts w:ascii="Arial" w:cs="Arial" w:eastAsia="Arial" w:hAnsi="Arial"/>
                <w:sz w:val="14"/>
                <w:szCs w:val="14"/>
                <w:color w:val="auto"/>
                <w:w w:val="96"/>
              </w:rPr>
              <w:t>3,699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45,120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(174,618)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410,446</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(1,867)</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(5,613)</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17,720</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800,639</w:t>
            </w:r>
          </w:p>
        </w:tc>
        <w:tc>
          <w:tcPr>
            <w:tcW w:w="0" w:type="dxa"/>
            <w:vAlign w:val="bottom"/>
          </w:tcPr>
          <w:p>
            <w:pPr>
              <w:spacing w:after="0"/>
              <w:rPr>
                <w:sz w:val="1"/>
                <w:szCs w:val="1"/>
                <w:color w:val="auto"/>
              </w:rPr>
            </w:pPr>
          </w:p>
        </w:tc>
      </w:tr>
      <w:tr>
        <w:trPr>
          <w:trHeight w:val="87"/>
        </w:trPr>
        <w:tc>
          <w:tcPr>
            <w:tcW w:w="138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loans</w:t>
            </w:r>
          </w:p>
        </w:tc>
        <w:tc>
          <w:tcPr>
            <w:tcW w:w="92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82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Micro-business loans</w:t>
            </w:r>
          </w:p>
        </w:tc>
        <w:tc>
          <w:tcPr>
            <w:tcW w:w="920" w:type="dxa"/>
            <w:vAlign w:val="bottom"/>
            <w:gridSpan w:val="6"/>
          </w:tcPr>
          <w:p>
            <w:pPr>
              <w:jc w:val="right"/>
              <w:ind w:right="60"/>
              <w:spacing w:after="0" w:line="155" w:lineRule="exact"/>
              <w:rPr>
                <w:sz w:val="20"/>
                <w:szCs w:val="20"/>
                <w:color w:val="auto"/>
              </w:rPr>
            </w:pPr>
            <w:r>
              <w:rPr>
                <w:rFonts w:ascii="Arial" w:cs="Arial" w:eastAsia="Arial" w:hAnsi="Arial"/>
                <w:sz w:val="14"/>
                <w:szCs w:val="14"/>
                <w:color w:val="auto"/>
              </w:rPr>
              <w:t>1,445,988</w:t>
            </w:r>
          </w:p>
        </w:tc>
        <w:tc>
          <w:tcPr>
            <w:tcW w:w="20" w:type="dxa"/>
            <w:vAlign w:val="bottom"/>
          </w:tcPr>
          <w:p>
            <w:pPr>
              <w:spacing w:after="0"/>
              <w:rPr>
                <w:sz w:val="13"/>
                <w:szCs w:val="13"/>
                <w:color w:val="auto"/>
              </w:rPr>
            </w:pPr>
          </w:p>
        </w:tc>
        <w:tc>
          <w:tcPr>
            <w:tcW w:w="80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(25,295)</w:t>
            </w:r>
          </w:p>
        </w:tc>
        <w:tc>
          <w:tcPr>
            <w:tcW w:w="820" w:type="dxa"/>
            <w:vAlign w:val="bottom"/>
            <w:gridSpan w:val="6"/>
          </w:tcPr>
          <w:p>
            <w:pPr>
              <w:jc w:val="center"/>
              <w:ind w:left="211"/>
              <w:spacing w:after="0" w:line="155" w:lineRule="exact"/>
              <w:rPr>
                <w:sz w:val="20"/>
                <w:szCs w:val="20"/>
                <w:color w:val="auto"/>
              </w:rPr>
            </w:pPr>
            <w:r>
              <w:rPr>
                <w:rFonts w:ascii="Arial" w:cs="Arial" w:eastAsia="Arial" w:hAnsi="Arial"/>
                <w:sz w:val="14"/>
                <w:szCs w:val="14"/>
                <w:color w:val="auto"/>
                <w:w w:val="95"/>
              </w:rPr>
              <w:t>(67,236)</w:t>
            </w:r>
          </w:p>
        </w:tc>
        <w:tc>
          <w:tcPr>
            <w:tcW w:w="20" w:type="dxa"/>
            <w:vAlign w:val="bottom"/>
          </w:tcPr>
          <w:p>
            <w:pPr>
              <w:spacing w:after="0"/>
              <w:rPr>
                <w:sz w:val="13"/>
                <w:szCs w:val="13"/>
                <w:color w:val="auto"/>
              </w:rPr>
            </w:pPr>
          </w:p>
        </w:tc>
        <w:tc>
          <w:tcPr>
            <w:tcW w:w="800" w:type="dxa"/>
            <w:vAlign w:val="bottom"/>
            <w:gridSpan w:val="7"/>
          </w:tcPr>
          <w:p>
            <w:pPr>
              <w:ind w:left="360"/>
              <w:spacing w:after="0" w:line="155" w:lineRule="exact"/>
              <w:rPr>
                <w:sz w:val="20"/>
                <w:szCs w:val="20"/>
                <w:color w:val="auto"/>
              </w:rPr>
            </w:pPr>
            <w:r>
              <w:rPr>
                <w:rFonts w:ascii="Arial" w:cs="Arial" w:eastAsia="Arial" w:hAnsi="Arial"/>
                <w:sz w:val="14"/>
                <w:szCs w:val="14"/>
                <w:color w:val="auto"/>
                <w:w w:val="97"/>
              </w:rPr>
              <w:t>18,743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383,355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(1,804,583)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1,166,499</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22,871</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(6,335)</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14,625</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1,148,632</w:t>
            </w:r>
          </w:p>
        </w:tc>
        <w:tc>
          <w:tcPr>
            <w:tcW w:w="0" w:type="dxa"/>
            <w:vAlign w:val="bottom"/>
          </w:tcPr>
          <w:p>
            <w:pPr>
              <w:spacing w:after="0"/>
              <w:rPr>
                <w:sz w:val="1"/>
                <w:szCs w:val="1"/>
                <w:color w:val="auto"/>
              </w:rPr>
            </w:pPr>
          </w:p>
        </w:tc>
      </w:tr>
      <w:tr>
        <w:trPr>
          <w:trHeight w:val="151"/>
        </w:trPr>
        <w:tc>
          <w:tcPr>
            <w:tcW w:w="1380" w:type="dxa"/>
            <w:vAlign w:val="bottom"/>
            <w:gridSpan w:val="3"/>
          </w:tcPr>
          <w:p>
            <w:pPr>
              <w:spacing w:after="0" w:line="151" w:lineRule="exact"/>
              <w:rPr>
                <w:sz w:val="20"/>
                <w:szCs w:val="20"/>
                <w:color w:val="auto"/>
              </w:rPr>
            </w:pPr>
            <w:r>
              <w:rPr>
                <w:rFonts w:ascii="Arial" w:cs="Arial" w:eastAsia="Arial" w:hAnsi="Arial"/>
                <w:sz w:val="14"/>
                <w:szCs w:val="14"/>
                <w:color w:val="auto"/>
              </w:rPr>
              <w:t>Consumer loans</w:t>
            </w:r>
          </w:p>
        </w:tc>
        <w:tc>
          <w:tcPr>
            <w:tcW w:w="140" w:type="dxa"/>
            <w:vAlign w:val="bottom"/>
            <w:gridSpan w:val="2"/>
          </w:tcPr>
          <w:p>
            <w:pPr>
              <w:spacing w:after="0"/>
              <w:rPr>
                <w:sz w:val="13"/>
                <w:szCs w:val="13"/>
                <w:color w:val="auto"/>
              </w:rPr>
            </w:pPr>
          </w:p>
        </w:tc>
        <w:tc>
          <w:tcPr>
            <w:tcW w:w="780" w:type="dxa"/>
            <w:vAlign w:val="bottom"/>
            <w:tcBorders>
              <w:bottom w:val="single" w:sz="8" w:color="auto"/>
            </w:tcBorders>
            <w:gridSpan w:val="4"/>
          </w:tcPr>
          <w:p>
            <w:pPr>
              <w:jc w:val="right"/>
              <w:ind w:right="60"/>
              <w:spacing w:after="0" w:line="151" w:lineRule="exact"/>
              <w:rPr>
                <w:sz w:val="20"/>
                <w:szCs w:val="20"/>
                <w:color w:val="auto"/>
              </w:rPr>
            </w:pPr>
            <w:r>
              <w:rPr>
                <w:rFonts w:ascii="Arial" w:cs="Arial" w:eastAsia="Arial" w:hAnsi="Arial"/>
                <w:sz w:val="14"/>
                <w:szCs w:val="14"/>
                <w:color w:val="auto"/>
              </w:rPr>
              <w:t>1,463,365</w:t>
            </w: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Borders>
              <w:bottom w:val="single" w:sz="8" w:color="auto"/>
            </w:tcBorders>
            <w:gridSpan w:val="2"/>
          </w:tcPr>
          <w:p>
            <w:pPr>
              <w:jc w:val="right"/>
              <w:ind w:right="40"/>
              <w:spacing w:after="0" w:line="151" w:lineRule="exact"/>
              <w:rPr>
                <w:sz w:val="20"/>
                <w:szCs w:val="20"/>
                <w:color w:val="auto"/>
              </w:rPr>
            </w:pPr>
            <w:r>
              <w:rPr>
                <w:rFonts w:ascii="Arial" w:cs="Arial" w:eastAsia="Arial" w:hAnsi="Arial"/>
                <w:sz w:val="14"/>
                <w:szCs w:val="14"/>
                <w:color w:val="auto"/>
              </w:rPr>
              <w:t>(82,773)</w:t>
            </w: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Borders>
              <w:bottom w:val="single" w:sz="8" w:color="auto"/>
            </w:tcBorders>
            <w:gridSpan w:val="2"/>
          </w:tcPr>
          <w:p>
            <w:pPr>
              <w:jc w:val="center"/>
              <w:spacing w:after="0" w:line="151" w:lineRule="exact"/>
              <w:rPr>
                <w:sz w:val="20"/>
                <w:szCs w:val="20"/>
                <w:color w:val="auto"/>
              </w:rPr>
            </w:pPr>
            <w:r>
              <w:rPr>
                <w:rFonts w:ascii="Arial" w:cs="Arial" w:eastAsia="Arial" w:hAnsi="Arial"/>
                <w:sz w:val="14"/>
                <w:szCs w:val="14"/>
                <w:color w:val="auto"/>
                <w:w w:val="96"/>
              </w:rPr>
              <w:t>(188,858)</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40" w:type="dxa"/>
            <w:vAlign w:val="bottom"/>
            <w:tcBorders>
              <w:bottom w:val="single" w:sz="8" w:color="auto"/>
            </w:tcBorders>
            <w:gridSpan w:val="3"/>
          </w:tcPr>
          <w:p>
            <w:pPr>
              <w:ind w:left="200"/>
              <w:spacing w:after="0" w:line="151" w:lineRule="exact"/>
              <w:rPr>
                <w:sz w:val="20"/>
                <w:szCs w:val="20"/>
                <w:color w:val="auto"/>
              </w:rPr>
            </w:pPr>
            <w:r>
              <w:rPr>
                <w:rFonts w:ascii="Arial" w:cs="Arial" w:eastAsia="Arial" w:hAnsi="Arial"/>
                <w:sz w:val="14"/>
                <w:szCs w:val="14"/>
                <w:color w:val="auto"/>
                <w:w w:val="97"/>
              </w:rPr>
              <w:t>25,628</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412,088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(1,618,776)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924,246</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5,215</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(1,159)</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2,440</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941,416</w:t>
            </w:r>
          </w:p>
        </w:tc>
        <w:tc>
          <w:tcPr>
            <w:tcW w:w="0" w:type="dxa"/>
            <w:vAlign w:val="bottom"/>
          </w:tcPr>
          <w:p>
            <w:pPr>
              <w:spacing w:after="0"/>
              <w:rPr>
                <w:sz w:val="1"/>
                <w:szCs w:val="1"/>
                <w:color w:val="auto"/>
              </w:rPr>
            </w:pPr>
          </w:p>
        </w:tc>
      </w:tr>
      <w:tr>
        <w:trPr>
          <w:trHeight w:val="154"/>
        </w:trPr>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w:t>
            </w:r>
          </w:p>
        </w:tc>
        <w:tc>
          <w:tcPr>
            <w:tcW w:w="140" w:type="dxa"/>
            <w:vAlign w:val="bottom"/>
            <w:gridSpan w:val="2"/>
          </w:tcPr>
          <w:p>
            <w:pPr>
              <w:spacing w:after="0"/>
              <w:rPr>
                <w:sz w:val="13"/>
                <w:szCs w:val="13"/>
                <w:color w:val="auto"/>
              </w:rPr>
            </w:pPr>
          </w:p>
        </w:tc>
        <w:tc>
          <w:tcPr>
            <w:tcW w:w="780" w:type="dxa"/>
            <w:vAlign w:val="bottom"/>
            <w:tcBorders>
              <w:bottom w:val="single" w:sz="8" w:color="auto"/>
            </w:tcBorders>
            <w:gridSpan w:val="4"/>
          </w:tcPr>
          <w:p>
            <w:pPr>
              <w:jc w:val="right"/>
              <w:ind w:right="60"/>
              <w:spacing w:after="0" w:line="149" w:lineRule="exact"/>
              <w:rPr>
                <w:sz w:val="20"/>
                <w:szCs w:val="20"/>
                <w:color w:val="auto"/>
              </w:rPr>
            </w:pPr>
            <w:r>
              <w:rPr>
                <w:rFonts w:ascii="Arial" w:cs="Arial" w:eastAsia="Arial" w:hAnsi="Arial"/>
                <w:sz w:val="14"/>
                <w:szCs w:val="14"/>
                <w:color w:val="auto"/>
              </w:rPr>
              <w:t>5,778,530</w:t>
            </w: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(176,478)</w:t>
            </w: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6"/>
              </w:rPr>
              <w:t>(448,157)</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640" w:type="dxa"/>
            <w:vAlign w:val="bottom"/>
            <w:tcBorders>
              <w:bottom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w w:val="97"/>
              </w:rPr>
              <w:t>69,504</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bottom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1,140,026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(4,069,260)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3,243,758</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(40,833)</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124,389</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5,621,479</w:t>
            </w: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8"/>
          </w:tcPr>
          <w:p>
            <w:pPr>
              <w:ind w:left="60"/>
              <w:spacing w:after="0"/>
              <w:rPr>
                <w:sz w:val="20"/>
                <w:szCs w:val="20"/>
                <w:color w:val="auto"/>
              </w:rPr>
            </w:pPr>
            <w:r>
              <w:rPr>
                <w:rFonts w:ascii="Arial" w:cs="Arial" w:eastAsia="Arial" w:hAnsi="Arial"/>
                <w:sz w:val="14"/>
                <w:szCs w:val="14"/>
                <w:b w:val="1"/>
                <w:bCs w:val="1"/>
                <w:color w:val="auto"/>
              </w:rPr>
              <w:t>Credit loss of the</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320" w:type="dxa"/>
            <w:vAlign w:val="bottom"/>
            <w:gridSpan w:val="10"/>
          </w:tcPr>
          <w:p>
            <w:pPr>
              <w:spacing w:after="0"/>
              <w:rPr>
                <w:sz w:val="20"/>
                <w:szCs w:val="20"/>
                <w:color w:val="auto"/>
              </w:rPr>
            </w:pPr>
            <w:r>
              <w:rPr>
                <w:rFonts w:ascii="Arial" w:cs="Arial" w:eastAsia="Arial" w:hAnsi="Arial"/>
                <w:sz w:val="14"/>
                <w:szCs w:val="14"/>
                <w:b w:val="1"/>
                <w:bCs w:val="1"/>
                <w:color w:val="auto"/>
              </w:rPr>
              <w:t>Consolidated 3 Stages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Loan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24"/>
        </w:trPr>
        <w:tc>
          <w:tcPr>
            <w:tcW w:w="12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portfolio</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New loans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Changes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Transfers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11"/>
          </w:tcPr>
          <w:p>
            <w:pPr>
              <w:spacing w:after="0" w:line="155" w:lineRule="exact"/>
              <w:rPr>
                <w:sz w:val="20"/>
                <w:szCs w:val="20"/>
                <w:color w:val="auto"/>
              </w:rPr>
            </w:pPr>
            <w:r>
              <w:rPr>
                <w:rFonts w:ascii="Arial" w:cs="Arial" w:eastAsia="Arial" w:hAnsi="Arial"/>
                <w:sz w:val="14"/>
                <w:szCs w:val="14"/>
                <w:b w:val="1"/>
                <w:bCs w:val="1"/>
                <w:color w:val="auto"/>
              </w:rPr>
              <w:t>Balance at</w:t>
            </w:r>
          </w:p>
        </w:tc>
        <w:tc>
          <w:tcPr>
            <w:tcW w:w="82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written off</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and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PDs,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between</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Sale of</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Exchange</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11"/>
          </w:tcPr>
          <w:p>
            <w:pPr>
              <w:spacing w:after="0" w:line="155" w:lineRule="exact"/>
              <w:rPr>
                <w:sz w:val="20"/>
                <w:szCs w:val="20"/>
                <w:color w:val="auto"/>
              </w:rPr>
            </w:pPr>
            <w:r>
              <w:rPr>
                <w:rFonts w:ascii="Arial" w:cs="Arial" w:eastAsia="Arial" w:hAnsi="Arial"/>
                <w:sz w:val="14"/>
                <w:szCs w:val="14"/>
                <w:b w:val="1"/>
                <w:bCs w:val="1"/>
                <w:color w:val="auto"/>
              </w:rPr>
              <w:t>December</w:t>
            </w:r>
          </w:p>
        </w:tc>
        <w:tc>
          <w:tcPr>
            <w:tcW w:w="82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and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liquidation,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LGDs,</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classes</w:t>
            </w: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loan</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differences</w:t>
            </w:r>
          </w:p>
        </w:tc>
        <w:tc>
          <w:tcPr>
            <w:tcW w:w="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67"/>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Loans by class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6"/>
          </w:tcPr>
          <w:p>
            <w:pPr>
              <w:spacing w:after="0"/>
              <w:rPr>
                <w:sz w:val="20"/>
                <w:szCs w:val="20"/>
                <w:color w:val="auto"/>
              </w:rPr>
            </w:pPr>
            <w:r>
              <w:rPr>
                <w:rFonts w:ascii="Arial" w:cs="Arial" w:eastAsia="Arial" w:hAnsi="Arial"/>
                <w:sz w:val="14"/>
                <w:szCs w:val="14"/>
                <w:b w:val="1"/>
                <w:bCs w:val="1"/>
                <w:color w:val="auto"/>
              </w:rPr>
              <w:t>31, 2020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6"/>
          </w:tcPr>
          <w:p>
            <w:pPr>
              <w:spacing w:after="0"/>
              <w:rPr>
                <w:sz w:val="20"/>
                <w:szCs w:val="20"/>
                <w:color w:val="auto"/>
              </w:rPr>
            </w:pPr>
            <w:r>
              <w:rPr>
                <w:rFonts w:ascii="Arial" w:cs="Arial" w:eastAsia="Arial" w:hAnsi="Arial"/>
                <w:sz w:val="14"/>
                <w:szCs w:val="14"/>
                <w:b w:val="1"/>
                <w:bCs w:val="1"/>
                <w:color w:val="auto"/>
              </w:rPr>
              <w:t>forgiven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EADs(*)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loans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portfolio</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others</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3"/>
        </w:trPr>
        <w:tc>
          <w:tcPr>
            <w:tcW w:w="1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6"/>
          </w:tcPr>
          <w:p>
            <w:pPr>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gridSpan w:val="3"/>
          </w:tcPr>
          <w:p>
            <w:pPr>
              <w:spacing w:after="0"/>
              <w:rPr>
                <w:sz w:val="13"/>
                <w:szCs w:val="13"/>
                <w:color w:val="auto"/>
              </w:rPr>
            </w:pPr>
          </w:p>
        </w:tc>
        <w:tc>
          <w:tcPr>
            <w:tcW w:w="60" w:type="dxa"/>
            <w:vAlign w:val="bottom"/>
            <w:tcBorders>
              <w:top w:val="single" w:sz="8" w:color="auto"/>
            </w:tcBorders>
            <w:gridSpan w:val="2"/>
          </w:tcPr>
          <w:p>
            <w:pPr>
              <w:spacing w:after="0"/>
              <w:rPr>
                <w:sz w:val="13"/>
                <w:szCs w:val="13"/>
                <w:color w:val="auto"/>
              </w:rPr>
            </w:pPr>
          </w:p>
        </w:tc>
        <w:tc>
          <w:tcPr>
            <w:tcW w:w="760" w:type="dxa"/>
            <w:vAlign w:val="bottom"/>
            <w:tcBorders>
              <w:top w:val="single" w:sz="8" w:color="auto"/>
            </w:tcBorders>
            <w:gridSpan w:val="4"/>
          </w:tcPr>
          <w:p>
            <w:pPr>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280" w:type="dxa"/>
            <w:vAlign w:val="bottom"/>
          </w:tcPr>
          <w:p>
            <w:pPr>
              <w:spacing w:after="0"/>
              <w:rPr>
                <w:sz w:val="13"/>
                <w:szCs w:val="13"/>
                <w:color w:val="auto"/>
              </w:rPr>
            </w:pPr>
          </w:p>
        </w:tc>
        <w:tc>
          <w:tcPr>
            <w:tcW w:w="7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Commercial loans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3,616,932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(160,079)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(512,040)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828,908</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124,443</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(27,726)</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121,015</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3,991,453</w:t>
            </w:r>
          </w:p>
        </w:tc>
        <w:tc>
          <w:tcPr>
            <w:tcW w:w="0" w:type="dxa"/>
            <w:vAlign w:val="bottom"/>
          </w:tcPr>
          <w:p>
            <w:pPr>
              <w:spacing w:after="0"/>
              <w:rPr>
                <w:sz w:val="1"/>
                <w:szCs w:val="1"/>
                <w:color w:val="auto"/>
              </w:rPr>
            </w:pPr>
          </w:p>
        </w:tc>
      </w:tr>
      <w:tr>
        <w:trPr>
          <w:trHeight w:val="155"/>
        </w:trPr>
        <w:tc>
          <w:tcPr>
            <w:tcW w:w="2320" w:type="dxa"/>
            <w:vAlign w:val="bottom"/>
            <w:gridSpan w:val="10"/>
          </w:tcPr>
          <w:p>
            <w:pPr>
              <w:spacing w:after="0" w:line="155" w:lineRule="exact"/>
              <w:rPr>
                <w:sz w:val="20"/>
                <w:szCs w:val="20"/>
                <w:color w:val="auto"/>
              </w:rPr>
            </w:pPr>
            <w:r>
              <w:rPr>
                <w:rFonts w:ascii="Arial" w:cs="Arial" w:eastAsia="Arial" w:hAnsi="Arial"/>
                <w:sz w:val="14"/>
                <w:szCs w:val="14"/>
                <w:color w:val="auto"/>
              </w:rPr>
              <w:t>Residential mortgage loans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909,424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(39,189)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(76,431)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163,841</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(2,007)</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(5,613)</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24,708</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974,733</w:t>
            </w:r>
          </w:p>
        </w:tc>
        <w:tc>
          <w:tcPr>
            <w:tcW w:w="0" w:type="dxa"/>
            <w:vAlign w:val="bottom"/>
          </w:tcPr>
          <w:p>
            <w:pPr>
              <w:spacing w:after="0"/>
              <w:rPr>
                <w:sz w:val="1"/>
                <w:szCs w:val="1"/>
                <w:color w:val="auto"/>
              </w:rPr>
            </w:pPr>
          </w:p>
        </w:tc>
      </w:tr>
      <w:tr>
        <w:trPr>
          <w:trHeight w:val="155"/>
        </w:trPr>
        <w:tc>
          <w:tcPr>
            <w:tcW w:w="1380" w:type="dxa"/>
            <w:vAlign w:val="bottom"/>
            <w:gridSpan w:val="3"/>
          </w:tcPr>
          <w:p>
            <w:pPr>
              <w:spacing w:after="0" w:line="155" w:lineRule="exact"/>
              <w:rPr>
                <w:sz w:val="20"/>
                <w:szCs w:val="20"/>
                <w:color w:val="auto"/>
              </w:rPr>
            </w:pPr>
            <w:r>
              <w:rPr>
                <w:rFonts w:ascii="Arial" w:cs="Arial" w:eastAsia="Arial" w:hAnsi="Arial"/>
                <w:sz w:val="14"/>
                <w:szCs w:val="14"/>
                <w:color w:val="auto"/>
              </w:rPr>
              <w:t>Micro-business loans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3,144,154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w w:val="97"/>
              </w:rPr>
              <w:t>(1,517,271)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67,346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613,778</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(121,648)</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(6,335)</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28,025</w:t>
            </w: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2,208,049</w:t>
            </w:r>
          </w:p>
        </w:tc>
        <w:tc>
          <w:tcPr>
            <w:tcW w:w="0" w:type="dxa"/>
            <w:vAlign w:val="bottom"/>
          </w:tcPr>
          <w:p>
            <w:pPr>
              <w:spacing w:after="0"/>
              <w:rPr>
                <w:sz w:val="1"/>
                <w:szCs w:val="1"/>
                <w:color w:val="auto"/>
              </w:rPr>
            </w:pPr>
          </w:p>
        </w:tc>
      </w:tr>
      <w:tr>
        <w:trPr>
          <w:trHeight w:val="151"/>
        </w:trPr>
        <w:tc>
          <w:tcPr>
            <w:tcW w:w="1380" w:type="dxa"/>
            <w:vAlign w:val="bottom"/>
            <w:gridSpan w:val="3"/>
          </w:tcPr>
          <w:p>
            <w:pPr>
              <w:spacing w:after="0" w:line="151" w:lineRule="exact"/>
              <w:rPr>
                <w:sz w:val="20"/>
                <w:szCs w:val="20"/>
                <w:color w:val="auto"/>
              </w:rPr>
            </w:pPr>
            <w:r>
              <w:rPr>
                <w:rFonts w:ascii="Arial" w:cs="Arial" w:eastAsia="Arial" w:hAnsi="Arial"/>
                <w:sz w:val="14"/>
                <w:szCs w:val="14"/>
                <w:color w:val="auto"/>
              </w:rPr>
              <w:t>Consumer loans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6"/>
          </w:tcPr>
          <w:p>
            <w:pPr>
              <w:jc w:val="right"/>
              <w:spacing w:after="0" w:line="151" w:lineRule="exact"/>
              <w:rPr>
                <w:sz w:val="20"/>
                <w:szCs w:val="20"/>
                <w:color w:val="auto"/>
              </w:rPr>
            </w:pPr>
            <w:r>
              <w:rPr>
                <w:rFonts w:ascii="Arial" w:cs="Arial" w:eastAsia="Arial" w:hAnsi="Arial"/>
                <w:sz w:val="14"/>
                <w:szCs w:val="14"/>
                <w:color w:val="auto"/>
              </w:rPr>
              <w:t>2,765,113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jc w:val="right"/>
              <w:ind w:right="40"/>
              <w:spacing w:after="0" w:line="151" w:lineRule="exact"/>
              <w:rPr>
                <w:sz w:val="20"/>
                <w:szCs w:val="20"/>
                <w:color w:val="auto"/>
              </w:rPr>
            </w:pPr>
            <w:r>
              <w:rPr>
                <w:rFonts w:ascii="Arial" w:cs="Arial" w:eastAsia="Arial" w:hAnsi="Arial"/>
                <w:sz w:val="14"/>
                <w:szCs w:val="14"/>
                <w:color w:val="auto"/>
                <w:w w:val="97"/>
              </w:rPr>
              <w:t>(1,349,843)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(398,322)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871,871</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(788)</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(1,159)</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9,904</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1,896,776</w:t>
            </w:r>
          </w:p>
        </w:tc>
        <w:tc>
          <w:tcPr>
            <w:tcW w:w="0" w:type="dxa"/>
            <w:vAlign w:val="bottom"/>
          </w:tcPr>
          <w:p>
            <w:pPr>
              <w:spacing w:after="0"/>
              <w:rPr>
                <w:sz w:val="1"/>
                <w:szCs w:val="1"/>
                <w:color w:val="auto"/>
              </w:rPr>
            </w:pPr>
          </w:p>
        </w:tc>
      </w:tr>
      <w:tr>
        <w:trPr>
          <w:trHeight w:val="154"/>
        </w:trPr>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w w:val="96"/>
              </w:rPr>
              <w:t>10,435,623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jc w:val="right"/>
              <w:ind w:right="40"/>
              <w:spacing w:after="0" w:line="149" w:lineRule="exact"/>
              <w:rPr>
                <w:sz w:val="20"/>
                <w:szCs w:val="20"/>
                <w:color w:val="auto"/>
              </w:rPr>
            </w:pPr>
            <w:r>
              <w:rPr>
                <w:rFonts w:ascii="Arial" w:cs="Arial" w:eastAsia="Arial" w:hAnsi="Arial"/>
                <w:sz w:val="14"/>
                <w:szCs w:val="14"/>
                <w:color w:val="auto"/>
                <w:w w:val="97"/>
              </w:rPr>
              <w:t>(3,066,382)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(919,447)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2,478,398</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(40,833)</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183,652</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9,071,011</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81" w:name="page82"/>
    <w:bookmarkEnd w:id="81"/>
    <w:p>
      <w:pPr>
        <w:ind w:left="615" w:hanging="304"/>
        <w:spacing w:after="0"/>
        <w:tabs>
          <w:tab w:leader="none" w:pos="61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movement includes the following effects:</w:t>
      </w:r>
    </w:p>
    <w:p>
      <w:pPr>
        <w:spacing w:after="0" w:line="190" w:lineRule="exact"/>
        <w:rPr>
          <w:rFonts w:ascii="Arial" w:cs="Arial" w:eastAsia="Arial" w:hAnsi="Arial"/>
          <w:sz w:val="17"/>
          <w:szCs w:val="17"/>
          <w:color w:val="auto"/>
        </w:rPr>
      </w:pPr>
    </w:p>
    <w:p>
      <w:pPr>
        <w:ind w:left="935" w:hanging="313"/>
        <w:spacing w:after="0"/>
        <w:tabs>
          <w:tab w:leader="none" w:pos="935" w:val="left"/>
        </w:tabs>
        <w:numPr>
          <w:ilvl w:val="1"/>
          <w:numId w:val="87"/>
        </w:numPr>
        <w:rPr>
          <w:rFonts w:ascii="Arial" w:cs="Arial" w:eastAsia="Arial" w:hAnsi="Arial"/>
          <w:sz w:val="17"/>
          <w:szCs w:val="17"/>
          <w:color w:val="auto"/>
        </w:rPr>
      </w:pPr>
      <w:r>
        <w:rPr>
          <w:rFonts w:ascii="Arial" w:cs="Arial" w:eastAsia="Arial" w:hAnsi="Arial"/>
          <w:sz w:val="17"/>
          <w:szCs w:val="17"/>
          <w:color w:val="auto"/>
        </w:rPr>
        <w:t>calibrations to the PD, LGD and EAD models,</w:t>
      </w:r>
    </w:p>
    <w:p>
      <w:pPr>
        <w:ind w:left="935" w:hanging="313"/>
        <w:spacing w:after="0" w:line="238" w:lineRule="auto"/>
        <w:tabs>
          <w:tab w:leader="none" w:pos="935" w:val="left"/>
        </w:tabs>
        <w:numPr>
          <w:ilvl w:val="1"/>
          <w:numId w:val="87"/>
        </w:numPr>
        <w:rPr>
          <w:rFonts w:ascii="Arial" w:cs="Arial" w:eastAsia="Arial" w:hAnsi="Arial"/>
          <w:sz w:val="17"/>
          <w:szCs w:val="17"/>
          <w:color w:val="auto"/>
        </w:rPr>
      </w:pPr>
      <w:r>
        <w:rPr>
          <w:rFonts w:ascii="Arial" w:cs="Arial" w:eastAsia="Arial" w:hAnsi="Arial"/>
          <w:sz w:val="17"/>
          <w:szCs w:val="17"/>
          <w:color w:val="auto"/>
        </w:rPr>
        <w:t>updates to macroeconomic models and projections,</w:t>
      </w:r>
    </w:p>
    <w:p>
      <w:pPr>
        <w:ind w:left="935" w:hanging="313"/>
        <w:spacing w:after="0" w:line="238" w:lineRule="auto"/>
        <w:tabs>
          <w:tab w:leader="none" w:pos="935" w:val="left"/>
        </w:tabs>
        <w:numPr>
          <w:ilvl w:val="1"/>
          <w:numId w:val="87"/>
        </w:numPr>
        <w:rPr>
          <w:rFonts w:ascii="Arial" w:cs="Arial" w:eastAsia="Arial" w:hAnsi="Arial"/>
          <w:sz w:val="17"/>
          <w:szCs w:val="17"/>
          <w:color w:val="auto"/>
        </w:rPr>
      </w:pPr>
      <w:r>
        <w:rPr>
          <w:rFonts w:ascii="Arial" w:cs="Arial" w:eastAsia="Arial" w:hAnsi="Arial"/>
          <w:sz w:val="17"/>
          <w:szCs w:val="17"/>
          <w:color w:val="auto"/>
        </w:rPr>
        <w:t>increase or decrease of credit risk of loans due to stage changes,</w:t>
      </w:r>
    </w:p>
    <w:p>
      <w:pPr>
        <w:ind w:left="935" w:hanging="313"/>
        <w:spacing w:after="0"/>
        <w:tabs>
          <w:tab w:leader="none" w:pos="935" w:val="left"/>
        </w:tabs>
        <w:numPr>
          <w:ilvl w:val="1"/>
          <w:numId w:val="87"/>
        </w:numPr>
        <w:rPr>
          <w:rFonts w:ascii="Arial" w:cs="Arial" w:eastAsia="Arial" w:hAnsi="Arial"/>
          <w:sz w:val="17"/>
          <w:szCs w:val="17"/>
          <w:color w:val="auto"/>
        </w:rPr>
      </w:pPr>
      <w:r>
        <w:rPr>
          <w:rFonts w:ascii="Arial" w:cs="Arial" w:eastAsia="Arial" w:hAnsi="Arial"/>
          <w:sz w:val="17"/>
          <w:szCs w:val="17"/>
          <w:color w:val="auto"/>
        </w:rPr>
        <w:t>increase or decrease of credit risk of loans that remain in the same stage.</w:t>
      </w:r>
    </w:p>
    <w:p>
      <w:pPr>
        <w:spacing w:after="0" w:line="193" w:lineRule="exact"/>
        <w:rPr>
          <w:sz w:val="20"/>
          <w:szCs w:val="20"/>
          <w:color w:val="auto"/>
        </w:rPr>
      </w:pPr>
    </w:p>
    <w:p>
      <w:pPr>
        <w:ind w:left="615" w:right="60" w:hanging="304"/>
        <w:spacing w:after="0" w:line="241" w:lineRule="auto"/>
        <w:tabs>
          <w:tab w:leader="none" w:pos="615"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movement in the allowance for loan losses of the period 2022 includes the allowance for direct, indirect loans and due from customers on banker’s acceptances for approximately S/7,872.4 million and S/658.6 million, respectively (approximately S/8,477.3 million and S/593.7 million, respectively, as of December 31, 2021). The expected loan loss for indirect loan is included in “Other liabilities” of the consolidated statement of financial position, Note 13(a). In Management’s opinion, the allowance for loan losses recorded as of December 31, 2022 and 2021 has been established in accordance with IFRS 9 and is sufficient to cover losses on the loan portfolio.</w:t>
      </w:r>
    </w:p>
    <w:p>
      <w:pPr>
        <w:spacing w:after="0" w:line="182" w:lineRule="exact"/>
        <w:rPr>
          <w:sz w:val="20"/>
          <w:szCs w:val="20"/>
          <w:color w:val="auto"/>
        </w:rPr>
      </w:pPr>
    </w:p>
    <w:p>
      <w:pPr>
        <w:ind w:left="315"/>
        <w:spacing w:after="0"/>
        <w:rPr>
          <w:sz w:val="20"/>
          <w:szCs w:val="20"/>
          <w:color w:val="auto"/>
        </w:rPr>
      </w:pPr>
      <w:r>
        <w:rPr>
          <w:rFonts w:ascii="Arial" w:cs="Arial" w:eastAsia="Arial" w:hAnsi="Arial"/>
          <w:sz w:val="17"/>
          <w:szCs w:val="17"/>
          <w:color w:val="auto"/>
        </w:rPr>
        <w:t>Gross balance of the direct and indirect credit portfolio and bank acceptances:</w:t>
      </w:r>
    </w:p>
    <w:p>
      <w:pPr>
        <w:spacing w:after="0" w:line="193" w:lineRule="exact"/>
        <w:rPr>
          <w:sz w:val="20"/>
          <w:szCs w:val="20"/>
          <w:color w:val="auto"/>
        </w:rPr>
      </w:pPr>
    </w:p>
    <w:p>
      <w:pPr>
        <w:jc w:val="both"/>
        <w:ind w:left="315"/>
        <w:spacing w:after="0" w:line="243" w:lineRule="auto"/>
        <w:rPr>
          <w:sz w:val="20"/>
          <w:szCs w:val="20"/>
          <w:color w:val="auto"/>
        </w:rPr>
      </w:pPr>
      <w:r>
        <w:rPr>
          <w:rFonts w:ascii="Arial" w:cs="Arial" w:eastAsia="Arial" w:hAnsi="Arial"/>
          <w:sz w:val="17"/>
          <w:szCs w:val="17"/>
          <w:color w:val="auto"/>
        </w:rPr>
        <w:t>At the end of December 2022, the gross balance of the loan portfolio decreased in relation to the end of December 2021. The decrease was mainly due to (i) the amortization of the Reactiva Peru loans in Comerciales BCP, (ii) the write-offs in Consumption BCP and Pequeña y Microempresa Mibanco Perú, and (iii) the drop in the exchange rate. The aforementioned effects were partially offset by the increase in disbursements in Pequeña y Microempresa Mibanco Perú, Consumo BCP and Hipotecario BCP.</w:t>
      </w:r>
    </w:p>
    <w:p>
      <w:pPr>
        <w:spacing w:after="0" w:line="180" w:lineRule="exact"/>
        <w:rPr>
          <w:sz w:val="20"/>
          <w:szCs w:val="20"/>
          <w:color w:val="auto"/>
        </w:rPr>
      </w:pPr>
    </w:p>
    <w:p>
      <w:pPr>
        <w:ind w:left="315"/>
        <w:spacing w:after="0"/>
        <w:rPr>
          <w:sz w:val="20"/>
          <w:szCs w:val="20"/>
          <w:color w:val="auto"/>
        </w:rPr>
      </w:pPr>
      <w:r>
        <w:rPr>
          <w:rFonts w:ascii="Arial" w:cs="Arial" w:eastAsia="Arial" w:hAnsi="Arial"/>
          <w:sz w:val="17"/>
          <w:szCs w:val="17"/>
          <w:color w:val="auto"/>
        </w:rPr>
        <w:t>Allowance for credit loss for direct and indirect loans and bank acceptances:</w:t>
      </w:r>
    </w:p>
    <w:p>
      <w:pPr>
        <w:spacing w:after="0" w:line="193" w:lineRule="exact"/>
        <w:rPr>
          <w:sz w:val="20"/>
          <w:szCs w:val="20"/>
          <w:color w:val="auto"/>
        </w:rPr>
      </w:pPr>
    </w:p>
    <w:p>
      <w:pPr>
        <w:jc w:val="both"/>
        <w:ind w:left="315"/>
        <w:spacing w:after="0" w:line="241" w:lineRule="auto"/>
        <w:rPr>
          <w:sz w:val="20"/>
          <w:szCs w:val="20"/>
          <w:color w:val="auto"/>
        </w:rPr>
      </w:pPr>
      <w:r>
        <w:rPr>
          <w:rFonts w:ascii="Arial" w:cs="Arial" w:eastAsia="Arial" w:hAnsi="Arial"/>
          <w:sz w:val="17"/>
          <w:szCs w:val="17"/>
          <w:color w:val="auto"/>
        </w:rPr>
        <w:t>At the end of December 2022, the provision for credit loss of the loan portfolio decreased in relation to the end of December 2021. This decrease was mainly due to the flow of write-offs carried out during 2022, which mainly impacted the BCP consumer segment and to the small and microenterprise segment in both BCP and Mibanco Perú; In addition, it was due, although to a lesser extent, to the decrease in the US$ /Sol exchange rate. The above effects were partially offset by the deterioration of the macroeconomic component, which had a greater impact on the consumer and small and microenterprise segments at BCP, and by entering segments of greater profitability and risk in small and microenterprises at BCP.</w:t>
      </w:r>
    </w:p>
    <w:p>
      <w:pPr>
        <w:spacing w:after="0" w:line="182" w:lineRule="exact"/>
        <w:rPr>
          <w:sz w:val="20"/>
          <w:szCs w:val="20"/>
          <w:color w:val="auto"/>
        </w:rPr>
      </w:pPr>
    </w:p>
    <w:p>
      <w:pPr>
        <w:ind w:left="315" w:hanging="315"/>
        <w:spacing w:after="0"/>
        <w:tabs>
          <w:tab w:leader="none" w:pos="3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Interest rates on loans are set considering the rates prevailing in the markets where the Group’s subsidiaries operate.</w:t>
      </w:r>
    </w:p>
    <w:p>
      <w:pPr>
        <w:spacing w:after="0" w:line="193" w:lineRule="exact"/>
        <w:rPr>
          <w:rFonts w:ascii="Arial" w:cs="Arial" w:eastAsia="Arial" w:hAnsi="Arial"/>
          <w:sz w:val="17"/>
          <w:szCs w:val="17"/>
          <w:color w:val="auto"/>
        </w:rPr>
      </w:pPr>
    </w:p>
    <w:p>
      <w:pPr>
        <w:ind w:left="315" w:right="320" w:hanging="315"/>
        <w:spacing w:after="0" w:line="254" w:lineRule="auto"/>
        <w:tabs>
          <w:tab w:leader="none" w:pos="3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portion of the loan portfolio is collateralized with guarantees received from customers, which mainly consist of mortgages, bonds, securities and industrial and mercantile pledges.</w:t>
      </w:r>
    </w:p>
    <w:p>
      <w:pPr>
        <w:spacing w:after="0" w:line="143" w:lineRule="exact"/>
        <w:rPr>
          <w:rFonts w:ascii="Arial" w:cs="Arial" w:eastAsia="Arial" w:hAnsi="Arial"/>
          <w:sz w:val="17"/>
          <w:szCs w:val="17"/>
          <w:color w:val="auto"/>
        </w:rPr>
      </w:pPr>
    </w:p>
    <w:p>
      <w:pPr>
        <w:ind w:left="4895" w:hanging="97"/>
        <w:spacing w:after="0"/>
        <w:tabs>
          <w:tab w:leader="none" w:pos="4895" w:val="left"/>
        </w:tabs>
        <w:numPr>
          <w:ilvl w:val="1"/>
          <w:numId w:val="89"/>
        </w:numPr>
        <w:rPr>
          <w:rFonts w:ascii="Arial" w:cs="Arial" w:eastAsia="Arial" w:hAnsi="Arial"/>
          <w:sz w:val="17"/>
          <w:szCs w:val="17"/>
          <w:color w:val="auto"/>
        </w:rPr>
      </w:pPr>
      <w:r>
        <w:rPr>
          <w:rFonts w:ascii="Arial" w:cs="Arial" w:eastAsia="Arial" w:hAnsi="Arial"/>
          <w:sz w:val="17"/>
          <w:szCs w:val="17"/>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82" w:name="page83"/>
    <w:bookmarkEnd w:id="82"/>
    <w:p>
      <w:pPr>
        <w:ind w:left="936" w:right="300" w:hanging="315"/>
        <w:spacing w:after="0" w:line="252" w:lineRule="auto"/>
        <w:tabs>
          <w:tab w:leader="none" w:pos="936"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following table presents the gross direct loan portfolio as of December 31, 2022, and 2021 by maturity based on the remaining period to the payment due date:</w:t>
      </w:r>
    </w:p>
    <w:p>
      <w:pPr>
        <w:spacing w:after="0" w:line="149" w:lineRule="exact"/>
        <w:rPr>
          <w:sz w:val="20"/>
          <w:szCs w:val="20"/>
          <w:color w:val="auto"/>
        </w:rPr>
      </w:pPr>
    </w:p>
    <w:tbl>
      <w:tblPr>
        <w:tblLayout w:type="fixed"/>
        <w:tblInd w:w="936"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3"/>
        </w:trPr>
        <w:tc>
          <w:tcPr>
            <w:tcW w:w="7600" w:type="dxa"/>
            <w:vAlign w:val="bottom"/>
            <w:vMerge w:val="restart"/>
          </w:tcPr>
          <w:p>
            <w:pPr>
              <w:spacing w:after="0"/>
              <w:rPr>
                <w:sz w:val="20"/>
                <w:szCs w:val="20"/>
                <w:color w:val="auto"/>
              </w:rPr>
            </w:pPr>
            <w:r>
              <w:rPr>
                <w:rFonts w:ascii="Arial" w:cs="Arial" w:eastAsia="Arial" w:hAnsi="Arial"/>
                <w:sz w:val="17"/>
                <w:szCs w:val="17"/>
                <w:b w:val="1"/>
                <w:bCs w:val="1"/>
                <w:color w:val="auto"/>
              </w:rPr>
              <w:t>Outstanding loans -</w:t>
            </w:r>
          </w:p>
        </w:tc>
        <w:tc>
          <w:tcPr>
            <w:tcW w:w="116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20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57"/>
        </w:trPr>
        <w:tc>
          <w:tcPr>
            <w:tcW w:w="760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600" w:type="dxa"/>
            <w:vAlign w:val="bottom"/>
          </w:tcPr>
          <w:p>
            <w:pPr>
              <w:spacing w:after="0" w:line="194" w:lineRule="exact"/>
              <w:rPr>
                <w:sz w:val="20"/>
                <w:szCs w:val="20"/>
                <w:color w:val="auto"/>
              </w:rPr>
            </w:pPr>
            <w:r>
              <w:rPr>
                <w:rFonts w:ascii="Arial" w:cs="Arial" w:eastAsia="Arial" w:hAnsi="Arial"/>
                <w:sz w:val="17"/>
                <w:szCs w:val="17"/>
                <w:color w:val="auto"/>
              </w:rPr>
              <w:t>From 1 to 3 months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34,192,006</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28,165,353</w:t>
            </w:r>
          </w:p>
        </w:tc>
        <w:tc>
          <w:tcPr>
            <w:tcW w:w="0" w:type="dxa"/>
            <w:vAlign w:val="bottom"/>
          </w:tcPr>
          <w:p>
            <w:pPr>
              <w:spacing w:after="0"/>
              <w:rPr>
                <w:sz w:val="1"/>
                <w:szCs w:val="1"/>
                <w:color w:val="auto"/>
              </w:rPr>
            </w:pPr>
          </w:p>
        </w:tc>
      </w:tr>
      <w:tr>
        <w:trPr>
          <w:trHeight w:val="194"/>
        </w:trPr>
        <w:tc>
          <w:tcPr>
            <w:tcW w:w="7600" w:type="dxa"/>
            <w:vAlign w:val="bottom"/>
          </w:tcPr>
          <w:p>
            <w:pPr>
              <w:spacing w:after="0" w:line="194" w:lineRule="exact"/>
              <w:rPr>
                <w:sz w:val="20"/>
                <w:szCs w:val="20"/>
                <w:color w:val="auto"/>
              </w:rPr>
            </w:pPr>
            <w:r>
              <w:rPr>
                <w:rFonts w:ascii="Arial" w:cs="Arial" w:eastAsia="Arial" w:hAnsi="Arial"/>
                <w:sz w:val="17"/>
                <w:szCs w:val="17"/>
                <w:color w:val="auto"/>
              </w:rPr>
              <w:t>From 3 months to 1 year</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35,338,442</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35,930,674</w:t>
            </w:r>
          </w:p>
        </w:tc>
        <w:tc>
          <w:tcPr>
            <w:tcW w:w="0" w:type="dxa"/>
            <w:vAlign w:val="bottom"/>
          </w:tcPr>
          <w:p>
            <w:pPr>
              <w:spacing w:after="0"/>
              <w:rPr>
                <w:sz w:val="1"/>
                <w:szCs w:val="1"/>
                <w:color w:val="auto"/>
              </w:rPr>
            </w:pPr>
          </w:p>
        </w:tc>
      </w:tr>
      <w:tr>
        <w:trPr>
          <w:trHeight w:val="194"/>
        </w:trPr>
        <w:tc>
          <w:tcPr>
            <w:tcW w:w="7600" w:type="dxa"/>
            <w:vAlign w:val="bottom"/>
          </w:tcPr>
          <w:p>
            <w:pPr>
              <w:spacing w:after="0" w:line="194" w:lineRule="exact"/>
              <w:rPr>
                <w:sz w:val="20"/>
                <w:szCs w:val="20"/>
                <w:color w:val="auto"/>
              </w:rPr>
            </w:pPr>
            <w:r>
              <w:rPr>
                <w:rFonts w:ascii="Arial" w:cs="Arial" w:eastAsia="Arial" w:hAnsi="Arial"/>
                <w:sz w:val="17"/>
                <w:szCs w:val="17"/>
                <w:color w:val="auto"/>
              </w:rPr>
              <w:t>From 1 to 3 years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29,576,654</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36,354,113</w:t>
            </w:r>
          </w:p>
        </w:tc>
        <w:tc>
          <w:tcPr>
            <w:tcW w:w="0" w:type="dxa"/>
            <w:vAlign w:val="bottom"/>
          </w:tcPr>
          <w:p>
            <w:pPr>
              <w:spacing w:after="0"/>
              <w:rPr>
                <w:sz w:val="1"/>
                <w:szCs w:val="1"/>
                <w:color w:val="auto"/>
              </w:rPr>
            </w:pPr>
          </w:p>
        </w:tc>
      </w:tr>
      <w:tr>
        <w:trPr>
          <w:trHeight w:val="194"/>
        </w:trPr>
        <w:tc>
          <w:tcPr>
            <w:tcW w:w="7600" w:type="dxa"/>
            <w:vAlign w:val="bottom"/>
          </w:tcPr>
          <w:p>
            <w:pPr>
              <w:spacing w:after="0" w:line="194" w:lineRule="exact"/>
              <w:rPr>
                <w:sz w:val="20"/>
                <w:szCs w:val="20"/>
                <w:color w:val="auto"/>
              </w:rPr>
            </w:pPr>
            <w:r>
              <w:rPr>
                <w:rFonts w:ascii="Arial" w:cs="Arial" w:eastAsia="Arial" w:hAnsi="Arial"/>
                <w:sz w:val="17"/>
                <w:szCs w:val="17"/>
                <w:color w:val="auto"/>
              </w:rPr>
              <w:t>From 3 to 5 years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11,572,896</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9,327,203</w:t>
            </w:r>
          </w:p>
        </w:tc>
        <w:tc>
          <w:tcPr>
            <w:tcW w:w="0" w:type="dxa"/>
            <w:vAlign w:val="bottom"/>
          </w:tcPr>
          <w:p>
            <w:pPr>
              <w:spacing w:after="0"/>
              <w:rPr>
                <w:sz w:val="1"/>
                <w:szCs w:val="1"/>
                <w:color w:val="auto"/>
              </w:rPr>
            </w:pPr>
          </w:p>
        </w:tc>
      </w:tr>
      <w:tr>
        <w:trPr>
          <w:trHeight w:val="194"/>
        </w:trPr>
        <w:tc>
          <w:tcPr>
            <w:tcW w:w="7600" w:type="dxa"/>
            <w:vAlign w:val="bottom"/>
          </w:tcPr>
          <w:p>
            <w:pPr>
              <w:spacing w:after="0" w:line="194" w:lineRule="exact"/>
              <w:rPr>
                <w:sz w:val="20"/>
                <w:szCs w:val="20"/>
                <w:color w:val="auto"/>
              </w:rPr>
            </w:pPr>
            <w:r>
              <w:rPr>
                <w:rFonts w:ascii="Arial" w:cs="Arial" w:eastAsia="Arial" w:hAnsi="Arial"/>
                <w:sz w:val="17"/>
                <w:szCs w:val="17"/>
                <w:color w:val="auto"/>
              </w:rPr>
              <w:t>From 5 to 15 years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27,144,332</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26,926,208</w:t>
            </w:r>
          </w:p>
        </w:tc>
        <w:tc>
          <w:tcPr>
            <w:tcW w:w="0" w:type="dxa"/>
            <w:vAlign w:val="bottom"/>
          </w:tcPr>
          <w:p>
            <w:pPr>
              <w:spacing w:after="0"/>
              <w:rPr>
                <w:sz w:val="1"/>
                <w:szCs w:val="1"/>
                <w:color w:val="auto"/>
              </w:rPr>
            </w:pPr>
          </w:p>
        </w:tc>
      </w:tr>
      <w:tr>
        <w:trPr>
          <w:trHeight w:val="195"/>
        </w:trPr>
        <w:tc>
          <w:tcPr>
            <w:tcW w:w="7600" w:type="dxa"/>
            <w:vAlign w:val="bottom"/>
          </w:tcPr>
          <w:p>
            <w:pPr>
              <w:spacing w:after="0"/>
              <w:rPr>
                <w:sz w:val="20"/>
                <w:szCs w:val="20"/>
                <w:color w:val="auto"/>
              </w:rPr>
            </w:pPr>
            <w:r>
              <w:rPr>
                <w:rFonts w:ascii="Arial" w:cs="Arial" w:eastAsia="Arial" w:hAnsi="Arial"/>
                <w:sz w:val="17"/>
                <w:szCs w:val="17"/>
                <w:color w:val="auto"/>
              </w:rPr>
              <w:t>More than 15 years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3,420,160</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4,150,829</w:t>
            </w:r>
          </w:p>
        </w:tc>
        <w:tc>
          <w:tcPr>
            <w:tcW w:w="0" w:type="dxa"/>
            <w:vAlign w:val="bottom"/>
          </w:tcPr>
          <w:p>
            <w:pPr>
              <w:spacing w:after="0"/>
              <w:rPr>
                <w:sz w:val="1"/>
                <w:szCs w:val="1"/>
                <w:color w:val="auto"/>
              </w:rPr>
            </w:pPr>
          </w:p>
        </w:tc>
      </w:tr>
      <w:tr>
        <w:trPr>
          <w:trHeight w:val="201"/>
        </w:trPr>
        <w:tc>
          <w:tcPr>
            <w:tcW w:w="7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141,244,490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140,854,380</w:t>
            </w:r>
          </w:p>
        </w:tc>
        <w:tc>
          <w:tcPr>
            <w:tcW w:w="0" w:type="dxa"/>
            <w:vAlign w:val="bottom"/>
          </w:tcPr>
          <w:p>
            <w:pPr>
              <w:spacing w:after="0"/>
              <w:rPr>
                <w:sz w:val="1"/>
                <w:szCs w:val="1"/>
                <w:color w:val="auto"/>
              </w:rPr>
            </w:pPr>
          </w:p>
        </w:tc>
      </w:tr>
      <w:tr>
        <w:trPr>
          <w:trHeight w:val="374"/>
        </w:trPr>
        <w:tc>
          <w:tcPr>
            <w:tcW w:w="7600" w:type="dxa"/>
            <w:vAlign w:val="bottom"/>
          </w:tcPr>
          <w:p>
            <w:pPr>
              <w:spacing w:after="0"/>
              <w:rPr>
                <w:sz w:val="20"/>
                <w:szCs w:val="20"/>
                <w:color w:val="auto"/>
              </w:rPr>
            </w:pPr>
            <w:r>
              <w:rPr>
                <w:rFonts w:ascii="Arial" w:cs="Arial" w:eastAsia="Arial" w:hAnsi="Arial"/>
                <w:sz w:val="17"/>
                <w:szCs w:val="17"/>
                <w:b w:val="1"/>
                <w:bCs w:val="1"/>
                <w:color w:val="auto"/>
              </w:rPr>
              <w:t>Internal overdue loans -</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600" w:type="dxa"/>
            <w:vAlign w:val="bottom"/>
          </w:tcPr>
          <w:p>
            <w:pPr>
              <w:spacing w:after="0" w:line="194" w:lineRule="exact"/>
              <w:rPr>
                <w:sz w:val="20"/>
                <w:szCs w:val="20"/>
                <w:color w:val="auto"/>
              </w:rPr>
            </w:pPr>
            <w:r>
              <w:rPr>
                <w:rFonts w:ascii="Arial" w:cs="Arial" w:eastAsia="Arial" w:hAnsi="Arial"/>
                <w:sz w:val="17"/>
                <w:szCs w:val="17"/>
                <w:color w:val="auto"/>
              </w:rPr>
              <w:t>Overdue up to 90 days</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1,264,436</w:t>
            </w:r>
          </w:p>
        </w:tc>
        <w:tc>
          <w:tcPr>
            <w:tcW w:w="1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1,353,655</w:t>
            </w:r>
          </w:p>
        </w:tc>
        <w:tc>
          <w:tcPr>
            <w:tcW w:w="0" w:type="dxa"/>
            <w:vAlign w:val="bottom"/>
          </w:tcPr>
          <w:p>
            <w:pPr>
              <w:spacing w:after="0"/>
              <w:rPr>
                <w:sz w:val="1"/>
                <w:szCs w:val="1"/>
                <w:color w:val="auto"/>
              </w:rPr>
            </w:pPr>
          </w:p>
        </w:tc>
      </w:tr>
      <w:tr>
        <w:trPr>
          <w:trHeight w:val="195"/>
        </w:trPr>
        <w:tc>
          <w:tcPr>
            <w:tcW w:w="7600" w:type="dxa"/>
            <w:vAlign w:val="bottom"/>
          </w:tcPr>
          <w:p>
            <w:pPr>
              <w:spacing w:after="0"/>
              <w:rPr>
                <w:sz w:val="20"/>
                <w:szCs w:val="20"/>
                <w:color w:val="auto"/>
              </w:rPr>
            </w:pPr>
            <w:r>
              <w:rPr>
                <w:rFonts w:ascii="Arial" w:cs="Arial" w:eastAsia="Arial" w:hAnsi="Arial"/>
                <w:sz w:val="17"/>
                <w:szCs w:val="17"/>
                <w:color w:val="auto"/>
              </w:rPr>
              <w:t>Over 90 days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4,681,343</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4,208,784</w:t>
            </w:r>
          </w:p>
        </w:tc>
        <w:tc>
          <w:tcPr>
            <w:tcW w:w="0" w:type="dxa"/>
            <w:vAlign w:val="bottom"/>
          </w:tcPr>
          <w:p>
            <w:pPr>
              <w:spacing w:after="0"/>
              <w:rPr>
                <w:sz w:val="1"/>
                <w:szCs w:val="1"/>
                <w:color w:val="auto"/>
              </w:rPr>
            </w:pPr>
          </w:p>
        </w:tc>
      </w:tr>
      <w:tr>
        <w:trPr>
          <w:trHeight w:val="201"/>
        </w:trPr>
        <w:tc>
          <w:tcPr>
            <w:tcW w:w="7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5,945,779</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5,562,439</w:t>
            </w:r>
          </w:p>
        </w:tc>
        <w:tc>
          <w:tcPr>
            <w:tcW w:w="0" w:type="dxa"/>
            <w:vAlign w:val="bottom"/>
          </w:tcPr>
          <w:p>
            <w:pPr>
              <w:spacing w:after="0"/>
              <w:rPr>
                <w:sz w:val="1"/>
                <w:szCs w:val="1"/>
                <w:color w:val="auto"/>
              </w:rPr>
            </w:pPr>
          </w:p>
        </w:tc>
      </w:tr>
      <w:tr>
        <w:trPr>
          <w:trHeight w:val="180"/>
        </w:trPr>
        <w:tc>
          <w:tcPr>
            <w:tcW w:w="760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1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60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147,190,269</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146,416,819</w:t>
            </w:r>
          </w:p>
        </w:tc>
        <w:tc>
          <w:tcPr>
            <w:tcW w:w="0" w:type="dxa"/>
            <w:vAlign w:val="bottom"/>
          </w:tcPr>
          <w:p>
            <w:pPr>
              <w:spacing w:after="0"/>
              <w:rPr>
                <w:sz w:val="1"/>
                <w:szCs w:val="1"/>
                <w:color w:val="auto"/>
              </w:rPr>
            </w:pPr>
          </w:p>
        </w:tc>
      </w:tr>
      <w:tr>
        <w:trPr>
          <w:trHeight w:val="402"/>
        </w:trPr>
        <w:tc>
          <w:tcPr>
            <w:tcW w:w="7600" w:type="dxa"/>
            <w:vAlign w:val="bottom"/>
          </w:tcPr>
          <w:p>
            <w:pPr>
              <w:spacing w:after="0"/>
              <w:rPr>
                <w:sz w:val="20"/>
                <w:szCs w:val="20"/>
                <w:color w:val="auto"/>
              </w:rPr>
            </w:pPr>
            <w:r>
              <w:rPr>
                <w:rFonts w:ascii="Arial" w:cs="Arial" w:eastAsia="Arial" w:hAnsi="Arial"/>
                <w:sz w:val="17"/>
                <w:szCs w:val="17"/>
                <w:color w:val="auto"/>
              </w:rPr>
              <w:t>See credit risk analysis in Note 34.1.</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16" w:right="3980" w:hanging="616"/>
        <w:spacing w:after="0" w:line="477" w:lineRule="auto"/>
        <w:tabs>
          <w:tab w:leader="none" w:pos="616"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ASSETS DESIGNATED AT FAIR VALUE THROUGH PROFIT OR LOSS </w:t>
      </w:r>
      <w:r>
        <w:rPr>
          <w:rFonts w:ascii="Arial" w:cs="Arial" w:eastAsia="Arial" w:hAnsi="Arial"/>
          <w:sz w:val="17"/>
          <w:szCs w:val="17"/>
          <w:color w:val="auto"/>
        </w:rPr>
        <w:t>The composition of the item is presented below:</w:t>
      </w:r>
    </w:p>
    <w:tbl>
      <w:tblPr>
        <w:tblLayout w:type="fixed"/>
        <w:tblInd w:w="616" w:type="dxa"/>
        <w:tblCellMar>
          <w:top w:w="0" w:type="dxa"/>
          <w:left w:w="0" w:type="dxa"/>
          <w:bottom w:w="0" w:type="dxa"/>
          <w:right w:w="0" w:type="dxa"/>
        </w:tblCellMar>
      </w:tblPr>
      <w:tr>
        <w:trPr>
          <w:trHeight w:val="217"/>
        </w:trPr>
        <w:tc>
          <w:tcPr>
            <w:tcW w:w="7720" w:type="dxa"/>
            <w:vAlign w:val="bottom"/>
          </w:tcPr>
          <w:p>
            <w:pPr>
              <w:spacing w:after="0"/>
              <w:rPr>
                <w:sz w:val="18"/>
                <w:szCs w:val="18"/>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r>
      <w:tr>
        <w:trPr>
          <w:trHeight w:val="223"/>
        </w:trPr>
        <w:tc>
          <w:tcPr>
            <w:tcW w:w="7720" w:type="dxa"/>
            <w:vAlign w:val="bottom"/>
          </w:tcPr>
          <w:p>
            <w:pPr>
              <w:spacing w:after="0"/>
              <w:rPr>
                <w:sz w:val="19"/>
                <w:szCs w:val="19"/>
                <w:color w:val="auto"/>
              </w:rPr>
            </w:pPr>
          </w:p>
        </w:tc>
        <w:tc>
          <w:tcPr>
            <w:tcW w:w="110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7"/>
                <w:szCs w:val="17"/>
                <w:b w:val="1"/>
                <w:bCs w:val="1"/>
                <w:color w:val="auto"/>
              </w:rPr>
              <w:t>S/(000)</w:t>
            </w:r>
          </w:p>
        </w:tc>
      </w:tr>
      <w:tr>
        <w:trPr>
          <w:trHeight w:val="352"/>
        </w:trPr>
        <w:tc>
          <w:tcPr>
            <w:tcW w:w="7720" w:type="dxa"/>
            <w:vAlign w:val="bottom"/>
          </w:tcPr>
          <w:p>
            <w:pPr>
              <w:spacing w:after="0"/>
              <w:rPr>
                <w:sz w:val="20"/>
                <w:szCs w:val="20"/>
                <w:color w:val="auto"/>
              </w:rPr>
            </w:pPr>
            <w:r>
              <w:rPr>
                <w:rFonts w:ascii="Arial" w:cs="Arial" w:eastAsia="Arial" w:hAnsi="Arial"/>
                <w:sz w:val="17"/>
                <w:szCs w:val="17"/>
                <w:color w:val="auto"/>
              </w:rPr>
              <w:t>Investment Link (a)</w:t>
            </w:r>
          </w:p>
        </w:tc>
        <w:tc>
          <w:tcPr>
            <w:tcW w:w="1100" w:type="dxa"/>
            <w:vAlign w:val="bottom"/>
          </w:tcPr>
          <w:p>
            <w:pPr>
              <w:jc w:val="right"/>
              <w:spacing w:after="0"/>
              <w:rPr>
                <w:sz w:val="20"/>
                <w:szCs w:val="20"/>
                <w:color w:val="auto"/>
              </w:rPr>
            </w:pPr>
            <w:r>
              <w:rPr>
                <w:rFonts w:ascii="Arial" w:cs="Arial" w:eastAsia="Arial" w:hAnsi="Arial"/>
                <w:sz w:val="17"/>
                <w:szCs w:val="17"/>
                <w:color w:val="auto"/>
              </w:rPr>
              <w:t>762,442</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974,664</w:t>
            </w:r>
          </w:p>
        </w:tc>
      </w:tr>
      <w:tr>
        <w:trPr>
          <w:trHeight w:val="195"/>
        </w:trPr>
        <w:tc>
          <w:tcPr>
            <w:tcW w:w="7720" w:type="dxa"/>
            <w:vAlign w:val="bottom"/>
          </w:tcPr>
          <w:p>
            <w:pPr>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6,359</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12,418</w:t>
            </w:r>
          </w:p>
        </w:tc>
      </w:tr>
      <w:tr>
        <w:trPr>
          <w:trHeight w:val="193"/>
        </w:trPr>
        <w:tc>
          <w:tcPr>
            <w:tcW w:w="772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1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768,801</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987,082</w:t>
            </w:r>
          </w:p>
        </w:tc>
      </w:tr>
    </w:tbl>
    <w:p>
      <w:pPr>
        <w:spacing w:after="0" w:line="193" w:lineRule="exact"/>
        <w:rPr>
          <w:sz w:val="20"/>
          <w:szCs w:val="20"/>
          <w:color w:val="auto"/>
        </w:rPr>
      </w:pPr>
    </w:p>
    <w:p>
      <w:pPr>
        <w:ind w:left="936" w:hanging="315"/>
        <w:spacing w:after="0" w:line="246" w:lineRule="auto"/>
        <w:tabs>
          <w:tab w:leader="none" w:pos="93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Group issues Investment Link life insurance contracts whereby the policyholder takes the investment risk on the assets held in the Investment Link funds as the policy benefits are directly linked to the value of the assets in the fund. The Group’s exposure to market risk is limited to the extent that income arising from asset management charges is based on the value of assets in the fund.</w:t>
      </w:r>
    </w:p>
    <w:p>
      <w:pPr>
        <w:spacing w:after="0" w:line="150" w:lineRule="exact"/>
        <w:rPr>
          <w:rFonts w:ascii="Arial" w:cs="Arial" w:eastAsia="Arial" w:hAnsi="Arial"/>
          <w:sz w:val="17"/>
          <w:szCs w:val="17"/>
          <w:color w:val="auto"/>
        </w:rPr>
      </w:pPr>
    </w:p>
    <w:p>
      <w:pPr>
        <w:ind w:left="5516" w:hanging="97"/>
        <w:spacing w:after="0"/>
        <w:tabs>
          <w:tab w:leader="none" w:pos="5516" w:val="left"/>
        </w:tabs>
        <w:numPr>
          <w:ilvl w:val="1"/>
          <w:numId w:val="92"/>
        </w:numPr>
        <w:rPr>
          <w:rFonts w:ascii="Arial" w:cs="Arial" w:eastAsia="Arial" w:hAnsi="Arial"/>
          <w:sz w:val="17"/>
          <w:szCs w:val="17"/>
          <w:color w:val="auto"/>
        </w:rPr>
      </w:pPr>
      <w:r>
        <w:rPr>
          <w:rFonts w:ascii="Arial" w:cs="Arial" w:eastAsia="Arial" w:hAnsi="Arial"/>
          <w:sz w:val="17"/>
          <w:szCs w:val="17"/>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3803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96"/>
          </w:cols>
          <w:pgMar w:left="324" w:top="140" w:right="379" w:bottom="1440" w:gutter="0" w:footer="0" w:header="0"/>
        </w:sectPr>
      </w:pPr>
    </w:p>
    <w:bookmarkStart w:id="83" w:name="page84"/>
    <w:bookmarkEnd w:id="83"/>
    <w:p>
      <w:pPr>
        <w:ind w:left="936"/>
        <w:spacing w:after="0" w:line="254" w:lineRule="auto"/>
        <w:rPr>
          <w:sz w:val="20"/>
          <w:szCs w:val="20"/>
          <w:color w:val="auto"/>
        </w:rPr>
      </w:pPr>
      <w:r>
        <w:rPr>
          <w:rFonts w:ascii="Arial" w:cs="Arial" w:eastAsia="Arial" w:hAnsi="Arial"/>
          <w:sz w:val="17"/>
          <w:szCs w:val="17"/>
          <w:color w:val="auto"/>
        </w:rPr>
        <w:t>The profit resulting from the Investment Link is shown in “Net premiums earned” in the consolidated statement of income. The composition of the generated returns is presented below:</w:t>
      </w:r>
    </w:p>
    <w:p>
      <w:pPr>
        <w:spacing w:after="0" w:line="147" w:lineRule="exact"/>
        <w:rPr>
          <w:sz w:val="20"/>
          <w:szCs w:val="20"/>
          <w:color w:val="auto"/>
        </w:rPr>
      </w:pPr>
    </w:p>
    <w:tbl>
      <w:tblPr>
        <w:tblLayout w:type="fixed"/>
        <w:tblInd w:w="936"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420" w:type="dxa"/>
            <w:vAlign w:val="bottom"/>
          </w:tcPr>
          <w:p>
            <w:pPr>
              <w:spacing w:after="0"/>
              <w:rPr>
                <w:sz w:val="18"/>
                <w:szCs w:val="18"/>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420" w:type="dxa"/>
            <w:vAlign w:val="bottom"/>
          </w:tcPr>
          <w:p>
            <w:pPr>
              <w:spacing w:after="0"/>
              <w:rPr>
                <w:sz w:val="18"/>
                <w:szCs w:val="18"/>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2020</w:t>
            </w:r>
          </w:p>
        </w:tc>
      </w:tr>
      <w:tr>
        <w:trPr>
          <w:trHeight w:val="186"/>
        </w:trPr>
        <w:tc>
          <w:tcPr>
            <w:tcW w:w="6120" w:type="dxa"/>
            <w:vAlign w:val="bottom"/>
          </w:tcPr>
          <w:p>
            <w:pPr>
              <w:spacing w:after="0"/>
              <w:rPr>
                <w:sz w:val="16"/>
                <w:szCs w:val="16"/>
                <w:color w:val="auto"/>
              </w:rPr>
            </w:pPr>
          </w:p>
        </w:tc>
        <w:tc>
          <w:tcPr>
            <w:tcW w:w="1120" w:type="dxa"/>
            <w:vAlign w:val="bottom"/>
          </w:tcPr>
          <w:p>
            <w:pPr>
              <w:ind w:left="60"/>
              <w:spacing w:after="0" w:line="186" w:lineRule="exact"/>
              <w:rPr>
                <w:sz w:val="20"/>
                <w:szCs w:val="20"/>
                <w:color w:val="auto"/>
              </w:rPr>
            </w:pPr>
            <w:r>
              <w:rPr>
                <w:rFonts w:ascii="Arial" w:cs="Arial" w:eastAsia="Arial" w:hAnsi="Arial"/>
                <w:sz w:val="17"/>
                <w:szCs w:val="17"/>
                <w:b w:val="1"/>
                <w:bCs w:val="1"/>
                <w:color w:val="auto"/>
              </w:rPr>
              <w:t>S/(000)</w:t>
            </w:r>
          </w:p>
        </w:tc>
        <w:tc>
          <w:tcPr>
            <w:tcW w:w="420" w:type="dxa"/>
            <w:vAlign w:val="bottom"/>
          </w:tcPr>
          <w:p>
            <w:pPr>
              <w:spacing w:after="0"/>
              <w:rPr>
                <w:sz w:val="16"/>
                <w:szCs w:val="16"/>
                <w:color w:val="auto"/>
              </w:rPr>
            </w:pPr>
          </w:p>
        </w:tc>
        <w:tc>
          <w:tcPr>
            <w:tcW w:w="1020" w:type="dxa"/>
            <w:vAlign w:val="bottom"/>
          </w:tcPr>
          <w:p>
            <w:pPr>
              <w:ind w:left="60"/>
              <w:spacing w:after="0" w:line="186" w:lineRule="exact"/>
              <w:rPr>
                <w:sz w:val="20"/>
                <w:szCs w:val="20"/>
                <w:color w:val="auto"/>
              </w:rPr>
            </w:pPr>
            <w:r>
              <w:rPr>
                <w:rFonts w:ascii="Arial" w:cs="Arial" w:eastAsia="Arial" w:hAnsi="Arial"/>
                <w:sz w:val="17"/>
                <w:szCs w:val="17"/>
                <w:b w:val="1"/>
                <w:bCs w:val="1"/>
                <w:color w:val="auto"/>
              </w:rPr>
              <w:t>S/(000)</w:t>
            </w:r>
          </w:p>
        </w:tc>
        <w:tc>
          <w:tcPr>
            <w:tcW w:w="420" w:type="dxa"/>
            <w:vAlign w:val="bottom"/>
          </w:tcPr>
          <w:p>
            <w:pPr>
              <w:spacing w:after="0"/>
              <w:rPr>
                <w:sz w:val="16"/>
                <w:szCs w:val="16"/>
                <w:color w:val="auto"/>
              </w:rPr>
            </w:pPr>
          </w:p>
        </w:tc>
        <w:tc>
          <w:tcPr>
            <w:tcW w:w="1020" w:type="dxa"/>
            <w:vAlign w:val="bottom"/>
          </w:tcPr>
          <w:p>
            <w:pPr>
              <w:ind w:left="60"/>
              <w:spacing w:after="0" w:line="186" w:lineRule="exact"/>
              <w:rPr>
                <w:sz w:val="20"/>
                <w:szCs w:val="20"/>
                <w:color w:val="auto"/>
              </w:rPr>
            </w:pPr>
            <w:r>
              <w:rPr>
                <w:rFonts w:ascii="Arial" w:cs="Arial" w:eastAsia="Arial" w:hAnsi="Arial"/>
                <w:sz w:val="17"/>
                <w:szCs w:val="17"/>
                <w:b w:val="1"/>
                <w:bCs w:val="1"/>
                <w:color w:val="auto"/>
              </w:rPr>
              <w:t>S/(000)</w:t>
            </w:r>
          </w:p>
        </w:tc>
      </w:tr>
      <w:tr>
        <w:trPr>
          <w:trHeight w:val="194"/>
        </w:trPr>
        <w:tc>
          <w:tcPr>
            <w:tcW w:w="6120" w:type="dxa"/>
            <w:vAlign w:val="bottom"/>
          </w:tcPr>
          <w:p>
            <w:pPr>
              <w:spacing w:after="0" w:line="194" w:lineRule="exact"/>
              <w:rPr>
                <w:sz w:val="20"/>
                <w:szCs w:val="20"/>
                <w:color w:val="auto"/>
              </w:rPr>
            </w:pPr>
            <w:r>
              <w:rPr>
                <w:rFonts w:ascii="Arial" w:cs="Arial" w:eastAsia="Arial" w:hAnsi="Arial"/>
                <w:sz w:val="17"/>
                <w:szCs w:val="17"/>
                <w:color w:val="auto"/>
              </w:rPr>
              <w:t>Net profit on sale and fluctuations of financial investments (i)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(182,671)</w:t>
            </w:r>
          </w:p>
        </w:tc>
        <w:tc>
          <w:tcPr>
            <w:tcW w:w="42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44,763</w:t>
            </w:r>
          </w:p>
        </w:tc>
        <w:tc>
          <w:tcPr>
            <w:tcW w:w="42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106,366</w:t>
            </w:r>
          </w:p>
        </w:tc>
      </w:tr>
      <w:tr>
        <w:trPr>
          <w:trHeight w:val="195"/>
        </w:trPr>
        <w:tc>
          <w:tcPr>
            <w:tcW w:w="6120" w:type="dxa"/>
            <w:vAlign w:val="bottom"/>
          </w:tcPr>
          <w:p>
            <w:pPr>
              <w:spacing w:after="0"/>
              <w:rPr>
                <w:sz w:val="20"/>
                <w:szCs w:val="20"/>
                <w:color w:val="auto"/>
              </w:rPr>
            </w:pPr>
            <w:r>
              <w:rPr>
                <w:rFonts w:ascii="Arial" w:cs="Arial" w:eastAsia="Arial" w:hAnsi="Arial"/>
                <w:sz w:val="17"/>
                <w:szCs w:val="17"/>
                <w:color w:val="auto"/>
              </w:rPr>
              <w:t>Dividends, interests and others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6,798</w:t>
            </w:r>
          </w:p>
        </w:tc>
        <w:tc>
          <w:tcPr>
            <w:tcW w:w="4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9,900</w:t>
            </w:r>
          </w:p>
        </w:tc>
        <w:tc>
          <w:tcPr>
            <w:tcW w:w="4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9,261</w:t>
            </w:r>
          </w:p>
        </w:tc>
      </w:tr>
      <w:tr>
        <w:trPr>
          <w:trHeight w:val="193"/>
        </w:trPr>
        <w:tc>
          <w:tcPr>
            <w:tcW w:w="6120" w:type="dxa"/>
            <w:vAlign w:val="bottom"/>
          </w:tcPr>
          <w:p>
            <w:pPr>
              <w:spacing w:after="0" w:line="187" w:lineRule="exact"/>
              <w:rPr>
                <w:sz w:val="20"/>
                <w:szCs w:val="20"/>
                <w:color w:val="auto"/>
              </w:rPr>
            </w:pPr>
            <w:r>
              <w:rPr>
                <w:rFonts w:ascii="Arial" w:cs="Arial" w:eastAsia="Arial" w:hAnsi="Arial"/>
                <w:sz w:val="17"/>
                <w:szCs w:val="17"/>
                <w:b w:val="1"/>
                <w:bCs w:val="1"/>
                <w:color w:val="auto"/>
              </w:rPr>
              <w:t>Total, Note 25 (a)</w:t>
            </w: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(175,873)</w:t>
            </w:r>
          </w:p>
        </w:tc>
        <w:tc>
          <w:tcPr>
            <w:tcW w:w="42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54,663</w:t>
            </w:r>
          </w:p>
        </w:tc>
        <w:tc>
          <w:tcPr>
            <w:tcW w:w="42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115,627</w:t>
            </w:r>
          </w:p>
        </w:tc>
      </w:tr>
    </w:tbl>
    <w:p>
      <w:pPr>
        <w:spacing w:after="0" w:line="193" w:lineRule="exact"/>
        <w:rPr>
          <w:sz w:val="20"/>
          <w:szCs w:val="20"/>
          <w:color w:val="auto"/>
        </w:rPr>
      </w:pPr>
    </w:p>
    <w:p>
      <w:pPr>
        <w:ind w:left="1236" w:right="280" w:hanging="304"/>
        <w:spacing w:after="0" w:line="254" w:lineRule="auto"/>
        <w:tabs>
          <w:tab w:leader="none" w:pos="1236"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of December 31, 2022 the prices of fixed and variable income instruments have decreased due to the moderation in inflation due to a less tightening of the monetary policy of the Federal Reserve Board (FED).</w:t>
      </w:r>
    </w:p>
    <w:p>
      <w:pPr>
        <w:spacing w:after="0" w:line="169" w:lineRule="exact"/>
        <w:rPr>
          <w:rFonts w:ascii="Arial" w:cs="Arial" w:eastAsia="Arial" w:hAnsi="Arial"/>
          <w:sz w:val="17"/>
          <w:szCs w:val="17"/>
          <w:color w:val="auto"/>
        </w:rPr>
      </w:pPr>
    </w:p>
    <w:p>
      <w:pPr>
        <w:ind w:left="1236" w:right="400"/>
        <w:spacing w:after="0" w:line="243" w:lineRule="auto"/>
        <w:rPr>
          <w:rFonts w:ascii="Arial" w:cs="Arial" w:eastAsia="Arial" w:hAnsi="Arial"/>
          <w:sz w:val="17"/>
          <w:szCs w:val="17"/>
          <w:color w:val="auto"/>
        </w:rPr>
      </w:pPr>
      <w:r>
        <w:rPr>
          <w:rFonts w:ascii="Arial" w:cs="Arial" w:eastAsia="Arial" w:hAnsi="Arial"/>
          <w:sz w:val="17"/>
          <w:szCs w:val="17"/>
          <w:color w:val="auto"/>
        </w:rPr>
        <w:t>The lower prices of food, energy, ocean freight, and rentals in the United States of America were reflected in the latest total inflation figures for October, November and December 2022, reaching records of 7.7 percent, 7.1 percent and 6.5 percent, respectively. The fall in investment prices is affected by the local and European economic environment and the increase in the reference rate of the FED.</w:t>
      </w:r>
    </w:p>
    <w:p>
      <w:pPr>
        <w:spacing w:after="0" w:line="180" w:lineRule="exact"/>
        <w:rPr>
          <w:sz w:val="20"/>
          <w:szCs w:val="20"/>
          <w:color w:val="auto"/>
        </w:rPr>
      </w:pPr>
    </w:p>
    <w:p>
      <w:pPr>
        <w:ind w:left="1236" w:right="180"/>
        <w:spacing w:after="0" w:line="254" w:lineRule="auto"/>
        <w:rPr>
          <w:sz w:val="20"/>
          <w:szCs w:val="20"/>
          <w:color w:val="auto"/>
        </w:rPr>
      </w:pPr>
      <w:r>
        <w:rPr>
          <w:rFonts w:ascii="Arial" w:cs="Arial" w:eastAsia="Arial" w:hAnsi="Arial"/>
          <w:sz w:val="17"/>
          <w:szCs w:val="17"/>
          <w:color w:val="auto"/>
        </w:rPr>
        <w:t>The offsetting of this effect is included in the technical reserve adjustment, which is part of the item “Net premiums earned” of the consolidated statement of income, see note 25 (a).</w:t>
      </w:r>
    </w:p>
    <w:p>
      <w:pPr>
        <w:spacing w:after="0" w:line="147" w:lineRule="exact"/>
        <w:rPr>
          <w:sz w:val="20"/>
          <w:szCs w:val="20"/>
          <w:color w:val="auto"/>
        </w:rPr>
      </w:pPr>
    </w:p>
    <w:p>
      <w:pPr>
        <w:ind w:left="616" w:hanging="616"/>
        <w:spacing w:after="0"/>
        <w:tabs>
          <w:tab w:leader="none" w:pos="616"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 AND PAYABLE FROM INSURANCE CONTRACTS</w:t>
      </w:r>
    </w:p>
    <w:p>
      <w:pPr>
        <w:spacing w:after="0" w:line="215" w:lineRule="exact"/>
        <w:rPr>
          <w:rFonts w:ascii="Arial" w:cs="Arial" w:eastAsia="Arial" w:hAnsi="Arial"/>
          <w:sz w:val="17"/>
          <w:szCs w:val="17"/>
          <w:b w:val="1"/>
          <w:bCs w:val="1"/>
          <w:color w:val="auto"/>
        </w:rPr>
      </w:pPr>
    </w:p>
    <w:p>
      <w:pPr>
        <w:ind w:left="936" w:right="200" w:hanging="315"/>
        <w:spacing w:after="0" w:line="246" w:lineRule="auto"/>
        <w:tabs>
          <w:tab w:leader="none" w:pos="936" w:val="left"/>
        </w:tabs>
        <w:numPr>
          <w:ilvl w:val="1"/>
          <w:numId w:val="94"/>
        </w:numPr>
        <w:rPr>
          <w:rFonts w:ascii="Arial" w:cs="Arial" w:eastAsia="Arial" w:hAnsi="Arial"/>
          <w:sz w:val="17"/>
          <w:szCs w:val="17"/>
          <w:color w:val="auto"/>
        </w:rPr>
      </w:pPr>
      <w:r>
        <w:rPr>
          <w:rFonts w:ascii="Arial" w:cs="Arial" w:eastAsia="Arial" w:hAnsi="Arial"/>
          <w:sz w:val="17"/>
          <w:szCs w:val="17"/>
          <w:color w:val="auto"/>
        </w:rPr>
        <w:t>As of December 31, 2022 and 2021, “Premiums and other policies receivable” in the consolidated statement of financial position includes balances for approximately S/913.1 million and S/921.1 million, respectively, which are primarily of current maturity, have no specific collateral and present no material past due balances.</w:t>
      </w:r>
    </w:p>
    <w:p>
      <w:pPr>
        <w:spacing w:after="0" w:line="175" w:lineRule="exact"/>
        <w:rPr>
          <w:rFonts w:ascii="Arial" w:cs="Arial" w:eastAsia="Arial" w:hAnsi="Arial"/>
          <w:sz w:val="17"/>
          <w:szCs w:val="17"/>
          <w:color w:val="auto"/>
        </w:rPr>
      </w:pPr>
    </w:p>
    <w:p>
      <w:pPr>
        <w:ind w:left="936" w:hanging="315"/>
        <w:spacing w:after="0"/>
        <w:tabs>
          <w:tab w:leader="none" w:pos="936"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movements of the captions “Accounts receivable and payable to reinsurers and coinsurers” are as follows:</w:t>
      </w:r>
    </w:p>
    <w:p>
      <w:pPr>
        <w:spacing w:after="0" w:line="171" w:lineRule="exact"/>
        <w:rPr>
          <w:rFonts w:ascii="Arial" w:cs="Arial" w:eastAsia="Arial" w:hAnsi="Arial"/>
          <w:sz w:val="17"/>
          <w:szCs w:val="17"/>
          <w:color w:val="auto"/>
        </w:rPr>
      </w:pPr>
    </w:p>
    <w:p>
      <w:pPr>
        <w:ind w:left="936"/>
        <w:spacing w:after="0"/>
        <w:rPr>
          <w:rFonts w:ascii="Arial" w:cs="Arial" w:eastAsia="Arial" w:hAnsi="Arial"/>
          <w:sz w:val="17"/>
          <w:szCs w:val="17"/>
          <w:color w:val="auto"/>
        </w:rPr>
      </w:pPr>
      <w:r>
        <w:rPr>
          <w:rFonts w:ascii="Arial" w:cs="Arial" w:eastAsia="Arial" w:hAnsi="Arial"/>
          <w:sz w:val="17"/>
          <w:szCs w:val="17"/>
          <w:b w:val="1"/>
          <w:bCs w:val="1"/>
          <w:color w:val="auto"/>
        </w:rPr>
        <w:t>Accounts receivable:</w:t>
      </w:r>
    </w:p>
    <w:p>
      <w:pPr>
        <w:spacing w:after="0" w:line="193" w:lineRule="exact"/>
        <w:rPr>
          <w:sz w:val="20"/>
          <w:szCs w:val="20"/>
          <w:color w:val="auto"/>
        </w:rPr>
      </w:pPr>
    </w:p>
    <w:tbl>
      <w:tblPr>
        <w:tblLayout w:type="fixed"/>
        <w:tblInd w:w="936"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r>
      <w:tr>
        <w:trPr>
          <w:trHeight w:val="223"/>
        </w:trPr>
        <w:tc>
          <w:tcPr>
            <w:tcW w:w="6440" w:type="dxa"/>
            <w:vAlign w:val="bottom"/>
          </w:tcPr>
          <w:p>
            <w:pPr>
              <w:spacing w:after="0"/>
              <w:rPr>
                <w:sz w:val="19"/>
                <w:szCs w:val="19"/>
                <w:color w:val="auto"/>
              </w:rPr>
            </w:pPr>
          </w:p>
        </w:tc>
        <w:tc>
          <w:tcPr>
            <w:tcW w:w="110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6440" w:type="dxa"/>
            <w:vAlign w:val="bottom"/>
          </w:tcPr>
          <w:p>
            <w:pPr>
              <w:spacing w:after="0"/>
              <w:rPr>
                <w:sz w:val="20"/>
                <w:szCs w:val="20"/>
                <w:color w:val="auto"/>
              </w:rPr>
            </w:pPr>
            <w:r>
              <w:rPr>
                <w:rFonts w:ascii="Arial" w:cs="Arial" w:eastAsia="Arial" w:hAnsi="Arial"/>
                <w:sz w:val="17"/>
                <w:szCs w:val="17"/>
                <w:b w:val="1"/>
                <w:bCs w:val="1"/>
                <w:color w:val="auto"/>
              </w:rPr>
              <w:t>Balances as of January 1</w:t>
            </w:r>
          </w:p>
        </w:tc>
        <w:tc>
          <w:tcPr>
            <w:tcW w:w="1100" w:type="dxa"/>
            <w:vAlign w:val="bottom"/>
          </w:tcPr>
          <w:p>
            <w:pPr>
              <w:jc w:val="right"/>
              <w:spacing w:after="0"/>
              <w:rPr>
                <w:sz w:val="20"/>
                <w:szCs w:val="20"/>
                <w:color w:val="auto"/>
              </w:rPr>
            </w:pPr>
            <w:r>
              <w:rPr>
                <w:rFonts w:ascii="Arial" w:cs="Arial" w:eastAsia="Arial" w:hAnsi="Arial"/>
                <w:sz w:val="17"/>
                <w:szCs w:val="17"/>
                <w:color w:val="auto"/>
              </w:rPr>
              <w:t>1,198,379</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919,419</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791,704</w:t>
            </w:r>
          </w:p>
        </w:tc>
      </w:tr>
      <w:tr>
        <w:trPr>
          <w:trHeight w:val="194"/>
        </w:trPr>
        <w:tc>
          <w:tcPr>
            <w:tcW w:w="6440" w:type="dxa"/>
            <w:vAlign w:val="bottom"/>
          </w:tcPr>
          <w:p>
            <w:pPr>
              <w:spacing w:after="0" w:line="194" w:lineRule="exact"/>
              <w:rPr>
                <w:sz w:val="20"/>
                <w:szCs w:val="20"/>
                <w:color w:val="auto"/>
              </w:rPr>
            </w:pPr>
            <w:r>
              <w:rPr>
                <w:rFonts w:ascii="Arial" w:cs="Arial" w:eastAsia="Arial" w:hAnsi="Arial"/>
                <w:sz w:val="17"/>
                <w:szCs w:val="17"/>
                <w:color w:val="auto"/>
              </w:rPr>
              <w:t>Reported claims of premiums ceded, Note 26</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347,145</w:t>
            </w:r>
          </w:p>
        </w:tc>
        <w:tc>
          <w:tcPr>
            <w:tcW w:w="16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542,341</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283,041</w:t>
            </w:r>
          </w:p>
        </w:tc>
      </w:tr>
      <w:tr>
        <w:trPr>
          <w:trHeight w:val="194"/>
        </w:trPr>
        <w:tc>
          <w:tcPr>
            <w:tcW w:w="6440" w:type="dxa"/>
            <w:vAlign w:val="bottom"/>
          </w:tcPr>
          <w:p>
            <w:pPr>
              <w:spacing w:after="0" w:line="194" w:lineRule="exact"/>
              <w:rPr>
                <w:sz w:val="20"/>
                <w:szCs w:val="20"/>
                <w:color w:val="auto"/>
              </w:rPr>
            </w:pPr>
            <w:r>
              <w:rPr>
                <w:rFonts w:ascii="Arial" w:cs="Arial" w:eastAsia="Arial" w:hAnsi="Arial"/>
                <w:sz w:val="17"/>
                <w:szCs w:val="17"/>
                <w:color w:val="auto"/>
              </w:rPr>
              <w:t>Reserve risk in progress of premiums ceded, Note 25(a)(**),(i)</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(7,371)</w:t>
            </w:r>
          </w:p>
        </w:tc>
        <w:tc>
          <w:tcPr>
            <w:tcW w:w="16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8,996</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23,186</w:t>
            </w:r>
          </w:p>
        </w:tc>
      </w:tr>
      <w:tr>
        <w:trPr>
          <w:trHeight w:val="194"/>
        </w:trPr>
        <w:tc>
          <w:tcPr>
            <w:tcW w:w="6440" w:type="dxa"/>
            <w:vAlign w:val="bottom"/>
          </w:tcPr>
          <w:p>
            <w:pPr>
              <w:spacing w:after="0" w:line="194" w:lineRule="exact"/>
              <w:rPr>
                <w:sz w:val="20"/>
                <w:szCs w:val="20"/>
                <w:color w:val="auto"/>
              </w:rPr>
            </w:pPr>
            <w:r>
              <w:rPr>
                <w:rFonts w:ascii="Arial" w:cs="Arial" w:eastAsia="Arial" w:hAnsi="Arial"/>
                <w:sz w:val="17"/>
                <w:szCs w:val="17"/>
                <w:color w:val="auto"/>
              </w:rPr>
              <w:t>Premiums assumed</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2,460</w:t>
            </w:r>
          </w:p>
        </w:tc>
        <w:tc>
          <w:tcPr>
            <w:tcW w:w="16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803</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194"/>
        </w:trPr>
        <w:tc>
          <w:tcPr>
            <w:tcW w:w="6440" w:type="dxa"/>
            <w:vAlign w:val="bottom"/>
          </w:tcPr>
          <w:p>
            <w:pPr>
              <w:spacing w:after="0" w:line="194" w:lineRule="exact"/>
              <w:rPr>
                <w:sz w:val="20"/>
                <w:szCs w:val="20"/>
                <w:color w:val="auto"/>
              </w:rPr>
            </w:pPr>
            <w:r>
              <w:rPr>
                <w:rFonts w:ascii="Arial" w:cs="Arial" w:eastAsia="Arial" w:hAnsi="Arial"/>
                <w:sz w:val="17"/>
                <w:szCs w:val="17"/>
                <w:color w:val="auto"/>
              </w:rPr>
              <w:t>Settled claims of premiums ceded by reinsurance contracts</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(96,278)</w:t>
            </w:r>
          </w:p>
        </w:tc>
        <w:tc>
          <w:tcPr>
            <w:tcW w:w="16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(168,695)</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(229,729)</w:t>
            </w:r>
          </w:p>
        </w:tc>
      </w:tr>
      <w:tr>
        <w:trPr>
          <w:trHeight w:val="195"/>
        </w:trPr>
        <w:tc>
          <w:tcPr>
            <w:tcW w:w="6440" w:type="dxa"/>
            <w:vAlign w:val="bottom"/>
          </w:tcPr>
          <w:p>
            <w:pPr>
              <w:spacing w:after="0"/>
              <w:rPr>
                <w:sz w:val="20"/>
                <w:szCs w:val="20"/>
                <w:color w:val="auto"/>
              </w:rPr>
            </w:pPr>
            <w:r>
              <w:rPr>
                <w:rFonts w:ascii="Arial" w:cs="Arial" w:eastAsia="Arial" w:hAnsi="Arial"/>
                <w:sz w:val="17"/>
                <w:szCs w:val="17"/>
                <w:color w:val="auto"/>
              </w:rPr>
              <w:t>Collections and others, net (ii)</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(337,661)</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(104,485)</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51,217</w:t>
            </w:r>
          </w:p>
        </w:tc>
      </w:tr>
      <w:tr>
        <w:trPr>
          <w:trHeight w:val="193"/>
        </w:trPr>
        <w:tc>
          <w:tcPr>
            <w:tcW w:w="6440" w:type="dxa"/>
            <w:vAlign w:val="bottom"/>
          </w:tcPr>
          <w:p>
            <w:pPr>
              <w:spacing w:after="0" w:line="187" w:lineRule="exact"/>
              <w:rPr>
                <w:sz w:val="20"/>
                <w:szCs w:val="20"/>
                <w:color w:val="auto"/>
              </w:rPr>
            </w:pPr>
            <w:r>
              <w:rPr>
                <w:rFonts w:ascii="Arial" w:cs="Arial" w:eastAsia="Arial" w:hAnsi="Arial"/>
                <w:sz w:val="17"/>
                <w:szCs w:val="17"/>
                <w:b w:val="1"/>
                <w:bCs w:val="1"/>
                <w:color w:val="auto"/>
              </w:rPr>
              <w:t>Balances at the end of the period</w:t>
            </w:r>
          </w:p>
        </w:tc>
        <w:tc>
          <w:tcPr>
            <w:tcW w:w="11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1,106,674</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1,198,379</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919,419</w:t>
            </w:r>
          </w:p>
        </w:tc>
      </w:tr>
    </w:tbl>
    <w:p>
      <w:pPr>
        <w:spacing w:after="0" w:line="193" w:lineRule="exact"/>
        <w:rPr>
          <w:sz w:val="20"/>
          <w:szCs w:val="20"/>
          <w:color w:val="auto"/>
        </w:rPr>
      </w:pPr>
    </w:p>
    <w:p>
      <w:pPr>
        <w:jc w:val="both"/>
        <w:ind w:left="936" w:right="180"/>
        <w:spacing w:after="0" w:line="254" w:lineRule="auto"/>
        <w:rPr>
          <w:sz w:val="20"/>
          <w:szCs w:val="20"/>
          <w:color w:val="auto"/>
        </w:rPr>
      </w:pPr>
      <w:r>
        <w:rPr>
          <w:rFonts w:ascii="Arial" w:cs="Arial" w:eastAsia="Arial" w:hAnsi="Arial"/>
          <w:sz w:val="17"/>
          <w:szCs w:val="17"/>
          <w:color w:val="auto"/>
        </w:rPr>
        <w:t>As of December 31, 2022 and 2021 accounts receivable include S/76.1 million and S/299.0 million, respectively, which correspond to the technical reserves of the ceded portion of premiums to reinsurers.</w:t>
      </w:r>
    </w:p>
    <w:p>
      <w:pPr>
        <w:spacing w:after="0" w:line="143"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3803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6"/>
          </w:cols>
          <w:pgMar w:left="324" w:top="333" w:right="339" w:bottom="1440" w:gutter="0" w:footer="0" w:header="0"/>
        </w:sectPr>
      </w:pPr>
    </w:p>
    <w:bookmarkStart w:id="84" w:name="page85"/>
    <w:bookmarkEnd w:id="84"/>
    <w:p>
      <w:pPr>
        <w:jc w:val="both"/>
        <w:ind w:left="304" w:hanging="304"/>
        <w:spacing w:after="0" w:line="243" w:lineRule="auto"/>
        <w:tabs>
          <w:tab w:leader="none" w:pos="3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of December 31, 2022, the variation mainly comprises the aviation lines for S/28.7 million and the decrease in maritime hull lines for S/19.2 million, fire for S/14.4 million, civil liability for S/9.8 million and other minors for S/1.6 million. As of December 31, 2021, the variation mainly comprises aviation lines for S/33.8 million and civil liability for S/8.9 million; and fire reduction for S/15.0 million, banks for S/4.9 million, maritime hulls for S/3.3 million and other minors for S/5.3 million.</w:t>
      </w:r>
    </w:p>
    <w:p>
      <w:pPr>
        <w:spacing w:after="0" w:line="178" w:lineRule="exact"/>
        <w:rPr>
          <w:rFonts w:ascii="Arial" w:cs="Arial" w:eastAsia="Arial" w:hAnsi="Arial"/>
          <w:sz w:val="17"/>
          <w:szCs w:val="17"/>
          <w:color w:val="auto"/>
        </w:rPr>
      </w:pPr>
    </w:p>
    <w:p>
      <w:pPr>
        <w:jc w:val="both"/>
        <w:ind w:left="304" w:hanging="304"/>
        <w:spacing w:after="0" w:line="243" w:lineRule="auto"/>
        <w:tabs>
          <w:tab w:leader="none" w:pos="3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of December 31, 2022, the variation mainly comprises the effect of the exchange difference for S/393.4 million, collections from reinsurers for S/26.5 million and other minors of S/29.3 million. As of December 31, 2021, the balance is mainly made up of collections made to reinsurers for S/110.3 million, the effect of exchange difference for S/64.9 million and other minors of S/59.4 million.</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7"/>
                <w:szCs w:val="17"/>
                <w:b w:val="1"/>
                <w:bCs w:val="1"/>
                <w:color w:val="auto"/>
              </w:rPr>
              <w:t>Accounts Payable:</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5"/>
        </w:trPr>
        <w:tc>
          <w:tcPr>
            <w:tcW w:w="6440" w:type="dxa"/>
            <w:vAlign w:val="bottom"/>
          </w:tcPr>
          <w:p>
            <w:pPr>
              <w:spacing w:after="0"/>
              <w:rPr>
                <w:sz w:val="24"/>
                <w:szCs w:val="2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24"/>
                <w:szCs w:val="2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r>
      <w:tr>
        <w:trPr>
          <w:trHeight w:val="223"/>
        </w:trPr>
        <w:tc>
          <w:tcPr>
            <w:tcW w:w="6440" w:type="dxa"/>
            <w:vAlign w:val="bottom"/>
          </w:tcPr>
          <w:p>
            <w:pPr>
              <w:spacing w:after="0"/>
              <w:rPr>
                <w:sz w:val="19"/>
                <w:szCs w:val="19"/>
                <w:color w:val="auto"/>
              </w:rPr>
            </w:pPr>
          </w:p>
        </w:tc>
        <w:tc>
          <w:tcPr>
            <w:tcW w:w="110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6440" w:type="dxa"/>
            <w:vAlign w:val="bottom"/>
          </w:tcPr>
          <w:p>
            <w:pPr>
              <w:spacing w:after="0"/>
              <w:rPr>
                <w:sz w:val="20"/>
                <w:szCs w:val="20"/>
                <w:color w:val="auto"/>
              </w:rPr>
            </w:pPr>
            <w:r>
              <w:rPr>
                <w:rFonts w:ascii="Arial" w:cs="Arial" w:eastAsia="Arial" w:hAnsi="Arial"/>
                <w:sz w:val="17"/>
                <w:szCs w:val="17"/>
                <w:b w:val="1"/>
                <w:bCs w:val="1"/>
                <w:color w:val="auto"/>
              </w:rPr>
              <w:t>Balances as of January 1</w:t>
            </w:r>
          </w:p>
        </w:tc>
        <w:tc>
          <w:tcPr>
            <w:tcW w:w="1100" w:type="dxa"/>
            <w:vAlign w:val="bottom"/>
          </w:tcPr>
          <w:p>
            <w:pPr>
              <w:jc w:val="right"/>
              <w:spacing w:after="0"/>
              <w:rPr>
                <w:sz w:val="20"/>
                <w:szCs w:val="20"/>
                <w:color w:val="auto"/>
              </w:rPr>
            </w:pPr>
            <w:r>
              <w:rPr>
                <w:rFonts w:ascii="Arial" w:cs="Arial" w:eastAsia="Arial" w:hAnsi="Arial"/>
                <w:sz w:val="17"/>
                <w:szCs w:val="17"/>
                <w:color w:val="auto"/>
              </w:rPr>
              <w:t>463,825</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338,446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216,734</w:t>
            </w:r>
          </w:p>
        </w:tc>
      </w:tr>
      <w:tr>
        <w:trPr>
          <w:trHeight w:val="194"/>
        </w:trPr>
        <w:tc>
          <w:tcPr>
            <w:tcW w:w="6440" w:type="dxa"/>
            <w:vAlign w:val="bottom"/>
          </w:tcPr>
          <w:p>
            <w:pPr>
              <w:spacing w:after="0" w:line="194" w:lineRule="exact"/>
              <w:rPr>
                <w:sz w:val="20"/>
                <w:szCs w:val="20"/>
                <w:color w:val="auto"/>
              </w:rPr>
            </w:pPr>
            <w:r>
              <w:rPr>
                <w:rFonts w:ascii="Arial" w:cs="Arial" w:eastAsia="Arial" w:hAnsi="Arial"/>
                <w:sz w:val="17"/>
                <w:szCs w:val="17"/>
                <w:color w:val="auto"/>
              </w:rPr>
              <w:t>Premiums ceded for automatic contracts (mainly excess of loss), Note 25(a)(**)</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392,123</w:t>
            </w:r>
          </w:p>
        </w:tc>
        <w:tc>
          <w:tcPr>
            <w:tcW w:w="16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355,356</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244,112</w:t>
            </w:r>
          </w:p>
        </w:tc>
      </w:tr>
      <w:tr>
        <w:trPr>
          <w:trHeight w:val="194"/>
        </w:trPr>
        <w:tc>
          <w:tcPr>
            <w:tcW w:w="6440" w:type="dxa"/>
            <w:vAlign w:val="bottom"/>
          </w:tcPr>
          <w:p>
            <w:pPr>
              <w:spacing w:after="0" w:line="194" w:lineRule="exact"/>
              <w:rPr>
                <w:sz w:val="20"/>
                <w:szCs w:val="20"/>
                <w:color w:val="auto"/>
              </w:rPr>
            </w:pPr>
            <w:r>
              <w:rPr>
                <w:rFonts w:ascii="Arial" w:cs="Arial" w:eastAsia="Arial" w:hAnsi="Arial"/>
                <w:sz w:val="17"/>
                <w:szCs w:val="17"/>
                <w:color w:val="auto"/>
              </w:rPr>
              <w:t>Premiums ceded to reinsurers in facultative contracts, Note 25(a)(**)</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399,482</w:t>
            </w:r>
          </w:p>
        </w:tc>
        <w:tc>
          <w:tcPr>
            <w:tcW w:w="16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392,346</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327,098</w:t>
            </w:r>
          </w:p>
        </w:tc>
      </w:tr>
      <w:tr>
        <w:trPr>
          <w:trHeight w:val="194"/>
        </w:trPr>
        <w:tc>
          <w:tcPr>
            <w:tcW w:w="6440" w:type="dxa"/>
            <w:vAlign w:val="bottom"/>
          </w:tcPr>
          <w:p>
            <w:pPr>
              <w:spacing w:after="0" w:line="194" w:lineRule="exact"/>
              <w:rPr>
                <w:sz w:val="20"/>
                <w:szCs w:val="20"/>
                <w:color w:val="auto"/>
              </w:rPr>
            </w:pPr>
            <w:r>
              <w:rPr>
                <w:rFonts w:ascii="Arial" w:cs="Arial" w:eastAsia="Arial" w:hAnsi="Arial"/>
                <w:sz w:val="17"/>
                <w:szCs w:val="17"/>
                <w:color w:val="auto"/>
              </w:rPr>
              <w:t>Coinsurance granted</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25,430</w:t>
            </w:r>
          </w:p>
        </w:tc>
        <w:tc>
          <w:tcPr>
            <w:tcW w:w="16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8,154</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753</w:t>
            </w:r>
          </w:p>
        </w:tc>
      </w:tr>
      <w:tr>
        <w:trPr>
          <w:trHeight w:val="195"/>
        </w:trPr>
        <w:tc>
          <w:tcPr>
            <w:tcW w:w="6440" w:type="dxa"/>
            <w:vAlign w:val="bottom"/>
          </w:tcPr>
          <w:p>
            <w:pPr>
              <w:spacing w:after="0"/>
              <w:rPr>
                <w:sz w:val="20"/>
                <w:szCs w:val="20"/>
                <w:color w:val="auto"/>
              </w:rPr>
            </w:pPr>
            <w:r>
              <w:rPr>
                <w:rFonts w:ascii="Arial" w:cs="Arial" w:eastAsia="Arial" w:hAnsi="Arial"/>
                <w:sz w:val="17"/>
                <w:szCs w:val="17"/>
                <w:color w:val="auto"/>
              </w:rPr>
              <w:t>Payments and other, net (i)</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(860,766)</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(630,477)</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(450,251)</w:t>
            </w:r>
          </w:p>
        </w:tc>
      </w:tr>
      <w:tr>
        <w:trPr>
          <w:trHeight w:val="193"/>
        </w:trPr>
        <w:tc>
          <w:tcPr>
            <w:tcW w:w="6440" w:type="dxa"/>
            <w:vAlign w:val="bottom"/>
          </w:tcPr>
          <w:p>
            <w:pPr>
              <w:spacing w:after="0" w:line="187" w:lineRule="exact"/>
              <w:rPr>
                <w:sz w:val="20"/>
                <w:szCs w:val="20"/>
                <w:color w:val="auto"/>
              </w:rPr>
            </w:pPr>
            <w:r>
              <w:rPr>
                <w:rFonts w:ascii="Arial" w:cs="Arial" w:eastAsia="Arial" w:hAnsi="Arial"/>
                <w:sz w:val="17"/>
                <w:szCs w:val="17"/>
                <w:b w:val="1"/>
                <w:bCs w:val="1"/>
                <w:color w:val="auto"/>
              </w:rPr>
              <w:t>Balances at the end of the period</w:t>
            </w:r>
          </w:p>
        </w:tc>
        <w:tc>
          <w:tcPr>
            <w:tcW w:w="11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420,094</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463,825</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338,446</w:t>
            </w:r>
          </w:p>
        </w:tc>
      </w:tr>
    </w:tbl>
    <w:p>
      <w:pPr>
        <w:spacing w:after="0" w:line="388" w:lineRule="exact"/>
        <w:rPr>
          <w:sz w:val="20"/>
          <w:szCs w:val="20"/>
          <w:color w:val="auto"/>
        </w:rPr>
      </w:pPr>
    </w:p>
    <w:p>
      <w:pPr>
        <w:ind w:left="4" w:right="200"/>
        <w:spacing w:after="0" w:line="246" w:lineRule="auto"/>
        <w:rPr>
          <w:sz w:val="20"/>
          <w:szCs w:val="20"/>
          <w:color w:val="auto"/>
        </w:rPr>
      </w:pPr>
      <w:r>
        <w:rPr>
          <w:rFonts w:ascii="Arial" w:cs="Arial" w:eastAsia="Arial" w:hAnsi="Arial"/>
          <w:sz w:val="17"/>
          <w:szCs w:val="17"/>
          <w:color w:val="auto"/>
        </w:rPr>
        <w:t>Accounts payable to reinsurers are primarily related to proportional facultative contracts (on an individual basis) for ceded premiums, automatic non-proportional contracts (excess loss) and reinstallation premiums. For facultative contracts the Group transfers to the reinsurers a percentage or an amount of an insurance contract or individual risk, based on the premium and the coverage period.</w:t>
      </w:r>
    </w:p>
    <w:p>
      <w:pPr>
        <w:spacing w:after="0" w:line="176" w:lineRule="exact"/>
        <w:rPr>
          <w:sz w:val="20"/>
          <w:szCs w:val="20"/>
          <w:color w:val="auto"/>
        </w:rPr>
      </w:pPr>
    </w:p>
    <w:p>
      <w:pPr>
        <w:jc w:val="both"/>
        <w:ind w:left="304" w:hanging="304"/>
        <w:spacing w:after="0" w:line="246" w:lineRule="auto"/>
        <w:tabs>
          <w:tab w:leader="none" w:pos="304" w:val="left"/>
        </w:tabs>
        <w:numPr>
          <w:ilvl w:val="0"/>
          <w:numId w:val="96"/>
        </w:numPr>
        <w:rPr>
          <w:rFonts w:ascii="Arial" w:cs="Arial" w:eastAsia="Arial" w:hAnsi="Arial"/>
          <w:sz w:val="17"/>
          <w:szCs w:val="17"/>
          <w:color w:val="auto"/>
        </w:rPr>
      </w:pPr>
      <w:r>
        <w:rPr>
          <w:rFonts w:ascii="Arial" w:cs="Arial" w:eastAsia="Arial" w:hAnsi="Arial"/>
          <w:sz w:val="17"/>
          <w:szCs w:val="17"/>
          <w:color w:val="auto"/>
        </w:rPr>
        <w:t>As of December 31, 2022, the balance is mainly made up of payments to reinsurers for S/811.8 million, the effect of exchange difference for S/16.8 million and other minors for S/32.1 million. As of December 31, 2021, the balance is mainly made up of payments from reinsurers for S/608.7 million, the effect of exchange difference for S/11.9 million and other minors of S/9.8 million.</w:t>
      </w:r>
    </w:p>
    <w:p>
      <w:pPr>
        <w:spacing w:after="0" w:line="150" w:lineRule="exact"/>
        <w:rPr>
          <w:rFonts w:ascii="Arial" w:cs="Arial" w:eastAsia="Arial" w:hAnsi="Arial"/>
          <w:sz w:val="17"/>
          <w:szCs w:val="17"/>
          <w:color w:val="auto"/>
        </w:rPr>
      </w:pPr>
    </w:p>
    <w:p>
      <w:pPr>
        <w:ind w:left="4584" w:hanging="97"/>
        <w:spacing w:after="0"/>
        <w:tabs>
          <w:tab w:leader="none" w:pos="4584" w:val="left"/>
        </w:tabs>
        <w:numPr>
          <w:ilvl w:val="1"/>
          <w:numId w:val="96"/>
        </w:numPr>
        <w:rPr>
          <w:rFonts w:ascii="Arial" w:cs="Arial" w:eastAsia="Arial" w:hAnsi="Arial"/>
          <w:sz w:val="17"/>
          <w:szCs w:val="17"/>
          <w:color w:val="auto"/>
        </w:rPr>
      </w:pPr>
      <w:r>
        <w:rPr>
          <w:rFonts w:ascii="Arial" w:cs="Arial" w:eastAsia="Arial" w:hAnsi="Arial"/>
          <w:sz w:val="17"/>
          <w:szCs w:val="17"/>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85" w:name="page86"/>
    <w:bookmarkEnd w:id="85"/>
    <w:p>
      <w:pPr>
        <w:spacing w:after="0"/>
        <w:tabs>
          <w:tab w:leader="none" w:pos="60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PROPERTY, FURNITURE AND EQUIPMENT, NET</w:t>
      </w:r>
    </w:p>
    <w:p>
      <w:pPr>
        <w:spacing w:after="0" w:line="213" w:lineRule="exact"/>
        <w:rPr>
          <w:sz w:val="20"/>
          <w:szCs w:val="20"/>
          <w:color w:val="auto"/>
        </w:rPr>
      </w:pPr>
    </w:p>
    <w:p>
      <w:pPr>
        <w:ind w:left="940" w:hanging="315"/>
        <w:spacing w:after="0"/>
        <w:tabs>
          <w:tab w:leader="none" w:pos="9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movement of property, furniture and equipment and accumulated depreciation, for the years ended December 31, 2022, 2021, and</w:t>
      </w:r>
    </w:p>
    <w:p>
      <w:pPr>
        <w:ind w:left="940"/>
        <w:spacing w:after="0"/>
        <w:rPr>
          <w:rFonts w:ascii="Arial" w:cs="Arial" w:eastAsia="Arial" w:hAnsi="Arial"/>
          <w:sz w:val="17"/>
          <w:szCs w:val="17"/>
          <w:color w:val="auto"/>
        </w:rPr>
      </w:pPr>
      <w:r>
        <w:rPr>
          <w:rFonts w:ascii="Arial" w:cs="Arial" w:eastAsia="Arial" w:hAnsi="Arial"/>
          <w:sz w:val="17"/>
          <w:szCs w:val="17"/>
          <w:color w:val="auto"/>
        </w:rPr>
        <w:t>2020 is as follows:</w:t>
      </w:r>
    </w:p>
    <w:p>
      <w:pPr>
        <w:spacing w:after="0" w:line="177"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4"/>
                <w:szCs w:val="14"/>
                <w:b w:val="1"/>
                <w:bCs w:val="1"/>
                <w:color w:val="auto"/>
                <w:w w:val="99"/>
              </w:rPr>
              <w:t>Buildings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Vehicles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5"/>
        </w:trPr>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line="15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Furniture</w:t>
            </w:r>
          </w:p>
        </w:tc>
        <w:tc>
          <w:tcPr>
            <w:tcW w:w="8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Computer</w:t>
            </w:r>
          </w:p>
        </w:tc>
        <w:tc>
          <w:tcPr>
            <w:tcW w:w="8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Work in</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7"/>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Land</w:t>
            </w:r>
          </w:p>
        </w:tc>
        <w:tc>
          <w:tcPr>
            <w:tcW w:w="940" w:type="dxa"/>
            <w:vAlign w:val="bottom"/>
          </w:tcPr>
          <w:p>
            <w:pPr>
              <w:spacing w:after="0"/>
              <w:rPr>
                <w:sz w:val="20"/>
                <w:szCs w:val="20"/>
                <w:color w:val="auto"/>
              </w:rPr>
            </w:pPr>
            <w:r>
              <w:rPr>
                <w:rFonts w:ascii="Arial" w:cs="Arial" w:eastAsia="Arial" w:hAnsi="Arial"/>
                <w:sz w:val="14"/>
                <w:szCs w:val="14"/>
                <w:b w:val="1"/>
                <w:bCs w:val="1"/>
                <w:color w:val="auto"/>
                <w:w w:val="99"/>
              </w:rPr>
              <w:t>constructions</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w w:val="97"/>
              </w:rPr>
              <w:t>Installations</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w w:val="95"/>
              </w:rPr>
              <w:t>and fixtures</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hardware</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equipment</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progress</w:t>
            </w: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rPr>
              <w:t>2020</w:t>
            </w:r>
          </w:p>
        </w:tc>
      </w:tr>
      <w:tr>
        <w:trPr>
          <w:trHeight w:val="153"/>
        </w:trPr>
        <w:tc>
          <w:tcPr>
            <w:tcW w:w="7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40" w:type="dxa"/>
            <w:vAlign w:val="bottom"/>
          </w:tcPr>
          <w:p>
            <w:pPr>
              <w:spacing w:after="0" w:line="139" w:lineRule="exact"/>
              <w:rPr>
                <w:sz w:val="20"/>
                <w:szCs w:val="20"/>
                <w:color w:val="auto"/>
              </w:rPr>
            </w:pPr>
            <w:r>
              <w:rPr>
                <w:rFonts w:ascii="Arial" w:cs="Arial" w:eastAsia="Arial" w:hAnsi="Arial"/>
                <w:sz w:val="14"/>
                <w:szCs w:val="14"/>
                <w:b w:val="1"/>
                <w:bCs w:val="1"/>
                <w:color w:val="auto"/>
              </w:rPr>
              <w:t>Cost -</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Arial" w:cs="Arial" w:eastAsia="Arial" w:hAnsi="Arial"/>
                <w:sz w:val="14"/>
                <w:szCs w:val="14"/>
                <w:b w:val="1"/>
                <w:bCs w:val="1"/>
                <w:color w:val="auto"/>
              </w:rPr>
              <w:t>Balance as of January 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401,856</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1,157,506</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720,176</w:t>
            </w:r>
          </w:p>
        </w:tc>
        <w:tc>
          <w:tcPr>
            <w:tcW w:w="780" w:type="dxa"/>
            <w:vAlign w:val="bottom"/>
          </w:tcPr>
          <w:p>
            <w:pPr>
              <w:jc w:val="right"/>
              <w:spacing w:after="0"/>
              <w:rPr>
                <w:sz w:val="20"/>
                <w:szCs w:val="20"/>
                <w:color w:val="auto"/>
              </w:rPr>
            </w:pPr>
            <w:r>
              <w:rPr>
                <w:rFonts w:ascii="Arial" w:cs="Arial" w:eastAsia="Arial" w:hAnsi="Arial"/>
                <w:sz w:val="14"/>
                <w:szCs w:val="14"/>
                <w:color w:val="auto"/>
              </w:rPr>
              <w:t>465,006</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602,387</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115,650</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38,309</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3,500,890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3,515,202</w:t>
            </w:r>
          </w:p>
        </w:tc>
        <w:tc>
          <w:tcPr>
            <w:tcW w:w="780" w:type="dxa"/>
            <w:vAlign w:val="bottom"/>
          </w:tcPr>
          <w:p>
            <w:pPr>
              <w:jc w:val="right"/>
              <w:spacing w:after="0"/>
              <w:rPr>
                <w:sz w:val="20"/>
                <w:szCs w:val="20"/>
                <w:color w:val="auto"/>
              </w:rPr>
            </w:pPr>
            <w:r>
              <w:rPr>
                <w:rFonts w:ascii="Arial" w:cs="Arial" w:eastAsia="Arial" w:hAnsi="Arial"/>
                <w:sz w:val="14"/>
                <w:szCs w:val="14"/>
                <w:color w:val="auto"/>
              </w:rPr>
              <w:t>3,512,477</w:t>
            </w:r>
          </w:p>
        </w:tc>
        <w:tc>
          <w:tcPr>
            <w:tcW w:w="0" w:type="dxa"/>
            <w:vAlign w:val="bottom"/>
          </w:tcPr>
          <w:p>
            <w:pPr>
              <w:spacing w:after="0"/>
              <w:rPr>
                <w:sz w:val="1"/>
                <w:szCs w:val="1"/>
                <w:color w:val="auto"/>
              </w:rPr>
            </w:pPr>
          </w:p>
        </w:tc>
      </w:tr>
      <w:tr>
        <w:trPr>
          <w:trHeight w:val="155"/>
        </w:trPr>
        <w:tc>
          <w:tcPr>
            <w:tcW w:w="2040" w:type="dxa"/>
            <w:vAlign w:val="bottom"/>
          </w:tcPr>
          <w:p>
            <w:pPr>
              <w:spacing w:after="0" w:line="155" w:lineRule="exact"/>
              <w:rPr>
                <w:sz w:val="20"/>
                <w:szCs w:val="20"/>
                <w:color w:val="auto"/>
              </w:rPr>
            </w:pPr>
            <w:r>
              <w:rPr>
                <w:rFonts w:ascii="Arial" w:cs="Arial" w:eastAsia="Arial" w:hAnsi="Arial"/>
                <w:sz w:val="14"/>
                <w:szCs w:val="14"/>
                <w:color w:val="auto"/>
              </w:rPr>
              <w:t>Additions</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1,756</w:t>
            </w:r>
          </w:p>
        </w:tc>
        <w:tc>
          <w:tcPr>
            <w:tcW w:w="10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20,112</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22,857</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35,596</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41,543</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754</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70,082</w:t>
            </w: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192,700</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107,790</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98,120</w:t>
            </w:r>
          </w:p>
        </w:tc>
        <w:tc>
          <w:tcPr>
            <w:tcW w:w="0" w:type="dxa"/>
            <w:vAlign w:val="bottom"/>
          </w:tcPr>
          <w:p>
            <w:pPr>
              <w:spacing w:after="0"/>
              <w:rPr>
                <w:sz w:val="1"/>
                <w:szCs w:val="1"/>
                <w:color w:val="auto"/>
              </w:rPr>
            </w:pPr>
          </w:p>
        </w:tc>
      </w:tr>
      <w:tr>
        <w:trPr>
          <w:trHeight w:val="155"/>
        </w:trPr>
        <w:tc>
          <w:tcPr>
            <w:tcW w:w="2040" w:type="dxa"/>
            <w:vAlign w:val="bottom"/>
          </w:tcPr>
          <w:p>
            <w:pPr>
              <w:spacing w:after="0" w:line="155" w:lineRule="exact"/>
              <w:rPr>
                <w:sz w:val="20"/>
                <w:szCs w:val="20"/>
                <w:color w:val="auto"/>
              </w:rPr>
            </w:pPr>
            <w:r>
              <w:rPr>
                <w:rFonts w:ascii="Arial" w:cs="Arial" w:eastAsia="Arial" w:hAnsi="Arial"/>
                <w:sz w:val="14"/>
                <w:szCs w:val="14"/>
                <w:color w:val="auto"/>
              </w:rPr>
              <w:t>Acquisition of business</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151</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268</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419</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5" w:lineRule="exact"/>
              <w:rPr>
                <w:sz w:val="20"/>
                <w:szCs w:val="20"/>
                <w:color w:val="auto"/>
              </w:rPr>
            </w:pPr>
            <w:r>
              <w:rPr>
                <w:rFonts w:ascii="Arial" w:cs="Arial" w:eastAsia="Arial" w:hAnsi="Arial"/>
                <w:sz w:val="14"/>
                <w:szCs w:val="14"/>
                <w:color w:val="auto"/>
              </w:rPr>
              <w:t>Transfers</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13,440</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11,909</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2,358</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2,003</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(29,710)</w:t>
            </w:r>
          </w:p>
        </w:tc>
        <w:tc>
          <w:tcPr>
            <w:tcW w:w="120" w:type="dxa"/>
            <w:vAlign w:val="bottom"/>
          </w:tcPr>
          <w:p>
            <w:pPr>
              <w:spacing w:after="0"/>
              <w:rPr>
                <w:sz w:val="13"/>
                <w:szCs w:val="13"/>
                <w:color w:val="auto"/>
              </w:rPr>
            </w:pP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5" w:lineRule="exact"/>
              <w:rPr>
                <w:sz w:val="20"/>
                <w:szCs w:val="20"/>
                <w:color w:val="auto"/>
              </w:rPr>
            </w:pPr>
            <w:r>
              <w:rPr>
                <w:rFonts w:ascii="Arial" w:cs="Arial" w:eastAsia="Arial" w:hAnsi="Arial"/>
                <w:sz w:val="14"/>
                <w:szCs w:val="14"/>
                <w:color w:val="auto"/>
              </w:rPr>
              <w:t>Disposal, derecognition and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40" w:type="dxa"/>
            <w:vAlign w:val="bottom"/>
          </w:tcPr>
          <w:p>
            <w:pPr>
              <w:spacing w:after="0" w:line="151" w:lineRule="exact"/>
              <w:rPr>
                <w:sz w:val="20"/>
                <w:szCs w:val="20"/>
                <w:color w:val="auto"/>
              </w:rPr>
            </w:pPr>
            <w:r>
              <w:rPr>
                <w:rFonts w:ascii="Arial" w:cs="Arial" w:eastAsia="Arial" w:hAnsi="Arial"/>
                <w:sz w:val="14"/>
                <w:szCs w:val="14"/>
                <w:color w:val="auto"/>
              </w:rPr>
              <w:t>others</w:t>
            </w:r>
          </w:p>
        </w:tc>
        <w:tc>
          <w:tcPr>
            <w:tcW w:w="90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(28,127)</w:t>
            </w:r>
          </w:p>
        </w:tc>
        <w:tc>
          <w:tcPr>
            <w:tcW w:w="106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(30,713)</w:t>
            </w:r>
          </w:p>
        </w:tc>
        <w:tc>
          <w:tcPr>
            <w:tcW w:w="94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(24,795)</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(45,528)</w:t>
            </w:r>
          </w:p>
        </w:tc>
        <w:tc>
          <w:tcPr>
            <w:tcW w:w="1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(75,510)</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(6,246)</w:t>
            </w: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(19,894)</w:t>
            </w:r>
          </w:p>
        </w:tc>
        <w:tc>
          <w:tcPr>
            <w:tcW w:w="120" w:type="dxa"/>
            <w:vAlign w:val="bottom"/>
          </w:tcPr>
          <w:p>
            <w:pPr>
              <w:spacing w:after="0"/>
              <w:rPr>
                <w:sz w:val="13"/>
                <w:szCs w:val="13"/>
                <w:color w:val="auto"/>
              </w:rPr>
            </w:pPr>
          </w:p>
        </w:tc>
        <w:tc>
          <w:tcPr>
            <w:tcW w:w="110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(230,813)</w:t>
            </w:r>
          </w:p>
        </w:tc>
        <w:tc>
          <w:tcPr>
            <w:tcW w:w="88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(122,102)</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(95,395)</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w:t>
            </w: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40" w:type="dxa"/>
            <w:vAlign w:val="bottom"/>
            <w:vMerge w:val="continue"/>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375,485</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1,146,905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731,678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467,134</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571,046</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112,161</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58,787</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3,463,196</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3,500,890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3,515,202</w:t>
            </w:r>
          </w:p>
        </w:tc>
        <w:tc>
          <w:tcPr>
            <w:tcW w:w="0" w:type="dxa"/>
            <w:vAlign w:val="bottom"/>
          </w:tcPr>
          <w:p>
            <w:pPr>
              <w:spacing w:after="0"/>
              <w:rPr>
                <w:sz w:val="1"/>
                <w:szCs w:val="1"/>
                <w:color w:val="auto"/>
              </w:rPr>
            </w:pPr>
          </w:p>
        </w:tc>
      </w:tr>
      <w:tr>
        <w:trPr>
          <w:trHeight w:val="292"/>
        </w:trPr>
        <w:tc>
          <w:tcPr>
            <w:tcW w:w="2040" w:type="dxa"/>
            <w:vAlign w:val="bottom"/>
          </w:tcPr>
          <w:p>
            <w:pPr>
              <w:spacing w:after="0"/>
              <w:rPr>
                <w:sz w:val="20"/>
                <w:szCs w:val="20"/>
                <w:color w:val="auto"/>
              </w:rPr>
            </w:pPr>
            <w:r>
              <w:rPr>
                <w:rFonts w:ascii="Arial" w:cs="Arial" w:eastAsia="Arial" w:hAnsi="Arial"/>
                <w:sz w:val="14"/>
                <w:szCs w:val="14"/>
                <w:b w:val="1"/>
                <w:bCs w:val="1"/>
                <w:color w:val="auto"/>
              </w:rPr>
              <w:t>Accumulated depreciation -</w:t>
            </w: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Arial" w:cs="Arial" w:eastAsia="Arial" w:hAnsi="Arial"/>
                <w:sz w:val="14"/>
                <w:szCs w:val="14"/>
                <w:b w:val="1"/>
                <w:bCs w:val="1"/>
                <w:color w:val="auto"/>
              </w:rPr>
              <w:t>Balance as of January 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711,547</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527,619</w:t>
            </w:r>
          </w:p>
        </w:tc>
        <w:tc>
          <w:tcPr>
            <w:tcW w:w="780" w:type="dxa"/>
            <w:vAlign w:val="bottom"/>
          </w:tcPr>
          <w:p>
            <w:pPr>
              <w:jc w:val="right"/>
              <w:spacing w:after="0"/>
              <w:rPr>
                <w:sz w:val="20"/>
                <w:szCs w:val="20"/>
                <w:color w:val="auto"/>
              </w:rPr>
            </w:pPr>
            <w:r>
              <w:rPr>
                <w:rFonts w:ascii="Arial" w:cs="Arial" w:eastAsia="Arial" w:hAnsi="Arial"/>
                <w:sz w:val="14"/>
                <w:szCs w:val="14"/>
                <w:color w:val="auto"/>
              </w:rPr>
              <w:t>327,178</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534,693</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91,074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2,192,111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2,140,327</w:t>
            </w:r>
          </w:p>
        </w:tc>
        <w:tc>
          <w:tcPr>
            <w:tcW w:w="780" w:type="dxa"/>
            <w:vAlign w:val="bottom"/>
          </w:tcPr>
          <w:p>
            <w:pPr>
              <w:jc w:val="right"/>
              <w:spacing w:after="0"/>
              <w:rPr>
                <w:sz w:val="20"/>
                <w:szCs w:val="20"/>
                <w:color w:val="auto"/>
              </w:rPr>
            </w:pPr>
            <w:r>
              <w:rPr>
                <w:rFonts w:ascii="Arial" w:cs="Arial" w:eastAsia="Arial" w:hAnsi="Arial"/>
                <w:sz w:val="14"/>
                <w:szCs w:val="14"/>
                <w:color w:val="auto"/>
              </w:rPr>
              <w:t>2,084,304</w:t>
            </w:r>
          </w:p>
        </w:tc>
        <w:tc>
          <w:tcPr>
            <w:tcW w:w="0" w:type="dxa"/>
            <w:vAlign w:val="bottom"/>
          </w:tcPr>
          <w:p>
            <w:pPr>
              <w:spacing w:after="0"/>
              <w:rPr>
                <w:sz w:val="1"/>
                <w:szCs w:val="1"/>
                <w:color w:val="auto"/>
              </w:rPr>
            </w:pPr>
          </w:p>
        </w:tc>
      </w:tr>
      <w:tr>
        <w:trPr>
          <w:trHeight w:val="155"/>
        </w:trPr>
        <w:tc>
          <w:tcPr>
            <w:tcW w:w="2040" w:type="dxa"/>
            <w:vAlign w:val="bottom"/>
          </w:tcPr>
          <w:p>
            <w:pPr>
              <w:spacing w:after="0" w:line="155" w:lineRule="exact"/>
              <w:rPr>
                <w:sz w:val="20"/>
                <w:szCs w:val="20"/>
                <w:color w:val="auto"/>
              </w:rPr>
            </w:pPr>
            <w:r>
              <w:rPr>
                <w:rFonts w:ascii="Arial" w:cs="Arial" w:eastAsia="Arial" w:hAnsi="Arial"/>
                <w:sz w:val="14"/>
                <w:szCs w:val="14"/>
                <w:color w:val="auto"/>
              </w:rPr>
              <w:t>Depreciation of the period</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26,134</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33,614</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29,316</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33,662</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5,717</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128,443</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140,173</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142,092</w:t>
            </w:r>
          </w:p>
        </w:tc>
        <w:tc>
          <w:tcPr>
            <w:tcW w:w="0" w:type="dxa"/>
            <w:vAlign w:val="bottom"/>
          </w:tcPr>
          <w:p>
            <w:pPr>
              <w:spacing w:after="0"/>
              <w:rPr>
                <w:sz w:val="1"/>
                <w:szCs w:val="1"/>
                <w:color w:val="auto"/>
              </w:rPr>
            </w:pPr>
          </w:p>
        </w:tc>
      </w:tr>
      <w:tr>
        <w:trPr>
          <w:trHeight w:val="155"/>
        </w:trPr>
        <w:tc>
          <w:tcPr>
            <w:tcW w:w="2040" w:type="dxa"/>
            <w:vAlign w:val="bottom"/>
          </w:tcPr>
          <w:p>
            <w:pPr>
              <w:spacing w:after="0" w:line="155" w:lineRule="exact"/>
              <w:rPr>
                <w:sz w:val="20"/>
                <w:szCs w:val="20"/>
                <w:color w:val="auto"/>
              </w:rPr>
            </w:pPr>
            <w:r>
              <w:rPr>
                <w:rFonts w:ascii="Arial" w:cs="Arial" w:eastAsia="Arial" w:hAnsi="Arial"/>
                <w:sz w:val="14"/>
                <w:szCs w:val="14"/>
                <w:color w:val="auto"/>
              </w:rPr>
              <w:t>Acquisition of business</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46</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56</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102</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5" w:lineRule="exact"/>
              <w:rPr>
                <w:sz w:val="20"/>
                <w:szCs w:val="20"/>
                <w:color w:val="auto"/>
              </w:rPr>
            </w:pPr>
            <w:r>
              <w:rPr>
                <w:rFonts w:ascii="Arial" w:cs="Arial" w:eastAsia="Arial" w:hAnsi="Arial"/>
                <w:sz w:val="14"/>
                <w:szCs w:val="14"/>
                <w:color w:val="auto"/>
              </w:rPr>
              <w:t>Transfers</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040" w:type="dxa"/>
            <w:vAlign w:val="bottom"/>
          </w:tcPr>
          <w:p>
            <w:pPr>
              <w:spacing w:after="0" w:line="151" w:lineRule="exact"/>
              <w:rPr>
                <w:sz w:val="20"/>
                <w:szCs w:val="20"/>
                <w:color w:val="auto"/>
              </w:rPr>
            </w:pPr>
            <w:r>
              <w:rPr>
                <w:rFonts w:ascii="Arial" w:cs="Arial" w:eastAsia="Arial" w:hAnsi="Arial"/>
                <w:sz w:val="14"/>
                <w:szCs w:val="14"/>
                <w:color w:val="auto"/>
              </w:rPr>
              <w:t>Disposals and others</w:t>
            </w:r>
          </w:p>
        </w:tc>
        <w:tc>
          <w:tcPr>
            <w:tcW w:w="90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(12,091)</w:t>
            </w:r>
          </w:p>
        </w:tc>
        <w:tc>
          <w:tcPr>
            <w:tcW w:w="94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(11,232)</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(32,460)</w:t>
            </w:r>
          </w:p>
        </w:tc>
        <w:tc>
          <w:tcPr>
            <w:tcW w:w="1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(75,802)</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(6,973)</w:t>
            </w:r>
          </w:p>
        </w:tc>
        <w:tc>
          <w:tcPr>
            <w:tcW w:w="8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(138,558)</w:t>
            </w:r>
          </w:p>
        </w:tc>
        <w:tc>
          <w:tcPr>
            <w:tcW w:w="88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(88,389)</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(86,069)</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w:t>
            </w: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40" w:type="dxa"/>
            <w:vAlign w:val="bottom"/>
            <w:vMerge w:val="continue"/>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725,590</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550,001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324,080</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492,609</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89,818</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2,182,098</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2,192,111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2,140,327</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Net carrying amount</w:t>
            </w: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40" w:type="dxa"/>
            <w:vAlign w:val="bottom"/>
            <w:vMerge w:val="continue"/>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375,485</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421,315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181,677</w:t>
            </w:r>
          </w:p>
        </w:tc>
        <w:tc>
          <w:tcPr>
            <w:tcW w:w="780" w:type="dxa"/>
            <w:vAlign w:val="bottom"/>
          </w:tcPr>
          <w:p>
            <w:pPr>
              <w:jc w:val="right"/>
              <w:spacing w:after="0"/>
              <w:rPr>
                <w:sz w:val="20"/>
                <w:szCs w:val="20"/>
                <w:color w:val="auto"/>
              </w:rPr>
            </w:pPr>
            <w:r>
              <w:rPr>
                <w:rFonts w:ascii="Arial" w:cs="Arial" w:eastAsia="Arial" w:hAnsi="Arial"/>
                <w:sz w:val="14"/>
                <w:szCs w:val="14"/>
                <w:color w:val="auto"/>
              </w:rPr>
              <w:t>143,054</w:t>
            </w:r>
          </w:p>
        </w:tc>
        <w:tc>
          <w:tcPr>
            <w:tcW w:w="1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78,437</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22,343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58,787</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1,281,098</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1,308,779</w:t>
            </w:r>
          </w:p>
        </w:tc>
        <w:tc>
          <w:tcPr>
            <w:tcW w:w="780" w:type="dxa"/>
            <w:vAlign w:val="bottom"/>
          </w:tcPr>
          <w:p>
            <w:pPr>
              <w:jc w:val="right"/>
              <w:spacing w:after="0"/>
              <w:rPr>
                <w:sz w:val="20"/>
                <w:szCs w:val="20"/>
                <w:color w:val="auto"/>
              </w:rPr>
            </w:pPr>
            <w:r>
              <w:rPr>
                <w:rFonts w:ascii="Arial" w:cs="Arial" w:eastAsia="Arial" w:hAnsi="Arial"/>
                <w:sz w:val="14"/>
                <w:szCs w:val="14"/>
                <w:color w:val="auto"/>
              </w:rPr>
              <w:t>1,374,875</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Banks, financial institutions, and insurance entities that operate in Peru cannot pledge their fixed assets.</w:t>
      </w:r>
    </w:p>
    <w:p>
      <w:pPr>
        <w:spacing w:after="0" w:line="193" w:lineRule="exact"/>
        <w:rPr>
          <w:sz w:val="20"/>
          <w:szCs w:val="20"/>
          <w:color w:val="auto"/>
        </w:rPr>
      </w:pPr>
    </w:p>
    <w:p>
      <w:pPr>
        <w:jc w:val="both"/>
        <w:ind w:left="940"/>
        <w:spacing w:after="0" w:line="242" w:lineRule="auto"/>
        <w:rPr>
          <w:sz w:val="20"/>
          <w:szCs w:val="20"/>
          <w:color w:val="auto"/>
        </w:rPr>
      </w:pPr>
      <w:r>
        <w:rPr>
          <w:rFonts w:ascii="Arial" w:cs="Arial" w:eastAsia="Arial" w:hAnsi="Arial"/>
          <w:sz w:val="17"/>
          <w:szCs w:val="17"/>
          <w:color w:val="auto"/>
        </w:rPr>
        <w:t>During the year 2022, the administration, as part of the investment in fixed assets, has made disbursements related mainly to the purchase of furniture and fixtures, for the conditioning and remodeling of its various agencies and administrative offices. Likewise, during 2021, as part of the investment in fixed assets that it makes annually, it has made disbursements related mainly to the remodeling of its headquarters located in La Molina, San Pedro office, Lima office. During 2020, the Bank has made disbursements related mainly to the remodeling of its headquarters located in La Molina and the comprehensive remodeling of the Café Dasso office.</w:t>
      </w:r>
    </w:p>
    <w:p>
      <w:pPr>
        <w:spacing w:after="0" w:line="180" w:lineRule="exact"/>
        <w:rPr>
          <w:sz w:val="20"/>
          <w:szCs w:val="20"/>
          <w:color w:val="auto"/>
        </w:rPr>
      </w:pPr>
    </w:p>
    <w:p>
      <w:pPr>
        <w:jc w:val="both"/>
        <w:ind w:left="940"/>
        <w:spacing w:after="0" w:line="241" w:lineRule="auto"/>
        <w:rPr>
          <w:sz w:val="20"/>
          <w:szCs w:val="20"/>
          <w:color w:val="auto"/>
        </w:rPr>
      </w:pPr>
      <w:r>
        <w:rPr>
          <w:rFonts w:ascii="Arial" w:cs="Arial" w:eastAsia="Arial" w:hAnsi="Arial"/>
          <w:sz w:val="17"/>
          <w:szCs w:val="17"/>
          <w:color w:val="auto"/>
        </w:rPr>
        <w:t>During the year 2022, Management decided to sell various properties, mainly land and buildings, whose approximate sale price was S/46.1 million, with a cost of S/33.8 million. During the year 2021, Management decided to sell various properties, mainly land and buildings, whose approximate sale price was S/14.2 million, with a cost of S/7.9 million. During the year 2020, Management decided to carry out the sale of real estate, the main one being the property located on Av. Francisco Bolognesi, district of Chimbote, department of Ancash and the second property located on Ayabaca street, district and province of Ica, whose sale price of both properties amounted to S/3.3 million.</w:t>
      </w:r>
    </w:p>
    <w:p>
      <w:pPr>
        <w:spacing w:after="0" w:line="182" w:lineRule="exact"/>
        <w:rPr>
          <w:sz w:val="20"/>
          <w:szCs w:val="20"/>
          <w:color w:val="auto"/>
        </w:rPr>
      </w:pPr>
    </w:p>
    <w:p>
      <w:pPr>
        <w:jc w:val="both"/>
        <w:ind w:left="940"/>
        <w:spacing w:after="0" w:line="247" w:lineRule="auto"/>
        <w:rPr>
          <w:sz w:val="20"/>
          <w:szCs w:val="20"/>
          <w:color w:val="auto"/>
        </w:rPr>
      </w:pPr>
      <w:r>
        <w:rPr>
          <w:rFonts w:ascii="Arial" w:cs="Arial" w:eastAsia="Arial" w:hAnsi="Arial"/>
          <w:sz w:val="17"/>
          <w:szCs w:val="17"/>
          <w:color w:val="auto"/>
        </w:rPr>
        <w:t>The subsidiaries of Credicorp Ltd. maintain insurance on their main assets in accordance with the policies established by Management.</w:t>
      </w:r>
    </w:p>
    <w:p>
      <w:pPr>
        <w:spacing w:after="0" w:line="382" w:lineRule="exact"/>
        <w:rPr>
          <w:sz w:val="20"/>
          <w:szCs w:val="20"/>
          <w:color w:val="auto"/>
        </w:rPr>
      </w:pPr>
    </w:p>
    <w:p>
      <w:pPr>
        <w:jc w:val="both"/>
        <w:ind w:left="940"/>
        <w:spacing w:after="0" w:line="243" w:lineRule="auto"/>
        <w:rPr>
          <w:sz w:val="20"/>
          <w:szCs w:val="20"/>
          <w:color w:val="auto"/>
        </w:rPr>
      </w:pPr>
      <w:r>
        <w:rPr>
          <w:rFonts w:ascii="Arial" w:cs="Arial" w:eastAsia="Arial" w:hAnsi="Arial"/>
          <w:sz w:val="17"/>
          <w:szCs w:val="17"/>
          <w:color w:val="auto"/>
        </w:rPr>
        <w:t>Management periodically reviews the residual value, the useful life and the depreciation method used of the Group's property, furniture and equipment; in order to ensure that these are consistent with their current economic benefit and life expectancy. In Management's opinion, as of December 31, 2022 and December 31, 2021, and 2020, there is no evidence of impairment of the Group's property, furniture and equipment.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left="620" w:hanging="616"/>
        <w:spacing w:after="0"/>
        <w:tabs>
          <w:tab w:leader="none" w:pos="62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 AND GOODWILL, NET</w:t>
      </w:r>
    </w:p>
    <w:p>
      <w:pPr>
        <w:spacing w:after="0" w:line="214" w:lineRule="exact"/>
        <w:rPr>
          <w:rFonts w:ascii="Arial" w:cs="Arial" w:eastAsia="Arial" w:hAnsi="Arial"/>
          <w:sz w:val="17"/>
          <w:szCs w:val="17"/>
          <w:b w:val="1"/>
          <w:bCs w:val="1"/>
          <w:color w:val="auto"/>
        </w:rPr>
      </w:pPr>
    </w:p>
    <w:p>
      <w:pPr>
        <w:ind w:left="940" w:hanging="315"/>
        <w:spacing w:after="0"/>
        <w:tabs>
          <w:tab w:leader="none" w:pos="9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Intangible assets –</w:t>
      </w:r>
    </w:p>
    <w:p>
      <w:pPr>
        <w:spacing w:after="0" w:line="193" w:lineRule="exact"/>
        <w:rPr>
          <w:rFonts w:ascii="Arial" w:cs="Arial" w:eastAsia="Arial" w:hAnsi="Arial"/>
          <w:sz w:val="17"/>
          <w:szCs w:val="17"/>
          <w:color w:val="auto"/>
        </w:rPr>
      </w:pPr>
    </w:p>
    <w:p>
      <w:pPr>
        <w:ind w:left="940"/>
        <w:spacing w:after="0"/>
        <w:rPr>
          <w:rFonts w:ascii="Arial" w:cs="Arial" w:eastAsia="Arial" w:hAnsi="Arial"/>
          <w:sz w:val="17"/>
          <w:szCs w:val="17"/>
          <w:color w:val="auto"/>
        </w:rPr>
      </w:pPr>
      <w:r>
        <w:rPr>
          <w:rFonts w:ascii="Arial" w:cs="Arial" w:eastAsia="Arial" w:hAnsi="Arial"/>
          <w:sz w:val="17"/>
          <w:szCs w:val="17"/>
          <w:color w:val="auto"/>
        </w:rPr>
        <w:t>The movement of intangible assets with limited useful life for the years ended December 31, 2022, 2021 and 2020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Fund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5"/>
        </w:trPr>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manager</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Intangible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2060" w:type="dxa"/>
            <w:vAlign w:val="bottom"/>
            <w:gridSpan w:val="3"/>
          </w:tcPr>
          <w:p>
            <w:pPr>
              <w:ind w:left="820"/>
              <w:spacing w:after="0" w:line="155" w:lineRule="exact"/>
              <w:rPr>
                <w:sz w:val="20"/>
                <w:szCs w:val="20"/>
                <w:color w:val="auto"/>
              </w:rPr>
            </w:pPr>
            <w:r>
              <w:rPr>
                <w:rFonts w:ascii="Arial" w:cs="Arial" w:eastAsia="Arial" w:hAnsi="Arial"/>
                <w:sz w:val="14"/>
                <w:szCs w:val="14"/>
                <w:b w:val="1"/>
                <w:bCs w:val="1"/>
                <w:color w:val="auto"/>
              </w:rPr>
              <w:t>Client</w:t>
            </w:r>
          </w:p>
        </w:tc>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Brand</w:t>
            </w:r>
          </w:p>
        </w:tc>
        <w:tc>
          <w:tcPr>
            <w:tcW w:w="92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contract</w:t>
            </w:r>
          </w:p>
        </w:tc>
        <w:tc>
          <w:tcPr>
            <w:tcW w:w="920" w:type="dxa"/>
            <w:vAlign w:val="bottom"/>
          </w:tcPr>
          <w:p>
            <w:pPr>
              <w:spacing w:after="0" w:line="155" w:lineRule="exact"/>
              <w:rPr>
                <w:sz w:val="20"/>
                <w:szCs w:val="20"/>
                <w:color w:val="auto"/>
              </w:rPr>
            </w:pPr>
            <w:r>
              <w:rPr>
                <w:rFonts w:ascii="Arial" w:cs="Arial" w:eastAsia="Arial" w:hAnsi="Arial"/>
                <w:sz w:val="14"/>
                <w:szCs w:val="14"/>
                <w:b w:val="1"/>
                <w:bCs w:val="1"/>
                <w:color w:val="auto"/>
                <w:w w:val="97"/>
              </w:rPr>
              <w:t>Relationships</w:t>
            </w:r>
          </w:p>
        </w:tc>
        <w:tc>
          <w:tcPr>
            <w:tcW w:w="12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Software and</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7"/>
        </w:trPr>
        <w:tc>
          <w:tcPr>
            <w:tcW w:w="15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2060" w:type="dxa"/>
            <w:vAlign w:val="bottom"/>
            <w:gridSpan w:val="3"/>
          </w:tcPr>
          <w:p>
            <w:pPr>
              <w:ind w:left="820"/>
              <w:spacing w:after="0"/>
              <w:rPr>
                <w:sz w:val="20"/>
                <w:szCs w:val="20"/>
                <w:color w:val="auto"/>
              </w:rPr>
            </w:pPr>
            <w:r>
              <w:rPr>
                <w:rFonts w:ascii="Arial" w:cs="Arial" w:eastAsia="Arial" w:hAnsi="Arial"/>
                <w:sz w:val="14"/>
                <w:szCs w:val="14"/>
                <w:b w:val="1"/>
                <w:bCs w:val="1"/>
                <w:color w:val="auto"/>
              </w:rPr>
              <w:t>relationships (i)</w:t>
            </w:r>
          </w:p>
        </w:tc>
        <w:tc>
          <w:tcPr>
            <w:tcW w:w="680" w:type="dxa"/>
            <w:vAlign w:val="bottom"/>
          </w:tcPr>
          <w:p>
            <w:pPr>
              <w:spacing w:after="0"/>
              <w:rPr>
                <w:sz w:val="20"/>
                <w:szCs w:val="20"/>
                <w:color w:val="auto"/>
              </w:rPr>
            </w:pPr>
            <w:r>
              <w:rPr>
                <w:rFonts w:ascii="Arial" w:cs="Arial" w:eastAsia="Arial" w:hAnsi="Arial"/>
                <w:sz w:val="14"/>
                <w:szCs w:val="14"/>
                <w:b w:val="1"/>
                <w:bCs w:val="1"/>
                <w:color w:val="auto"/>
              </w:rPr>
              <w:t>name (ii)</w:t>
            </w: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(iii)</w:t>
            </w:r>
          </w:p>
        </w:tc>
        <w:tc>
          <w:tcPr>
            <w:tcW w:w="920" w:type="dxa"/>
            <w:vAlign w:val="bottom"/>
          </w:tcPr>
          <w:p>
            <w:pPr>
              <w:spacing w:after="0"/>
              <w:rPr>
                <w:sz w:val="20"/>
                <w:szCs w:val="20"/>
                <w:color w:val="auto"/>
              </w:rPr>
            </w:pPr>
            <w:r>
              <w:rPr>
                <w:rFonts w:ascii="Arial" w:cs="Arial" w:eastAsia="Arial" w:hAnsi="Arial"/>
                <w:sz w:val="14"/>
                <w:szCs w:val="14"/>
                <w:b w:val="1"/>
                <w:bCs w:val="1"/>
                <w:color w:val="auto"/>
              </w:rPr>
              <w:t>with holders</w:t>
            </w: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developments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progress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2020</w:t>
            </w:r>
          </w:p>
        </w:tc>
      </w:tr>
      <w:tr>
        <w:trPr>
          <w:trHeight w:val="174"/>
        </w:trPr>
        <w:tc>
          <w:tcPr>
            <w:tcW w:w="1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20"/>
                <w:szCs w:val="20"/>
                <w:color w:val="auto"/>
              </w:rPr>
            </w:pPr>
            <w:r>
              <w:rPr>
                <w:rFonts w:ascii="Arial" w:cs="Arial" w:eastAsia="Arial" w:hAnsi="Arial"/>
                <w:sz w:val="14"/>
                <w:szCs w:val="14"/>
                <w:b w:val="1"/>
                <w:bCs w:val="1"/>
                <w:color w:val="auto"/>
              </w:rPr>
              <w:t>Cost -</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20"/>
                <w:szCs w:val="20"/>
                <w:color w:val="auto"/>
              </w:rPr>
            </w:pPr>
            <w:r>
              <w:rPr>
                <w:rFonts w:ascii="Arial" w:cs="Arial" w:eastAsia="Arial" w:hAnsi="Arial"/>
                <w:sz w:val="14"/>
                <w:szCs w:val="14"/>
                <w:b w:val="1"/>
                <w:bCs w:val="1"/>
                <w:color w:val="auto"/>
              </w:rPr>
              <w:t>Balances at January 1</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380,413</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171,864</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95,378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21,100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3,359,995</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656,912</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22,643</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4,708,305</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4,293,864</w:t>
            </w:r>
          </w:p>
        </w:tc>
        <w:tc>
          <w:tcPr>
            <w:tcW w:w="660" w:type="dxa"/>
            <w:vAlign w:val="bottom"/>
          </w:tcPr>
          <w:p>
            <w:pPr>
              <w:jc w:val="right"/>
              <w:spacing w:after="0"/>
              <w:rPr>
                <w:sz w:val="20"/>
                <w:szCs w:val="20"/>
                <w:color w:val="auto"/>
              </w:rPr>
            </w:pPr>
            <w:r>
              <w:rPr>
                <w:rFonts w:ascii="Arial" w:cs="Arial" w:eastAsia="Arial" w:hAnsi="Arial"/>
                <w:sz w:val="14"/>
                <w:szCs w:val="14"/>
                <w:color w:val="auto"/>
              </w:rPr>
              <w:t>3,804,989</w:t>
            </w:r>
          </w:p>
        </w:tc>
        <w:tc>
          <w:tcPr>
            <w:tcW w:w="0" w:type="dxa"/>
            <w:vAlign w:val="bottom"/>
          </w:tcPr>
          <w:p>
            <w:pPr>
              <w:spacing w:after="0"/>
              <w:rPr>
                <w:sz w:val="1"/>
                <w:szCs w:val="1"/>
                <w:color w:val="auto"/>
              </w:rPr>
            </w:pPr>
          </w:p>
        </w:tc>
      </w:tr>
      <w:tr>
        <w:trPr>
          <w:trHeight w:val="155"/>
        </w:trPr>
        <w:tc>
          <w:tcPr>
            <w:tcW w:w="2380" w:type="dxa"/>
            <w:vAlign w:val="bottom"/>
          </w:tcPr>
          <w:p>
            <w:pPr>
              <w:spacing w:after="0" w:line="155" w:lineRule="exact"/>
              <w:rPr>
                <w:sz w:val="20"/>
                <w:szCs w:val="20"/>
                <w:color w:val="auto"/>
              </w:rPr>
            </w:pPr>
            <w:r>
              <w:rPr>
                <w:rFonts w:ascii="Arial" w:cs="Arial" w:eastAsia="Arial" w:hAnsi="Arial"/>
                <w:sz w:val="14"/>
                <w:szCs w:val="14"/>
                <w:color w:val="auto"/>
              </w:rPr>
              <w:t>Additions</w:t>
            </w:r>
          </w:p>
        </w:tc>
        <w:tc>
          <w:tcPr>
            <w:tcW w:w="12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137,672</w:t>
            </w: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565,209</w:t>
            </w: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789</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703,670</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532,244</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535,241</w:t>
            </w:r>
          </w:p>
        </w:tc>
        <w:tc>
          <w:tcPr>
            <w:tcW w:w="0" w:type="dxa"/>
            <w:vAlign w:val="bottom"/>
          </w:tcPr>
          <w:p>
            <w:pPr>
              <w:spacing w:after="0"/>
              <w:rPr>
                <w:sz w:val="1"/>
                <w:szCs w:val="1"/>
                <w:color w:val="auto"/>
              </w:rPr>
            </w:pPr>
          </w:p>
        </w:tc>
      </w:tr>
      <w:tr>
        <w:trPr>
          <w:trHeight w:val="155"/>
        </w:trPr>
        <w:tc>
          <w:tcPr>
            <w:tcW w:w="2380" w:type="dxa"/>
            <w:vAlign w:val="bottom"/>
          </w:tcPr>
          <w:p>
            <w:pPr>
              <w:spacing w:after="0" w:line="155" w:lineRule="exact"/>
              <w:rPr>
                <w:sz w:val="20"/>
                <w:szCs w:val="20"/>
                <w:color w:val="auto"/>
              </w:rPr>
            </w:pPr>
            <w:r>
              <w:rPr>
                <w:rFonts w:ascii="Arial" w:cs="Arial" w:eastAsia="Arial" w:hAnsi="Arial"/>
                <w:sz w:val="14"/>
                <w:szCs w:val="14"/>
                <w:color w:val="auto"/>
              </w:rPr>
              <w:t>Acquisition of business</w:t>
            </w:r>
          </w:p>
        </w:tc>
        <w:tc>
          <w:tcPr>
            <w:tcW w:w="12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4,601</w:t>
            </w: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2,932</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7,533</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380" w:type="dxa"/>
            <w:vAlign w:val="bottom"/>
          </w:tcPr>
          <w:p>
            <w:pPr>
              <w:spacing w:after="0" w:line="155" w:lineRule="exact"/>
              <w:rPr>
                <w:sz w:val="20"/>
                <w:szCs w:val="20"/>
                <w:color w:val="auto"/>
              </w:rPr>
            </w:pPr>
            <w:r>
              <w:rPr>
                <w:rFonts w:ascii="Arial" w:cs="Arial" w:eastAsia="Arial" w:hAnsi="Arial"/>
                <w:sz w:val="14"/>
                <w:szCs w:val="14"/>
                <w:color w:val="auto"/>
              </w:rPr>
              <w:t>Transfers</w:t>
            </w:r>
          </w:p>
        </w:tc>
        <w:tc>
          <w:tcPr>
            <w:tcW w:w="12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302,849</w:t>
            </w: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(302,849)</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380" w:type="dxa"/>
            <w:vAlign w:val="bottom"/>
          </w:tcPr>
          <w:p>
            <w:pPr>
              <w:spacing w:after="0" w:line="151" w:lineRule="exact"/>
              <w:rPr>
                <w:sz w:val="20"/>
                <w:szCs w:val="20"/>
                <w:color w:val="auto"/>
              </w:rPr>
            </w:pPr>
            <w:r>
              <w:rPr>
                <w:rFonts w:ascii="Arial" w:cs="Arial" w:eastAsia="Arial" w:hAnsi="Arial"/>
                <w:sz w:val="14"/>
                <w:szCs w:val="14"/>
                <w:color w:val="auto"/>
              </w:rPr>
              <w:t>Disposals and others</w:t>
            </w:r>
          </w:p>
        </w:tc>
        <w:tc>
          <w:tcPr>
            <w:tcW w:w="124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(6,811)</w:t>
            </w:r>
          </w:p>
        </w:tc>
        <w:tc>
          <w:tcPr>
            <w:tcW w:w="80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(21,966)</w:t>
            </w:r>
          </w:p>
        </w:tc>
        <w:tc>
          <w:tcPr>
            <w:tcW w:w="102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(163,026)</w:t>
            </w:r>
          </w:p>
        </w:tc>
        <w:tc>
          <w:tcPr>
            <w:tcW w:w="78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(52,059)</w:t>
            </w:r>
          </w:p>
        </w:tc>
        <w:tc>
          <w:tcPr>
            <w:tcW w:w="78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(8,411)</w:t>
            </w:r>
          </w:p>
        </w:tc>
        <w:tc>
          <w:tcPr>
            <w:tcW w:w="88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(252,273)</w:t>
            </w:r>
          </w:p>
        </w:tc>
        <w:tc>
          <w:tcPr>
            <w:tcW w:w="7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(117,803)</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(46,366)</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w:t>
            </w: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vMerge w:val="continue"/>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373,602</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171,864</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73,412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21,100</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3,642,091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867,213</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17,953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5,167,235</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4,708,305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4,293,864</w:t>
            </w:r>
          </w:p>
        </w:tc>
        <w:tc>
          <w:tcPr>
            <w:tcW w:w="0" w:type="dxa"/>
            <w:vAlign w:val="bottom"/>
          </w:tcPr>
          <w:p>
            <w:pPr>
              <w:spacing w:after="0"/>
              <w:rPr>
                <w:sz w:val="1"/>
                <w:szCs w:val="1"/>
                <w:color w:val="auto"/>
              </w:rPr>
            </w:pPr>
          </w:p>
        </w:tc>
      </w:tr>
      <w:tr>
        <w:trPr>
          <w:trHeight w:val="292"/>
        </w:trPr>
        <w:tc>
          <w:tcPr>
            <w:tcW w:w="2380" w:type="dxa"/>
            <w:vAlign w:val="bottom"/>
          </w:tcPr>
          <w:p>
            <w:pPr>
              <w:spacing w:after="0"/>
              <w:rPr>
                <w:sz w:val="20"/>
                <w:szCs w:val="20"/>
                <w:color w:val="auto"/>
              </w:rPr>
            </w:pPr>
            <w:r>
              <w:rPr>
                <w:rFonts w:ascii="Arial" w:cs="Arial" w:eastAsia="Arial" w:hAnsi="Arial"/>
                <w:sz w:val="14"/>
                <w:szCs w:val="14"/>
                <w:b w:val="1"/>
                <w:bCs w:val="1"/>
                <w:color w:val="auto"/>
              </w:rPr>
              <w:t>Accumulated amortization -</w:t>
            </w: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20"/>
                <w:szCs w:val="20"/>
                <w:color w:val="auto"/>
              </w:rPr>
            </w:pPr>
            <w:r>
              <w:rPr>
                <w:rFonts w:ascii="Arial" w:cs="Arial" w:eastAsia="Arial" w:hAnsi="Arial"/>
                <w:sz w:val="14"/>
                <w:szCs w:val="14"/>
                <w:b w:val="1"/>
                <w:bCs w:val="1"/>
                <w:color w:val="auto"/>
              </w:rPr>
              <w:t>Balance at January 1</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291,191</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53,540</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21,945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21,100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2,398,770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8,538</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2,795,084</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2,475,466</w:t>
            </w:r>
          </w:p>
        </w:tc>
        <w:tc>
          <w:tcPr>
            <w:tcW w:w="660" w:type="dxa"/>
            <w:vAlign w:val="bottom"/>
          </w:tcPr>
          <w:p>
            <w:pPr>
              <w:jc w:val="right"/>
              <w:spacing w:after="0"/>
              <w:rPr>
                <w:sz w:val="20"/>
                <w:szCs w:val="20"/>
                <w:color w:val="auto"/>
              </w:rPr>
            </w:pPr>
            <w:r>
              <w:rPr>
                <w:rFonts w:ascii="Arial" w:cs="Arial" w:eastAsia="Arial" w:hAnsi="Arial"/>
                <w:sz w:val="14"/>
                <w:szCs w:val="14"/>
                <w:color w:val="auto"/>
              </w:rPr>
              <w:t>2,138,724</w:t>
            </w:r>
          </w:p>
        </w:tc>
        <w:tc>
          <w:tcPr>
            <w:tcW w:w="0" w:type="dxa"/>
            <w:vAlign w:val="bottom"/>
          </w:tcPr>
          <w:p>
            <w:pPr>
              <w:spacing w:after="0"/>
              <w:rPr>
                <w:sz w:val="1"/>
                <w:szCs w:val="1"/>
                <w:color w:val="auto"/>
              </w:rPr>
            </w:pPr>
          </w:p>
        </w:tc>
      </w:tr>
      <w:tr>
        <w:trPr>
          <w:trHeight w:val="155"/>
        </w:trPr>
        <w:tc>
          <w:tcPr>
            <w:tcW w:w="2380" w:type="dxa"/>
            <w:vAlign w:val="bottom"/>
          </w:tcPr>
          <w:p>
            <w:pPr>
              <w:spacing w:after="0" w:line="155" w:lineRule="exact"/>
              <w:rPr>
                <w:sz w:val="20"/>
                <w:szCs w:val="20"/>
                <w:color w:val="auto"/>
              </w:rPr>
            </w:pPr>
            <w:r>
              <w:rPr>
                <w:rFonts w:ascii="Arial" w:cs="Arial" w:eastAsia="Arial" w:hAnsi="Arial"/>
                <w:sz w:val="14"/>
                <w:szCs w:val="14"/>
                <w:color w:val="auto"/>
              </w:rPr>
              <w:t>Amortization of the period</w:t>
            </w:r>
          </w:p>
        </w:tc>
        <w:tc>
          <w:tcPr>
            <w:tcW w:w="12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15,180</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6,948</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3,839</w:t>
            </w: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373,698</w:t>
            </w: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4,061</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403,726</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381,794</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355,818</w:t>
            </w:r>
          </w:p>
        </w:tc>
        <w:tc>
          <w:tcPr>
            <w:tcW w:w="0" w:type="dxa"/>
            <w:vAlign w:val="bottom"/>
          </w:tcPr>
          <w:p>
            <w:pPr>
              <w:spacing w:after="0"/>
              <w:rPr>
                <w:sz w:val="1"/>
                <w:szCs w:val="1"/>
                <w:color w:val="auto"/>
              </w:rPr>
            </w:pPr>
          </w:p>
        </w:tc>
      </w:tr>
      <w:tr>
        <w:trPr>
          <w:trHeight w:val="151"/>
        </w:trPr>
        <w:tc>
          <w:tcPr>
            <w:tcW w:w="2380" w:type="dxa"/>
            <w:vAlign w:val="bottom"/>
          </w:tcPr>
          <w:p>
            <w:pPr>
              <w:spacing w:after="0" w:line="151" w:lineRule="exact"/>
              <w:rPr>
                <w:sz w:val="20"/>
                <w:szCs w:val="20"/>
                <w:color w:val="auto"/>
              </w:rPr>
            </w:pPr>
            <w:r>
              <w:rPr>
                <w:rFonts w:ascii="Arial" w:cs="Arial" w:eastAsia="Arial" w:hAnsi="Arial"/>
                <w:sz w:val="14"/>
                <w:szCs w:val="14"/>
                <w:color w:val="auto"/>
              </w:rPr>
              <w:t>Disposals and others</w:t>
            </w:r>
          </w:p>
        </w:tc>
        <w:tc>
          <w:tcPr>
            <w:tcW w:w="124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(3,858)</w:t>
            </w:r>
          </w:p>
        </w:tc>
        <w:tc>
          <w:tcPr>
            <w:tcW w:w="80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(12,960)</w:t>
            </w:r>
          </w:p>
        </w:tc>
        <w:tc>
          <w:tcPr>
            <w:tcW w:w="102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(134,783)</w:t>
            </w:r>
          </w:p>
        </w:tc>
        <w:tc>
          <w:tcPr>
            <w:tcW w:w="78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(7,190)</w:t>
            </w:r>
          </w:p>
        </w:tc>
        <w:tc>
          <w:tcPr>
            <w:tcW w:w="88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(158,791)</w:t>
            </w:r>
          </w:p>
        </w:tc>
        <w:tc>
          <w:tcPr>
            <w:tcW w:w="7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(62,176)</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(19,076)</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w:t>
            </w: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vMerge w:val="continue"/>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302,513</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60,488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12,824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21,100</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2,637,685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5,409</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3,040,019</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2,795,084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2,475,466</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Net carrying amount</w:t>
            </w: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80" w:type="dxa"/>
            <w:vAlign w:val="bottom"/>
            <w:vMerge w:val="continue"/>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71,089</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111,376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60,588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1,004,406</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867,213</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12,544</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2,127,216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1,913,221</w:t>
            </w:r>
          </w:p>
        </w:tc>
        <w:tc>
          <w:tcPr>
            <w:tcW w:w="660" w:type="dxa"/>
            <w:vAlign w:val="bottom"/>
          </w:tcPr>
          <w:p>
            <w:pPr>
              <w:jc w:val="right"/>
              <w:spacing w:after="0"/>
              <w:rPr>
                <w:sz w:val="20"/>
                <w:szCs w:val="20"/>
                <w:color w:val="auto"/>
              </w:rPr>
            </w:pPr>
            <w:r>
              <w:rPr>
                <w:rFonts w:ascii="Arial" w:cs="Arial" w:eastAsia="Arial" w:hAnsi="Arial"/>
                <w:sz w:val="14"/>
                <w:szCs w:val="14"/>
                <w:color w:val="auto"/>
              </w:rPr>
              <w:t>1,818,398</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940" w:right="80"/>
        <w:spacing w:after="0" w:line="241" w:lineRule="auto"/>
        <w:rPr>
          <w:sz w:val="20"/>
          <w:szCs w:val="20"/>
          <w:color w:val="auto"/>
        </w:rPr>
      </w:pPr>
      <w:r>
        <w:rPr>
          <w:rFonts w:ascii="Arial" w:cs="Arial" w:eastAsia="Arial" w:hAnsi="Arial"/>
          <w:sz w:val="17"/>
          <w:szCs w:val="17"/>
          <w:color w:val="auto"/>
        </w:rPr>
        <w:t>During 2022, the Group has made disbursements related mainly to the implementation and development of various IT projects such as Cubo - Mis Financiero, Yape, DataLake - Data Vault, IFRS 9 Strategic Tool, Office Banking, Visio Plus, among others. During 2021, the Group has made disbursements related mainly to the implementation and development of various IT projects such as Data Lake - Data Vault, Mobile Banking I14, Telephone Banking by voice call I15 and improvements in Yape, among others. During 2020, the Group has made disbursements related mainly to the implementation and development of various IT projects such as Identify Access Management, Two-way Communication for Fraud alerts, HomeBanking 2.0, among others.</w:t>
      </w:r>
    </w:p>
    <w:p>
      <w:pPr>
        <w:spacing w:after="0" w:line="182" w:lineRule="exact"/>
        <w:rPr>
          <w:sz w:val="20"/>
          <w:szCs w:val="20"/>
          <w:color w:val="auto"/>
        </w:rPr>
      </w:pPr>
    </w:p>
    <w:p>
      <w:pPr>
        <w:jc w:val="both"/>
        <w:ind w:left="940" w:right="100"/>
        <w:spacing w:after="0" w:line="254" w:lineRule="auto"/>
        <w:rPr>
          <w:sz w:val="20"/>
          <w:szCs w:val="20"/>
          <w:color w:val="auto"/>
        </w:rPr>
      </w:pPr>
      <w:r>
        <w:rPr>
          <w:rFonts w:ascii="Arial" w:cs="Arial" w:eastAsia="Arial" w:hAnsi="Arial"/>
          <w:sz w:val="17"/>
          <w:szCs w:val="17"/>
          <w:color w:val="auto"/>
        </w:rPr>
        <w:t>In Management's opinion, as of December 31, 2022, 2021 and 2020, the net book value of intangibles does not exceed their recoverable value.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Arial" w:cs="Arial" w:eastAsia="Arial" w:hAnsi="Arial"/>
                <w:sz w:val="17"/>
                <w:szCs w:val="17"/>
                <w:color w:val="auto"/>
              </w:rPr>
              <w:t>(i)</w:t>
            </w:r>
          </w:p>
        </w:tc>
        <w:tc>
          <w:tcPr>
            <w:tcW w:w="7540" w:type="dxa"/>
            <w:vAlign w:val="bottom"/>
          </w:tcPr>
          <w:p>
            <w:pPr>
              <w:ind w:left="60"/>
              <w:spacing w:after="0"/>
              <w:rPr>
                <w:sz w:val="20"/>
                <w:szCs w:val="20"/>
                <w:color w:val="auto"/>
              </w:rPr>
            </w:pPr>
            <w:r>
              <w:rPr>
                <w:rFonts w:ascii="Arial" w:cs="Arial" w:eastAsia="Arial" w:hAnsi="Arial"/>
                <w:sz w:val="17"/>
                <w:szCs w:val="17"/>
                <w:color w:val="auto"/>
              </w:rPr>
              <w:t>Client relationships -</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89"/>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7"/>
                <w:szCs w:val="17"/>
                <w:color w:val="auto"/>
              </w:rPr>
              <w:t>This item consists of the following:</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5"/>
        </w:trPr>
        <w:tc>
          <w:tcPr>
            <w:tcW w:w="2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r>
      <w:tr>
        <w:trPr>
          <w:trHeight w:val="223"/>
        </w:trPr>
        <w:tc>
          <w:tcPr>
            <w:tcW w:w="24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7"/>
                <w:szCs w:val="17"/>
                <w:b w:val="1"/>
                <w:bCs w:val="1"/>
                <w:color w:val="auto"/>
              </w:rPr>
              <w:t>S/(000)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7"/>
                <w:szCs w:val="17"/>
                <w:b w:val="1"/>
                <w:bCs w:val="1"/>
                <w:color w:val="auto"/>
              </w:rPr>
              <w:t>S/(000)</w:t>
            </w:r>
          </w:p>
        </w:tc>
      </w:tr>
      <w:tr>
        <w:trPr>
          <w:trHeight w:val="352"/>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7"/>
                <w:szCs w:val="17"/>
                <w:color w:val="auto"/>
              </w:rPr>
              <w:t>Prima AFP - AFP Unión Vida</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45,262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57,613</w:t>
            </w:r>
          </w:p>
        </w:tc>
      </w:tr>
      <w:tr>
        <w:trPr>
          <w:trHeight w:val="194"/>
        </w:trPr>
        <w:tc>
          <w:tcPr>
            <w:tcW w:w="240" w:type="dxa"/>
            <w:vAlign w:val="bottom"/>
          </w:tcPr>
          <w:p>
            <w:pPr>
              <w:spacing w:after="0"/>
              <w:rPr>
                <w:sz w:val="16"/>
                <w:szCs w:val="16"/>
                <w:color w:val="auto"/>
              </w:rPr>
            </w:pPr>
          </w:p>
        </w:tc>
        <w:tc>
          <w:tcPr>
            <w:tcW w:w="7540" w:type="dxa"/>
            <w:vAlign w:val="bottom"/>
          </w:tcPr>
          <w:p>
            <w:pPr>
              <w:ind w:left="60"/>
              <w:spacing w:after="0" w:line="194" w:lineRule="exact"/>
              <w:rPr>
                <w:sz w:val="20"/>
                <w:szCs w:val="20"/>
                <w:color w:val="auto"/>
              </w:rPr>
            </w:pPr>
            <w:r>
              <w:rPr>
                <w:rFonts w:ascii="Arial" w:cs="Arial" w:eastAsia="Arial" w:hAnsi="Arial"/>
                <w:sz w:val="17"/>
                <w:szCs w:val="17"/>
                <w:color w:val="auto"/>
              </w:rPr>
              <w:t>Credicorp Capital Holding Chile - Inversiones IMT</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15,564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17,679</w:t>
            </w:r>
          </w:p>
        </w:tc>
      </w:tr>
      <w:tr>
        <w:trPr>
          <w:trHeight w:val="194"/>
        </w:trPr>
        <w:tc>
          <w:tcPr>
            <w:tcW w:w="240" w:type="dxa"/>
            <w:vAlign w:val="bottom"/>
          </w:tcPr>
          <w:p>
            <w:pPr>
              <w:spacing w:after="0"/>
              <w:rPr>
                <w:sz w:val="16"/>
                <w:szCs w:val="16"/>
                <w:color w:val="auto"/>
              </w:rPr>
            </w:pPr>
          </w:p>
        </w:tc>
        <w:tc>
          <w:tcPr>
            <w:tcW w:w="7540" w:type="dxa"/>
            <w:vAlign w:val="bottom"/>
          </w:tcPr>
          <w:p>
            <w:pPr>
              <w:ind w:left="60"/>
              <w:spacing w:after="0" w:line="194" w:lineRule="exact"/>
              <w:rPr>
                <w:sz w:val="20"/>
                <w:szCs w:val="20"/>
                <w:color w:val="auto"/>
              </w:rPr>
            </w:pPr>
            <w:r>
              <w:rPr>
                <w:rFonts w:ascii="Arial" w:cs="Arial" w:eastAsia="Arial" w:hAnsi="Arial"/>
                <w:sz w:val="17"/>
                <w:szCs w:val="17"/>
                <w:color w:val="auto"/>
              </w:rPr>
              <w:t>Ultraserfinco S.A</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6,971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10,148</w:t>
            </w:r>
          </w:p>
        </w:tc>
      </w:tr>
      <w:tr>
        <w:trPr>
          <w:trHeight w:val="194"/>
        </w:trPr>
        <w:tc>
          <w:tcPr>
            <w:tcW w:w="240" w:type="dxa"/>
            <w:vAlign w:val="bottom"/>
          </w:tcPr>
          <w:p>
            <w:pPr>
              <w:spacing w:after="0"/>
              <w:rPr>
                <w:sz w:val="16"/>
                <w:szCs w:val="16"/>
                <w:color w:val="auto"/>
              </w:rPr>
            </w:pPr>
          </w:p>
        </w:tc>
        <w:tc>
          <w:tcPr>
            <w:tcW w:w="7540" w:type="dxa"/>
            <w:vAlign w:val="bottom"/>
          </w:tcPr>
          <w:p>
            <w:pPr>
              <w:ind w:left="60"/>
              <w:spacing w:after="0" w:line="194" w:lineRule="exact"/>
              <w:rPr>
                <w:sz w:val="20"/>
                <w:szCs w:val="20"/>
                <w:color w:val="auto"/>
              </w:rPr>
            </w:pPr>
            <w:r>
              <w:rPr>
                <w:rFonts w:ascii="Arial" w:cs="Arial" w:eastAsia="Arial" w:hAnsi="Arial"/>
                <w:sz w:val="17"/>
                <w:szCs w:val="17"/>
                <w:color w:val="auto"/>
              </w:rPr>
              <w:t>Tenpo</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1,483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1,930</w:t>
            </w:r>
          </w:p>
        </w:tc>
      </w:tr>
      <w:tr>
        <w:trPr>
          <w:trHeight w:val="195"/>
        </w:trPr>
        <w:tc>
          <w:tcPr>
            <w:tcW w:w="240" w:type="dxa"/>
            <w:vAlign w:val="bottom"/>
          </w:tcPr>
          <w:p>
            <w:pPr>
              <w:spacing w:after="0"/>
              <w:rPr>
                <w:sz w:val="16"/>
                <w:szCs w:val="16"/>
                <w:color w:val="auto"/>
              </w:rPr>
            </w:pPr>
          </w:p>
        </w:tc>
        <w:tc>
          <w:tcPr>
            <w:tcW w:w="7540" w:type="dxa"/>
            <w:vAlign w:val="bottom"/>
          </w:tcPr>
          <w:p>
            <w:pPr>
              <w:ind w:left="60"/>
              <w:spacing w:after="0"/>
              <w:rPr>
                <w:sz w:val="20"/>
                <w:szCs w:val="20"/>
                <w:color w:val="auto"/>
              </w:rPr>
            </w:pPr>
            <w:r>
              <w:rPr>
                <w:rFonts w:ascii="Arial" w:cs="Arial" w:eastAsia="Arial" w:hAnsi="Arial"/>
                <w:sz w:val="17"/>
                <w:szCs w:val="17"/>
                <w:color w:val="auto"/>
              </w:rPr>
              <w:t>Culqi</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1,809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1,852</w:t>
            </w:r>
          </w:p>
        </w:tc>
      </w:tr>
      <w:tr>
        <w:trPr>
          <w:trHeight w:val="193"/>
        </w:trPr>
        <w:tc>
          <w:tcPr>
            <w:tcW w:w="240" w:type="dxa"/>
            <w:vAlign w:val="bottom"/>
          </w:tcPr>
          <w:p>
            <w:pPr>
              <w:spacing w:after="0"/>
              <w:rPr>
                <w:sz w:val="16"/>
                <w:szCs w:val="16"/>
                <w:color w:val="auto"/>
              </w:rPr>
            </w:pPr>
          </w:p>
        </w:tc>
        <w:tc>
          <w:tcPr>
            <w:tcW w:w="7540" w:type="dxa"/>
            <w:vAlign w:val="bottom"/>
          </w:tcPr>
          <w:p>
            <w:pPr>
              <w:ind w:left="60"/>
              <w:spacing w:after="0" w:line="187" w:lineRule="exact"/>
              <w:rPr>
                <w:sz w:val="20"/>
                <w:szCs w:val="20"/>
                <w:color w:val="auto"/>
              </w:rPr>
            </w:pPr>
            <w:r>
              <w:rPr>
                <w:rFonts w:ascii="Arial" w:cs="Arial" w:eastAsia="Arial" w:hAnsi="Arial"/>
                <w:sz w:val="17"/>
                <w:szCs w:val="17"/>
                <w:b w:val="1"/>
                <w:bCs w:val="1"/>
                <w:color w:val="auto"/>
              </w:rPr>
              <w:t>Net carrying amount</w:t>
            </w:r>
          </w:p>
        </w:tc>
        <w:tc>
          <w:tcPr>
            <w:tcW w:w="1080" w:type="dxa"/>
            <w:vAlign w:val="bottom"/>
            <w:tcBorders>
              <w:bottom w:val="single" w:sz="8" w:color="auto"/>
            </w:tcBorders>
            <w:gridSpan w:val="2"/>
          </w:tcPr>
          <w:p>
            <w:pPr>
              <w:jc w:val="right"/>
              <w:spacing w:after="0" w:line="187" w:lineRule="exact"/>
              <w:rPr>
                <w:sz w:val="20"/>
                <w:szCs w:val="20"/>
                <w:color w:val="auto"/>
              </w:rPr>
            </w:pPr>
            <w:r>
              <w:rPr>
                <w:rFonts w:ascii="Arial" w:cs="Arial" w:eastAsia="Arial" w:hAnsi="Arial"/>
                <w:sz w:val="17"/>
                <w:szCs w:val="17"/>
                <w:color w:val="auto"/>
              </w:rPr>
              <w:t>71,089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89,222</w:t>
            </w:r>
          </w:p>
        </w:tc>
      </w:tr>
      <w:tr>
        <w:trPr>
          <w:trHeight w:val="402"/>
        </w:trPr>
        <w:tc>
          <w:tcPr>
            <w:tcW w:w="240" w:type="dxa"/>
            <w:vAlign w:val="bottom"/>
          </w:tcPr>
          <w:p>
            <w:pPr>
              <w:spacing w:after="0"/>
              <w:rPr>
                <w:sz w:val="20"/>
                <w:szCs w:val="20"/>
                <w:color w:val="auto"/>
              </w:rPr>
            </w:pPr>
            <w:r>
              <w:rPr>
                <w:rFonts w:ascii="Arial" w:cs="Arial" w:eastAsia="Arial" w:hAnsi="Arial"/>
                <w:sz w:val="17"/>
                <w:szCs w:val="17"/>
                <w:color w:val="auto"/>
              </w:rPr>
              <w:t>(ii)</w:t>
            </w:r>
          </w:p>
        </w:tc>
        <w:tc>
          <w:tcPr>
            <w:tcW w:w="7540" w:type="dxa"/>
            <w:vAlign w:val="bottom"/>
          </w:tcPr>
          <w:p>
            <w:pPr>
              <w:ind w:left="60"/>
              <w:spacing w:after="0"/>
              <w:rPr>
                <w:sz w:val="20"/>
                <w:szCs w:val="20"/>
                <w:color w:val="auto"/>
              </w:rPr>
            </w:pPr>
            <w:r>
              <w:rPr>
                <w:rFonts w:ascii="Arial" w:cs="Arial" w:eastAsia="Arial" w:hAnsi="Arial"/>
                <w:sz w:val="17"/>
                <w:szCs w:val="17"/>
                <w:color w:val="auto"/>
              </w:rPr>
              <w:t>Brand name -</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9"/>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7"/>
                <w:szCs w:val="17"/>
                <w:color w:val="auto"/>
              </w:rPr>
              <w:t>This item consists of the following:</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5"/>
        </w:trPr>
        <w:tc>
          <w:tcPr>
            <w:tcW w:w="2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80" w:type="dxa"/>
            <w:vAlign w:val="bottom"/>
            <w:gridSpan w:val="2"/>
          </w:tcPr>
          <w:p>
            <w:pPr>
              <w:ind w:left="280"/>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7"/>
                <w:szCs w:val="17"/>
                <w:b w:val="1"/>
                <w:bCs w:val="1"/>
                <w:color w:val="auto"/>
              </w:rPr>
              <w:t>2021</w:t>
            </w:r>
          </w:p>
        </w:tc>
      </w:tr>
      <w:tr>
        <w:trPr>
          <w:trHeight w:val="223"/>
        </w:trPr>
        <w:tc>
          <w:tcPr>
            <w:tcW w:w="24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S/(000)</w:t>
            </w:r>
          </w:p>
        </w:tc>
      </w:tr>
      <w:tr>
        <w:trPr>
          <w:trHeight w:val="352"/>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7"/>
                <w:szCs w:val="17"/>
                <w:color w:val="auto"/>
              </w:rPr>
              <w:t>MiBanco</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111,009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117,670</w:t>
            </w:r>
          </w:p>
        </w:tc>
      </w:tr>
      <w:tr>
        <w:trPr>
          <w:trHeight w:val="195"/>
        </w:trPr>
        <w:tc>
          <w:tcPr>
            <w:tcW w:w="240" w:type="dxa"/>
            <w:vAlign w:val="bottom"/>
          </w:tcPr>
          <w:p>
            <w:pPr>
              <w:spacing w:after="0"/>
              <w:rPr>
                <w:sz w:val="16"/>
                <w:szCs w:val="16"/>
                <w:color w:val="auto"/>
              </w:rPr>
            </w:pPr>
          </w:p>
        </w:tc>
        <w:tc>
          <w:tcPr>
            <w:tcW w:w="7540" w:type="dxa"/>
            <w:vAlign w:val="bottom"/>
          </w:tcPr>
          <w:p>
            <w:pPr>
              <w:ind w:left="60"/>
              <w:spacing w:after="0"/>
              <w:rPr>
                <w:sz w:val="20"/>
                <w:szCs w:val="20"/>
                <w:color w:val="auto"/>
              </w:rPr>
            </w:pPr>
            <w:r>
              <w:rPr>
                <w:rFonts w:ascii="Arial" w:cs="Arial" w:eastAsia="Arial" w:hAnsi="Arial"/>
                <w:sz w:val="17"/>
                <w:szCs w:val="17"/>
                <w:color w:val="auto"/>
              </w:rPr>
              <w:t>Culqi</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367</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654</w:t>
            </w:r>
          </w:p>
        </w:tc>
      </w:tr>
      <w:tr>
        <w:trPr>
          <w:trHeight w:val="193"/>
        </w:trPr>
        <w:tc>
          <w:tcPr>
            <w:tcW w:w="240" w:type="dxa"/>
            <w:vAlign w:val="bottom"/>
          </w:tcPr>
          <w:p>
            <w:pPr>
              <w:spacing w:after="0"/>
              <w:rPr>
                <w:sz w:val="16"/>
                <w:szCs w:val="16"/>
                <w:color w:val="auto"/>
              </w:rPr>
            </w:pPr>
          </w:p>
        </w:tc>
        <w:tc>
          <w:tcPr>
            <w:tcW w:w="7540" w:type="dxa"/>
            <w:vAlign w:val="bottom"/>
          </w:tcPr>
          <w:p>
            <w:pPr>
              <w:ind w:left="60"/>
              <w:spacing w:after="0" w:line="187" w:lineRule="exact"/>
              <w:rPr>
                <w:sz w:val="20"/>
                <w:szCs w:val="20"/>
                <w:color w:val="auto"/>
              </w:rPr>
            </w:pPr>
            <w:r>
              <w:rPr>
                <w:rFonts w:ascii="Arial" w:cs="Arial" w:eastAsia="Arial" w:hAnsi="Arial"/>
                <w:sz w:val="17"/>
                <w:szCs w:val="17"/>
                <w:b w:val="1"/>
                <w:bCs w:val="1"/>
                <w:color w:val="auto"/>
              </w:rPr>
              <w:t>Net carrying amount</w:t>
            </w:r>
          </w:p>
        </w:tc>
        <w:tc>
          <w:tcPr>
            <w:tcW w:w="240" w:type="dxa"/>
            <w:vAlign w:val="bottom"/>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40"/>
              <w:spacing w:after="0" w:line="187" w:lineRule="exact"/>
              <w:rPr>
                <w:sz w:val="20"/>
                <w:szCs w:val="20"/>
                <w:color w:val="auto"/>
              </w:rPr>
            </w:pPr>
            <w:r>
              <w:rPr>
                <w:rFonts w:ascii="Arial" w:cs="Arial" w:eastAsia="Arial" w:hAnsi="Arial"/>
                <w:sz w:val="17"/>
                <w:szCs w:val="17"/>
                <w:color w:val="auto"/>
              </w:rPr>
              <w:t>111,376</w:t>
            </w:r>
          </w:p>
        </w:tc>
        <w:tc>
          <w:tcPr>
            <w:tcW w:w="1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118,324</w:t>
            </w:r>
          </w:p>
        </w:tc>
      </w:tr>
      <w:tr>
        <w:trPr>
          <w:trHeight w:val="402"/>
        </w:trPr>
        <w:tc>
          <w:tcPr>
            <w:tcW w:w="7780" w:type="dxa"/>
            <w:vAlign w:val="bottom"/>
            <w:gridSpan w:val="2"/>
          </w:tcPr>
          <w:p>
            <w:pPr>
              <w:spacing w:after="0"/>
              <w:rPr>
                <w:sz w:val="20"/>
                <w:szCs w:val="20"/>
                <w:color w:val="auto"/>
              </w:rPr>
            </w:pPr>
            <w:r>
              <w:rPr>
                <w:rFonts w:ascii="Arial" w:cs="Arial" w:eastAsia="Arial" w:hAnsi="Arial"/>
                <w:sz w:val="17"/>
                <w:szCs w:val="17"/>
                <w:color w:val="auto"/>
              </w:rPr>
              <w:t>(iii) Fund management contract -</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9"/>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7"/>
                <w:szCs w:val="17"/>
                <w:color w:val="auto"/>
              </w:rPr>
              <w:t>This item consists of the following:</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5"/>
        </w:trPr>
        <w:tc>
          <w:tcPr>
            <w:tcW w:w="2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80" w:type="dxa"/>
            <w:vAlign w:val="bottom"/>
            <w:gridSpan w:val="2"/>
          </w:tcPr>
          <w:p>
            <w:pPr>
              <w:ind w:left="280"/>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7"/>
                <w:szCs w:val="17"/>
                <w:b w:val="1"/>
                <w:bCs w:val="1"/>
                <w:color w:val="auto"/>
              </w:rPr>
              <w:t>2021</w:t>
            </w:r>
          </w:p>
        </w:tc>
      </w:tr>
      <w:tr>
        <w:trPr>
          <w:trHeight w:val="223"/>
        </w:trPr>
        <w:tc>
          <w:tcPr>
            <w:tcW w:w="24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S/(000)</w:t>
            </w:r>
          </w:p>
        </w:tc>
      </w:tr>
      <w:tr>
        <w:trPr>
          <w:trHeight w:val="352"/>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7"/>
                <w:szCs w:val="17"/>
                <w:color w:val="auto"/>
              </w:rPr>
              <w:t>Credicorp Capital Colombia</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27,620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36,724</w:t>
            </w:r>
          </w:p>
        </w:tc>
      </w:tr>
      <w:tr>
        <w:trPr>
          <w:trHeight w:val="194"/>
        </w:trPr>
        <w:tc>
          <w:tcPr>
            <w:tcW w:w="240" w:type="dxa"/>
            <w:vAlign w:val="bottom"/>
          </w:tcPr>
          <w:p>
            <w:pPr>
              <w:spacing w:after="0"/>
              <w:rPr>
                <w:sz w:val="16"/>
                <w:szCs w:val="16"/>
                <w:color w:val="auto"/>
              </w:rPr>
            </w:pPr>
          </w:p>
        </w:tc>
        <w:tc>
          <w:tcPr>
            <w:tcW w:w="7540" w:type="dxa"/>
            <w:vAlign w:val="bottom"/>
          </w:tcPr>
          <w:p>
            <w:pPr>
              <w:ind w:left="60"/>
              <w:spacing w:after="0" w:line="194" w:lineRule="exact"/>
              <w:rPr>
                <w:sz w:val="20"/>
                <w:szCs w:val="20"/>
                <w:color w:val="auto"/>
              </w:rPr>
            </w:pPr>
            <w:r>
              <w:rPr>
                <w:rFonts w:ascii="Arial" w:cs="Arial" w:eastAsia="Arial" w:hAnsi="Arial"/>
                <w:sz w:val="17"/>
                <w:szCs w:val="17"/>
                <w:color w:val="auto"/>
              </w:rPr>
              <w:t>Credicorp Capital Holding Chile - Inversiones IMT</w:t>
            </w:r>
          </w:p>
        </w:tc>
        <w:tc>
          <w:tcPr>
            <w:tcW w:w="134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auto"/>
              </w:rPr>
              <w:t>30,495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33,717</w:t>
            </w:r>
          </w:p>
        </w:tc>
      </w:tr>
      <w:tr>
        <w:trPr>
          <w:trHeight w:val="195"/>
        </w:trPr>
        <w:tc>
          <w:tcPr>
            <w:tcW w:w="240" w:type="dxa"/>
            <w:vAlign w:val="bottom"/>
          </w:tcPr>
          <w:p>
            <w:pPr>
              <w:spacing w:after="0"/>
              <w:rPr>
                <w:sz w:val="16"/>
                <w:szCs w:val="16"/>
                <w:color w:val="auto"/>
              </w:rPr>
            </w:pPr>
          </w:p>
        </w:tc>
        <w:tc>
          <w:tcPr>
            <w:tcW w:w="7540" w:type="dxa"/>
            <w:vAlign w:val="bottom"/>
          </w:tcPr>
          <w:p>
            <w:pPr>
              <w:ind w:left="60"/>
              <w:spacing w:after="0"/>
              <w:rPr>
                <w:sz w:val="20"/>
                <w:szCs w:val="20"/>
                <w:color w:val="auto"/>
              </w:rPr>
            </w:pPr>
            <w:r>
              <w:rPr>
                <w:rFonts w:ascii="Arial" w:cs="Arial" w:eastAsia="Arial" w:hAnsi="Arial"/>
                <w:sz w:val="17"/>
                <w:szCs w:val="17"/>
                <w:color w:val="auto"/>
              </w:rPr>
              <w:t>Ultraserfinco S.A.</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2,473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2,992</w:t>
            </w:r>
          </w:p>
        </w:tc>
      </w:tr>
      <w:tr>
        <w:trPr>
          <w:trHeight w:val="193"/>
        </w:trPr>
        <w:tc>
          <w:tcPr>
            <w:tcW w:w="240" w:type="dxa"/>
            <w:vAlign w:val="bottom"/>
          </w:tcPr>
          <w:p>
            <w:pPr>
              <w:spacing w:after="0"/>
              <w:rPr>
                <w:sz w:val="16"/>
                <w:szCs w:val="16"/>
                <w:color w:val="auto"/>
              </w:rPr>
            </w:pPr>
          </w:p>
        </w:tc>
        <w:tc>
          <w:tcPr>
            <w:tcW w:w="7540" w:type="dxa"/>
            <w:vAlign w:val="bottom"/>
          </w:tcPr>
          <w:p>
            <w:pPr>
              <w:ind w:left="60"/>
              <w:spacing w:after="0" w:line="187" w:lineRule="exact"/>
              <w:rPr>
                <w:sz w:val="20"/>
                <w:szCs w:val="20"/>
                <w:color w:val="auto"/>
              </w:rPr>
            </w:pPr>
            <w:r>
              <w:rPr>
                <w:rFonts w:ascii="Arial" w:cs="Arial" w:eastAsia="Arial" w:hAnsi="Arial"/>
                <w:sz w:val="17"/>
                <w:szCs w:val="17"/>
                <w:b w:val="1"/>
                <w:bCs w:val="1"/>
                <w:color w:val="auto"/>
              </w:rPr>
              <w:t>Net carrying amount</w:t>
            </w:r>
          </w:p>
        </w:tc>
        <w:tc>
          <w:tcPr>
            <w:tcW w:w="240" w:type="dxa"/>
            <w:vAlign w:val="bottom"/>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40"/>
              <w:spacing w:after="0" w:line="187" w:lineRule="exact"/>
              <w:rPr>
                <w:sz w:val="20"/>
                <w:szCs w:val="20"/>
                <w:color w:val="auto"/>
              </w:rPr>
            </w:pPr>
            <w:r>
              <w:rPr>
                <w:rFonts w:ascii="Arial" w:cs="Arial" w:eastAsia="Arial" w:hAnsi="Arial"/>
                <w:sz w:val="17"/>
                <w:szCs w:val="17"/>
                <w:color w:val="auto"/>
              </w:rPr>
              <w:t>60,588</w:t>
            </w:r>
          </w:p>
        </w:tc>
        <w:tc>
          <w:tcPr>
            <w:tcW w:w="1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73,433</w:t>
            </w:r>
          </w:p>
        </w:tc>
      </w:tr>
    </w:tbl>
    <w:p>
      <w:pPr>
        <w:spacing w:after="0" w:line="193" w:lineRule="exact"/>
        <w:rPr>
          <w:sz w:val="20"/>
          <w:szCs w:val="20"/>
          <w:color w:val="auto"/>
        </w:rPr>
      </w:pPr>
    </w:p>
    <w:p>
      <w:pPr>
        <w:ind w:left="300" w:right="100"/>
        <w:spacing w:after="0" w:line="254" w:lineRule="auto"/>
        <w:rPr>
          <w:sz w:val="20"/>
          <w:szCs w:val="20"/>
          <w:color w:val="auto"/>
        </w:rPr>
      </w:pPr>
      <w:r>
        <w:rPr>
          <w:rFonts w:ascii="Arial" w:cs="Arial" w:eastAsia="Arial" w:hAnsi="Arial"/>
          <w:sz w:val="17"/>
          <w:szCs w:val="17"/>
          <w:color w:val="auto"/>
        </w:rPr>
        <w:t>Management has assessed at each reporting date that there was no indication that customer relationships, brand name, fund management contract and software and developments may be impaired.</w:t>
      </w:r>
    </w:p>
    <w:p>
      <w:pPr>
        <w:spacing w:after="0" w:line="143"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400"/>
          </w:cols>
          <w:pgMar w:left="1260" w:top="140" w:right="239" w:bottom="1440" w:gutter="0" w:footer="0" w:header="0"/>
        </w:sectPr>
      </w:pPr>
    </w:p>
    <w:bookmarkStart w:id="88" w:name="page89"/>
    <w:bookmarkEnd w:id="88"/>
    <w:p>
      <w:pPr>
        <w:ind w:left="315" w:hanging="315"/>
        <w:spacing w:after="0"/>
        <w:tabs>
          <w:tab w:leader="none" w:pos="315" w:val="left"/>
        </w:tabs>
        <w:numPr>
          <w:ilvl w:val="0"/>
          <w:numId w:val="99"/>
        </w:numPr>
        <w:rPr>
          <w:rFonts w:ascii="Arial" w:cs="Arial" w:eastAsia="Arial" w:hAnsi="Arial"/>
          <w:sz w:val="17"/>
          <w:szCs w:val="17"/>
          <w:color w:val="auto"/>
        </w:rPr>
      </w:pPr>
      <w:r>
        <w:rPr>
          <w:rFonts w:ascii="Arial" w:cs="Arial" w:eastAsia="Arial" w:hAnsi="Arial"/>
          <w:sz w:val="17"/>
          <w:szCs w:val="17"/>
          <w:color w:val="auto"/>
        </w:rPr>
        <w:t>Goodwill -</w:t>
      </w:r>
    </w:p>
    <w:p>
      <w:pPr>
        <w:spacing w:after="0" w:line="192"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Goodwill acquired through business combinations has been allocated to each subsidiary or groups of them, which are also identified as a CGU for the purposes of impairment testing, as follows:</w:t>
      </w:r>
    </w:p>
    <w:p>
      <w:pPr>
        <w:spacing w:after="0" w:line="147" w:lineRule="exact"/>
        <w:rPr>
          <w:sz w:val="20"/>
          <w:szCs w:val="20"/>
          <w:color w:val="auto"/>
        </w:rPr>
      </w:pPr>
    </w:p>
    <w:tbl>
      <w:tblPr>
        <w:tblLayout w:type="fixed"/>
        <w:tblInd w:w="315"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r>
      <w:tr>
        <w:trPr>
          <w:trHeight w:val="223"/>
        </w:trPr>
        <w:tc>
          <w:tcPr>
            <w:tcW w:w="77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7700" w:type="dxa"/>
            <w:vAlign w:val="bottom"/>
          </w:tcPr>
          <w:p>
            <w:pPr>
              <w:spacing w:after="0"/>
              <w:rPr>
                <w:sz w:val="20"/>
                <w:szCs w:val="20"/>
                <w:color w:val="auto"/>
              </w:rPr>
            </w:pPr>
            <w:r>
              <w:rPr>
                <w:rFonts w:ascii="Arial" w:cs="Arial" w:eastAsia="Arial" w:hAnsi="Arial"/>
                <w:sz w:val="17"/>
                <w:szCs w:val="17"/>
                <w:color w:val="auto"/>
              </w:rPr>
              <w:t>MiBanco - Edyficar Perú</w:t>
            </w:r>
          </w:p>
        </w:tc>
        <w:tc>
          <w:tcPr>
            <w:tcW w:w="1120" w:type="dxa"/>
            <w:vAlign w:val="bottom"/>
          </w:tcPr>
          <w:p>
            <w:pPr>
              <w:jc w:val="right"/>
              <w:spacing w:after="0"/>
              <w:rPr>
                <w:sz w:val="20"/>
                <w:szCs w:val="20"/>
                <w:color w:val="auto"/>
              </w:rPr>
            </w:pPr>
            <w:r>
              <w:rPr>
                <w:rFonts w:ascii="Arial" w:cs="Arial" w:eastAsia="Arial" w:hAnsi="Arial"/>
                <w:sz w:val="17"/>
                <w:szCs w:val="17"/>
                <w:color w:val="auto"/>
              </w:rPr>
              <w:t>273,694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273,694</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Prima AFP - AFP Unión Vida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124,641</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124,641</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MiBanco Colombia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99,979</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124,746</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Credicorp Capital Colombia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92,188</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114,714</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Banco de Crédito del Perú</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52,359</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52,359</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Pacífico Seguros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36,354</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36,354</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Atlantic Security Holding Corporation</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29,795</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29,795</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Wally POS S.A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24,214</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Tenpo SpA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23,441</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24,444</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Tenpo Prepago S.A.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13,155</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13,719</w:t>
            </w:r>
          </w:p>
        </w:tc>
      </w:tr>
      <w:tr>
        <w:trPr>
          <w:trHeight w:val="194"/>
        </w:trPr>
        <w:tc>
          <w:tcPr>
            <w:tcW w:w="7700" w:type="dxa"/>
            <w:vAlign w:val="bottom"/>
          </w:tcPr>
          <w:p>
            <w:pPr>
              <w:spacing w:after="0" w:line="194" w:lineRule="exact"/>
              <w:rPr>
                <w:sz w:val="20"/>
                <w:szCs w:val="20"/>
                <w:color w:val="auto"/>
              </w:rPr>
            </w:pPr>
            <w:r>
              <w:rPr>
                <w:rFonts w:ascii="Arial" w:cs="Arial" w:eastAsia="Arial" w:hAnsi="Arial"/>
                <w:sz w:val="17"/>
                <w:szCs w:val="17"/>
                <w:color w:val="auto"/>
              </w:rPr>
              <w:t>Compañía Incubadora de Soluciones Móviles S.A-Culqi</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2,297</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2,297</w:t>
            </w:r>
          </w:p>
        </w:tc>
      </w:tr>
      <w:tr>
        <w:trPr>
          <w:trHeight w:val="195"/>
        </w:trPr>
        <w:tc>
          <w:tcPr>
            <w:tcW w:w="7700" w:type="dxa"/>
            <w:vAlign w:val="bottom"/>
          </w:tcPr>
          <w:p>
            <w:pPr>
              <w:spacing w:after="0"/>
              <w:rPr>
                <w:sz w:val="20"/>
                <w:szCs w:val="20"/>
                <w:color w:val="auto"/>
              </w:rPr>
            </w:pPr>
            <w:r>
              <w:rPr>
                <w:rFonts w:ascii="Arial" w:cs="Arial" w:eastAsia="Arial" w:hAnsi="Arial"/>
                <w:sz w:val="17"/>
                <w:szCs w:val="17"/>
                <w:color w:val="auto"/>
              </w:rPr>
              <w:t>Crediseguro Seguros Personales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r>
      <w:tr>
        <w:trPr>
          <w:trHeight w:val="193"/>
        </w:trPr>
        <w:tc>
          <w:tcPr>
            <w:tcW w:w="7700" w:type="dxa"/>
            <w:vAlign w:val="bottom"/>
          </w:tcPr>
          <w:p>
            <w:pPr>
              <w:spacing w:after="0" w:line="187" w:lineRule="exact"/>
              <w:rPr>
                <w:sz w:val="20"/>
                <w:szCs w:val="20"/>
                <w:color w:val="auto"/>
              </w:rPr>
            </w:pPr>
            <w:r>
              <w:rPr>
                <w:rFonts w:ascii="Arial" w:cs="Arial" w:eastAsia="Arial" w:hAnsi="Arial"/>
                <w:sz w:val="17"/>
                <w:szCs w:val="17"/>
                <w:b w:val="1"/>
                <w:bCs w:val="1"/>
                <w:color w:val="auto"/>
              </w:rPr>
              <w:t>Net carrying amount</w:t>
            </w: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772,213</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796,859</w:t>
            </w:r>
          </w:p>
        </w:tc>
      </w:tr>
    </w:tbl>
    <w:p>
      <w:pPr>
        <w:spacing w:after="0" w:line="193" w:lineRule="exact"/>
        <w:rPr>
          <w:sz w:val="20"/>
          <w:szCs w:val="20"/>
          <w:color w:val="auto"/>
        </w:rPr>
      </w:pPr>
    </w:p>
    <w:p>
      <w:pPr>
        <w:ind w:left="315" w:right="80"/>
        <w:spacing w:after="0" w:line="254" w:lineRule="auto"/>
        <w:rPr>
          <w:sz w:val="20"/>
          <w:szCs w:val="20"/>
          <w:color w:val="auto"/>
        </w:rPr>
      </w:pPr>
      <w:r>
        <w:rPr>
          <w:rFonts w:ascii="Arial" w:cs="Arial" w:eastAsia="Arial" w:hAnsi="Arial"/>
          <w:sz w:val="17"/>
          <w:szCs w:val="17"/>
          <w:color w:val="auto"/>
        </w:rPr>
        <w:t>The recoverable amount of all of the CGUs has been determined based in the present value of the discounted cash flows or dividends determined principally with assumptions of revenue and expenses projection (based on efficiency ratios).</w:t>
      </w:r>
    </w:p>
    <w:p>
      <w:pPr>
        <w:spacing w:after="0" w:line="169" w:lineRule="exact"/>
        <w:rPr>
          <w:sz w:val="20"/>
          <w:szCs w:val="20"/>
          <w:color w:val="auto"/>
        </w:rPr>
      </w:pPr>
    </w:p>
    <w:p>
      <w:pPr>
        <w:ind w:left="315" w:right="160"/>
        <w:spacing w:after="0" w:line="246" w:lineRule="auto"/>
        <w:rPr>
          <w:sz w:val="20"/>
          <w:szCs w:val="20"/>
          <w:color w:val="auto"/>
        </w:rPr>
      </w:pPr>
      <w:r>
        <w:rPr>
          <w:rFonts w:ascii="Arial" w:cs="Arial" w:eastAsia="Arial" w:hAnsi="Arial"/>
          <w:sz w:val="17"/>
          <w:szCs w:val="17"/>
          <w:color w:val="auto"/>
        </w:rPr>
        <w:t>Goodwill balance of Mibanco Colombia, Credicorp Capital Colombia S.A, Tenpo SPA and Tenpo Technologies SpA. is affected by the volatility effect of the local exchange rate currency of the country in which they operate against the exchange rate of functional currency of Credicorp Ltd. and subsidiaries.</w:t>
      </w:r>
    </w:p>
    <w:p>
      <w:pPr>
        <w:spacing w:after="0" w:line="176" w:lineRule="exact"/>
        <w:rPr>
          <w:sz w:val="20"/>
          <w:szCs w:val="20"/>
          <w:color w:val="auto"/>
        </w:rPr>
      </w:pPr>
    </w:p>
    <w:p>
      <w:pPr>
        <w:ind w:left="315" w:right="20"/>
        <w:spacing w:after="0" w:line="246" w:lineRule="auto"/>
        <w:rPr>
          <w:sz w:val="20"/>
          <w:szCs w:val="20"/>
          <w:color w:val="auto"/>
        </w:rPr>
      </w:pPr>
      <w:r>
        <w:rPr>
          <w:rFonts w:ascii="Arial" w:cs="Arial" w:eastAsia="Arial" w:hAnsi="Arial"/>
          <w:sz w:val="17"/>
          <w:szCs w:val="17"/>
          <w:color w:val="auto"/>
        </w:rPr>
        <w:t>As of December 31, 2022 the group has evaluated the impairment of goodwill by making an estimate based on the information available, concluding that there is no evidence of impairment at said date; therefore, during the twelve - month period ended December 31, 2022, and December 31, 2021, the Group did not record any impairment loss.</w:t>
      </w:r>
    </w:p>
    <w:p>
      <w:pPr>
        <w:spacing w:after="0" w:line="150" w:lineRule="exact"/>
        <w:rPr>
          <w:sz w:val="20"/>
          <w:szCs w:val="20"/>
          <w:color w:val="auto"/>
        </w:rPr>
      </w:pPr>
    </w:p>
    <w:p>
      <w:pPr>
        <w:ind w:left="4795"/>
        <w:spacing w:after="0"/>
        <w:rPr>
          <w:sz w:val="20"/>
          <w:szCs w:val="20"/>
          <w:color w:val="auto"/>
        </w:rPr>
      </w:pPr>
      <w:r>
        <w:rPr>
          <w:rFonts w:ascii="Arial" w:cs="Arial" w:eastAsia="Arial" w:hAnsi="Arial"/>
          <w:sz w:val="17"/>
          <w:szCs w:val="17"/>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89" w:name="page90"/>
    <w:bookmarkEnd w:id="89"/>
    <w:p>
      <w:pPr>
        <w:ind w:left="4"/>
        <w:spacing w:after="0"/>
        <w:rPr>
          <w:sz w:val="20"/>
          <w:szCs w:val="20"/>
          <w:color w:val="auto"/>
        </w:rPr>
      </w:pPr>
      <w:r>
        <w:rPr>
          <w:rFonts w:ascii="Arial" w:cs="Arial" w:eastAsia="Arial" w:hAnsi="Arial"/>
          <w:sz w:val="17"/>
          <w:szCs w:val="17"/>
          <w:color w:val="auto"/>
        </w:rPr>
        <w:t>The following table summarizes the key assumptions used for the calculation of fair value less selling costs in 2022 and 2021:</w:t>
      </w:r>
    </w:p>
    <w:p>
      <w:pPr>
        <w:spacing w:after="0" w:line="170" w:lineRule="exact"/>
        <w:rPr>
          <w:sz w:val="20"/>
          <w:szCs w:val="20"/>
          <w:color w:val="auto"/>
        </w:rPr>
      </w:pPr>
    </w:p>
    <w:tbl>
      <w:tblPr>
        <w:tblLayout w:type="fixed"/>
        <w:tblInd w:w="44" w:type="dxa"/>
        <w:tblCellMar>
          <w:top w:w="0" w:type="dxa"/>
          <w:left w:w="0" w:type="dxa"/>
          <w:bottom w:w="0" w:type="dxa"/>
          <w:right w:w="0" w:type="dxa"/>
        </w:tblCellMar>
      </w:tblPr>
      <w:tr>
        <w:trPr>
          <w:trHeight w:val="217"/>
        </w:trPr>
        <w:tc>
          <w:tcPr>
            <w:tcW w:w="7120" w:type="dxa"/>
            <w:vAlign w:val="bottom"/>
          </w:tcPr>
          <w:p>
            <w:pPr>
              <w:spacing w:after="0"/>
              <w:rPr>
                <w:sz w:val="18"/>
                <w:szCs w:val="18"/>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164"/>
        </w:trPr>
        <w:tc>
          <w:tcPr>
            <w:tcW w:w="7120" w:type="dxa"/>
            <w:vAlign w:val="bottom"/>
          </w:tcPr>
          <w:p>
            <w:pPr>
              <w:spacing w:after="0"/>
              <w:rPr>
                <w:sz w:val="14"/>
                <w:szCs w:val="14"/>
                <w:color w:val="auto"/>
              </w:rPr>
            </w:pPr>
          </w:p>
        </w:tc>
        <w:tc>
          <w:tcPr>
            <w:tcW w:w="1260" w:type="dxa"/>
            <w:vAlign w:val="bottom"/>
            <w:gridSpan w:val="2"/>
          </w:tcPr>
          <w:p>
            <w:pPr>
              <w:ind w:left="40"/>
              <w:spacing w:after="0" w:line="164" w:lineRule="exact"/>
              <w:rPr>
                <w:sz w:val="20"/>
                <w:szCs w:val="20"/>
                <w:color w:val="auto"/>
              </w:rPr>
            </w:pPr>
            <w:r>
              <w:rPr>
                <w:rFonts w:ascii="Arial" w:cs="Arial" w:eastAsia="Arial" w:hAnsi="Arial"/>
                <w:sz w:val="17"/>
                <w:szCs w:val="17"/>
                <w:b w:val="1"/>
                <w:bCs w:val="1"/>
                <w:color w:val="auto"/>
              </w:rPr>
              <w:t>Terminal</w:t>
            </w:r>
          </w:p>
        </w:tc>
        <w:tc>
          <w:tcPr>
            <w:tcW w:w="1700" w:type="dxa"/>
            <w:vAlign w:val="bottom"/>
          </w:tcPr>
          <w:p>
            <w:pPr>
              <w:spacing w:after="0"/>
              <w:rPr>
                <w:sz w:val="14"/>
                <w:szCs w:val="14"/>
                <w:color w:val="auto"/>
              </w:rPr>
            </w:pPr>
          </w:p>
        </w:tc>
      </w:tr>
      <w:tr>
        <w:trPr>
          <w:trHeight w:val="194"/>
        </w:trPr>
        <w:tc>
          <w:tcPr>
            <w:tcW w:w="7120" w:type="dxa"/>
            <w:vAlign w:val="bottom"/>
          </w:tcPr>
          <w:p>
            <w:pPr>
              <w:spacing w:after="0"/>
              <w:rPr>
                <w:sz w:val="16"/>
                <w:szCs w:val="16"/>
                <w:color w:val="auto"/>
              </w:rPr>
            </w:pPr>
          </w:p>
        </w:tc>
        <w:tc>
          <w:tcPr>
            <w:tcW w:w="126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value</w:t>
            </w:r>
          </w:p>
        </w:tc>
        <w:tc>
          <w:tcPr>
            <w:tcW w:w="1700" w:type="dxa"/>
            <w:vAlign w:val="bottom"/>
          </w:tcPr>
          <w:p>
            <w:pPr>
              <w:spacing w:after="0"/>
              <w:rPr>
                <w:sz w:val="16"/>
                <w:szCs w:val="16"/>
                <w:color w:val="auto"/>
              </w:rPr>
            </w:pPr>
          </w:p>
        </w:tc>
      </w:tr>
      <w:tr>
        <w:trPr>
          <w:trHeight w:val="217"/>
        </w:trPr>
        <w:tc>
          <w:tcPr>
            <w:tcW w:w="7120" w:type="dxa"/>
            <w:vAlign w:val="bottom"/>
          </w:tcPr>
          <w:p>
            <w:pPr>
              <w:spacing w:after="0"/>
              <w:rPr>
                <w:sz w:val="20"/>
                <w:szCs w:val="20"/>
                <w:color w:val="auto"/>
              </w:rPr>
            </w:pPr>
            <w:r>
              <w:rPr>
                <w:rFonts w:ascii="Arial" w:cs="Arial" w:eastAsia="Arial" w:hAnsi="Arial"/>
                <w:sz w:val="17"/>
                <w:szCs w:val="17"/>
                <w:b w:val="1"/>
                <w:bCs w:val="1"/>
                <w:color w:val="auto"/>
              </w:rPr>
              <w:t>Description</w:t>
            </w:r>
          </w:p>
        </w:tc>
        <w:tc>
          <w:tcPr>
            <w:tcW w:w="1260" w:type="dxa"/>
            <w:vAlign w:val="bottom"/>
            <w:gridSpan w:val="2"/>
          </w:tcPr>
          <w:p>
            <w:pPr>
              <w:ind w:left="40"/>
              <w:spacing w:after="0"/>
              <w:rPr>
                <w:sz w:val="20"/>
                <w:szCs w:val="20"/>
                <w:color w:val="auto"/>
              </w:rPr>
            </w:pPr>
            <w:r>
              <w:rPr>
                <w:rFonts w:ascii="Arial" w:cs="Arial" w:eastAsia="Arial" w:hAnsi="Arial"/>
                <w:sz w:val="17"/>
                <w:szCs w:val="17"/>
                <w:b w:val="1"/>
                <w:bCs w:val="1"/>
                <w:color w:val="auto"/>
              </w:rPr>
              <w:t>growth rate</w:t>
            </w:r>
          </w:p>
        </w:tc>
        <w:tc>
          <w:tcPr>
            <w:tcW w:w="1700" w:type="dxa"/>
            <w:vAlign w:val="bottom"/>
          </w:tcPr>
          <w:p>
            <w:pPr>
              <w:ind w:left="60"/>
              <w:spacing w:after="0"/>
              <w:rPr>
                <w:sz w:val="20"/>
                <w:szCs w:val="20"/>
                <w:color w:val="auto"/>
              </w:rPr>
            </w:pPr>
            <w:r>
              <w:rPr>
                <w:rFonts w:ascii="Arial" w:cs="Arial" w:eastAsia="Arial" w:hAnsi="Arial"/>
                <w:sz w:val="17"/>
                <w:szCs w:val="17"/>
                <w:b w:val="1"/>
                <w:bCs w:val="1"/>
                <w:color w:val="auto"/>
              </w:rPr>
              <w:t>Discount rate</w:t>
            </w:r>
          </w:p>
        </w:tc>
      </w:tr>
      <w:tr>
        <w:trPr>
          <w:trHeight w:val="186"/>
        </w:trPr>
        <w:tc>
          <w:tcPr>
            <w:tcW w:w="7120" w:type="dxa"/>
            <w:vAlign w:val="bottom"/>
          </w:tcPr>
          <w:p>
            <w:pPr>
              <w:spacing w:after="0"/>
              <w:rPr>
                <w:sz w:val="16"/>
                <w:szCs w:val="16"/>
                <w:color w:val="auto"/>
              </w:rPr>
            </w:pPr>
          </w:p>
        </w:tc>
        <w:tc>
          <w:tcPr>
            <w:tcW w:w="1120" w:type="dxa"/>
            <w:vAlign w:val="bottom"/>
            <w:tcBorders>
              <w:top w:val="single" w:sz="8" w:color="auto"/>
            </w:tcBorders>
          </w:tcPr>
          <w:p>
            <w:pPr>
              <w:ind w:left="40"/>
              <w:spacing w:after="0" w:line="18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700" w:type="dxa"/>
            <w:vAlign w:val="bottom"/>
            <w:tcBorders>
              <w:top w:val="single" w:sz="8" w:color="auto"/>
            </w:tcBorders>
          </w:tcPr>
          <w:p>
            <w:pPr>
              <w:ind w:left="60"/>
              <w:spacing w:after="0" w:line="186" w:lineRule="exact"/>
              <w:rPr>
                <w:sz w:val="20"/>
                <w:szCs w:val="20"/>
                <w:color w:val="auto"/>
              </w:rPr>
            </w:pPr>
            <w:r>
              <w:rPr>
                <w:rFonts w:ascii="Arial" w:cs="Arial" w:eastAsia="Arial" w:hAnsi="Arial"/>
                <w:sz w:val="17"/>
                <w:szCs w:val="17"/>
                <w:color w:val="auto"/>
              </w:rPr>
              <w:t>%</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Mibanco - Edyficar Perú</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5.60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14.30</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Prima AFP - AFP Unión Vida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1.60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16.10</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Mibanco Colombia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6.00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16.80</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Credicorp Capital Colombia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4.80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17.90</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Banco de Crédito del Perú</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4.60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12.80</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Pacífico Seguros (*)</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4.60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13.0 and 14.3</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Atlantic Security Holding Corporation</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2.30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15.20</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Tenpo (**)</w:t>
            </w:r>
          </w:p>
        </w:tc>
        <w:tc>
          <w:tcPr>
            <w:tcW w:w="12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25.00</w:t>
            </w:r>
          </w:p>
        </w:tc>
      </w:tr>
      <w:tr>
        <w:trPr>
          <w:trHeight w:val="208"/>
        </w:trPr>
        <w:tc>
          <w:tcPr>
            <w:tcW w:w="7120" w:type="dxa"/>
            <w:vAlign w:val="bottom"/>
          </w:tcPr>
          <w:p>
            <w:pPr>
              <w:spacing w:after="0"/>
              <w:rPr>
                <w:sz w:val="20"/>
                <w:szCs w:val="20"/>
                <w:color w:val="auto"/>
              </w:rPr>
            </w:pPr>
            <w:r>
              <w:rPr>
                <w:rFonts w:ascii="Arial" w:cs="Arial" w:eastAsia="Arial" w:hAnsi="Arial"/>
                <w:sz w:val="17"/>
                <w:szCs w:val="17"/>
                <w:color w:val="auto"/>
              </w:rPr>
              <w:t>Compañía Incubadora de Soluciones Móviles S.A-Culqi</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25.00</w:t>
            </w:r>
          </w:p>
        </w:tc>
      </w:tr>
      <w:tr>
        <w:trPr>
          <w:trHeight w:val="375"/>
        </w:trPr>
        <w:tc>
          <w:tcPr>
            <w:tcW w:w="7120" w:type="dxa"/>
            <w:vAlign w:val="bottom"/>
          </w:tcPr>
          <w:p>
            <w:pPr>
              <w:spacing w:after="0"/>
              <w:rPr>
                <w:sz w:val="24"/>
                <w:szCs w:val="24"/>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64"/>
        </w:trPr>
        <w:tc>
          <w:tcPr>
            <w:tcW w:w="7120" w:type="dxa"/>
            <w:vAlign w:val="bottom"/>
          </w:tcPr>
          <w:p>
            <w:pPr>
              <w:spacing w:after="0"/>
              <w:rPr>
                <w:sz w:val="14"/>
                <w:szCs w:val="14"/>
                <w:color w:val="auto"/>
              </w:rPr>
            </w:pPr>
          </w:p>
        </w:tc>
        <w:tc>
          <w:tcPr>
            <w:tcW w:w="1260" w:type="dxa"/>
            <w:vAlign w:val="bottom"/>
            <w:gridSpan w:val="2"/>
          </w:tcPr>
          <w:p>
            <w:pPr>
              <w:ind w:left="40"/>
              <w:spacing w:after="0" w:line="164" w:lineRule="exact"/>
              <w:rPr>
                <w:sz w:val="20"/>
                <w:szCs w:val="20"/>
                <w:color w:val="auto"/>
              </w:rPr>
            </w:pPr>
            <w:r>
              <w:rPr>
                <w:rFonts w:ascii="Arial" w:cs="Arial" w:eastAsia="Arial" w:hAnsi="Arial"/>
                <w:sz w:val="17"/>
                <w:szCs w:val="17"/>
                <w:b w:val="1"/>
                <w:bCs w:val="1"/>
                <w:color w:val="auto"/>
              </w:rPr>
              <w:t>Terminal</w:t>
            </w:r>
          </w:p>
        </w:tc>
        <w:tc>
          <w:tcPr>
            <w:tcW w:w="1700" w:type="dxa"/>
            <w:vAlign w:val="bottom"/>
          </w:tcPr>
          <w:p>
            <w:pPr>
              <w:spacing w:after="0"/>
              <w:rPr>
                <w:sz w:val="14"/>
                <w:szCs w:val="14"/>
                <w:color w:val="auto"/>
              </w:rPr>
            </w:pPr>
          </w:p>
        </w:tc>
      </w:tr>
      <w:tr>
        <w:trPr>
          <w:trHeight w:val="194"/>
        </w:trPr>
        <w:tc>
          <w:tcPr>
            <w:tcW w:w="7120" w:type="dxa"/>
            <w:vAlign w:val="bottom"/>
          </w:tcPr>
          <w:p>
            <w:pPr>
              <w:spacing w:after="0"/>
              <w:rPr>
                <w:sz w:val="16"/>
                <w:szCs w:val="16"/>
                <w:color w:val="auto"/>
              </w:rPr>
            </w:pPr>
          </w:p>
        </w:tc>
        <w:tc>
          <w:tcPr>
            <w:tcW w:w="1260" w:type="dxa"/>
            <w:vAlign w:val="bottom"/>
            <w:gridSpan w:val="2"/>
          </w:tcPr>
          <w:p>
            <w:pPr>
              <w:ind w:left="40"/>
              <w:spacing w:after="0" w:line="194" w:lineRule="exact"/>
              <w:rPr>
                <w:sz w:val="20"/>
                <w:szCs w:val="20"/>
                <w:color w:val="auto"/>
              </w:rPr>
            </w:pPr>
            <w:r>
              <w:rPr>
                <w:rFonts w:ascii="Arial" w:cs="Arial" w:eastAsia="Arial" w:hAnsi="Arial"/>
                <w:sz w:val="17"/>
                <w:szCs w:val="17"/>
                <w:b w:val="1"/>
                <w:bCs w:val="1"/>
                <w:color w:val="auto"/>
              </w:rPr>
              <w:t>value</w:t>
            </w:r>
          </w:p>
        </w:tc>
        <w:tc>
          <w:tcPr>
            <w:tcW w:w="1700" w:type="dxa"/>
            <w:vAlign w:val="bottom"/>
          </w:tcPr>
          <w:p>
            <w:pPr>
              <w:spacing w:after="0"/>
              <w:rPr>
                <w:sz w:val="16"/>
                <w:szCs w:val="16"/>
                <w:color w:val="auto"/>
              </w:rPr>
            </w:pPr>
          </w:p>
        </w:tc>
      </w:tr>
      <w:tr>
        <w:trPr>
          <w:trHeight w:val="217"/>
        </w:trPr>
        <w:tc>
          <w:tcPr>
            <w:tcW w:w="7120" w:type="dxa"/>
            <w:vAlign w:val="bottom"/>
          </w:tcPr>
          <w:p>
            <w:pPr>
              <w:spacing w:after="0"/>
              <w:rPr>
                <w:sz w:val="20"/>
                <w:szCs w:val="20"/>
                <w:color w:val="auto"/>
              </w:rPr>
            </w:pPr>
            <w:r>
              <w:rPr>
                <w:rFonts w:ascii="Arial" w:cs="Arial" w:eastAsia="Arial" w:hAnsi="Arial"/>
                <w:sz w:val="17"/>
                <w:szCs w:val="17"/>
                <w:b w:val="1"/>
                <w:bCs w:val="1"/>
                <w:color w:val="auto"/>
              </w:rPr>
              <w:t>Description</w:t>
            </w:r>
          </w:p>
        </w:tc>
        <w:tc>
          <w:tcPr>
            <w:tcW w:w="1260" w:type="dxa"/>
            <w:vAlign w:val="bottom"/>
            <w:gridSpan w:val="2"/>
          </w:tcPr>
          <w:p>
            <w:pPr>
              <w:ind w:left="40"/>
              <w:spacing w:after="0"/>
              <w:rPr>
                <w:sz w:val="20"/>
                <w:szCs w:val="20"/>
                <w:color w:val="auto"/>
              </w:rPr>
            </w:pPr>
            <w:r>
              <w:rPr>
                <w:rFonts w:ascii="Arial" w:cs="Arial" w:eastAsia="Arial" w:hAnsi="Arial"/>
                <w:sz w:val="17"/>
                <w:szCs w:val="17"/>
                <w:b w:val="1"/>
                <w:bCs w:val="1"/>
                <w:color w:val="auto"/>
              </w:rPr>
              <w:t>growth rate</w:t>
            </w:r>
          </w:p>
        </w:tc>
        <w:tc>
          <w:tcPr>
            <w:tcW w:w="1700" w:type="dxa"/>
            <w:vAlign w:val="bottom"/>
          </w:tcPr>
          <w:p>
            <w:pPr>
              <w:ind w:left="60"/>
              <w:spacing w:after="0"/>
              <w:rPr>
                <w:sz w:val="20"/>
                <w:szCs w:val="20"/>
                <w:color w:val="auto"/>
              </w:rPr>
            </w:pPr>
            <w:r>
              <w:rPr>
                <w:rFonts w:ascii="Arial" w:cs="Arial" w:eastAsia="Arial" w:hAnsi="Arial"/>
                <w:sz w:val="17"/>
                <w:szCs w:val="17"/>
                <w:b w:val="1"/>
                <w:bCs w:val="1"/>
                <w:color w:val="auto"/>
              </w:rPr>
              <w:t>Discount rate</w:t>
            </w:r>
          </w:p>
        </w:tc>
      </w:tr>
      <w:tr>
        <w:trPr>
          <w:trHeight w:val="186"/>
        </w:trPr>
        <w:tc>
          <w:tcPr>
            <w:tcW w:w="7120" w:type="dxa"/>
            <w:vAlign w:val="bottom"/>
          </w:tcPr>
          <w:p>
            <w:pPr>
              <w:spacing w:after="0"/>
              <w:rPr>
                <w:sz w:val="16"/>
                <w:szCs w:val="16"/>
                <w:color w:val="auto"/>
              </w:rPr>
            </w:pPr>
          </w:p>
        </w:tc>
        <w:tc>
          <w:tcPr>
            <w:tcW w:w="1120" w:type="dxa"/>
            <w:vAlign w:val="bottom"/>
            <w:tcBorders>
              <w:top w:val="single" w:sz="8" w:color="auto"/>
            </w:tcBorders>
          </w:tcPr>
          <w:p>
            <w:pPr>
              <w:ind w:left="40"/>
              <w:spacing w:after="0" w:line="18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700" w:type="dxa"/>
            <w:vAlign w:val="bottom"/>
            <w:tcBorders>
              <w:top w:val="single" w:sz="8" w:color="auto"/>
            </w:tcBorders>
          </w:tcPr>
          <w:p>
            <w:pPr>
              <w:ind w:left="60"/>
              <w:spacing w:after="0" w:line="186" w:lineRule="exact"/>
              <w:rPr>
                <w:sz w:val="20"/>
                <w:szCs w:val="20"/>
                <w:color w:val="auto"/>
              </w:rPr>
            </w:pPr>
            <w:r>
              <w:rPr>
                <w:rFonts w:ascii="Arial" w:cs="Arial" w:eastAsia="Arial" w:hAnsi="Arial"/>
                <w:sz w:val="17"/>
                <w:szCs w:val="17"/>
                <w:color w:val="auto"/>
              </w:rPr>
              <w:t>%</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Mibanco - Edyficar Perú</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3.00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11.78</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Prima AFP - AFP Unión Vida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1.00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12.62</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MiBanco - Colombia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4.00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13.05</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Credicorp Capital Colombia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3.80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12.90</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Banco de Crédito del Perú</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5.00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10.76</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Pacífico Seguros (*)</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5.00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10.29 and 11.07</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Atlantic Security Holding Corporation</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2.00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11.00</w:t>
            </w:r>
          </w:p>
        </w:tc>
      </w:tr>
      <w:tr>
        <w:trPr>
          <w:trHeight w:val="194"/>
        </w:trPr>
        <w:tc>
          <w:tcPr>
            <w:tcW w:w="7120" w:type="dxa"/>
            <w:vAlign w:val="bottom"/>
          </w:tcPr>
          <w:p>
            <w:pPr>
              <w:spacing w:after="0" w:line="194" w:lineRule="exact"/>
              <w:rPr>
                <w:sz w:val="20"/>
                <w:szCs w:val="20"/>
                <w:color w:val="auto"/>
              </w:rPr>
            </w:pPr>
            <w:r>
              <w:rPr>
                <w:rFonts w:ascii="Arial" w:cs="Arial" w:eastAsia="Arial" w:hAnsi="Arial"/>
                <w:sz w:val="17"/>
                <w:szCs w:val="17"/>
                <w:color w:val="auto"/>
              </w:rPr>
              <w:t>Tenpo (**)</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2.00</w:t>
            </w: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25.00</w:t>
            </w:r>
          </w:p>
        </w:tc>
      </w:tr>
      <w:tr>
        <w:trPr>
          <w:trHeight w:val="208"/>
        </w:trPr>
        <w:tc>
          <w:tcPr>
            <w:tcW w:w="7120" w:type="dxa"/>
            <w:vAlign w:val="bottom"/>
          </w:tcPr>
          <w:p>
            <w:pPr>
              <w:spacing w:after="0"/>
              <w:rPr>
                <w:sz w:val="20"/>
                <w:szCs w:val="20"/>
                <w:color w:val="auto"/>
              </w:rPr>
            </w:pPr>
            <w:r>
              <w:rPr>
                <w:rFonts w:ascii="Arial" w:cs="Arial" w:eastAsia="Arial" w:hAnsi="Arial"/>
                <w:sz w:val="17"/>
                <w:szCs w:val="17"/>
                <w:color w:val="auto"/>
              </w:rPr>
              <w:t>Compañía Incubadora de Soluciones Móviles S.A-Culqi</w:t>
            </w:r>
          </w:p>
        </w:tc>
        <w:tc>
          <w:tcPr>
            <w:tcW w:w="1120" w:type="dxa"/>
            <w:vAlign w:val="bottom"/>
          </w:tcPr>
          <w:p>
            <w:pPr>
              <w:jc w:val="right"/>
              <w:spacing w:after="0"/>
              <w:rPr>
                <w:sz w:val="20"/>
                <w:szCs w:val="20"/>
                <w:color w:val="auto"/>
              </w:rPr>
            </w:pPr>
            <w:r>
              <w:rPr>
                <w:rFonts w:ascii="Arial" w:cs="Arial" w:eastAsia="Arial" w:hAnsi="Arial"/>
                <w:sz w:val="17"/>
                <w:szCs w:val="17"/>
                <w:color w:val="auto"/>
              </w:rPr>
              <w:t>2.00</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25.00</w:t>
            </w:r>
          </w:p>
        </w:tc>
      </w:tr>
    </w:tbl>
    <w:p>
      <w:pPr>
        <w:spacing w:after="0" w:line="180" w:lineRule="exact"/>
        <w:rPr>
          <w:sz w:val="20"/>
          <w:szCs w:val="20"/>
          <w:color w:val="auto"/>
        </w:rPr>
      </w:pPr>
    </w:p>
    <w:p>
      <w:pPr>
        <w:ind w:left="304" w:right="80" w:hanging="304"/>
        <w:spacing w:after="0" w:line="254" w:lineRule="auto"/>
        <w:tabs>
          <w:tab w:leader="none" w:pos="30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As of December 31, 2022, and 2021, it comprises to the discount rates used to determine the recoverable value of the cash flows that correspond to the general and life insurance business lines.</w:t>
      </w:r>
    </w:p>
    <w:p>
      <w:pPr>
        <w:spacing w:after="0" w:line="169" w:lineRule="exact"/>
        <w:rPr>
          <w:sz w:val="20"/>
          <w:szCs w:val="20"/>
          <w:color w:val="auto"/>
        </w:rPr>
      </w:pPr>
    </w:p>
    <w:p>
      <w:pPr>
        <w:ind w:left="304" w:right="280" w:hanging="304"/>
        <w:spacing w:after="0" w:line="254" w:lineRule="auto"/>
        <w:tabs>
          <w:tab w:leader="none" w:pos="30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As of December 31,2022, and 2021, it comprises to the discount rates corresponds to the discount rates used to determine the recoverable value of the flows that correspond to the business lines of Tenpo SpA and Tenpo Technologie SpA.</w:t>
      </w:r>
    </w:p>
    <w:p>
      <w:pPr>
        <w:spacing w:after="0" w:line="169" w:lineRule="exact"/>
        <w:rPr>
          <w:sz w:val="20"/>
          <w:szCs w:val="20"/>
          <w:color w:val="auto"/>
        </w:rPr>
      </w:pPr>
    </w:p>
    <w:p>
      <w:pPr>
        <w:ind w:left="4"/>
        <w:spacing w:after="0" w:line="246" w:lineRule="auto"/>
        <w:rPr>
          <w:sz w:val="20"/>
          <w:szCs w:val="20"/>
          <w:color w:val="auto"/>
        </w:rPr>
      </w:pPr>
      <w:r>
        <w:rPr>
          <w:rFonts w:ascii="Arial" w:cs="Arial" w:eastAsia="Arial" w:hAnsi="Arial"/>
          <w:sz w:val="17"/>
          <w:szCs w:val="17"/>
          <w:color w:val="auto"/>
        </w:rPr>
        <w:t>Five or ten years of cash flows, depending on the business maturity, were included in the discounted cash flow model. The growth rate estimates are based on historic performance and management’s expectations of market development. A long-term growth rate to perpetuity has been determined taking into account forecasts included in industry reports.</w:t>
      </w:r>
    </w:p>
    <w:p>
      <w:pPr>
        <w:spacing w:after="0" w:line="176" w:lineRule="exact"/>
        <w:rPr>
          <w:sz w:val="20"/>
          <w:szCs w:val="20"/>
          <w:color w:val="auto"/>
        </w:rPr>
      </w:pPr>
    </w:p>
    <w:p>
      <w:pPr>
        <w:ind w:left="4" w:right="280"/>
        <w:spacing w:after="0" w:line="254" w:lineRule="auto"/>
        <w:rPr>
          <w:sz w:val="20"/>
          <w:szCs w:val="20"/>
          <w:color w:val="auto"/>
        </w:rPr>
      </w:pPr>
      <w:r>
        <w:rPr>
          <w:rFonts w:ascii="Arial" w:cs="Arial" w:eastAsia="Arial" w:hAnsi="Arial"/>
          <w:sz w:val="17"/>
          <w:szCs w:val="17"/>
          <w:color w:val="auto"/>
        </w:rPr>
        <w:t>Growth rates used this year are considering mainly two points of prices adjustments compared to 2021: (1) the update of long-term inflation expectations and (2) the update of businesses growth expectations (this one is the case of the microfinance companies)</w:t>
      </w:r>
    </w:p>
    <w:p>
      <w:pPr>
        <w:spacing w:after="0" w:line="143" w:lineRule="exact"/>
        <w:rPr>
          <w:sz w:val="20"/>
          <w:szCs w:val="20"/>
          <w:color w:val="auto"/>
        </w:rPr>
      </w:pPr>
    </w:p>
    <w:p>
      <w:pPr>
        <w:ind w:left="4484"/>
        <w:spacing w:after="0"/>
        <w:rPr>
          <w:sz w:val="20"/>
          <w:szCs w:val="20"/>
          <w:color w:val="auto"/>
        </w:rPr>
      </w:pPr>
      <w:r>
        <w:rPr>
          <w:rFonts w:ascii="Arial" w:cs="Arial" w:eastAsia="Arial" w:hAnsi="Arial"/>
          <w:sz w:val="17"/>
          <w:szCs w:val="17"/>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244"/>
          </w:cols>
          <w:pgMar w:left="1256" w:top="140" w:right="399" w:bottom="1440" w:gutter="0" w:footer="0" w:header="0"/>
        </w:sectPr>
      </w:pPr>
    </w:p>
    <w:bookmarkStart w:id="90" w:name="page91"/>
    <w:bookmarkEnd w:id="90"/>
    <w:p>
      <w:pPr>
        <w:spacing w:after="0" w:line="241" w:lineRule="auto"/>
        <w:rPr>
          <w:sz w:val="20"/>
          <w:szCs w:val="20"/>
          <w:color w:val="auto"/>
        </w:rPr>
      </w:pPr>
      <w:r>
        <w:rPr>
          <w:rFonts w:ascii="Arial" w:cs="Arial" w:eastAsia="Arial" w:hAnsi="Arial"/>
          <w:sz w:val="17"/>
          <w:szCs w:val="17"/>
          <w:color w:val="auto"/>
        </w:rPr>
        <w:t>Discount rates represent the current market assessment of the specific risks to each CGU. The discount rate is derived from the capital asset pricing model (CAPM). The cost of equity is derived from the expected return on investment by the Group’s investors, specific risk incorporated by applying individual comparable beta factors. The discount rates used in 2022 are higher than previous year level. This increase is explained by the update of the discount rates parameters. The biggest adjustments are mainly related to the increase of the free risk discount rate; the difference of inflation between the economies where the analyzed vehicles operate, and United States, and the higher perceived risk in the region (incorporated in the rate as a bigger country risk)</w:t>
      </w:r>
    </w:p>
    <w:p>
      <w:pPr>
        <w:spacing w:after="0" w:line="181"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The valuation includes assumptions about several key parameters of the entities. The parameter sensitivity exercises, growth and discount rates mainly, show scenarios in which said value is higher, and some scenarios with a non-material impairment in assets value. We consider that the amounts presented in the financial statements are appropriate and do not require any provision for impairment of our investments, given the accuracy of the assumptions with the information available at this time; considering that the valuation process occurs in an environment of high rates and with no signs of growth contraction.</w:t>
      </w:r>
    </w:p>
    <w:p>
      <w:pPr>
        <w:spacing w:after="0" w:line="180"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For entities with high risk of impairment, it is estimated that a change of up to 0.5 percent in the growth rate assumption and up to 0.5 percent in the discount rate assumption by 2022 (maintaining all other assumptions constant) would result in a decrease in the recoverable value of between S/13.0 million and S/45.8 million, which would generate non-material impairment.</w:t>
      </w:r>
    </w:p>
    <w:p>
      <w:pPr>
        <w:spacing w:after="0" w:line="176"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key assumptions described above may change if the conditions of the economy and market change. As of December 31, 2022 and 2021 the Group estimates that reasonably possible changes in these assumptions would not cause the recoverable amount of all CGUs to decline below their carrying amount.</w:t>
      </w:r>
    </w:p>
    <w:p>
      <w:pPr>
        <w:spacing w:after="0" w:line="15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280"/>
          </w:cols>
          <w:pgMar w:left="1260" w:top="140" w:right="359" w:bottom="1440" w:gutter="0" w:footer="0" w:header="0"/>
        </w:sectPr>
      </w:pPr>
    </w:p>
    <w:bookmarkStart w:id="91" w:name="page92"/>
    <w:bookmarkEnd w:id="91"/>
    <w:p>
      <w:pPr>
        <w:ind w:left="620" w:hanging="616"/>
        <w:spacing w:after="0"/>
        <w:tabs>
          <w:tab w:leader="none" w:pos="62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RIGHT-OF-USE ASSETS, NET AND LEASE OBLIGATIONS</w:t>
      </w:r>
    </w:p>
    <w:p>
      <w:pPr>
        <w:spacing w:after="0" w:line="214" w:lineRule="exact"/>
        <w:rPr>
          <w:rFonts w:ascii="Arial" w:cs="Arial" w:eastAsia="Arial" w:hAnsi="Arial"/>
          <w:sz w:val="17"/>
          <w:szCs w:val="17"/>
          <w:b w:val="1"/>
          <w:bCs w:val="1"/>
          <w:color w:val="auto"/>
        </w:rPr>
      </w:pPr>
    </w:p>
    <w:p>
      <w:pPr>
        <w:ind w:left="940" w:hanging="315"/>
        <w:spacing w:after="0"/>
        <w:tabs>
          <w:tab w:leader="none" w:pos="9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Right-of-use</w:t>
      </w:r>
    </w:p>
    <w:p>
      <w:pPr>
        <w:spacing w:after="0" w:line="193" w:lineRule="exact"/>
        <w:rPr>
          <w:rFonts w:ascii="Arial" w:cs="Arial" w:eastAsia="Arial" w:hAnsi="Arial"/>
          <w:sz w:val="17"/>
          <w:szCs w:val="17"/>
          <w:color w:val="auto"/>
        </w:rPr>
      </w:pPr>
    </w:p>
    <w:p>
      <w:pPr>
        <w:ind w:left="940"/>
        <w:spacing w:after="0"/>
        <w:rPr>
          <w:rFonts w:ascii="Arial" w:cs="Arial" w:eastAsia="Arial" w:hAnsi="Arial"/>
          <w:sz w:val="17"/>
          <w:szCs w:val="17"/>
          <w:color w:val="auto"/>
        </w:rPr>
      </w:pPr>
      <w:r>
        <w:rPr>
          <w:rFonts w:ascii="Arial" w:cs="Arial" w:eastAsia="Arial" w:hAnsi="Arial"/>
          <w:sz w:val="17"/>
          <w:szCs w:val="17"/>
          <w:color w:val="auto"/>
        </w:rPr>
        <w:t>The Group has leased agreements according to the following composition:</w:t>
      </w:r>
    </w:p>
    <w:p>
      <w:pPr>
        <w:spacing w:after="0" w:line="364" w:lineRule="exact"/>
        <w:rPr>
          <w:sz w:val="20"/>
          <w:szCs w:val="20"/>
          <w:color w:val="auto"/>
        </w:rPr>
      </w:pPr>
    </w:p>
    <w:tbl>
      <w:tblPr>
        <w:tblLayout w:type="fixed"/>
        <w:tblInd w:w="2900" w:type="dxa"/>
        <w:tblCellMar>
          <w:top w:w="0" w:type="dxa"/>
          <w:left w:w="0" w:type="dxa"/>
          <w:bottom w:w="0" w:type="dxa"/>
          <w:right w:w="0" w:type="dxa"/>
        </w:tblCellMar>
      </w:tblPr>
      <w:tr>
        <w:trPr>
          <w:trHeight w:val="195"/>
        </w:trPr>
        <w:tc>
          <w:tcPr>
            <w:tcW w:w="1460" w:type="dxa"/>
            <w:vAlign w:val="bottom"/>
            <w:gridSpan w:val="2"/>
          </w:tcPr>
          <w:p>
            <w:pPr>
              <w:ind w:left="60"/>
              <w:spacing w:after="0"/>
              <w:rPr>
                <w:sz w:val="20"/>
                <w:szCs w:val="20"/>
                <w:color w:val="auto"/>
              </w:rPr>
            </w:pPr>
            <w:r>
              <w:rPr>
                <w:rFonts w:ascii="Arial" w:cs="Arial" w:eastAsia="Arial" w:hAnsi="Arial"/>
                <w:sz w:val="17"/>
                <w:szCs w:val="17"/>
                <w:b w:val="1"/>
                <w:bCs w:val="1"/>
                <w:color w:val="auto"/>
              </w:rPr>
              <w:t>Property:</w:t>
            </w:r>
          </w:p>
        </w:tc>
        <w:tc>
          <w:tcPr>
            <w:tcW w:w="1480" w:type="dxa"/>
            <w:vAlign w:val="bottom"/>
            <w:gridSpan w:val="2"/>
          </w:tcPr>
          <w:p>
            <w:pPr>
              <w:ind w:left="60"/>
              <w:spacing w:after="0"/>
              <w:rPr>
                <w:sz w:val="20"/>
                <w:szCs w:val="20"/>
                <w:color w:val="auto"/>
              </w:rPr>
            </w:pPr>
            <w:r>
              <w:rPr>
                <w:rFonts w:ascii="Arial" w:cs="Arial" w:eastAsia="Arial" w:hAnsi="Arial"/>
                <w:sz w:val="17"/>
                <w:szCs w:val="17"/>
                <w:b w:val="1"/>
                <w:bCs w:val="1"/>
                <w:color w:val="auto"/>
              </w:rPr>
              <w:t>Servers and</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4"/>
        </w:trPr>
        <w:tc>
          <w:tcPr>
            <w:tcW w:w="1460" w:type="dxa"/>
            <w:vAlign w:val="bottom"/>
            <w:gridSpan w:val="2"/>
          </w:tcPr>
          <w:p>
            <w:pPr>
              <w:ind w:left="60"/>
              <w:spacing w:after="0" w:line="194" w:lineRule="exact"/>
              <w:rPr>
                <w:sz w:val="20"/>
                <w:szCs w:val="20"/>
                <w:color w:val="auto"/>
              </w:rPr>
            </w:pPr>
            <w:r>
              <w:rPr>
                <w:rFonts w:ascii="Arial" w:cs="Arial" w:eastAsia="Arial" w:hAnsi="Arial"/>
                <w:sz w:val="17"/>
                <w:szCs w:val="17"/>
                <w:b w:val="1"/>
                <w:bCs w:val="1"/>
                <w:color w:val="auto"/>
              </w:rPr>
              <w:t>Agencies and</w:t>
            </w:r>
          </w:p>
        </w:tc>
        <w:tc>
          <w:tcPr>
            <w:tcW w:w="1480" w:type="dxa"/>
            <w:vAlign w:val="bottom"/>
            <w:gridSpan w:val="2"/>
          </w:tcPr>
          <w:p>
            <w:pPr>
              <w:ind w:left="60"/>
              <w:spacing w:after="0" w:line="194" w:lineRule="exact"/>
              <w:rPr>
                <w:sz w:val="20"/>
                <w:szCs w:val="20"/>
                <w:color w:val="auto"/>
              </w:rPr>
            </w:pPr>
            <w:r>
              <w:rPr>
                <w:rFonts w:ascii="Arial" w:cs="Arial" w:eastAsia="Arial" w:hAnsi="Arial"/>
                <w:sz w:val="17"/>
                <w:szCs w:val="17"/>
                <w:b w:val="1"/>
                <w:bCs w:val="1"/>
                <w:color w:val="auto"/>
              </w:rPr>
              <w:t>technology</w:t>
            </w:r>
          </w:p>
        </w:tc>
        <w:tc>
          <w:tcPr>
            <w:tcW w:w="1060" w:type="dxa"/>
            <w:vAlign w:val="bottom"/>
            <w:gridSpan w:val="2"/>
          </w:tcPr>
          <w:p>
            <w:pPr>
              <w:ind w:left="60"/>
              <w:spacing w:after="0" w:line="194" w:lineRule="exact"/>
              <w:rPr>
                <w:sz w:val="20"/>
                <w:szCs w:val="20"/>
                <w:color w:val="auto"/>
              </w:rPr>
            </w:pPr>
            <w:r>
              <w:rPr>
                <w:rFonts w:ascii="Arial" w:cs="Arial" w:eastAsia="Arial" w:hAnsi="Arial"/>
                <w:sz w:val="17"/>
                <w:szCs w:val="17"/>
                <w:b w:val="1"/>
                <w:bCs w:val="1"/>
                <w:color w:val="auto"/>
              </w:rPr>
              <w:t>Transport</w:t>
            </w:r>
          </w:p>
        </w:tc>
        <w:tc>
          <w:tcPr>
            <w:tcW w:w="1240" w:type="dxa"/>
            <w:vAlign w:val="bottom"/>
            <w:gridSpan w:val="2"/>
          </w:tcPr>
          <w:p>
            <w:pPr>
              <w:ind w:left="60"/>
              <w:spacing w:after="0" w:line="194" w:lineRule="exact"/>
              <w:rPr>
                <w:sz w:val="20"/>
                <w:szCs w:val="20"/>
                <w:color w:val="auto"/>
              </w:rPr>
            </w:pPr>
            <w:r>
              <w:rPr>
                <w:rFonts w:ascii="Arial" w:cs="Arial" w:eastAsia="Arial" w:hAnsi="Arial"/>
                <w:sz w:val="17"/>
                <w:szCs w:val="17"/>
                <w:b w:val="1"/>
                <w:bCs w:val="1"/>
                <w:color w:val="auto"/>
              </w:rPr>
              <w:t>Other</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7"/>
        </w:trPr>
        <w:tc>
          <w:tcPr>
            <w:tcW w:w="1460" w:type="dxa"/>
            <w:vAlign w:val="bottom"/>
            <w:gridSpan w:val="2"/>
          </w:tcPr>
          <w:p>
            <w:pPr>
              <w:ind w:left="60"/>
              <w:spacing w:after="0"/>
              <w:rPr>
                <w:sz w:val="20"/>
                <w:szCs w:val="20"/>
                <w:color w:val="auto"/>
              </w:rPr>
            </w:pPr>
            <w:r>
              <w:rPr>
                <w:rFonts w:ascii="Arial" w:cs="Arial" w:eastAsia="Arial" w:hAnsi="Arial"/>
                <w:sz w:val="17"/>
                <w:szCs w:val="17"/>
                <w:b w:val="1"/>
                <w:bCs w:val="1"/>
                <w:color w:val="auto"/>
              </w:rPr>
              <w:t>offices</w:t>
            </w:r>
          </w:p>
        </w:tc>
        <w:tc>
          <w:tcPr>
            <w:tcW w:w="1480" w:type="dxa"/>
            <w:vAlign w:val="bottom"/>
            <w:gridSpan w:val="2"/>
          </w:tcPr>
          <w:p>
            <w:pPr>
              <w:ind w:left="60"/>
              <w:spacing w:after="0"/>
              <w:rPr>
                <w:sz w:val="20"/>
                <w:szCs w:val="20"/>
                <w:color w:val="auto"/>
              </w:rPr>
            </w:pPr>
            <w:r>
              <w:rPr>
                <w:rFonts w:ascii="Arial" w:cs="Arial" w:eastAsia="Arial" w:hAnsi="Arial"/>
                <w:sz w:val="17"/>
                <w:szCs w:val="17"/>
                <w:b w:val="1"/>
                <w:bCs w:val="1"/>
                <w:color w:val="auto"/>
              </w:rPr>
              <w:t>platforms</w:t>
            </w:r>
          </w:p>
        </w:tc>
        <w:tc>
          <w:tcPr>
            <w:tcW w:w="1060" w:type="dxa"/>
            <w:vAlign w:val="bottom"/>
            <w:gridSpan w:val="2"/>
          </w:tcPr>
          <w:p>
            <w:pPr>
              <w:ind w:left="60"/>
              <w:spacing w:after="0"/>
              <w:rPr>
                <w:sz w:val="20"/>
                <w:szCs w:val="20"/>
                <w:color w:val="auto"/>
              </w:rPr>
            </w:pPr>
            <w:r>
              <w:rPr>
                <w:rFonts w:ascii="Arial" w:cs="Arial" w:eastAsia="Arial" w:hAnsi="Arial"/>
                <w:sz w:val="17"/>
                <w:szCs w:val="17"/>
                <w:b w:val="1"/>
                <w:bCs w:val="1"/>
                <w:color w:val="auto"/>
              </w:rPr>
              <w:t>units</w:t>
            </w:r>
          </w:p>
        </w:tc>
        <w:tc>
          <w:tcPr>
            <w:tcW w:w="1240" w:type="dxa"/>
            <w:vAlign w:val="bottom"/>
            <w:gridSpan w:val="2"/>
          </w:tcPr>
          <w:p>
            <w:pPr>
              <w:ind w:left="60"/>
              <w:spacing w:after="0"/>
              <w:rPr>
                <w:sz w:val="20"/>
                <w:szCs w:val="20"/>
                <w:color w:val="auto"/>
              </w:rPr>
            </w:pPr>
            <w:r>
              <w:rPr>
                <w:rFonts w:ascii="Arial" w:cs="Arial" w:eastAsia="Arial" w:hAnsi="Arial"/>
                <w:sz w:val="17"/>
                <w:szCs w:val="17"/>
                <w:b w:val="1"/>
                <w:bCs w:val="1"/>
                <w:color w:val="auto"/>
              </w:rPr>
              <w:t>leases</w:t>
            </w:r>
          </w:p>
        </w:tc>
        <w:tc>
          <w:tcPr>
            <w:tcW w:w="900" w:type="dxa"/>
            <w:vAlign w:val="bottom"/>
          </w:tcPr>
          <w:p>
            <w:pPr>
              <w:ind w:left="6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7"/>
                <w:szCs w:val="17"/>
                <w:b w:val="1"/>
                <w:bCs w:val="1"/>
                <w:color w:val="auto"/>
              </w:rPr>
              <w:t>2020</w:t>
            </w:r>
          </w:p>
        </w:tc>
      </w:tr>
      <w:tr>
        <w:trPr>
          <w:trHeight w:val="223"/>
        </w:trPr>
        <w:tc>
          <w:tcPr>
            <w:tcW w:w="13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13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110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90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7"/>
                <w:szCs w:val="17"/>
                <w:b w:val="1"/>
                <w:bCs w:val="1"/>
                <w:color w:val="auto"/>
              </w:rPr>
              <w:t>Cost -</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00" w:type="dxa"/>
            <w:vAlign w:val="bottom"/>
          </w:tcPr>
          <w:p>
            <w:pPr>
              <w:spacing w:after="0" w:line="194" w:lineRule="exact"/>
              <w:rPr>
                <w:sz w:val="20"/>
                <w:szCs w:val="20"/>
                <w:color w:val="auto"/>
              </w:rPr>
            </w:pPr>
            <w:r>
              <w:rPr>
                <w:rFonts w:ascii="Arial" w:cs="Arial" w:eastAsia="Arial" w:hAnsi="Arial"/>
                <w:sz w:val="17"/>
                <w:szCs w:val="17"/>
                <w:color w:val="auto"/>
              </w:rPr>
              <w:t>Balance as of January 1,</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769,181</w:t>
            </w:r>
          </w:p>
        </w:tc>
        <w:tc>
          <w:tcPr>
            <w:tcW w:w="14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151,135</w:t>
            </w:r>
          </w:p>
        </w:tc>
        <w:tc>
          <w:tcPr>
            <w:tcW w:w="16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2,731</w:t>
            </w:r>
          </w:p>
        </w:tc>
        <w:tc>
          <w:tcPr>
            <w:tcW w:w="14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46,308</w:t>
            </w:r>
          </w:p>
        </w:tc>
        <w:tc>
          <w:tcPr>
            <w:tcW w:w="14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969,355</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990,148</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997,817</w:t>
            </w:r>
          </w:p>
        </w:tc>
        <w:tc>
          <w:tcPr>
            <w:tcW w:w="0" w:type="dxa"/>
            <w:vAlign w:val="bottom"/>
          </w:tcPr>
          <w:p>
            <w:pPr>
              <w:spacing w:after="0"/>
              <w:rPr>
                <w:sz w:val="1"/>
                <w:szCs w:val="1"/>
                <w:color w:val="auto"/>
              </w:rPr>
            </w:pPr>
          </w:p>
        </w:tc>
      </w:tr>
      <w:tr>
        <w:trPr>
          <w:trHeight w:val="194"/>
        </w:trPr>
        <w:tc>
          <w:tcPr>
            <w:tcW w:w="2900" w:type="dxa"/>
            <w:vAlign w:val="bottom"/>
          </w:tcPr>
          <w:p>
            <w:pPr>
              <w:spacing w:after="0" w:line="194" w:lineRule="exact"/>
              <w:rPr>
                <w:sz w:val="20"/>
                <w:szCs w:val="20"/>
                <w:color w:val="auto"/>
              </w:rPr>
            </w:pPr>
            <w:r>
              <w:rPr>
                <w:rFonts w:ascii="Arial" w:cs="Arial" w:eastAsia="Arial" w:hAnsi="Arial"/>
                <w:sz w:val="17"/>
                <w:szCs w:val="17"/>
                <w:color w:val="auto"/>
              </w:rPr>
              <w:t>Additions</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93,867</w:t>
            </w:r>
          </w:p>
        </w:tc>
        <w:tc>
          <w:tcPr>
            <w:tcW w:w="14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786</w:t>
            </w:r>
          </w:p>
        </w:tc>
        <w:tc>
          <w:tcPr>
            <w:tcW w:w="16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802</w:t>
            </w:r>
          </w:p>
        </w:tc>
        <w:tc>
          <w:tcPr>
            <w:tcW w:w="14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18,493</w:t>
            </w:r>
          </w:p>
        </w:tc>
        <w:tc>
          <w:tcPr>
            <w:tcW w:w="14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113,948</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110,005</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194,501</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20"/>
                <w:szCs w:val="20"/>
                <w:color w:val="auto"/>
              </w:rPr>
            </w:pPr>
            <w:r>
              <w:rPr>
                <w:rFonts w:ascii="Arial" w:cs="Arial" w:eastAsia="Arial" w:hAnsi="Arial"/>
                <w:sz w:val="17"/>
                <w:szCs w:val="17"/>
                <w:color w:val="auto"/>
              </w:rPr>
              <w:t>Disposal and others</w:t>
            </w:r>
          </w:p>
        </w:tc>
        <w:tc>
          <w:tcPr>
            <w:tcW w:w="1320" w:type="dxa"/>
            <w:vAlign w:val="bottom"/>
          </w:tcPr>
          <w:p>
            <w:pPr>
              <w:jc w:val="right"/>
              <w:spacing w:after="0"/>
              <w:rPr>
                <w:sz w:val="20"/>
                <w:szCs w:val="20"/>
                <w:color w:val="auto"/>
              </w:rPr>
            </w:pPr>
            <w:r>
              <w:rPr>
                <w:rFonts w:ascii="Arial" w:cs="Arial" w:eastAsia="Arial" w:hAnsi="Arial"/>
                <w:sz w:val="17"/>
                <w:szCs w:val="17"/>
                <w:color w:val="auto"/>
              </w:rPr>
              <w:t>(55,626)</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(558)</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(228)</w:t>
            </w:r>
          </w:p>
        </w:tc>
        <w:tc>
          <w:tcPr>
            <w:tcW w:w="14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(56,412)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(130,798)</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(202,170)</w:t>
            </w:r>
          </w:p>
        </w:tc>
        <w:tc>
          <w:tcPr>
            <w:tcW w:w="0" w:type="dxa"/>
            <w:vAlign w:val="bottom"/>
          </w:tcPr>
          <w:p>
            <w:pPr>
              <w:spacing w:after="0"/>
              <w:rPr>
                <w:sz w:val="1"/>
                <w:szCs w:val="1"/>
                <w:color w:val="auto"/>
              </w:rPr>
            </w:pPr>
          </w:p>
        </w:tc>
      </w:tr>
      <w:tr>
        <w:trPr>
          <w:trHeight w:val="187"/>
        </w:trPr>
        <w:tc>
          <w:tcPr>
            <w:tcW w:w="2900" w:type="dxa"/>
            <w:vAlign w:val="bottom"/>
          </w:tcPr>
          <w:p>
            <w:pPr>
              <w:spacing w:after="0" w:line="187" w:lineRule="exact"/>
              <w:rPr>
                <w:sz w:val="20"/>
                <w:szCs w:val="20"/>
                <w:color w:val="auto"/>
              </w:rPr>
            </w:pPr>
            <w:r>
              <w:rPr>
                <w:rFonts w:ascii="Arial" w:cs="Arial" w:eastAsia="Arial" w:hAnsi="Arial"/>
                <w:sz w:val="17"/>
                <w:szCs w:val="17"/>
                <w:b w:val="1"/>
                <w:bCs w:val="1"/>
                <w:color w:val="auto"/>
              </w:rPr>
              <w:t>Balance as of December 31</w:t>
            </w:r>
          </w:p>
        </w:tc>
        <w:tc>
          <w:tcPr>
            <w:tcW w:w="13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807,422</w:t>
            </w:r>
          </w:p>
        </w:tc>
        <w:tc>
          <w:tcPr>
            <w:tcW w:w="14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151,363</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3,305</w:t>
            </w:r>
          </w:p>
        </w:tc>
        <w:tc>
          <w:tcPr>
            <w:tcW w:w="14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64,801</w:t>
            </w:r>
          </w:p>
        </w:tc>
        <w:tc>
          <w:tcPr>
            <w:tcW w:w="1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1,026,891</w:t>
            </w:r>
          </w:p>
        </w:tc>
        <w:tc>
          <w:tcPr>
            <w:tcW w:w="1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969,355</w:t>
            </w:r>
          </w:p>
        </w:tc>
        <w:tc>
          <w:tcPr>
            <w:tcW w:w="1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990,148</w:t>
            </w:r>
          </w:p>
        </w:tc>
        <w:tc>
          <w:tcPr>
            <w:tcW w:w="0" w:type="dxa"/>
            <w:vAlign w:val="bottom"/>
          </w:tcPr>
          <w:p>
            <w:pPr>
              <w:spacing w:after="0"/>
              <w:rPr>
                <w:sz w:val="1"/>
                <w:szCs w:val="1"/>
                <w:color w:val="auto"/>
              </w:rPr>
            </w:pPr>
          </w:p>
        </w:tc>
      </w:tr>
      <w:tr>
        <w:trPr>
          <w:trHeight w:val="381"/>
        </w:trPr>
        <w:tc>
          <w:tcPr>
            <w:tcW w:w="2900" w:type="dxa"/>
            <w:vAlign w:val="bottom"/>
          </w:tcPr>
          <w:p>
            <w:pPr>
              <w:spacing w:after="0"/>
              <w:rPr>
                <w:sz w:val="20"/>
                <w:szCs w:val="20"/>
                <w:color w:val="auto"/>
              </w:rPr>
            </w:pPr>
            <w:r>
              <w:rPr>
                <w:rFonts w:ascii="Arial" w:cs="Arial" w:eastAsia="Arial" w:hAnsi="Arial"/>
                <w:sz w:val="17"/>
                <w:szCs w:val="17"/>
                <w:b w:val="1"/>
                <w:bCs w:val="1"/>
                <w:color w:val="auto"/>
              </w:rPr>
              <w:t>Accumulated depreciation -</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900" w:type="dxa"/>
            <w:vAlign w:val="bottom"/>
          </w:tcPr>
          <w:p>
            <w:pPr>
              <w:spacing w:after="0" w:line="194" w:lineRule="exact"/>
              <w:rPr>
                <w:sz w:val="20"/>
                <w:szCs w:val="20"/>
                <w:color w:val="auto"/>
              </w:rPr>
            </w:pPr>
            <w:r>
              <w:rPr>
                <w:rFonts w:ascii="Arial" w:cs="Arial" w:eastAsia="Arial" w:hAnsi="Arial"/>
                <w:sz w:val="17"/>
                <w:szCs w:val="17"/>
                <w:color w:val="auto"/>
              </w:rPr>
              <w:t>Balance as of January 1,</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324,244</w:t>
            </w:r>
          </w:p>
        </w:tc>
        <w:tc>
          <w:tcPr>
            <w:tcW w:w="14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43,950</w:t>
            </w:r>
          </w:p>
        </w:tc>
        <w:tc>
          <w:tcPr>
            <w:tcW w:w="16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1,652</w:t>
            </w:r>
          </w:p>
        </w:tc>
        <w:tc>
          <w:tcPr>
            <w:tcW w:w="14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13,092</w:t>
            </w:r>
          </w:p>
        </w:tc>
        <w:tc>
          <w:tcPr>
            <w:tcW w:w="14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382,938</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287,220</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175,977</w:t>
            </w:r>
          </w:p>
        </w:tc>
        <w:tc>
          <w:tcPr>
            <w:tcW w:w="0" w:type="dxa"/>
            <w:vAlign w:val="bottom"/>
          </w:tcPr>
          <w:p>
            <w:pPr>
              <w:spacing w:after="0"/>
              <w:rPr>
                <w:sz w:val="1"/>
                <w:szCs w:val="1"/>
                <w:color w:val="auto"/>
              </w:rPr>
            </w:pPr>
          </w:p>
        </w:tc>
      </w:tr>
      <w:tr>
        <w:trPr>
          <w:trHeight w:val="194"/>
        </w:trPr>
        <w:tc>
          <w:tcPr>
            <w:tcW w:w="2900" w:type="dxa"/>
            <w:vAlign w:val="bottom"/>
          </w:tcPr>
          <w:p>
            <w:pPr>
              <w:spacing w:after="0" w:line="194" w:lineRule="exact"/>
              <w:rPr>
                <w:sz w:val="20"/>
                <w:szCs w:val="20"/>
                <w:color w:val="auto"/>
              </w:rPr>
            </w:pPr>
            <w:r>
              <w:rPr>
                <w:rFonts w:ascii="Arial" w:cs="Arial" w:eastAsia="Arial" w:hAnsi="Arial"/>
                <w:sz w:val="17"/>
                <w:szCs w:val="17"/>
                <w:color w:val="auto"/>
              </w:rPr>
              <w:t>Depreciation of the period</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112,307</w:t>
            </w:r>
          </w:p>
        </w:tc>
        <w:tc>
          <w:tcPr>
            <w:tcW w:w="14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28,116</w:t>
            </w:r>
          </w:p>
        </w:tc>
        <w:tc>
          <w:tcPr>
            <w:tcW w:w="16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618</w:t>
            </w:r>
          </w:p>
        </w:tc>
        <w:tc>
          <w:tcPr>
            <w:tcW w:w="14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10,294</w:t>
            </w:r>
          </w:p>
        </w:tc>
        <w:tc>
          <w:tcPr>
            <w:tcW w:w="14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151,335</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161,287</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172,005</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20"/>
                <w:szCs w:val="20"/>
                <w:color w:val="auto"/>
              </w:rPr>
            </w:pPr>
            <w:r>
              <w:rPr>
                <w:rFonts w:ascii="Arial" w:cs="Arial" w:eastAsia="Arial" w:hAnsi="Arial"/>
                <w:sz w:val="17"/>
                <w:szCs w:val="17"/>
                <w:color w:val="auto"/>
              </w:rPr>
              <w:t>Disposal and others</w:t>
            </w:r>
          </w:p>
        </w:tc>
        <w:tc>
          <w:tcPr>
            <w:tcW w:w="1320" w:type="dxa"/>
            <w:vAlign w:val="bottom"/>
          </w:tcPr>
          <w:p>
            <w:pPr>
              <w:jc w:val="right"/>
              <w:spacing w:after="0"/>
              <w:rPr>
                <w:sz w:val="20"/>
                <w:szCs w:val="20"/>
                <w:color w:val="auto"/>
              </w:rPr>
            </w:pPr>
            <w:r>
              <w:rPr>
                <w:rFonts w:ascii="Arial" w:cs="Arial" w:eastAsia="Arial" w:hAnsi="Arial"/>
                <w:sz w:val="17"/>
                <w:szCs w:val="17"/>
                <w:color w:val="auto"/>
              </w:rPr>
              <w:t>(50,443)</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(218)</w:t>
            </w:r>
          </w:p>
        </w:tc>
        <w:tc>
          <w:tcPr>
            <w:tcW w:w="14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(51,215)</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(65,569)</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(60,762)</w:t>
            </w:r>
          </w:p>
        </w:tc>
        <w:tc>
          <w:tcPr>
            <w:tcW w:w="0" w:type="dxa"/>
            <w:vAlign w:val="bottom"/>
          </w:tcPr>
          <w:p>
            <w:pPr>
              <w:spacing w:after="0"/>
              <w:rPr>
                <w:sz w:val="1"/>
                <w:szCs w:val="1"/>
                <w:color w:val="auto"/>
              </w:rPr>
            </w:pPr>
          </w:p>
        </w:tc>
      </w:tr>
      <w:tr>
        <w:trPr>
          <w:trHeight w:val="187"/>
        </w:trPr>
        <w:tc>
          <w:tcPr>
            <w:tcW w:w="2900" w:type="dxa"/>
            <w:vAlign w:val="bottom"/>
          </w:tcPr>
          <w:p>
            <w:pPr>
              <w:spacing w:after="0" w:line="187" w:lineRule="exact"/>
              <w:rPr>
                <w:sz w:val="20"/>
                <w:szCs w:val="20"/>
                <w:color w:val="auto"/>
              </w:rPr>
            </w:pPr>
            <w:r>
              <w:rPr>
                <w:rFonts w:ascii="Arial" w:cs="Arial" w:eastAsia="Arial" w:hAnsi="Arial"/>
                <w:sz w:val="17"/>
                <w:szCs w:val="17"/>
                <w:b w:val="1"/>
                <w:bCs w:val="1"/>
                <w:color w:val="auto"/>
              </w:rPr>
              <w:t>Balance as of December 31</w:t>
            </w:r>
          </w:p>
        </w:tc>
        <w:tc>
          <w:tcPr>
            <w:tcW w:w="13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386,108</w:t>
            </w:r>
          </w:p>
        </w:tc>
        <w:tc>
          <w:tcPr>
            <w:tcW w:w="14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71,512</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2,052</w:t>
            </w:r>
          </w:p>
        </w:tc>
        <w:tc>
          <w:tcPr>
            <w:tcW w:w="14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23,386</w:t>
            </w:r>
          </w:p>
        </w:tc>
        <w:tc>
          <w:tcPr>
            <w:tcW w:w="1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483,058</w:t>
            </w:r>
          </w:p>
        </w:tc>
        <w:tc>
          <w:tcPr>
            <w:tcW w:w="1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382,938</w:t>
            </w:r>
          </w:p>
        </w:tc>
        <w:tc>
          <w:tcPr>
            <w:tcW w:w="1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287,220</w:t>
            </w:r>
          </w:p>
        </w:tc>
        <w:tc>
          <w:tcPr>
            <w:tcW w:w="0" w:type="dxa"/>
            <w:vAlign w:val="bottom"/>
          </w:tcPr>
          <w:p>
            <w:pPr>
              <w:spacing w:after="0"/>
              <w:rPr>
                <w:sz w:val="1"/>
                <w:szCs w:val="1"/>
                <w:color w:val="auto"/>
              </w:rPr>
            </w:pPr>
          </w:p>
        </w:tc>
      </w:tr>
      <w:tr>
        <w:trPr>
          <w:trHeight w:val="187"/>
        </w:trPr>
        <w:tc>
          <w:tcPr>
            <w:tcW w:w="2900" w:type="dxa"/>
            <w:vAlign w:val="bottom"/>
            <w:vMerge w:val="restart"/>
          </w:tcPr>
          <w:p>
            <w:pPr>
              <w:spacing w:after="0"/>
              <w:rPr>
                <w:sz w:val="20"/>
                <w:szCs w:val="20"/>
                <w:color w:val="auto"/>
              </w:rPr>
            </w:pPr>
            <w:r>
              <w:rPr>
                <w:rFonts w:ascii="Arial" w:cs="Arial" w:eastAsia="Arial" w:hAnsi="Arial"/>
                <w:sz w:val="17"/>
                <w:szCs w:val="17"/>
                <w:b w:val="1"/>
                <w:bCs w:val="1"/>
                <w:color w:val="auto"/>
              </w:rPr>
              <w:t>Net carrying amount</w:t>
            </w:r>
          </w:p>
        </w:tc>
        <w:tc>
          <w:tcPr>
            <w:tcW w:w="1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0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421,314</w:t>
            </w:r>
          </w:p>
        </w:tc>
        <w:tc>
          <w:tcPr>
            <w:tcW w:w="140" w:type="dxa"/>
            <w:vAlign w:val="bottom"/>
          </w:tcPr>
          <w:p>
            <w:pPr>
              <w:spacing w:after="0"/>
              <w:rPr>
                <w:sz w:val="16"/>
                <w:szCs w:val="16"/>
                <w:color w:val="auto"/>
              </w:rPr>
            </w:pPr>
          </w:p>
        </w:tc>
        <w:tc>
          <w:tcPr>
            <w:tcW w:w="13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79,851</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1,253</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41,415</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543,833</w:t>
            </w: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586,417</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702,928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40" w:hanging="315"/>
        <w:spacing w:after="0"/>
        <w:tabs>
          <w:tab w:leader="none" w:pos="9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Lease Liabilities</w:t>
      </w:r>
    </w:p>
    <w:p>
      <w:pPr>
        <w:spacing w:after="0" w:line="193" w:lineRule="exact"/>
        <w:rPr>
          <w:rFonts w:ascii="Arial" w:cs="Arial" w:eastAsia="Arial" w:hAnsi="Arial"/>
          <w:sz w:val="17"/>
          <w:szCs w:val="17"/>
          <w:color w:val="auto"/>
        </w:rPr>
      </w:pPr>
    </w:p>
    <w:p>
      <w:pPr>
        <w:ind w:left="940" w:right="200"/>
        <w:spacing w:after="0" w:line="246" w:lineRule="auto"/>
        <w:rPr>
          <w:rFonts w:ascii="Arial" w:cs="Arial" w:eastAsia="Arial" w:hAnsi="Arial"/>
          <w:sz w:val="17"/>
          <w:szCs w:val="17"/>
          <w:color w:val="auto"/>
        </w:rPr>
      </w:pPr>
      <w:r>
        <w:rPr>
          <w:rFonts w:ascii="Arial" w:cs="Arial" w:eastAsia="Arial" w:hAnsi="Arial"/>
          <w:sz w:val="17"/>
          <w:szCs w:val="17"/>
          <w:color w:val="auto"/>
        </w:rPr>
        <w:t>The Group maintains contracts, with certain renewal options and for which the Group has reasonable certainty that this option will be exercised. In those cases, the period of lease used to measure the liability and assets corresponds to an estimation of future renovations.</w:t>
      </w:r>
    </w:p>
    <w:p>
      <w:pPr>
        <w:spacing w:after="0" w:line="150" w:lineRule="exact"/>
        <w:rPr>
          <w:rFonts w:ascii="Arial" w:cs="Arial" w:eastAsia="Arial" w:hAnsi="Arial"/>
          <w:sz w:val="17"/>
          <w:szCs w:val="17"/>
          <w:color w:val="auto"/>
        </w:rPr>
      </w:pPr>
    </w:p>
    <w:p>
      <w:pPr>
        <w:ind w:left="5520" w:hanging="97"/>
        <w:spacing w:after="0"/>
        <w:tabs>
          <w:tab w:leader="none" w:pos="55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9"/>
        </w:trPr>
        <w:tc>
          <w:tcPr>
            <w:tcW w:w="420" w:type="dxa"/>
            <w:vAlign w:val="bottom"/>
          </w:tcPr>
          <w:p>
            <w:pPr>
              <w:jc w:val="right"/>
              <w:ind w:right="134"/>
              <w:spacing w:after="0"/>
              <w:rPr>
                <w:sz w:val="20"/>
                <w:szCs w:val="20"/>
                <w:color w:val="auto"/>
              </w:rPr>
            </w:pPr>
            <w:r>
              <w:rPr>
                <w:rFonts w:ascii="Arial" w:cs="Arial" w:eastAsia="Arial" w:hAnsi="Arial"/>
                <w:sz w:val="17"/>
                <w:szCs w:val="17"/>
                <w:b w:val="1"/>
                <w:bCs w:val="1"/>
                <w:color w:val="auto"/>
                <w:w w:val="94"/>
              </w:rPr>
              <w:t>13</w:t>
            </w:r>
          </w:p>
        </w:tc>
        <w:tc>
          <w:tcPr>
            <w:tcW w:w="4440" w:type="dxa"/>
            <w:vAlign w:val="bottom"/>
          </w:tcPr>
          <w:p>
            <w:pPr>
              <w:ind w:left="200"/>
              <w:spacing w:after="0"/>
              <w:rPr>
                <w:sz w:val="20"/>
                <w:szCs w:val="20"/>
                <w:color w:val="auto"/>
              </w:rPr>
            </w:pPr>
            <w:r>
              <w:rPr>
                <w:rFonts w:ascii="Arial" w:cs="Arial" w:eastAsia="Arial" w:hAnsi="Arial"/>
                <w:sz w:val="17"/>
                <w:szCs w:val="17"/>
                <w:b w:val="1"/>
                <w:bCs w:val="1"/>
                <w:color w:val="auto"/>
              </w:rPr>
              <w:t>OTHER ASSETS AND OTHER LIABILITIES</w:t>
            </w:r>
          </w:p>
        </w:tc>
        <w:tc>
          <w:tcPr>
            <w:tcW w:w="3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420" w:type="dxa"/>
            <w:vAlign w:val="bottom"/>
          </w:tcPr>
          <w:p>
            <w:pPr>
              <w:spacing w:after="0"/>
              <w:rPr>
                <w:sz w:val="24"/>
                <w:szCs w:val="24"/>
                <w:color w:val="auto"/>
              </w:rPr>
            </w:pPr>
          </w:p>
        </w:tc>
        <w:tc>
          <w:tcPr>
            <w:tcW w:w="4440" w:type="dxa"/>
            <w:vAlign w:val="bottom"/>
          </w:tcPr>
          <w:p>
            <w:pPr>
              <w:ind w:left="200"/>
              <w:spacing w:after="0"/>
              <w:rPr>
                <w:sz w:val="20"/>
                <w:szCs w:val="20"/>
                <w:color w:val="auto"/>
              </w:rPr>
            </w:pPr>
            <w:r>
              <w:rPr>
                <w:rFonts w:ascii="Arial" w:cs="Arial" w:eastAsia="Arial" w:hAnsi="Arial"/>
                <w:sz w:val="17"/>
                <w:szCs w:val="17"/>
                <w:color w:val="auto"/>
              </w:rPr>
              <w:t>a)  This item consists of the following:</w:t>
            </w:r>
          </w:p>
        </w:tc>
        <w:tc>
          <w:tcPr>
            <w:tcW w:w="3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900" w:type="dxa"/>
            <w:vAlign w:val="bottom"/>
            <w:gridSpan w:val="2"/>
          </w:tcPr>
          <w:p>
            <w:pPr>
              <w:ind w:left="384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44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Other assets -</w:t>
            </w:r>
          </w:p>
        </w:tc>
        <w:tc>
          <w:tcPr>
            <w:tcW w:w="3780" w:type="dxa"/>
            <w:vAlign w:val="bottom"/>
          </w:tcPr>
          <w:p>
            <w:pPr>
              <w:spacing w:after="0"/>
              <w:rPr>
                <w:sz w:val="19"/>
                <w:szCs w:val="19"/>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4440" w:type="dxa"/>
            <w:vAlign w:val="bottom"/>
            <w:vMerge w:val="continue"/>
          </w:tcPr>
          <w:p>
            <w:pPr>
              <w:spacing w:after="0"/>
              <w:rPr>
                <w:sz w:val="11"/>
                <w:szCs w:val="11"/>
                <w:color w:val="auto"/>
              </w:rPr>
            </w:pPr>
          </w:p>
        </w:tc>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7"/>
                <w:szCs w:val="17"/>
                <w:b w:val="1"/>
                <w:bCs w:val="1"/>
                <w:color w:val="auto"/>
              </w:rPr>
              <w:t>Financial instruments:</w:t>
            </w: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Receivables (b)</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1,457,566</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1,524,407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Derivatives receivable (c)</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1,478,726</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1,661,628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Operations in process (d)</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155,568</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195,875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4440" w:type="dxa"/>
            <w:vAlign w:val="bottom"/>
          </w:tcPr>
          <w:p>
            <w:pPr>
              <w:ind w:left="520"/>
              <w:spacing w:after="0"/>
              <w:rPr>
                <w:sz w:val="20"/>
                <w:szCs w:val="20"/>
                <w:color w:val="auto"/>
              </w:rPr>
            </w:pPr>
            <w:r>
              <w:rPr>
                <w:rFonts w:ascii="Arial" w:cs="Arial" w:eastAsia="Arial" w:hAnsi="Arial"/>
                <w:sz w:val="17"/>
                <w:szCs w:val="17"/>
                <w:color w:val="auto"/>
              </w:rPr>
              <w:t>Receivables from sale of investments (e)</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142,765</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89,149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444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Non-financial instruments:</w:t>
            </w:r>
          </w:p>
        </w:tc>
        <w:tc>
          <w:tcPr>
            <w:tcW w:w="37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3,234,625</w:t>
            </w:r>
          </w:p>
        </w:tc>
        <w:tc>
          <w:tcPr>
            <w:tcW w:w="16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3,471,059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Deferred fees (f)</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966,567</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967,622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Investment in associates (g)</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726,993</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658,697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Investment properties, net (h)</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548,558</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469,113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Income tax prepayments, net</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186,372</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436,961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Adjudicated assets, net</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136,079</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136,125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Improvements in leased premises</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71,747</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65,867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VAT (IGV) tax credit</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58,329</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50,120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4440" w:type="dxa"/>
            <w:vAlign w:val="bottom"/>
          </w:tcPr>
          <w:p>
            <w:pPr>
              <w:ind w:left="520"/>
              <w:spacing w:after="0"/>
              <w:rPr>
                <w:sz w:val="20"/>
                <w:szCs w:val="20"/>
                <w:color w:val="auto"/>
              </w:rPr>
            </w:pPr>
            <w:r>
              <w:rPr>
                <w:rFonts w:ascii="Arial" w:cs="Arial" w:eastAsia="Arial" w:hAnsi="Arial"/>
                <w:sz w:val="17"/>
                <w:szCs w:val="17"/>
                <w:color w:val="auto"/>
              </w:rPr>
              <w:t>Others</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9,245</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9,241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444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Total</w:t>
            </w:r>
          </w:p>
        </w:tc>
        <w:tc>
          <w:tcPr>
            <w:tcW w:w="37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2,703,890</w:t>
            </w:r>
          </w:p>
        </w:tc>
        <w:tc>
          <w:tcPr>
            <w:tcW w:w="16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2,793,746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5,938,515</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6,264,805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900" w:type="dxa"/>
            <w:vAlign w:val="bottom"/>
            <w:gridSpan w:val="2"/>
          </w:tcPr>
          <w:p>
            <w:pPr>
              <w:ind w:left="384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44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Other liabilities -</w:t>
            </w:r>
          </w:p>
        </w:tc>
        <w:tc>
          <w:tcPr>
            <w:tcW w:w="3780" w:type="dxa"/>
            <w:vAlign w:val="bottom"/>
          </w:tcPr>
          <w:p>
            <w:pPr>
              <w:spacing w:after="0"/>
              <w:rPr>
                <w:sz w:val="19"/>
                <w:szCs w:val="19"/>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14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4440" w:type="dxa"/>
            <w:vAlign w:val="bottom"/>
            <w:vMerge w:val="continue"/>
          </w:tcPr>
          <w:p>
            <w:pPr>
              <w:spacing w:after="0"/>
              <w:rPr>
                <w:sz w:val="11"/>
                <w:szCs w:val="11"/>
                <w:color w:val="auto"/>
              </w:rPr>
            </w:pPr>
          </w:p>
        </w:tc>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7"/>
                <w:szCs w:val="17"/>
                <w:b w:val="1"/>
                <w:bCs w:val="1"/>
                <w:color w:val="auto"/>
              </w:rPr>
              <w:t>Financial instruments:</w:t>
            </w: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Accounts payable (i)</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2,112,024</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2,045,845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Derivatives payable (c)</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1,345,665</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1,524,761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Salaries and other personnel expenses</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977,921</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825,000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Allowance for indirect loan losses, Note 7(c)</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658,584</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593,703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Accounts payable for acquisitions (e)</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153,681</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253,444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Operations in process (d)</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89,480</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51,763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4440" w:type="dxa"/>
            <w:vAlign w:val="bottom"/>
          </w:tcPr>
          <w:p>
            <w:pPr>
              <w:ind w:left="520"/>
              <w:spacing w:after="0"/>
              <w:rPr>
                <w:sz w:val="20"/>
                <w:szCs w:val="20"/>
                <w:color w:val="auto"/>
              </w:rPr>
            </w:pPr>
            <w:r>
              <w:rPr>
                <w:rFonts w:ascii="Arial" w:cs="Arial" w:eastAsia="Arial" w:hAnsi="Arial"/>
                <w:sz w:val="17"/>
                <w:szCs w:val="17"/>
                <w:color w:val="auto"/>
              </w:rPr>
              <w:t>Dividends payable</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73,607</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76,097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444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Non-financial instruments:</w:t>
            </w:r>
          </w:p>
        </w:tc>
        <w:tc>
          <w:tcPr>
            <w:tcW w:w="37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5,410,962</w:t>
            </w:r>
          </w:p>
        </w:tc>
        <w:tc>
          <w:tcPr>
            <w:tcW w:w="16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5,370,613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Provision for sundry risks (j)</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624,149</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614,012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40" w:type="dxa"/>
            <w:vAlign w:val="bottom"/>
          </w:tcPr>
          <w:p>
            <w:pPr>
              <w:ind w:left="520"/>
              <w:spacing w:after="0" w:line="194" w:lineRule="exact"/>
              <w:rPr>
                <w:sz w:val="20"/>
                <w:szCs w:val="20"/>
                <w:color w:val="auto"/>
              </w:rPr>
            </w:pPr>
            <w:r>
              <w:rPr>
                <w:rFonts w:ascii="Arial" w:cs="Arial" w:eastAsia="Arial" w:hAnsi="Arial"/>
                <w:sz w:val="17"/>
                <w:szCs w:val="17"/>
                <w:color w:val="auto"/>
              </w:rPr>
              <w:t>Taxes</w:t>
            </w:r>
          </w:p>
        </w:tc>
        <w:tc>
          <w:tcPr>
            <w:tcW w:w="4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1,062,690</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337,511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4440" w:type="dxa"/>
            <w:vAlign w:val="bottom"/>
          </w:tcPr>
          <w:p>
            <w:pPr>
              <w:ind w:left="520"/>
              <w:spacing w:after="0"/>
              <w:rPr>
                <w:sz w:val="20"/>
                <w:szCs w:val="20"/>
                <w:color w:val="auto"/>
              </w:rPr>
            </w:pPr>
            <w:r>
              <w:rPr>
                <w:rFonts w:ascii="Arial" w:cs="Arial" w:eastAsia="Arial" w:hAnsi="Arial"/>
                <w:sz w:val="17"/>
                <w:szCs w:val="17"/>
                <w:color w:val="auto"/>
              </w:rPr>
              <w:t>Others</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192,344</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211,661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444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Total</w:t>
            </w:r>
          </w:p>
        </w:tc>
        <w:tc>
          <w:tcPr>
            <w:tcW w:w="37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1,879,183</w:t>
            </w:r>
          </w:p>
        </w:tc>
        <w:tc>
          <w:tcPr>
            <w:tcW w:w="16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1,163,184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7,290,145</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6,533,797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0"/>
        </w:trPr>
        <w:tc>
          <w:tcPr>
            <w:tcW w:w="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780" w:type="dxa"/>
            <w:vAlign w:val="bottom"/>
          </w:tcPr>
          <w:p>
            <w:pPr>
              <w:jc w:val="right"/>
              <w:ind w:right="2734"/>
              <w:spacing w:after="0"/>
              <w:rPr>
                <w:sz w:val="20"/>
                <w:szCs w:val="20"/>
                <w:color w:val="auto"/>
              </w:rPr>
            </w:pPr>
            <w:r>
              <w:rPr>
                <w:rFonts w:ascii="Arial" w:cs="Arial" w:eastAsia="Arial" w:hAnsi="Arial"/>
                <w:sz w:val="17"/>
                <w:szCs w:val="17"/>
                <w:color w:val="auto"/>
              </w:rPr>
              <w:t>- 88 -</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2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93" w:name="page94"/>
    <w:bookmarkEnd w:id="93"/>
    <w:p>
      <w:pPr>
        <w:ind w:left="315" w:hanging="315"/>
        <w:spacing w:after="0"/>
        <w:tabs>
          <w:tab w:leader="none" w:pos="31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As of December 31, 2022, the balance corresponds mainly comprises funds restricted by the Central Reserve Bank of Bolivia for S/261.3 million, margin call of operations with derivatives for S/184.4 million, taxes receivable for S/184.9 million, receivables for the sale of deferred foreign currency for S/85.9 million, works for taxes for S/69.2 million, accounts paid by third parties for S/42.3 million, receivables for the sale of goods and services for S/53.0 million, commissions receivable for S/38.7 million, advances to personnel for S/15.7 million, dividends receivable for S/2.9 million, among others. As of December 31, 2021, the balance mainly comprises the margin call of operations with derivatives for S/410.3 million, works for taxes for S/178.3 million, receivables from Visa for payments to establishments for S/111.0 million, receivables from the sale of deferred foreign currency for S/89.7 million, taxes paid on behalf of third parties and other receivables related to taxes for S/73.7 million, receivable from financial intermediation for S/27.3 million, receivable from associate for S/6.6 million, among others.</w:t>
      </w:r>
    </w:p>
    <w:p>
      <w:pPr>
        <w:spacing w:after="0" w:line="156" w:lineRule="exact"/>
        <w:rPr>
          <w:rFonts w:ascii="Arial" w:cs="Arial" w:eastAsia="Arial" w:hAnsi="Arial"/>
          <w:sz w:val="17"/>
          <w:szCs w:val="17"/>
          <w:color w:val="auto"/>
        </w:rPr>
      </w:pPr>
    </w:p>
    <w:p>
      <w:pPr>
        <w:ind w:left="4895" w:hanging="97"/>
        <w:spacing w:after="0"/>
        <w:tabs>
          <w:tab w:leader="none" w:pos="489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15"/>
          </w:cols>
          <w:pgMar w:left="945" w:top="140" w:right="439" w:bottom="1440" w:gutter="0" w:footer="0" w:header="0"/>
        </w:sectPr>
      </w:pPr>
    </w:p>
    <w:bookmarkStart w:id="94" w:name="page95"/>
    <w:bookmarkEnd w:id="94"/>
    <w:p>
      <w:pPr>
        <w:ind w:left="315" w:right="220" w:hanging="315"/>
        <w:spacing w:after="0" w:line="254" w:lineRule="auto"/>
        <w:tabs>
          <w:tab w:leader="none" w:pos="31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risk in derivative contracts arises from the possibility of the counterparty does not comply with the agreed terms and conditions and that the reference rates at which the transactions took place change.</w:t>
      </w:r>
    </w:p>
    <w:p>
      <w:pPr>
        <w:spacing w:after="0" w:line="169" w:lineRule="exact"/>
        <w:rPr>
          <w:rFonts w:ascii="Arial" w:cs="Arial" w:eastAsia="Arial" w:hAnsi="Arial"/>
          <w:sz w:val="17"/>
          <w:szCs w:val="17"/>
          <w:color w:val="auto"/>
        </w:rPr>
      </w:pPr>
    </w:p>
    <w:p>
      <w:pPr>
        <w:ind w:left="315"/>
        <w:spacing w:after="0" w:line="246" w:lineRule="auto"/>
        <w:rPr>
          <w:rFonts w:ascii="Arial" w:cs="Arial" w:eastAsia="Arial" w:hAnsi="Arial"/>
          <w:sz w:val="17"/>
          <w:szCs w:val="17"/>
          <w:color w:val="auto"/>
        </w:rPr>
      </w:pPr>
      <w:r>
        <w:rPr>
          <w:rFonts w:ascii="Arial" w:cs="Arial" w:eastAsia="Arial" w:hAnsi="Arial"/>
          <w:sz w:val="17"/>
          <w:szCs w:val="17"/>
          <w:color w:val="auto"/>
        </w:rPr>
        <w:t>As of December 31, 2022, and 2021 the table below shows the fair value of derivative financial instruments, recorded as an asset or a liability, together with their nominal amounts and maturities. The nominal amount, recorded gross, is the amount of a derivative’s underlying asset and is the basis upon which the fair value of derivatives is measured.</w:t>
      </w:r>
    </w:p>
    <w:p>
      <w:pPr>
        <w:spacing w:after="0" w:line="157" w:lineRule="exact"/>
        <w:rPr>
          <w:sz w:val="20"/>
          <w:szCs w:val="20"/>
          <w:color w:val="auto"/>
        </w:rPr>
      </w:pPr>
    </w:p>
    <w:tbl>
      <w:tblPr>
        <w:tblLayout w:type="fixed"/>
        <w:tblInd w:w="315"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2022</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b w:val="1"/>
                <w:bCs w:val="1"/>
                <w:color w:val="auto"/>
              </w:rPr>
              <w:t>2022 and 2021</w:t>
            </w:r>
          </w:p>
        </w:tc>
        <w:tc>
          <w:tcPr>
            <w:tcW w:w="0" w:type="dxa"/>
            <w:vAlign w:val="bottom"/>
          </w:tcPr>
          <w:p>
            <w:pPr>
              <w:spacing w:after="0"/>
              <w:rPr>
                <w:sz w:val="1"/>
                <w:szCs w:val="1"/>
                <w:color w:val="auto"/>
              </w:rPr>
            </w:pPr>
          </w:p>
        </w:tc>
      </w:tr>
      <w:tr>
        <w:trPr>
          <w:trHeight w:val="103"/>
        </w:trPr>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ind w:left="80"/>
              <w:spacing w:after="0" w:line="103" w:lineRule="exact"/>
              <w:rPr>
                <w:sz w:val="20"/>
                <w:szCs w:val="20"/>
                <w:color w:val="auto"/>
              </w:rPr>
            </w:pPr>
            <w:r>
              <w:rPr>
                <w:rFonts w:ascii="Arial" w:cs="Arial" w:eastAsia="Arial" w:hAnsi="Arial"/>
                <w:sz w:val="11"/>
                <w:szCs w:val="11"/>
                <w:b w:val="1"/>
                <w:bCs w:val="1"/>
                <w:color w:val="auto"/>
              </w:rPr>
              <w:t>Nominal</w:t>
            </w:r>
          </w:p>
        </w:tc>
        <w:tc>
          <w:tcPr>
            <w:tcW w:w="60" w:type="dxa"/>
            <w:vAlign w:val="bottom"/>
            <w:tcBorders>
              <w:top w:val="single" w:sz="8" w:color="auto"/>
            </w:tcBorders>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60"/>
              <w:spacing w:after="0" w:line="103" w:lineRule="exact"/>
              <w:rPr>
                <w:sz w:val="20"/>
                <w:szCs w:val="20"/>
                <w:color w:val="auto"/>
              </w:rPr>
            </w:pPr>
            <w:r>
              <w:rPr>
                <w:rFonts w:ascii="Arial" w:cs="Arial" w:eastAsia="Arial" w:hAnsi="Arial"/>
                <w:sz w:val="11"/>
                <w:szCs w:val="11"/>
                <w:b w:val="1"/>
                <w:bCs w:val="1"/>
                <w:color w:val="auto"/>
              </w:rPr>
              <w:t>Nominal</w:t>
            </w:r>
          </w:p>
        </w:tc>
        <w:tc>
          <w:tcPr>
            <w:tcW w:w="17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Related</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Assets</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Liabilities</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Maturity</w:t>
            </w:r>
          </w:p>
        </w:tc>
        <w:tc>
          <w:tcPr>
            <w:tcW w:w="640" w:type="dxa"/>
            <w:vAlign w:val="bottom"/>
          </w:tcPr>
          <w:p>
            <w:pPr>
              <w:jc w:val="right"/>
              <w:ind w:right="180"/>
              <w:spacing w:after="0"/>
              <w:rPr>
                <w:sz w:val="20"/>
                <w:szCs w:val="20"/>
                <w:color w:val="auto"/>
              </w:rPr>
            </w:pPr>
            <w:r>
              <w:rPr>
                <w:rFonts w:ascii="Arial" w:cs="Arial" w:eastAsia="Arial" w:hAnsi="Arial"/>
                <w:sz w:val="12"/>
                <w:szCs w:val="12"/>
                <w:b w:val="1"/>
                <w:bCs w:val="1"/>
                <w:color w:val="auto"/>
                <w:w w:val="96"/>
              </w:rPr>
              <w:t>Assets</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Liabilities</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820" w:type="dxa"/>
            <w:vAlign w:val="bottom"/>
            <w:gridSpan w:val="2"/>
          </w:tcPr>
          <w:p>
            <w:pPr>
              <w:ind w:left="60"/>
              <w:spacing w:after="0"/>
              <w:rPr>
                <w:sz w:val="20"/>
                <w:szCs w:val="20"/>
                <w:color w:val="auto"/>
              </w:rPr>
            </w:pPr>
            <w:r>
              <w:rPr>
                <w:rFonts w:ascii="Arial" w:cs="Arial" w:eastAsia="Arial" w:hAnsi="Arial"/>
                <w:sz w:val="12"/>
                <w:szCs w:val="12"/>
                <w:b w:val="1"/>
                <w:bCs w:val="1"/>
                <w:color w:val="auto"/>
              </w:rPr>
              <w:t>Maturity</w:t>
            </w:r>
          </w:p>
        </w:tc>
        <w:tc>
          <w:tcPr>
            <w:tcW w:w="900" w:type="dxa"/>
            <w:vAlign w:val="bottom"/>
          </w:tcPr>
          <w:p>
            <w:pPr>
              <w:spacing w:after="0"/>
              <w:rPr>
                <w:sz w:val="20"/>
                <w:szCs w:val="20"/>
                <w:color w:val="auto"/>
              </w:rPr>
            </w:pPr>
            <w:r>
              <w:rPr>
                <w:rFonts w:ascii="Arial" w:cs="Arial" w:eastAsia="Arial" w:hAnsi="Arial"/>
                <w:sz w:val="12"/>
                <w:szCs w:val="12"/>
                <w:b w:val="1"/>
                <w:bCs w:val="1"/>
                <w:color w:val="auto"/>
              </w:rPr>
              <w:t>instruments</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2"/>
                <w:szCs w:val="12"/>
                <w:b w:val="1"/>
                <w:bCs w:val="1"/>
                <w:color w:val="auto"/>
              </w:rPr>
              <w:t>Derivatives</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b w:val="1"/>
                <w:bCs w:val="1"/>
                <w:color w:val="auto"/>
              </w:rPr>
              <w:t>held for</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20"/>
                <w:szCs w:val="20"/>
                <w:color w:val="auto"/>
              </w:rPr>
            </w:pPr>
            <w:r>
              <w:rPr>
                <w:rFonts w:ascii="Arial" w:cs="Arial" w:eastAsia="Arial" w:hAnsi="Arial"/>
                <w:sz w:val="12"/>
                <w:szCs w:val="12"/>
                <w:b w:val="1"/>
                <w:bCs w:val="1"/>
                <w:color w:val="auto"/>
              </w:rPr>
              <w:t>trading (i)</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Foreign</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currency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forwards</w:t>
            </w:r>
          </w:p>
        </w:tc>
        <w:tc>
          <w:tcPr>
            <w:tcW w:w="420" w:type="dxa"/>
            <w:vAlign w:val="bottom"/>
          </w:tcPr>
          <w:p>
            <w:pPr>
              <w:spacing w:after="0"/>
              <w:rPr>
                <w:sz w:val="11"/>
                <w:szCs w:val="11"/>
                <w:color w:val="auto"/>
              </w:rPr>
            </w:pP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500,348</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288,857</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34,224,865</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January 2023 / August 2024</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rPr>
              <w:t>344,780</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387,371</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28,618,406</w:t>
            </w:r>
          </w:p>
        </w:tc>
        <w:tc>
          <w:tcPr>
            <w:tcW w:w="182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January 2022 / June 2023</w:t>
            </w:r>
          </w:p>
        </w:tc>
        <w:tc>
          <w:tcPr>
            <w:tcW w:w="900" w:type="dxa"/>
            <w:vAlign w:val="bottom"/>
          </w:tcPr>
          <w:p>
            <w:pPr>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Interest rate</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swaps</w:t>
            </w:r>
          </w:p>
        </w:tc>
        <w:tc>
          <w:tcPr>
            <w:tcW w:w="420" w:type="dxa"/>
            <w:vAlign w:val="bottom"/>
          </w:tcPr>
          <w:p>
            <w:pPr>
              <w:spacing w:after="0"/>
              <w:rPr>
                <w:sz w:val="11"/>
                <w:szCs w:val="11"/>
                <w:color w:val="auto"/>
              </w:rPr>
            </w:pP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415,034</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277,988</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10,834,324</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January 2023 / December 2032</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rPr>
              <w:t>367,906</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320,186</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26,878,186</w:t>
            </w:r>
          </w:p>
        </w:tc>
        <w:tc>
          <w:tcPr>
            <w:tcW w:w="182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January 2022 / December 2031</w:t>
            </w:r>
          </w:p>
        </w:tc>
        <w:tc>
          <w:tcPr>
            <w:tcW w:w="900" w:type="dxa"/>
            <w:vAlign w:val="bottom"/>
          </w:tcPr>
          <w:p>
            <w:pPr>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Currency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swaps</w:t>
            </w:r>
          </w:p>
        </w:tc>
        <w:tc>
          <w:tcPr>
            <w:tcW w:w="420" w:type="dxa"/>
            <w:vAlign w:val="bottom"/>
          </w:tcPr>
          <w:p>
            <w:pPr>
              <w:spacing w:after="0"/>
              <w:rPr>
                <w:sz w:val="11"/>
                <w:szCs w:val="11"/>
                <w:color w:val="auto"/>
              </w:rPr>
            </w:pP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410,439</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749,420</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16,000,208</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January 2023 / January 2033</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rPr>
              <w:t>860,170</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795,845</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15,935,149</w:t>
            </w:r>
          </w:p>
        </w:tc>
        <w:tc>
          <w:tcPr>
            <w:tcW w:w="182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January 2022 / January 2033</w:t>
            </w:r>
          </w:p>
        </w:tc>
        <w:tc>
          <w:tcPr>
            <w:tcW w:w="900" w:type="dxa"/>
            <w:vAlign w:val="bottom"/>
          </w:tcPr>
          <w:p>
            <w:pPr>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Foreign</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exchange</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options</w:t>
            </w:r>
          </w:p>
        </w:tc>
        <w:tc>
          <w:tcPr>
            <w:tcW w:w="420" w:type="dxa"/>
            <w:vAlign w:val="bottom"/>
          </w:tcPr>
          <w:p>
            <w:pPr>
              <w:spacing w:after="0"/>
              <w:rPr>
                <w:sz w:val="11"/>
                <w:szCs w:val="11"/>
                <w:color w:val="auto"/>
              </w:rPr>
            </w:pP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1,349</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3,168</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362,324</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January 2023 / June 2024</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rPr>
              <w:t>2,485</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3,258</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576,398</w:t>
            </w:r>
          </w:p>
        </w:tc>
        <w:tc>
          <w:tcPr>
            <w:tcW w:w="182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January 2022 / December 2022</w:t>
            </w:r>
          </w:p>
        </w:tc>
        <w:tc>
          <w:tcPr>
            <w:tcW w:w="900" w:type="dxa"/>
            <w:vAlign w:val="bottom"/>
          </w:tcPr>
          <w:p>
            <w:pPr>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860" w:type="dxa"/>
            <w:vAlign w:val="bottom"/>
          </w:tcPr>
          <w:p>
            <w:pPr>
              <w:spacing w:after="0" w:line="136" w:lineRule="exact"/>
              <w:rPr>
                <w:sz w:val="20"/>
                <w:szCs w:val="20"/>
                <w:color w:val="auto"/>
              </w:rPr>
            </w:pPr>
            <w:r>
              <w:rPr>
                <w:rFonts w:ascii="Arial" w:cs="Arial" w:eastAsia="Arial" w:hAnsi="Arial"/>
                <w:sz w:val="12"/>
                <w:szCs w:val="12"/>
                <w:color w:val="auto"/>
              </w:rPr>
              <w:t>Futures</w:t>
            </w:r>
          </w:p>
        </w:tc>
        <w:tc>
          <w:tcPr>
            <w:tcW w:w="420" w:type="dxa"/>
            <w:vAlign w:val="bottom"/>
          </w:tcPr>
          <w:p>
            <w:pPr>
              <w:spacing w:after="0"/>
              <w:rPr>
                <w:sz w:val="11"/>
                <w:szCs w:val="11"/>
                <w:color w:val="auto"/>
              </w:rPr>
            </w:pPr>
          </w:p>
        </w:tc>
        <w:tc>
          <w:tcPr>
            <w:tcW w:w="68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794</w:t>
            </w:r>
          </w:p>
        </w:tc>
        <w:tc>
          <w:tcPr>
            <w:tcW w:w="72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1,450</w:t>
            </w: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48,819</w:t>
            </w:r>
          </w:p>
        </w:tc>
        <w:tc>
          <w:tcPr>
            <w:tcW w:w="182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March 2023</w:t>
            </w:r>
          </w:p>
        </w:tc>
        <w:tc>
          <w:tcPr>
            <w:tcW w:w="640" w:type="dxa"/>
            <w:vAlign w:val="bottom"/>
          </w:tcPr>
          <w:p>
            <w:pPr>
              <w:jc w:val="right"/>
              <w:ind w:right="40"/>
              <w:spacing w:after="0" w:line="136" w:lineRule="exact"/>
              <w:rPr>
                <w:sz w:val="20"/>
                <w:szCs w:val="20"/>
                <w:color w:val="auto"/>
              </w:rPr>
            </w:pPr>
            <w:r>
              <w:rPr>
                <w:rFonts w:ascii="Arial" w:cs="Arial" w:eastAsia="Arial" w:hAnsi="Arial"/>
                <w:sz w:val="12"/>
                <w:szCs w:val="12"/>
                <w:color w:val="auto"/>
              </w:rPr>
              <w:t>19</w:t>
            </w:r>
          </w:p>
        </w:tc>
        <w:tc>
          <w:tcPr>
            <w:tcW w:w="7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405</w:t>
            </w: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72,165</w:t>
            </w:r>
          </w:p>
        </w:tc>
        <w:tc>
          <w:tcPr>
            <w:tcW w:w="1820" w:type="dxa"/>
            <w:vAlign w:val="bottom"/>
            <w:gridSpan w:val="2"/>
          </w:tcPr>
          <w:p>
            <w:pPr>
              <w:ind w:left="60"/>
              <w:spacing w:after="0" w:line="136" w:lineRule="exact"/>
              <w:rPr>
                <w:sz w:val="20"/>
                <w:szCs w:val="20"/>
                <w:color w:val="auto"/>
              </w:rPr>
            </w:pPr>
            <w:r>
              <w:rPr>
                <w:rFonts w:ascii="Arial" w:cs="Arial" w:eastAsia="Arial" w:hAnsi="Arial"/>
                <w:sz w:val="12"/>
                <w:szCs w:val="12"/>
                <w:color w:val="auto"/>
              </w:rPr>
              <w:t>March 2022 / November 2022</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Derivatives</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rPr>
              <w:t>1,327,964</w:t>
            </w: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rPr>
              <w:t>1,320,883</w:t>
            </w:r>
          </w:p>
        </w:tc>
        <w:tc>
          <w:tcPr>
            <w:tcW w:w="8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w w:val="96"/>
              </w:rPr>
              <w:t>61,470,540</w:t>
            </w:r>
          </w:p>
        </w:tc>
        <w:tc>
          <w:tcPr>
            <w:tcW w:w="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w w:val="97"/>
              </w:rPr>
              <w:t>1,575,360</w:t>
            </w: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rPr>
              <w:t>1,507,065</w:t>
            </w:r>
          </w:p>
        </w:tc>
        <w:tc>
          <w:tcPr>
            <w:tcW w:w="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w w:val="99"/>
              </w:rPr>
              <w:t>72,080,304</w:t>
            </w: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b w:val="1"/>
                <w:bCs w:val="1"/>
                <w:color w:val="auto"/>
              </w:rPr>
              <w:t>held as</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b w:val="1"/>
                <w:bCs w:val="1"/>
                <w:color w:val="auto"/>
              </w:rPr>
              <w:t>hedges (ii)</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b w:val="1"/>
                <w:bCs w:val="1"/>
                <w:color w:val="auto"/>
              </w:rPr>
              <w:t>Cash flow</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20"/>
                <w:szCs w:val="20"/>
                <w:color w:val="auto"/>
              </w:rPr>
            </w:pPr>
            <w:r>
              <w:rPr>
                <w:rFonts w:ascii="Arial" w:cs="Arial" w:eastAsia="Arial" w:hAnsi="Arial"/>
                <w:sz w:val="12"/>
                <w:szCs w:val="12"/>
                <w:b w:val="1"/>
                <w:bCs w:val="1"/>
                <w:color w:val="auto"/>
              </w:rPr>
              <w:t>hedges -</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Cross currency</w:t>
            </w:r>
          </w:p>
        </w:tc>
        <w:tc>
          <w:tcPr>
            <w:tcW w:w="420" w:type="dxa"/>
            <w:vAlign w:val="bottom"/>
          </w:tcPr>
          <w:p>
            <w:pPr>
              <w:jc w:val="center"/>
              <w:spacing w:after="0" w:line="130" w:lineRule="exact"/>
              <w:rPr>
                <w:sz w:val="20"/>
                <w:szCs w:val="20"/>
                <w:color w:val="auto"/>
              </w:rPr>
            </w:pPr>
            <w:r>
              <w:rPr>
                <w:rFonts w:ascii="Arial" w:cs="Arial" w:eastAsia="Arial" w:hAnsi="Arial"/>
                <w:sz w:val="12"/>
                <w:szCs w:val="12"/>
                <w:color w:val="auto"/>
                <w:w w:val="99"/>
              </w:rPr>
              <w:t>17(a)</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swaps (CCS)</w:t>
            </w:r>
          </w:p>
        </w:tc>
        <w:tc>
          <w:tcPr>
            <w:tcW w:w="420" w:type="dxa"/>
            <w:vAlign w:val="bottom"/>
          </w:tcPr>
          <w:p>
            <w:pPr>
              <w:ind w:left="160"/>
              <w:spacing w:after="0" w:line="130" w:lineRule="exact"/>
              <w:rPr>
                <w:sz w:val="20"/>
                <w:szCs w:val="20"/>
                <w:color w:val="auto"/>
              </w:rPr>
            </w:pPr>
            <w:r>
              <w:rPr>
                <w:rFonts w:ascii="Arial" w:cs="Arial" w:eastAsia="Arial" w:hAnsi="Arial"/>
                <w:sz w:val="12"/>
                <w:szCs w:val="12"/>
                <w:color w:val="auto"/>
              </w:rPr>
              <w:t>(ii)</w:t>
            </w: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20,114</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8,418</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839,080</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January 2025</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rPr>
              <w:t>36,512</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199,350</w:t>
            </w:r>
          </w:p>
        </w:tc>
        <w:tc>
          <w:tcPr>
            <w:tcW w:w="182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January 2025</w:t>
            </w:r>
          </w:p>
        </w:tc>
        <w:tc>
          <w:tcPr>
            <w:tcW w:w="900" w:type="dxa"/>
            <w:vAlign w:val="bottom"/>
          </w:tcPr>
          <w:p>
            <w:pPr>
              <w:spacing w:after="0" w:line="130" w:lineRule="exact"/>
              <w:rPr>
                <w:sz w:val="20"/>
                <w:szCs w:val="20"/>
                <w:color w:val="auto"/>
              </w:rPr>
            </w:pPr>
            <w:r>
              <w:rPr>
                <w:rFonts w:ascii="Arial" w:cs="Arial" w:eastAsia="Arial" w:hAnsi="Arial"/>
                <w:sz w:val="12"/>
                <w:szCs w:val="12"/>
                <w:color w:val="auto"/>
              </w:rPr>
              <w:t>Bonds issued</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Cross currency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2"/>
                <w:szCs w:val="12"/>
                <w:color w:val="auto"/>
              </w:rPr>
              <w:t>Repurchase</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swaps (CCS)</w:t>
            </w:r>
          </w:p>
        </w:tc>
        <w:tc>
          <w:tcPr>
            <w:tcW w:w="420" w:type="dxa"/>
            <w:vAlign w:val="bottom"/>
          </w:tcPr>
          <w:p>
            <w:pPr>
              <w:jc w:val="center"/>
              <w:spacing w:after="0" w:line="130" w:lineRule="exact"/>
              <w:rPr>
                <w:sz w:val="20"/>
                <w:szCs w:val="20"/>
                <w:color w:val="auto"/>
              </w:rPr>
            </w:pPr>
            <w:r>
              <w:rPr>
                <w:rFonts w:ascii="Arial" w:cs="Arial" w:eastAsia="Arial" w:hAnsi="Arial"/>
                <w:sz w:val="12"/>
                <w:szCs w:val="12"/>
                <w:color w:val="auto"/>
              </w:rPr>
              <w:t>5(c)(i)</w:t>
            </w: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21,935</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171,630</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August 2026</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rPr>
              <w:t>16,972</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179,415</w:t>
            </w:r>
          </w:p>
        </w:tc>
        <w:tc>
          <w:tcPr>
            <w:tcW w:w="182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August 2026</w:t>
            </w:r>
          </w:p>
        </w:tc>
        <w:tc>
          <w:tcPr>
            <w:tcW w:w="900" w:type="dxa"/>
            <w:vAlign w:val="bottom"/>
          </w:tcPr>
          <w:p>
            <w:pPr>
              <w:spacing w:after="0" w:line="130" w:lineRule="exact"/>
              <w:rPr>
                <w:sz w:val="20"/>
                <w:szCs w:val="20"/>
                <w:color w:val="auto"/>
              </w:rPr>
            </w:pPr>
            <w:r>
              <w:rPr>
                <w:rFonts w:ascii="Arial" w:cs="Arial" w:eastAsia="Arial" w:hAnsi="Arial"/>
                <w:sz w:val="12"/>
                <w:szCs w:val="12"/>
                <w:color w:val="auto"/>
              </w:rPr>
              <w:t>agreements</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Cross currency</w:t>
            </w:r>
          </w:p>
        </w:tc>
        <w:tc>
          <w:tcPr>
            <w:tcW w:w="420" w:type="dxa"/>
            <w:vAlign w:val="bottom"/>
          </w:tcPr>
          <w:p>
            <w:pPr>
              <w:jc w:val="center"/>
              <w:spacing w:after="0" w:line="130" w:lineRule="exact"/>
              <w:rPr>
                <w:sz w:val="20"/>
                <w:szCs w:val="20"/>
                <w:color w:val="auto"/>
              </w:rPr>
            </w:pPr>
            <w:r>
              <w:rPr>
                <w:rFonts w:ascii="Arial" w:cs="Arial" w:eastAsia="Arial" w:hAnsi="Arial"/>
                <w:sz w:val="12"/>
                <w:szCs w:val="12"/>
                <w:color w:val="auto"/>
                <w:w w:val="99"/>
              </w:rPr>
              <w:t>17(a)</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swaps (CCS)</w:t>
            </w:r>
          </w:p>
        </w:tc>
        <w:tc>
          <w:tcPr>
            <w:tcW w:w="420" w:type="dxa"/>
            <w:vAlign w:val="bottom"/>
          </w:tcPr>
          <w:p>
            <w:pPr>
              <w:ind w:left="140"/>
              <w:spacing w:after="0" w:line="130" w:lineRule="exact"/>
              <w:rPr>
                <w:sz w:val="20"/>
                <w:szCs w:val="20"/>
                <w:color w:val="auto"/>
              </w:rPr>
            </w:pPr>
            <w:r>
              <w:rPr>
                <w:rFonts w:ascii="Arial" w:cs="Arial" w:eastAsia="Arial" w:hAnsi="Arial"/>
                <w:sz w:val="12"/>
                <w:szCs w:val="12"/>
                <w:color w:val="auto"/>
              </w:rPr>
              <w:t>(vi)</w:t>
            </w: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13,688</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145,715</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December 2023</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216</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173,215</w:t>
            </w:r>
          </w:p>
        </w:tc>
        <w:tc>
          <w:tcPr>
            <w:tcW w:w="182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December 2023</w:t>
            </w:r>
          </w:p>
        </w:tc>
        <w:tc>
          <w:tcPr>
            <w:tcW w:w="900" w:type="dxa"/>
            <w:vAlign w:val="bottom"/>
          </w:tcPr>
          <w:p>
            <w:pPr>
              <w:spacing w:after="0" w:line="130" w:lineRule="exact"/>
              <w:rPr>
                <w:sz w:val="20"/>
                <w:szCs w:val="20"/>
                <w:color w:val="auto"/>
              </w:rPr>
            </w:pPr>
            <w:r>
              <w:rPr>
                <w:rFonts w:ascii="Arial" w:cs="Arial" w:eastAsia="Arial" w:hAnsi="Arial"/>
                <w:sz w:val="12"/>
                <w:szCs w:val="12"/>
                <w:color w:val="auto"/>
              </w:rPr>
              <w:t>Bonds issued</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Cross currency</w:t>
            </w:r>
          </w:p>
        </w:tc>
        <w:tc>
          <w:tcPr>
            <w:tcW w:w="420" w:type="dxa"/>
            <w:vAlign w:val="bottom"/>
          </w:tcPr>
          <w:p>
            <w:pPr>
              <w:jc w:val="center"/>
              <w:spacing w:after="0" w:line="130" w:lineRule="exact"/>
              <w:rPr>
                <w:sz w:val="20"/>
                <w:szCs w:val="20"/>
                <w:color w:val="auto"/>
              </w:rPr>
            </w:pPr>
            <w:r>
              <w:rPr>
                <w:rFonts w:ascii="Arial" w:cs="Arial" w:eastAsia="Arial" w:hAnsi="Arial"/>
                <w:sz w:val="12"/>
                <w:szCs w:val="12"/>
                <w:color w:val="auto"/>
                <w:w w:val="99"/>
              </w:rPr>
              <w:t>6(b)(i)</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2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January 2022 / September</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swaps (CCS)</w:t>
            </w:r>
          </w:p>
        </w:tc>
        <w:tc>
          <w:tcPr>
            <w:tcW w:w="420" w:type="dxa"/>
            <w:vAlign w:val="bottom"/>
          </w:tcPr>
          <w:p>
            <w:pPr>
              <w:ind w:left="140"/>
              <w:spacing w:after="0" w:line="130" w:lineRule="exact"/>
              <w:rPr>
                <w:sz w:val="20"/>
                <w:szCs w:val="20"/>
                <w:color w:val="auto"/>
              </w:rPr>
            </w:pPr>
            <w:r>
              <w:rPr>
                <w:rFonts w:ascii="Arial" w:cs="Arial" w:eastAsia="Arial" w:hAnsi="Arial"/>
                <w:sz w:val="12"/>
                <w:szCs w:val="12"/>
                <w:color w:val="auto"/>
              </w:rPr>
              <w:t>(v)</w:t>
            </w: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41,746</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2,123</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131,382</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January 2023 / January 2025</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rPr>
              <w:t>19,939</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4,126</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154,635</w:t>
            </w:r>
          </w:p>
        </w:tc>
        <w:tc>
          <w:tcPr>
            <w:tcW w:w="1760" w:type="dxa"/>
            <w:vAlign w:val="bottom"/>
          </w:tcPr>
          <w:p>
            <w:pPr>
              <w:ind w:left="60"/>
              <w:spacing w:after="0" w:line="130" w:lineRule="exact"/>
              <w:rPr>
                <w:sz w:val="20"/>
                <w:szCs w:val="20"/>
                <w:color w:val="auto"/>
              </w:rPr>
            </w:pPr>
            <w:r>
              <w:rPr>
                <w:rFonts w:ascii="Arial" w:cs="Arial" w:eastAsia="Arial" w:hAnsi="Arial"/>
                <w:sz w:val="12"/>
                <w:szCs w:val="12"/>
                <w:color w:val="auto"/>
              </w:rPr>
              <w:t>2024</w:t>
            </w:r>
          </w:p>
        </w:tc>
        <w:tc>
          <w:tcPr>
            <w:tcW w:w="6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2"/>
                <w:szCs w:val="12"/>
                <w:color w:val="auto"/>
              </w:rPr>
              <w:t>Investments (*)</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Cross currency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2"/>
                <w:szCs w:val="12"/>
                <w:color w:val="auto"/>
              </w:rPr>
              <w:t>Repurchase</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swaps (CCS)</w:t>
            </w:r>
          </w:p>
        </w:tc>
        <w:tc>
          <w:tcPr>
            <w:tcW w:w="420" w:type="dxa"/>
            <w:vAlign w:val="bottom"/>
          </w:tcPr>
          <w:p>
            <w:pPr>
              <w:spacing w:after="0"/>
              <w:rPr>
                <w:sz w:val="11"/>
                <w:szCs w:val="11"/>
                <w:color w:val="auto"/>
              </w:rPr>
            </w:pP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strike w:val="1"/>
              </w:rPr>
              <w:t>-</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156</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38,140</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June 2025</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strike w:val="1"/>
              </w:rPr>
              <w:t>-</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strike w:val="1"/>
              </w:rPr>
              <w:t>-</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strike w:val="1"/>
              </w:rPr>
              <w:t>-</w:t>
            </w: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2"/>
                <w:szCs w:val="12"/>
                <w:color w:val="auto"/>
              </w:rPr>
              <w:t>agreements</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Cross currency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2"/>
                <w:szCs w:val="12"/>
                <w:color w:val="auto"/>
              </w:rPr>
              <w:t>Repurchase</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swaps (CCS)</w:t>
            </w:r>
          </w:p>
        </w:tc>
        <w:tc>
          <w:tcPr>
            <w:tcW w:w="420" w:type="dxa"/>
            <w:vAlign w:val="bottom"/>
          </w:tcPr>
          <w:p>
            <w:pPr>
              <w:jc w:val="center"/>
              <w:spacing w:after="0" w:line="130" w:lineRule="exact"/>
              <w:rPr>
                <w:sz w:val="20"/>
                <w:szCs w:val="20"/>
                <w:color w:val="auto"/>
              </w:rPr>
            </w:pPr>
            <w:r>
              <w:rPr>
                <w:rFonts w:ascii="Arial" w:cs="Arial" w:eastAsia="Arial" w:hAnsi="Arial"/>
                <w:sz w:val="12"/>
                <w:szCs w:val="12"/>
                <w:color w:val="auto"/>
                <w:w w:val="99"/>
              </w:rPr>
              <w:t>5(c)(ii)</w:t>
            </w:r>
          </w:p>
        </w:tc>
        <w:tc>
          <w:tcPr>
            <w:tcW w:w="6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14,861</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95,350</w:t>
            </w:r>
          </w:p>
        </w:tc>
        <w:tc>
          <w:tcPr>
            <w:tcW w:w="1820" w:type="dxa"/>
            <w:vAlign w:val="bottom"/>
            <w:gridSpan w:val="3"/>
          </w:tcPr>
          <w:p>
            <w:pPr>
              <w:ind w:left="60"/>
              <w:spacing w:after="0" w:line="130" w:lineRule="exact"/>
              <w:rPr>
                <w:sz w:val="20"/>
                <w:szCs w:val="20"/>
                <w:color w:val="auto"/>
              </w:rPr>
            </w:pPr>
            <w:r>
              <w:rPr>
                <w:rFonts w:ascii="Arial" w:cs="Arial" w:eastAsia="Arial" w:hAnsi="Arial"/>
                <w:sz w:val="12"/>
                <w:szCs w:val="12"/>
                <w:color w:val="auto"/>
              </w:rPr>
              <w:t>August 2026</w:t>
            </w:r>
          </w:p>
        </w:tc>
        <w:tc>
          <w:tcPr>
            <w:tcW w:w="640" w:type="dxa"/>
            <w:vAlign w:val="bottom"/>
          </w:tcPr>
          <w:p>
            <w:pPr>
              <w:jc w:val="right"/>
              <w:ind w:right="40"/>
              <w:spacing w:after="0" w:line="130" w:lineRule="exact"/>
              <w:rPr>
                <w:sz w:val="20"/>
                <w:szCs w:val="20"/>
                <w:color w:val="auto"/>
              </w:rPr>
            </w:pPr>
            <w:r>
              <w:rPr>
                <w:rFonts w:ascii="Arial" w:cs="Arial" w:eastAsia="Arial" w:hAnsi="Arial"/>
                <w:sz w:val="12"/>
                <w:szCs w:val="12"/>
                <w:color w:val="auto"/>
              </w:rPr>
              <w:t>12,845</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99,675</w:t>
            </w:r>
          </w:p>
        </w:tc>
        <w:tc>
          <w:tcPr>
            <w:tcW w:w="182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August 2026</w:t>
            </w:r>
          </w:p>
        </w:tc>
        <w:tc>
          <w:tcPr>
            <w:tcW w:w="900" w:type="dxa"/>
            <w:vAlign w:val="bottom"/>
          </w:tcPr>
          <w:p>
            <w:pPr>
              <w:spacing w:after="0" w:line="130" w:lineRule="exact"/>
              <w:rPr>
                <w:sz w:val="20"/>
                <w:szCs w:val="20"/>
                <w:color w:val="auto"/>
              </w:rPr>
            </w:pPr>
            <w:r>
              <w:rPr>
                <w:rFonts w:ascii="Arial" w:cs="Arial" w:eastAsia="Arial" w:hAnsi="Arial"/>
                <w:sz w:val="12"/>
                <w:szCs w:val="12"/>
                <w:color w:val="auto"/>
              </w:rPr>
              <w:t>agreements</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Interest rate</w:t>
            </w:r>
          </w:p>
        </w:tc>
        <w:tc>
          <w:tcPr>
            <w:tcW w:w="420" w:type="dxa"/>
            <w:vAlign w:val="bottom"/>
          </w:tcPr>
          <w:p>
            <w:pPr>
              <w:jc w:val="center"/>
              <w:spacing w:after="0" w:line="130" w:lineRule="exact"/>
              <w:rPr>
                <w:sz w:val="20"/>
                <w:szCs w:val="20"/>
                <w:color w:val="auto"/>
              </w:rPr>
            </w:pPr>
            <w:r>
              <w:rPr>
                <w:rFonts w:ascii="Arial" w:cs="Arial" w:eastAsia="Arial" w:hAnsi="Arial"/>
                <w:sz w:val="12"/>
                <w:szCs w:val="12"/>
                <w:color w:val="auto"/>
                <w:w w:val="99"/>
              </w:rPr>
              <w:t>17(a)</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60" w:type="dxa"/>
            <w:vAlign w:val="bottom"/>
          </w:tcPr>
          <w:p>
            <w:pPr>
              <w:spacing w:after="0"/>
              <w:rPr>
                <w:sz w:val="20"/>
                <w:szCs w:val="20"/>
                <w:color w:val="auto"/>
              </w:rPr>
            </w:pPr>
            <w:r>
              <w:rPr>
                <w:rFonts w:ascii="Arial" w:cs="Arial" w:eastAsia="Arial" w:hAnsi="Arial"/>
                <w:sz w:val="12"/>
                <w:szCs w:val="12"/>
                <w:color w:val="auto"/>
              </w:rPr>
              <w:t>swaps (IRS)</w:t>
            </w:r>
          </w:p>
        </w:tc>
        <w:tc>
          <w:tcPr>
            <w:tcW w:w="420" w:type="dxa"/>
            <w:vAlign w:val="bottom"/>
          </w:tcPr>
          <w:p>
            <w:pPr>
              <w:ind w:left="140"/>
              <w:spacing w:after="0"/>
              <w:rPr>
                <w:sz w:val="20"/>
                <w:szCs w:val="20"/>
                <w:color w:val="auto"/>
              </w:rPr>
            </w:pPr>
            <w:r>
              <w:rPr>
                <w:rFonts w:ascii="Arial" w:cs="Arial" w:eastAsia="Arial" w:hAnsi="Arial"/>
                <w:sz w:val="12"/>
                <w:szCs w:val="12"/>
                <w:color w:val="auto"/>
              </w:rPr>
              <w:t>(v)</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1,076</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119,610</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March 2022</w:t>
            </w:r>
          </w:p>
        </w:tc>
        <w:tc>
          <w:tcPr>
            <w:tcW w:w="900" w:type="dxa"/>
            <w:vAlign w:val="bottom"/>
          </w:tcPr>
          <w:p>
            <w:pPr>
              <w:spacing w:after="0"/>
              <w:rPr>
                <w:sz w:val="20"/>
                <w:szCs w:val="20"/>
                <w:color w:val="auto"/>
              </w:rPr>
            </w:pPr>
            <w:r>
              <w:rPr>
                <w:rFonts w:ascii="Arial" w:cs="Arial" w:eastAsia="Arial" w:hAnsi="Arial"/>
                <w:sz w:val="12"/>
                <w:szCs w:val="12"/>
                <w:color w:val="auto"/>
              </w:rPr>
              <w:t>Bonds issued</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2"/>
                <w:szCs w:val="12"/>
                <w:b w:val="1"/>
                <w:bCs w:val="1"/>
                <w:color w:val="auto"/>
              </w:rPr>
              <w:t>Fair value</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20"/>
                <w:szCs w:val="20"/>
                <w:color w:val="auto"/>
              </w:rPr>
            </w:pPr>
            <w:r>
              <w:rPr>
                <w:rFonts w:ascii="Arial" w:cs="Arial" w:eastAsia="Arial" w:hAnsi="Arial"/>
                <w:sz w:val="12"/>
                <w:szCs w:val="12"/>
                <w:b w:val="1"/>
                <w:bCs w:val="1"/>
                <w:color w:val="auto"/>
              </w:rPr>
              <w:t>hedges -</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2"/>
                <w:szCs w:val="12"/>
                <w:color w:val="auto"/>
              </w:rPr>
              <w:t>Interest rate</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line="136" w:lineRule="exact"/>
              <w:rPr>
                <w:sz w:val="20"/>
                <w:szCs w:val="20"/>
                <w:color w:val="auto"/>
              </w:rPr>
            </w:pPr>
            <w:r>
              <w:rPr>
                <w:rFonts w:ascii="Arial" w:cs="Arial" w:eastAsia="Arial" w:hAnsi="Arial"/>
                <w:sz w:val="12"/>
                <w:szCs w:val="12"/>
                <w:color w:val="auto"/>
              </w:rPr>
              <w:t>swaps (IRS)</w:t>
            </w:r>
          </w:p>
        </w:tc>
        <w:tc>
          <w:tcPr>
            <w:tcW w:w="420" w:type="dxa"/>
            <w:vAlign w:val="bottom"/>
          </w:tcPr>
          <w:p>
            <w:pPr>
              <w:jc w:val="center"/>
              <w:spacing w:after="0" w:line="136" w:lineRule="exact"/>
              <w:rPr>
                <w:sz w:val="20"/>
                <w:szCs w:val="20"/>
                <w:color w:val="auto"/>
              </w:rPr>
            </w:pPr>
            <w:r>
              <w:rPr>
                <w:rFonts w:ascii="Arial" w:cs="Arial" w:eastAsia="Arial" w:hAnsi="Arial"/>
                <w:sz w:val="12"/>
                <w:szCs w:val="12"/>
                <w:color w:val="auto"/>
                <w:w w:val="93"/>
              </w:rPr>
              <w:t>6(b)</w:t>
            </w:r>
          </w:p>
        </w:tc>
        <w:tc>
          <w:tcPr>
            <w:tcW w:w="68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52,106</w:t>
            </w:r>
          </w:p>
        </w:tc>
        <w:tc>
          <w:tcPr>
            <w:tcW w:w="72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397</w:t>
            </w: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926,497</w:t>
            </w:r>
          </w:p>
        </w:tc>
        <w:tc>
          <w:tcPr>
            <w:tcW w:w="182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January 2023 / February 2028</w:t>
            </w:r>
          </w:p>
        </w:tc>
        <w:tc>
          <w:tcPr>
            <w:tcW w:w="640" w:type="dxa"/>
            <w:vAlign w:val="bottom"/>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12,278</w:t>
            </w: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636,405</w:t>
            </w:r>
          </w:p>
        </w:tc>
        <w:tc>
          <w:tcPr>
            <w:tcW w:w="1820" w:type="dxa"/>
            <w:vAlign w:val="bottom"/>
            <w:gridSpan w:val="2"/>
          </w:tcPr>
          <w:p>
            <w:pPr>
              <w:ind w:left="60"/>
              <w:spacing w:after="0" w:line="136" w:lineRule="exact"/>
              <w:rPr>
                <w:sz w:val="20"/>
                <w:szCs w:val="20"/>
                <w:color w:val="auto"/>
              </w:rPr>
            </w:pPr>
            <w:r>
              <w:rPr>
                <w:rFonts w:ascii="Arial" w:cs="Arial" w:eastAsia="Arial" w:hAnsi="Arial"/>
                <w:sz w:val="12"/>
                <w:szCs w:val="12"/>
                <w:color w:val="auto"/>
              </w:rPr>
              <w:t>March 2022 / May 2023</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Investments (*)</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rPr>
              <w:t>150,762</w:t>
            </w: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rPr>
              <w:t>24,782</w:t>
            </w:r>
          </w:p>
        </w:tc>
        <w:tc>
          <w:tcPr>
            <w:tcW w:w="8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rPr>
              <w:t>2,347,794</w:t>
            </w:r>
          </w:p>
        </w:tc>
        <w:tc>
          <w:tcPr>
            <w:tcW w:w="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rPr>
              <w:t>86,268</w:t>
            </w: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rPr>
              <w:t>17,696</w:t>
            </w:r>
          </w:p>
        </w:tc>
        <w:tc>
          <w:tcPr>
            <w:tcW w:w="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rPr>
              <w:t>1,562,305</w:t>
            </w: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rPr>
              <w:t>1,478,726</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rPr>
              <w:t>1,345,665</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w w:val="96"/>
              </w:rPr>
              <w:t>63,818,334</w:t>
            </w: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w w:val="97"/>
              </w:rPr>
              <w:t>1,661,628</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rPr>
              <w:t>1,524,761</w:t>
            </w:r>
          </w:p>
        </w:tc>
        <w:tc>
          <w:tcPr>
            <w:tcW w:w="60" w:type="dxa"/>
            <w:vAlign w:val="bottom"/>
          </w:tcPr>
          <w:p>
            <w:pPr>
              <w:spacing w:after="0"/>
              <w:rPr>
                <w:sz w:val="11"/>
                <w:szCs w:val="11"/>
                <w:color w:val="auto"/>
              </w:rPr>
            </w:pPr>
          </w:p>
        </w:tc>
        <w:tc>
          <w:tcPr>
            <w:tcW w:w="700" w:type="dxa"/>
            <w:vAlign w:val="bottom"/>
            <w:tcBorders>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w w:val="99"/>
              </w:rPr>
              <w:t>73,642,609</w:t>
            </w: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-977900</wp:posOffset>
            </wp:positionV>
            <wp:extent cx="209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955" cy="8255"/>
                    </a:xfrm>
                    <a:prstGeom prst="rect">
                      <a:avLst/>
                    </a:prstGeom>
                    <a:noFill/>
                  </pic:spPr>
                </pic:pic>
              </a:graphicData>
            </a:graphic>
          </wp:anchor>
        </w:drawing>
      </w:r>
    </w:p>
    <w:p>
      <w:pPr>
        <w:spacing w:after="0" w:line="173" w:lineRule="exact"/>
        <w:rPr>
          <w:sz w:val="20"/>
          <w:szCs w:val="20"/>
          <w:color w:val="auto"/>
        </w:rPr>
      </w:pPr>
    </w:p>
    <w:p>
      <w:pPr>
        <w:ind w:left="315" w:right="20" w:hanging="315"/>
        <w:spacing w:after="0" w:line="254" w:lineRule="auto"/>
        <w:tabs>
          <w:tab w:leader="none" w:pos="31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It comprises investments classified at the fair value through other comprehensive income under IFRS 9 as of December 31, 2022 and 2021.</w:t>
      </w:r>
    </w:p>
    <w:p>
      <w:pPr>
        <w:spacing w:after="0" w:line="143" w:lineRule="exact"/>
        <w:rPr>
          <w:rFonts w:ascii="Arial" w:cs="Arial" w:eastAsia="Arial" w:hAnsi="Arial"/>
          <w:sz w:val="17"/>
          <w:szCs w:val="17"/>
          <w:color w:val="auto"/>
        </w:rPr>
      </w:pPr>
    </w:p>
    <w:p>
      <w:pPr>
        <w:ind w:left="4895" w:hanging="97"/>
        <w:spacing w:after="0"/>
        <w:tabs>
          <w:tab w:leader="none" w:pos="489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15"/>
          </w:cols>
          <w:pgMar w:left="945" w:top="333" w:right="439" w:bottom="1440" w:gutter="0" w:footer="0" w:header="0"/>
        </w:sectPr>
      </w:pPr>
    </w:p>
    <w:bookmarkStart w:id="95" w:name="page96"/>
    <w:bookmarkEnd w:id="95"/>
    <w:p>
      <w:pPr>
        <w:ind w:left="315" w:hanging="315"/>
        <w:spacing w:after="0" w:line="243" w:lineRule="auto"/>
        <w:tabs>
          <w:tab w:leader="none" w:pos="31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Held-for-trading derivatives are principally negotiated to satisfy customers’ needs. On the other hand, the Group may also take positions with the expectation of profiting from favorable movements in prices or rates. Also, this caption includes any derivatives which do not comply with IFRS 9 hedge accounting requirements. Fair value of derivatives held for trading classified by contractual maturity is as follows:</w:t>
      </w:r>
    </w:p>
    <w:p>
      <w:pPr>
        <w:spacing w:after="0" w:line="164" w:lineRule="exact"/>
        <w:rPr>
          <w:sz w:val="20"/>
          <w:szCs w:val="20"/>
          <w:color w:val="auto"/>
        </w:rPr>
      </w:pPr>
    </w:p>
    <w:tbl>
      <w:tblPr>
        <w:tblLayout w:type="fixed"/>
        <w:tblInd w:w="315" w:type="dxa"/>
        <w:tblCellMar>
          <w:top w:w="0" w:type="dxa"/>
          <w:left w:w="0" w:type="dxa"/>
          <w:bottom w:w="0" w:type="dxa"/>
          <w:right w:w="0" w:type="dxa"/>
        </w:tblCellMar>
      </w:tblPr>
      <w:tr>
        <w:trPr>
          <w:trHeight w:val="132"/>
        </w:trPr>
        <w:tc>
          <w:tcPr>
            <w:tcW w:w="980" w:type="dxa"/>
            <w:vAlign w:val="bottom"/>
          </w:tcPr>
          <w:p>
            <w:pPr>
              <w:spacing w:after="0"/>
              <w:rPr>
                <w:sz w:val="11"/>
                <w:szCs w:val="11"/>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From 3</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From 3</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From 1</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From 3</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From 1</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From 3</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Up to 3</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to 1</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to 3</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to 5</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Over 5</w:t>
            </w:r>
          </w:p>
        </w:tc>
        <w:tc>
          <w:tcPr>
            <w:tcW w:w="8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Total</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Up to 3</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to 1</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to 3</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to 5</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Over 5</w:t>
            </w:r>
          </w:p>
        </w:tc>
        <w:tc>
          <w:tcPr>
            <w:tcW w:w="6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years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840" w:type="dxa"/>
            <w:vAlign w:val="bottom"/>
            <w:gridSpan w:val="2"/>
            <w:vMerge w:val="continue"/>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months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years</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years</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vMerge w:val="restart"/>
          </w:tcPr>
          <w:p>
            <w:pPr>
              <w:spacing w:after="0"/>
              <w:rPr>
                <w:sz w:val="20"/>
                <w:szCs w:val="20"/>
                <w:color w:val="auto"/>
              </w:rPr>
            </w:pPr>
            <w:r>
              <w:rPr>
                <w:rFonts w:ascii="Arial" w:cs="Arial" w:eastAsia="Arial" w:hAnsi="Arial"/>
                <w:sz w:val="10"/>
                <w:szCs w:val="10"/>
                <w:color w:val="auto"/>
              </w:rPr>
              <w:t>Foreign currency</w:t>
            </w:r>
          </w:p>
        </w:tc>
        <w:tc>
          <w:tcPr>
            <w:tcW w:w="60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64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6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11"/>
                <w:szCs w:val="11"/>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0"/>
                <w:szCs w:val="10"/>
                <w:color w:val="auto"/>
              </w:rPr>
              <w:t>276,887</w:t>
            </w:r>
          </w:p>
        </w:tc>
        <w:tc>
          <w:tcPr>
            <w:tcW w:w="200" w:type="dxa"/>
            <w:vAlign w:val="bottom"/>
          </w:tcPr>
          <w:p>
            <w:pPr>
              <w:spacing w:after="0"/>
              <w:rPr>
                <w:sz w:val="8"/>
                <w:szCs w:val="8"/>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226,117</w:t>
            </w:r>
          </w:p>
        </w:tc>
        <w:tc>
          <w:tcPr>
            <w:tcW w:w="200" w:type="dxa"/>
            <w:vAlign w:val="bottom"/>
          </w:tcPr>
          <w:p>
            <w:pPr>
              <w:spacing w:after="0"/>
              <w:rPr>
                <w:sz w:val="8"/>
                <w:szCs w:val="8"/>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(2,656)</w:t>
            </w:r>
          </w:p>
        </w:tc>
        <w:tc>
          <w:tcPr>
            <w:tcW w:w="200" w:type="dxa"/>
            <w:vAlign w:val="bottom"/>
          </w:tcPr>
          <w:p>
            <w:pPr>
              <w:spacing w:after="0"/>
              <w:rPr>
                <w:sz w:val="8"/>
                <w:szCs w:val="8"/>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0"/>
                <w:szCs w:val="10"/>
                <w:color w:val="auto"/>
              </w:rPr>
              <w:t>500,348</w:t>
            </w:r>
          </w:p>
        </w:tc>
        <w:tc>
          <w:tcPr>
            <w:tcW w:w="200" w:type="dxa"/>
            <w:vAlign w:val="bottom"/>
          </w:tcPr>
          <w:p>
            <w:pPr>
              <w:spacing w:after="0"/>
              <w:rPr>
                <w:sz w:val="8"/>
                <w:szCs w:val="8"/>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193,678</w:t>
            </w:r>
          </w:p>
        </w:tc>
        <w:tc>
          <w:tcPr>
            <w:tcW w:w="220" w:type="dxa"/>
            <w:vAlign w:val="bottom"/>
          </w:tcPr>
          <w:p>
            <w:pPr>
              <w:spacing w:after="0"/>
              <w:rPr>
                <w:sz w:val="8"/>
                <w:szCs w:val="8"/>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148,219</w:t>
            </w:r>
          </w:p>
        </w:tc>
        <w:tc>
          <w:tcPr>
            <w:tcW w:w="200" w:type="dxa"/>
            <w:vAlign w:val="bottom"/>
          </w:tcPr>
          <w:p>
            <w:pPr>
              <w:spacing w:after="0"/>
              <w:rPr>
                <w:sz w:val="8"/>
                <w:szCs w:val="8"/>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0"/>
                <w:szCs w:val="10"/>
                <w:color w:val="auto"/>
              </w:rPr>
              <w:t>2,883</w:t>
            </w: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0"/>
                <w:szCs w:val="10"/>
                <w:color w:val="auto"/>
              </w:rPr>
              <w:t>344,780</w:t>
            </w:r>
          </w:p>
        </w:tc>
        <w:tc>
          <w:tcPr>
            <w:tcW w:w="0" w:type="dxa"/>
            <w:vAlign w:val="bottom"/>
          </w:tcPr>
          <w:p>
            <w:pPr>
              <w:spacing w:after="0"/>
              <w:rPr>
                <w:sz w:val="1"/>
                <w:szCs w:val="1"/>
                <w:color w:val="auto"/>
              </w:rPr>
            </w:pPr>
          </w:p>
        </w:tc>
      </w:tr>
      <w:tr>
        <w:trPr>
          <w:trHeight w:val="59"/>
        </w:trPr>
        <w:tc>
          <w:tcPr>
            <w:tcW w:w="980" w:type="dxa"/>
            <w:vAlign w:val="bottom"/>
            <w:vMerge w:val="restart"/>
          </w:tcPr>
          <w:p>
            <w:pPr>
              <w:spacing w:after="0"/>
              <w:rPr>
                <w:sz w:val="20"/>
                <w:szCs w:val="20"/>
                <w:color w:val="auto"/>
              </w:rPr>
            </w:pPr>
            <w:r>
              <w:rPr>
                <w:rFonts w:ascii="Arial" w:cs="Arial" w:eastAsia="Arial" w:hAnsi="Arial"/>
                <w:sz w:val="10"/>
                <w:szCs w:val="10"/>
                <w:color w:val="auto"/>
              </w:rPr>
              <w:t>forwards</w:t>
            </w: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5"/>
                <w:szCs w:val="5"/>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9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Interest rate</w:t>
            </w:r>
          </w:p>
        </w:tc>
        <w:tc>
          <w:tcPr>
            <w:tcW w:w="600" w:type="dxa"/>
            <w:vAlign w:val="bottom"/>
            <w:vMerge w:val="restart"/>
          </w:tcPr>
          <w:p>
            <w:pPr>
              <w:jc w:val="right"/>
              <w:ind w:right="48"/>
              <w:spacing w:after="0"/>
              <w:rPr>
                <w:sz w:val="20"/>
                <w:szCs w:val="20"/>
                <w:color w:val="auto"/>
              </w:rPr>
            </w:pPr>
            <w:r>
              <w:rPr>
                <w:rFonts w:ascii="Arial" w:cs="Arial" w:eastAsia="Arial" w:hAnsi="Arial"/>
                <w:sz w:val="10"/>
                <w:szCs w:val="10"/>
                <w:color w:val="auto"/>
              </w:rPr>
              <w:t>12,395</w:t>
            </w:r>
          </w:p>
        </w:tc>
        <w:tc>
          <w:tcPr>
            <w:tcW w:w="200" w:type="dxa"/>
            <w:vAlign w:val="bottom"/>
          </w:tcPr>
          <w:p>
            <w:pPr>
              <w:spacing w:after="0"/>
              <w:rPr>
                <w:sz w:val="10"/>
                <w:szCs w:val="10"/>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43,395</w:t>
            </w:r>
          </w:p>
        </w:tc>
        <w:tc>
          <w:tcPr>
            <w:tcW w:w="200" w:type="dxa"/>
            <w:vAlign w:val="bottom"/>
          </w:tcPr>
          <w:p>
            <w:pPr>
              <w:spacing w:after="0"/>
              <w:rPr>
                <w:sz w:val="10"/>
                <w:szCs w:val="10"/>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58,726</w:t>
            </w:r>
          </w:p>
        </w:tc>
        <w:tc>
          <w:tcPr>
            <w:tcW w:w="200" w:type="dxa"/>
            <w:vAlign w:val="bottom"/>
          </w:tcPr>
          <w:p>
            <w:pPr>
              <w:spacing w:after="0"/>
              <w:rPr>
                <w:sz w:val="10"/>
                <w:szCs w:val="10"/>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122,943</w:t>
            </w:r>
          </w:p>
        </w:tc>
        <w:tc>
          <w:tcPr>
            <w:tcW w:w="200" w:type="dxa"/>
            <w:vAlign w:val="bottom"/>
          </w:tcPr>
          <w:p>
            <w:pPr>
              <w:spacing w:after="0"/>
              <w:rPr>
                <w:sz w:val="10"/>
                <w:szCs w:val="10"/>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177,575</w:t>
            </w:r>
          </w:p>
        </w:tc>
        <w:tc>
          <w:tcPr>
            <w:tcW w:w="200" w:type="dxa"/>
            <w:vAlign w:val="bottom"/>
          </w:tcPr>
          <w:p>
            <w:pPr>
              <w:spacing w:after="0"/>
              <w:rPr>
                <w:sz w:val="10"/>
                <w:szCs w:val="10"/>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0"/>
                <w:szCs w:val="10"/>
                <w:color w:val="auto"/>
              </w:rPr>
              <w:t>415,034</w:t>
            </w:r>
          </w:p>
        </w:tc>
        <w:tc>
          <w:tcPr>
            <w:tcW w:w="200" w:type="dxa"/>
            <w:vAlign w:val="bottom"/>
          </w:tcPr>
          <w:p>
            <w:pPr>
              <w:spacing w:after="0"/>
              <w:rPr>
                <w:sz w:val="10"/>
                <w:szCs w:val="10"/>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16,120</w:t>
            </w:r>
          </w:p>
        </w:tc>
        <w:tc>
          <w:tcPr>
            <w:tcW w:w="220" w:type="dxa"/>
            <w:vAlign w:val="bottom"/>
          </w:tcPr>
          <w:p>
            <w:pPr>
              <w:spacing w:after="0"/>
              <w:rPr>
                <w:sz w:val="10"/>
                <w:szCs w:val="10"/>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25,612</w:t>
            </w:r>
          </w:p>
        </w:tc>
        <w:tc>
          <w:tcPr>
            <w:tcW w:w="200" w:type="dxa"/>
            <w:vAlign w:val="bottom"/>
          </w:tcPr>
          <w:p>
            <w:pPr>
              <w:spacing w:after="0"/>
              <w:rPr>
                <w:sz w:val="10"/>
                <w:szCs w:val="10"/>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0"/>
                <w:szCs w:val="10"/>
                <w:color w:val="auto"/>
              </w:rPr>
              <w:t>16,117</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0"/>
                <w:szCs w:val="10"/>
                <w:color w:val="auto"/>
              </w:rPr>
              <w:t>367,906</w:t>
            </w:r>
          </w:p>
        </w:tc>
        <w:tc>
          <w:tcPr>
            <w:tcW w:w="0" w:type="dxa"/>
            <w:vAlign w:val="bottom"/>
          </w:tcPr>
          <w:p>
            <w:pPr>
              <w:spacing w:after="0"/>
              <w:rPr>
                <w:sz w:val="1"/>
                <w:szCs w:val="1"/>
                <w:color w:val="auto"/>
              </w:rPr>
            </w:pPr>
          </w:p>
        </w:tc>
      </w:tr>
      <w:tr>
        <w:trPr>
          <w:trHeight w:val="59"/>
        </w:trPr>
        <w:tc>
          <w:tcPr>
            <w:tcW w:w="980" w:type="dxa"/>
            <w:vAlign w:val="bottom"/>
            <w:vMerge w:val="restart"/>
          </w:tcPr>
          <w:p>
            <w:pPr>
              <w:spacing w:after="0"/>
              <w:rPr>
                <w:sz w:val="20"/>
                <w:szCs w:val="20"/>
                <w:color w:val="auto"/>
              </w:rPr>
            </w:pPr>
            <w:r>
              <w:rPr>
                <w:rFonts w:ascii="Arial" w:cs="Arial" w:eastAsia="Arial" w:hAnsi="Arial"/>
                <w:sz w:val="10"/>
                <w:szCs w:val="10"/>
                <w:color w:val="auto"/>
              </w:rPr>
              <w:t>swaps</w:t>
            </w: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51,990</w:t>
            </w:r>
          </w:p>
        </w:tc>
        <w:tc>
          <w:tcPr>
            <w:tcW w:w="200" w:type="dxa"/>
            <w:vAlign w:val="bottom"/>
          </w:tcPr>
          <w:p>
            <w:pPr>
              <w:spacing w:after="0"/>
              <w:rPr>
                <w:sz w:val="5"/>
                <w:szCs w:val="5"/>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258,067</w:t>
            </w: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9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Currency swaps</w:t>
            </w: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63,465</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60,940</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86,950</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84,650</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114,434</w:t>
            </w:r>
          </w:p>
        </w:tc>
        <w:tc>
          <w:tcPr>
            <w:tcW w:w="200" w:type="dxa"/>
            <w:vAlign w:val="bottom"/>
          </w:tcPr>
          <w:p>
            <w:pPr>
              <w:spacing w:after="0"/>
              <w:rPr>
                <w:sz w:val="10"/>
                <w:szCs w:val="10"/>
                <w:color w:val="auto"/>
              </w:rPr>
            </w:pP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410,439</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61,522</w:t>
            </w:r>
          </w:p>
        </w:tc>
        <w:tc>
          <w:tcPr>
            <w:tcW w:w="22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182,002</w:t>
            </w:r>
          </w:p>
        </w:tc>
        <w:tc>
          <w:tcPr>
            <w:tcW w:w="200" w:type="dxa"/>
            <w:vAlign w:val="bottom"/>
          </w:tcPr>
          <w:p>
            <w:pPr>
              <w:spacing w:after="0"/>
              <w:rPr>
                <w:sz w:val="10"/>
                <w:szCs w:val="1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219,240</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137,046</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260,360</w:t>
            </w:r>
          </w:p>
        </w:tc>
        <w:tc>
          <w:tcPr>
            <w:tcW w:w="200" w:type="dxa"/>
            <w:vAlign w:val="bottom"/>
          </w:tcPr>
          <w:p>
            <w:pPr>
              <w:spacing w:after="0"/>
              <w:rPr>
                <w:sz w:val="10"/>
                <w:szCs w:val="10"/>
                <w:color w:val="auto"/>
              </w:rPr>
            </w:pPr>
          </w:p>
        </w:tc>
        <w:tc>
          <w:tcPr>
            <w:tcW w:w="640" w:type="dxa"/>
            <w:vAlign w:val="bottom"/>
          </w:tcPr>
          <w:p>
            <w:pPr>
              <w:jc w:val="right"/>
              <w:ind w:right="48"/>
              <w:spacing w:after="0"/>
              <w:rPr>
                <w:sz w:val="20"/>
                <w:szCs w:val="20"/>
                <w:color w:val="auto"/>
              </w:rPr>
            </w:pPr>
            <w:r>
              <w:rPr>
                <w:rFonts w:ascii="Arial" w:cs="Arial" w:eastAsia="Arial" w:hAnsi="Arial"/>
                <w:sz w:val="10"/>
                <w:szCs w:val="10"/>
                <w:color w:val="auto"/>
              </w:rPr>
              <w:t>860,170</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Foreign</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exchange</w:t>
            </w: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153</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1,163</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33</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1,349</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1,287</w:t>
            </w:r>
          </w:p>
        </w:tc>
        <w:tc>
          <w:tcPr>
            <w:tcW w:w="22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1,198</w:t>
            </w:r>
          </w:p>
        </w:tc>
        <w:tc>
          <w:tcPr>
            <w:tcW w:w="200" w:type="dxa"/>
            <w:vAlign w:val="bottom"/>
          </w:tcPr>
          <w:p>
            <w:pPr>
              <w:spacing w:after="0"/>
              <w:rPr>
                <w:sz w:val="10"/>
                <w:szCs w:val="1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ind w:right="48"/>
              <w:spacing w:after="0"/>
              <w:rPr>
                <w:sz w:val="20"/>
                <w:szCs w:val="20"/>
                <w:color w:val="auto"/>
              </w:rPr>
            </w:pPr>
            <w:r>
              <w:rPr>
                <w:rFonts w:ascii="Arial" w:cs="Arial" w:eastAsia="Arial" w:hAnsi="Arial"/>
                <w:sz w:val="10"/>
                <w:szCs w:val="10"/>
                <w:color w:val="auto"/>
              </w:rPr>
              <w:t>2,485</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options</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line="105" w:lineRule="exact"/>
              <w:rPr>
                <w:sz w:val="20"/>
                <w:szCs w:val="20"/>
                <w:color w:val="auto"/>
              </w:rPr>
            </w:pPr>
            <w:r>
              <w:rPr>
                <w:rFonts w:ascii="Arial" w:cs="Arial" w:eastAsia="Arial" w:hAnsi="Arial"/>
                <w:sz w:val="10"/>
                <w:szCs w:val="10"/>
                <w:color w:val="auto"/>
              </w:rPr>
              <w:t>Futures</w:t>
            </w:r>
          </w:p>
        </w:tc>
        <w:tc>
          <w:tcPr>
            <w:tcW w:w="60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794</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4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794</w:t>
            </w:r>
          </w:p>
        </w:tc>
        <w:tc>
          <w:tcPr>
            <w:tcW w:w="200" w:type="dxa"/>
            <w:vAlign w:val="bottom"/>
          </w:tcPr>
          <w:p>
            <w:pPr>
              <w:spacing w:after="0"/>
              <w:rPr>
                <w:sz w:val="9"/>
                <w:szCs w:val="9"/>
                <w:color w:val="auto"/>
              </w:rPr>
            </w:pPr>
          </w:p>
        </w:tc>
        <w:tc>
          <w:tcPr>
            <w:tcW w:w="56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56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19</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4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22"/>
        </w:trPr>
        <w:tc>
          <w:tcPr>
            <w:tcW w:w="980" w:type="dxa"/>
            <w:vAlign w:val="bottom"/>
          </w:tcPr>
          <w:p>
            <w:pPr>
              <w:spacing w:after="0" w:line="108" w:lineRule="exact"/>
              <w:rPr>
                <w:sz w:val="20"/>
                <w:szCs w:val="20"/>
                <w:color w:val="auto"/>
              </w:rPr>
            </w:pPr>
            <w:r>
              <w:rPr>
                <w:rFonts w:ascii="Arial" w:cs="Arial" w:eastAsia="Arial" w:hAnsi="Arial"/>
                <w:sz w:val="10"/>
                <w:szCs w:val="10"/>
                <w:b w:val="1"/>
                <w:bCs w:val="1"/>
                <w:color w:val="auto"/>
              </w:rPr>
              <w:t>Total assets</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353,694</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331,615</w:t>
            </w:r>
          </w:p>
        </w:tc>
        <w:tc>
          <w:tcPr>
            <w:tcW w:w="200" w:type="dxa"/>
            <w:vAlign w:val="bottom"/>
          </w:tcPr>
          <w:p>
            <w:pPr>
              <w:spacing w:after="0"/>
              <w:rPr>
                <w:sz w:val="10"/>
                <w:szCs w:val="10"/>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143,053</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207,593</w:t>
            </w:r>
          </w:p>
        </w:tc>
        <w:tc>
          <w:tcPr>
            <w:tcW w:w="200" w:type="dxa"/>
            <w:vAlign w:val="bottom"/>
          </w:tcPr>
          <w:p>
            <w:pPr>
              <w:spacing w:after="0"/>
              <w:rPr>
                <w:sz w:val="10"/>
                <w:szCs w:val="10"/>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292,009</w:t>
            </w:r>
          </w:p>
        </w:tc>
        <w:tc>
          <w:tcPr>
            <w:tcW w:w="200" w:type="dxa"/>
            <w:vAlign w:val="bottom"/>
          </w:tcPr>
          <w:p>
            <w:pPr>
              <w:spacing w:after="0"/>
              <w:rPr>
                <w:sz w:val="10"/>
                <w:szCs w:val="10"/>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1,327,964</w:t>
            </w:r>
          </w:p>
        </w:tc>
        <w:tc>
          <w:tcPr>
            <w:tcW w:w="200" w:type="dxa"/>
            <w:vAlign w:val="bottom"/>
          </w:tcPr>
          <w:p>
            <w:pPr>
              <w:spacing w:after="0"/>
              <w:rPr>
                <w:sz w:val="10"/>
                <w:szCs w:val="10"/>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272,607</w:t>
            </w:r>
          </w:p>
        </w:tc>
        <w:tc>
          <w:tcPr>
            <w:tcW w:w="220" w:type="dxa"/>
            <w:vAlign w:val="bottom"/>
          </w:tcPr>
          <w:p>
            <w:pPr>
              <w:spacing w:after="0"/>
              <w:rPr>
                <w:sz w:val="10"/>
                <w:szCs w:val="10"/>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357,050</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238,240</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189,036</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518,427</w:t>
            </w:r>
          </w:p>
        </w:tc>
        <w:tc>
          <w:tcPr>
            <w:tcW w:w="200" w:type="dxa"/>
            <w:vAlign w:val="bottom"/>
          </w:tcPr>
          <w:p>
            <w:pPr>
              <w:spacing w:after="0"/>
              <w:rPr>
                <w:sz w:val="10"/>
                <w:szCs w:val="10"/>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1,575,360</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From 3</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From 3</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From 1</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From 3</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From 1</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From 3</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Up to 3</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to 1</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to 3</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to 5</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Over 5</w:t>
            </w:r>
          </w:p>
        </w:tc>
        <w:tc>
          <w:tcPr>
            <w:tcW w:w="8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Total</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Up to 3</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to 1</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to 3</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to 5</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Over 5</w:t>
            </w:r>
          </w:p>
        </w:tc>
        <w:tc>
          <w:tcPr>
            <w:tcW w:w="6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years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840" w:type="dxa"/>
            <w:vAlign w:val="bottom"/>
            <w:gridSpan w:val="2"/>
            <w:vMerge w:val="continue"/>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months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years</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years</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vMerge w:val="restart"/>
          </w:tcPr>
          <w:p>
            <w:pPr>
              <w:spacing w:after="0"/>
              <w:rPr>
                <w:sz w:val="20"/>
                <w:szCs w:val="20"/>
                <w:color w:val="auto"/>
              </w:rPr>
            </w:pPr>
            <w:r>
              <w:rPr>
                <w:rFonts w:ascii="Arial" w:cs="Arial" w:eastAsia="Arial" w:hAnsi="Arial"/>
                <w:sz w:val="10"/>
                <w:szCs w:val="10"/>
                <w:color w:val="auto"/>
              </w:rPr>
              <w:t>Foreign currency</w:t>
            </w:r>
          </w:p>
        </w:tc>
        <w:tc>
          <w:tcPr>
            <w:tcW w:w="60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64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6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11"/>
                <w:szCs w:val="11"/>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11"/>
                <w:szCs w:val="11"/>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0"/>
                <w:szCs w:val="10"/>
                <w:color w:val="auto"/>
              </w:rPr>
              <w:t>203,269</w:t>
            </w:r>
          </w:p>
        </w:tc>
        <w:tc>
          <w:tcPr>
            <w:tcW w:w="200" w:type="dxa"/>
            <w:vAlign w:val="bottom"/>
          </w:tcPr>
          <w:p>
            <w:pPr>
              <w:spacing w:after="0"/>
              <w:rPr>
                <w:sz w:val="8"/>
                <w:szCs w:val="8"/>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85,222</w:t>
            </w:r>
          </w:p>
        </w:tc>
        <w:tc>
          <w:tcPr>
            <w:tcW w:w="200" w:type="dxa"/>
            <w:vAlign w:val="bottom"/>
          </w:tcPr>
          <w:p>
            <w:pPr>
              <w:spacing w:after="0"/>
              <w:rPr>
                <w:sz w:val="8"/>
                <w:szCs w:val="8"/>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366</w:t>
            </w:r>
          </w:p>
        </w:tc>
        <w:tc>
          <w:tcPr>
            <w:tcW w:w="200" w:type="dxa"/>
            <w:vAlign w:val="bottom"/>
          </w:tcPr>
          <w:p>
            <w:pPr>
              <w:spacing w:after="0"/>
              <w:rPr>
                <w:sz w:val="8"/>
                <w:szCs w:val="8"/>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0"/>
                <w:szCs w:val="10"/>
                <w:color w:val="auto"/>
              </w:rPr>
              <w:t>288,857</w:t>
            </w:r>
          </w:p>
        </w:tc>
        <w:tc>
          <w:tcPr>
            <w:tcW w:w="200" w:type="dxa"/>
            <w:vAlign w:val="bottom"/>
          </w:tcPr>
          <w:p>
            <w:pPr>
              <w:spacing w:after="0"/>
              <w:rPr>
                <w:sz w:val="8"/>
                <w:szCs w:val="8"/>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231,022</w:t>
            </w:r>
          </w:p>
        </w:tc>
        <w:tc>
          <w:tcPr>
            <w:tcW w:w="220" w:type="dxa"/>
            <w:vAlign w:val="bottom"/>
          </w:tcPr>
          <w:p>
            <w:pPr>
              <w:spacing w:after="0"/>
              <w:rPr>
                <w:sz w:val="8"/>
                <w:szCs w:val="8"/>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153,550</w:t>
            </w:r>
          </w:p>
        </w:tc>
        <w:tc>
          <w:tcPr>
            <w:tcW w:w="200" w:type="dxa"/>
            <w:vAlign w:val="bottom"/>
          </w:tcPr>
          <w:p>
            <w:pPr>
              <w:spacing w:after="0"/>
              <w:rPr>
                <w:sz w:val="8"/>
                <w:szCs w:val="8"/>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0"/>
                <w:szCs w:val="10"/>
                <w:color w:val="auto"/>
              </w:rPr>
              <w:t>2,799</w:t>
            </w:r>
          </w:p>
        </w:tc>
        <w:tc>
          <w:tcPr>
            <w:tcW w:w="200" w:type="dxa"/>
            <w:vAlign w:val="bottom"/>
          </w:tcPr>
          <w:p>
            <w:pPr>
              <w:spacing w:after="0"/>
              <w:rPr>
                <w:sz w:val="8"/>
                <w:szCs w:val="8"/>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0"/>
                <w:szCs w:val="10"/>
                <w:color w:val="auto"/>
              </w:rPr>
              <w:t>387,371</w:t>
            </w:r>
          </w:p>
        </w:tc>
        <w:tc>
          <w:tcPr>
            <w:tcW w:w="0" w:type="dxa"/>
            <w:vAlign w:val="bottom"/>
          </w:tcPr>
          <w:p>
            <w:pPr>
              <w:spacing w:after="0"/>
              <w:rPr>
                <w:sz w:val="1"/>
                <w:szCs w:val="1"/>
                <w:color w:val="auto"/>
              </w:rPr>
            </w:pPr>
          </w:p>
        </w:tc>
      </w:tr>
      <w:tr>
        <w:trPr>
          <w:trHeight w:val="59"/>
        </w:trPr>
        <w:tc>
          <w:tcPr>
            <w:tcW w:w="980" w:type="dxa"/>
            <w:vAlign w:val="bottom"/>
            <w:vMerge w:val="restart"/>
          </w:tcPr>
          <w:p>
            <w:pPr>
              <w:spacing w:after="0"/>
              <w:rPr>
                <w:sz w:val="20"/>
                <w:szCs w:val="20"/>
                <w:color w:val="auto"/>
              </w:rPr>
            </w:pPr>
            <w:r>
              <w:rPr>
                <w:rFonts w:ascii="Arial" w:cs="Arial" w:eastAsia="Arial" w:hAnsi="Arial"/>
                <w:sz w:val="10"/>
                <w:szCs w:val="10"/>
                <w:color w:val="auto"/>
              </w:rPr>
              <w:t>forwards</w:t>
            </w: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9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Interest rate</w:t>
            </w:r>
          </w:p>
        </w:tc>
        <w:tc>
          <w:tcPr>
            <w:tcW w:w="600" w:type="dxa"/>
            <w:vAlign w:val="bottom"/>
            <w:vMerge w:val="restart"/>
          </w:tcPr>
          <w:p>
            <w:pPr>
              <w:jc w:val="right"/>
              <w:ind w:right="48"/>
              <w:spacing w:after="0"/>
              <w:rPr>
                <w:sz w:val="20"/>
                <w:szCs w:val="20"/>
                <w:color w:val="auto"/>
              </w:rPr>
            </w:pPr>
            <w:r>
              <w:rPr>
                <w:rFonts w:ascii="Arial" w:cs="Arial" w:eastAsia="Arial" w:hAnsi="Arial"/>
                <w:sz w:val="10"/>
                <w:szCs w:val="10"/>
                <w:color w:val="auto"/>
              </w:rPr>
              <w:t>8,073</w:t>
            </w:r>
          </w:p>
        </w:tc>
        <w:tc>
          <w:tcPr>
            <w:tcW w:w="200" w:type="dxa"/>
            <w:vAlign w:val="bottom"/>
          </w:tcPr>
          <w:p>
            <w:pPr>
              <w:spacing w:after="0"/>
              <w:rPr>
                <w:sz w:val="10"/>
                <w:szCs w:val="10"/>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37,418</w:t>
            </w:r>
          </w:p>
        </w:tc>
        <w:tc>
          <w:tcPr>
            <w:tcW w:w="200" w:type="dxa"/>
            <w:vAlign w:val="bottom"/>
          </w:tcPr>
          <w:p>
            <w:pPr>
              <w:spacing w:after="0"/>
              <w:rPr>
                <w:sz w:val="10"/>
                <w:szCs w:val="10"/>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45,352</w:t>
            </w:r>
          </w:p>
        </w:tc>
        <w:tc>
          <w:tcPr>
            <w:tcW w:w="200" w:type="dxa"/>
            <w:vAlign w:val="bottom"/>
          </w:tcPr>
          <w:p>
            <w:pPr>
              <w:spacing w:after="0"/>
              <w:rPr>
                <w:sz w:val="10"/>
                <w:szCs w:val="10"/>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62,460</w:t>
            </w:r>
          </w:p>
        </w:tc>
        <w:tc>
          <w:tcPr>
            <w:tcW w:w="200" w:type="dxa"/>
            <w:vAlign w:val="bottom"/>
          </w:tcPr>
          <w:p>
            <w:pPr>
              <w:spacing w:after="0"/>
              <w:rPr>
                <w:sz w:val="10"/>
                <w:szCs w:val="10"/>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124,685</w:t>
            </w:r>
          </w:p>
        </w:tc>
        <w:tc>
          <w:tcPr>
            <w:tcW w:w="200" w:type="dxa"/>
            <w:vAlign w:val="bottom"/>
          </w:tcPr>
          <w:p>
            <w:pPr>
              <w:spacing w:after="0"/>
              <w:rPr>
                <w:sz w:val="10"/>
                <w:szCs w:val="10"/>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0"/>
                <w:szCs w:val="10"/>
                <w:color w:val="auto"/>
              </w:rPr>
              <w:t>277,988</w:t>
            </w:r>
          </w:p>
        </w:tc>
        <w:tc>
          <w:tcPr>
            <w:tcW w:w="200" w:type="dxa"/>
            <w:vAlign w:val="bottom"/>
          </w:tcPr>
          <w:p>
            <w:pPr>
              <w:spacing w:after="0"/>
              <w:rPr>
                <w:sz w:val="10"/>
                <w:szCs w:val="10"/>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13,098</w:t>
            </w:r>
          </w:p>
        </w:tc>
        <w:tc>
          <w:tcPr>
            <w:tcW w:w="220" w:type="dxa"/>
            <w:vAlign w:val="bottom"/>
          </w:tcPr>
          <w:p>
            <w:pPr>
              <w:spacing w:after="0"/>
              <w:rPr>
                <w:sz w:val="10"/>
                <w:szCs w:val="10"/>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0"/>
                <w:szCs w:val="10"/>
                <w:color w:val="auto"/>
              </w:rPr>
              <w:t>13,481</w:t>
            </w:r>
          </w:p>
        </w:tc>
        <w:tc>
          <w:tcPr>
            <w:tcW w:w="200" w:type="dxa"/>
            <w:vAlign w:val="bottom"/>
          </w:tcPr>
          <w:p>
            <w:pPr>
              <w:spacing w:after="0"/>
              <w:rPr>
                <w:sz w:val="10"/>
                <w:szCs w:val="10"/>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0"/>
                <w:szCs w:val="10"/>
                <w:color w:val="auto"/>
              </w:rPr>
              <w:t>28,424</w:t>
            </w:r>
          </w:p>
        </w:tc>
        <w:tc>
          <w:tcPr>
            <w:tcW w:w="200" w:type="dxa"/>
            <w:vAlign w:val="bottom"/>
          </w:tcPr>
          <w:p>
            <w:pPr>
              <w:spacing w:after="0"/>
              <w:rPr>
                <w:sz w:val="10"/>
                <w:szCs w:val="10"/>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40,984</w:t>
            </w:r>
          </w:p>
        </w:tc>
        <w:tc>
          <w:tcPr>
            <w:tcW w:w="200" w:type="dxa"/>
            <w:vAlign w:val="bottom"/>
          </w:tcPr>
          <w:p>
            <w:pPr>
              <w:spacing w:after="0"/>
              <w:rPr>
                <w:sz w:val="10"/>
                <w:szCs w:val="10"/>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224,199</w:t>
            </w:r>
          </w:p>
        </w:tc>
        <w:tc>
          <w:tcPr>
            <w:tcW w:w="20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0"/>
                <w:szCs w:val="10"/>
                <w:color w:val="auto"/>
              </w:rPr>
              <w:t>320,186</w:t>
            </w:r>
          </w:p>
        </w:tc>
        <w:tc>
          <w:tcPr>
            <w:tcW w:w="0" w:type="dxa"/>
            <w:vAlign w:val="bottom"/>
          </w:tcPr>
          <w:p>
            <w:pPr>
              <w:spacing w:after="0"/>
              <w:rPr>
                <w:sz w:val="1"/>
                <w:szCs w:val="1"/>
                <w:color w:val="auto"/>
              </w:rPr>
            </w:pPr>
          </w:p>
        </w:tc>
      </w:tr>
      <w:tr>
        <w:trPr>
          <w:trHeight w:val="59"/>
        </w:trPr>
        <w:tc>
          <w:tcPr>
            <w:tcW w:w="980" w:type="dxa"/>
            <w:vAlign w:val="bottom"/>
            <w:vMerge w:val="restart"/>
          </w:tcPr>
          <w:p>
            <w:pPr>
              <w:spacing w:after="0"/>
              <w:rPr>
                <w:sz w:val="20"/>
                <w:szCs w:val="20"/>
                <w:color w:val="auto"/>
              </w:rPr>
            </w:pPr>
            <w:r>
              <w:rPr>
                <w:rFonts w:ascii="Arial" w:cs="Arial" w:eastAsia="Arial" w:hAnsi="Arial"/>
                <w:sz w:val="10"/>
                <w:szCs w:val="10"/>
                <w:color w:val="auto"/>
              </w:rPr>
              <w:t>swaps</w:t>
            </w: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9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Currency swaps</w:t>
            </w: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140,363</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258,962</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100,267</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127,404</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122,424</w:t>
            </w:r>
          </w:p>
        </w:tc>
        <w:tc>
          <w:tcPr>
            <w:tcW w:w="200" w:type="dxa"/>
            <w:vAlign w:val="bottom"/>
          </w:tcPr>
          <w:p>
            <w:pPr>
              <w:spacing w:after="0"/>
              <w:rPr>
                <w:sz w:val="10"/>
                <w:szCs w:val="10"/>
                <w:color w:val="auto"/>
              </w:rPr>
            </w:pP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749,420</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37,410</w:t>
            </w:r>
          </w:p>
        </w:tc>
        <w:tc>
          <w:tcPr>
            <w:tcW w:w="22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225,813</w:t>
            </w:r>
          </w:p>
        </w:tc>
        <w:tc>
          <w:tcPr>
            <w:tcW w:w="200" w:type="dxa"/>
            <w:vAlign w:val="bottom"/>
          </w:tcPr>
          <w:p>
            <w:pPr>
              <w:spacing w:after="0"/>
              <w:rPr>
                <w:sz w:val="10"/>
                <w:szCs w:val="1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211,630</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145,507</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175,485</w:t>
            </w:r>
          </w:p>
        </w:tc>
        <w:tc>
          <w:tcPr>
            <w:tcW w:w="200" w:type="dxa"/>
            <w:vAlign w:val="bottom"/>
          </w:tcPr>
          <w:p>
            <w:pPr>
              <w:spacing w:after="0"/>
              <w:rPr>
                <w:sz w:val="10"/>
                <w:szCs w:val="10"/>
                <w:color w:val="auto"/>
              </w:rPr>
            </w:pPr>
          </w:p>
        </w:tc>
        <w:tc>
          <w:tcPr>
            <w:tcW w:w="640" w:type="dxa"/>
            <w:vAlign w:val="bottom"/>
          </w:tcPr>
          <w:p>
            <w:pPr>
              <w:jc w:val="right"/>
              <w:ind w:right="48"/>
              <w:spacing w:after="0"/>
              <w:rPr>
                <w:sz w:val="20"/>
                <w:szCs w:val="20"/>
                <w:color w:val="auto"/>
              </w:rPr>
            </w:pPr>
            <w:r>
              <w:rPr>
                <w:rFonts w:ascii="Arial" w:cs="Arial" w:eastAsia="Arial" w:hAnsi="Arial"/>
                <w:sz w:val="10"/>
                <w:szCs w:val="10"/>
                <w:color w:val="auto"/>
              </w:rPr>
              <w:t>795,845</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Foreign</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exchange</w:t>
            </w: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554</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2,483</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131</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3,168</w:t>
            </w:r>
          </w:p>
        </w:tc>
        <w:tc>
          <w:tcPr>
            <w:tcW w:w="20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1,102</w:t>
            </w:r>
          </w:p>
        </w:tc>
        <w:tc>
          <w:tcPr>
            <w:tcW w:w="220" w:type="dxa"/>
            <w:vAlign w:val="bottom"/>
          </w:tcPr>
          <w:p>
            <w:pPr>
              <w:spacing w:after="0"/>
              <w:rPr>
                <w:sz w:val="10"/>
                <w:szCs w:val="1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2,156</w:t>
            </w:r>
          </w:p>
        </w:tc>
        <w:tc>
          <w:tcPr>
            <w:tcW w:w="200" w:type="dxa"/>
            <w:vAlign w:val="bottom"/>
          </w:tcPr>
          <w:p>
            <w:pPr>
              <w:spacing w:after="0"/>
              <w:rPr>
                <w:sz w:val="10"/>
                <w:szCs w:val="1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40" w:type="dxa"/>
            <w:vAlign w:val="bottom"/>
          </w:tcPr>
          <w:p>
            <w:pPr>
              <w:jc w:val="right"/>
              <w:ind w:right="48"/>
              <w:spacing w:after="0"/>
              <w:rPr>
                <w:sz w:val="20"/>
                <w:szCs w:val="20"/>
                <w:color w:val="auto"/>
              </w:rPr>
            </w:pPr>
            <w:r>
              <w:rPr>
                <w:rFonts w:ascii="Arial" w:cs="Arial" w:eastAsia="Arial" w:hAnsi="Arial"/>
                <w:sz w:val="10"/>
                <w:szCs w:val="10"/>
                <w:color w:val="auto"/>
              </w:rPr>
              <w:t>3,258</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20"/>
                <w:szCs w:val="20"/>
                <w:color w:val="auto"/>
              </w:rPr>
            </w:pPr>
            <w:r>
              <w:rPr>
                <w:rFonts w:ascii="Arial" w:cs="Arial" w:eastAsia="Arial" w:hAnsi="Arial"/>
                <w:sz w:val="10"/>
                <w:szCs w:val="10"/>
                <w:color w:val="auto"/>
              </w:rPr>
              <w:t>options</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line="105" w:lineRule="exact"/>
              <w:rPr>
                <w:sz w:val="20"/>
                <w:szCs w:val="20"/>
                <w:color w:val="auto"/>
              </w:rPr>
            </w:pPr>
            <w:r>
              <w:rPr>
                <w:rFonts w:ascii="Arial" w:cs="Arial" w:eastAsia="Arial" w:hAnsi="Arial"/>
                <w:sz w:val="10"/>
                <w:szCs w:val="10"/>
                <w:color w:val="auto"/>
              </w:rPr>
              <w:t>Futures</w:t>
            </w:r>
          </w:p>
        </w:tc>
        <w:tc>
          <w:tcPr>
            <w:tcW w:w="60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1,450</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4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1,450</w:t>
            </w:r>
          </w:p>
        </w:tc>
        <w:tc>
          <w:tcPr>
            <w:tcW w:w="200" w:type="dxa"/>
            <w:vAlign w:val="bottom"/>
          </w:tcPr>
          <w:p>
            <w:pPr>
              <w:spacing w:after="0"/>
              <w:rPr>
                <w:sz w:val="9"/>
                <w:szCs w:val="9"/>
                <w:color w:val="auto"/>
              </w:rPr>
            </w:pPr>
          </w:p>
        </w:tc>
        <w:tc>
          <w:tcPr>
            <w:tcW w:w="56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405</w:t>
            </w:r>
          </w:p>
        </w:tc>
        <w:tc>
          <w:tcPr>
            <w:tcW w:w="220" w:type="dxa"/>
            <w:vAlign w:val="bottom"/>
          </w:tcPr>
          <w:p>
            <w:pPr>
              <w:spacing w:after="0"/>
              <w:rPr>
                <w:sz w:val="9"/>
                <w:szCs w:val="9"/>
                <w:color w:val="auto"/>
              </w:rPr>
            </w:pPr>
          </w:p>
        </w:tc>
        <w:tc>
          <w:tcPr>
            <w:tcW w:w="56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2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40" w:type="dxa"/>
            <w:vAlign w:val="bottom"/>
            <w:tcBorders>
              <w:bottom w:val="single" w:sz="8" w:color="auto"/>
            </w:tcBorders>
          </w:tcPr>
          <w:p>
            <w:pPr>
              <w:jc w:val="right"/>
              <w:ind w:right="48"/>
              <w:spacing w:after="0" w:line="105" w:lineRule="exact"/>
              <w:rPr>
                <w:sz w:val="20"/>
                <w:szCs w:val="20"/>
                <w:color w:val="auto"/>
              </w:rPr>
            </w:pPr>
            <w:r>
              <w:rPr>
                <w:rFonts w:ascii="Arial" w:cs="Arial" w:eastAsia="Arial" w:hAnsi="Arial"/>
                <w:sz w:val="10"/>
                <w:szCs w:val="10"/>
                <w:color w:val="auto"/>
              </w:rPr>
              <w:t>405</w:t>
            </w:r>
          </w:p>
        </w:tc>
        <w:tc>
          <w:tcPr>
            <w:tcW w:w="0" w:type="dxa"/>
            <w:vAlign w:val="bottom"/>
          </w:tcPr>
          <w:p>
            <w:pPr>
              <w:spacing w:after="0"/>
              <w:rPr>
                <w:sz w:val="1"/>
                <w:szCs w:val="1"/>
                <w:color w:val="auto"/>
              </w:rPr>
            </w:pPr>
          </w:p>
        </w:tc>
      </w:tr>
      <w:tr>
        <w:trPr>
          <w:trHeight w:val="122"/>
        </w:trPr>
        <w:tc>
          <w:tcPr>
            <w:tcW w:w="980" w:type="dxa"/>
            <w:vAlign w:val="bottom"/>
          </w:tcPr>
          <w:p>
            <w:pPr>
              <w:spacing w:after="0" w:line="108" w:lineRule="exact"/>
              <w:rPr>
                <w:sz w:val="20"/>
                <w:szCs w:val="20"/>
                <w:color w:val="auto"/>
              </w:rPr>
            </w:pPr>
            <w:r>
              <w:rPr>
                <w:rFonts w:ascii="Arial" w:cs="Arial" w:eastAsia="Arial" w:hAnsi="Arial"/>
                <w:sz w:val="10"/>
                <w:szCs w:val="10"/>
                <w:b w:val="1"/>
                <w:bCs w:val="1"/>
                <w:color w:val="auto"/>
              </w:rPr>
              <w:t>Total liabilities</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353,709</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384,085</w:t>
            </w:r>
          </w:p>
        </w:tc>
        <w:tc>
          <w:tcPr>
            <w:tcW w:w="200" w:type="dxa"/>
            <w:vAlign w:val="bottom"/>
          </w:tcPr>
          <w:p>
            <w:pPr>
              <w:spacing w:after="0"/>
              <w:rPr>
                <w:sz w:val="10"/>
                <w:szCs w:val="10"/>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146,116</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189,864</w:t>
            </w:r>
          </w:p>
        </w:tc>
        <w:tc>
          <w:tcPr>
            <w:tcW w:w="200" w:type="dxa"/>
            <w:vAlign w:val="bottom"/>
          </w:tcPr>
          <w:p>
            <w:pPr>
              <w:spacing w:after="0"/>
              <w:rPr>
                <w:sz w:val="10"/>
                <w:szCs w:val="10"/>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247,109</w:t>
            </w:r>
          </w:p>
        </w:tc>
        <w:tc>
          <w:tcPr>
            <w:tcW w:w="200" w:type="dxa"/>
            <w:vAlign w:val="bottom"/>
          </w:tcPr>
          <w:p>
            <w:pPr>
              <w:spacing w:after="0"/>
              <w:rPr>
                <w:sz w:val="10"/>
                <w:szCs w:val="10"/>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1,320,883</w:t>
            </w:r>
          </w:p>
        </w:tc>
        <w:tc>
          <w:tcPr>
            <w:tcW w:w="200" w:type="dxa"/>
            <w:vAlign w:val="bottom"/>
          </w:tcPr>
          <w:p>
            <w:pPr>
              <w:spacing w:after="0"/>
              <w:rPr>
                <w:sz w:val="10"/>
                <w:szCs w:val="10"/>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283,037</w:t>
            </w:r>
          </w:p>
        </w:tc>
        <w:tc>
          <w:tcPr>
            <w:tcW w:w="220" w:type="dxa"/>
            <w:vAlign w:val="bottom"/>
          </w:tcPr>
          <w:p>
            <w:pPr>
              <w:spacing w:after="0"/>
              <w:rPr>
                <w:sz w:val="10"/>
                <w:szCs w:val="10"/>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395,000</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242,853</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186,491</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399,684</w:t>
            </w:r>
          </w:p>
        </w:tc>
        <w:tc>
          <w:tcPr>
            <w:tcW w:w="200" w:type="dxa"/>
            <w:vAlign w:val="bottom"/>
          </w:tcPr>
          <w:p>
            <w:pPr>
              <w:spacing w:after="0"/>
              <w:rPr>
                <w:sz w:val="10"/>
                <w:szCs w:val="10"/>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1,507,065</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15" w:right="280" w:hanging="315"/>
        <w:spacing w:after="0" w:line="254" w:lineRule="auto"/>
        <w:tabs>
          <w:tab w:leader="none" w:pos="31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Group is exposed to variability in future cash flows on assets and liabilities in foreign currency and/or those that bear interest at variable rates. The Group uses derivative financial instruments as cash flow hedges to cover these risks.</w:t>
      </w:r>
    </w:p>
    <w:p>
      <w:pPr>
        <w:spacing w:after="0" w:line="169" w:lineRule="exact"/>
        <w:rPr>
          <w:sz w:val="20"/>
          <w:szCs w:val="20"/>
          <w:color w:val="auto"/>
        </w:rPr>
      </w:pPr>
    </w:p>
    <w:p>
      <w:pPr>
        <w:ind w:left="315" w:right="240"/>
        <w:spacing w:after="0" w:line="254" w:lineRule="auto"/>
        <w:rPr>
          <w:sz w:val="20"/>
          <w:szCs w:val="20"/>
          <w:color w:val="auto"/>
        </w:rPr>
      </w:pPr>
      <w:r>
        <w:rPr>
          <w:rFonts w:ascii="Arial" w:cs="Arial" w:eastAsia="Arial" w:hAnsi="Arial"/>
          <w:sz w:val="17"/>
          <w:szCs w:val="17"/>
          <w:color w:val="auto"/>
        </w:rPr>
        <w:t>A schedule indicating the periods when the current cash flow hedges are expected to occur and affect the consolidated statement of income, net of deferred income tax is presented below:</w:t>
      </w:r>
    </w:p>
    <w:p>
      <w:pPr>
        <w:spacing w:after="0" w:line="163" w:lineRule="exact"/>
        <w:rPr>
          <w:sz w:val="20"/>
          <w:szCs w:val="20"/>
          <w:color w:val="auto"/>
        </w:rPr>
      </w:pPr>
    </w:p>
    <w:tbl>
      <w:tblPr>
        <w:tblLayout w:type="fixed"/>
        <w:tblInd w:w="1555" w:type="dxa"/>
        <w:tblCellMar>
          <w:top w:w="0" w:type="dxa"/>
          <w:left w:w="0" w:type="dxa"/>
          <w:bottom w:w="0" w:type="dxa"/>
          <w:right w:w="0" w:type="dxa"/>
        </w:tblCellMar>
      </w:tblPr>
      <w:tr>
        <w:trPr>
          <w:trHeight w:val="149"/>
        </w:trPr>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2022</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16"/>
        </w:trPr>
        <w:tc>
          <w:tcPr>
            <w:tcW w:w="20" w:type="dxa"/>
            <w:vAlign w:val="bottom"/>
          </w:tcPr>
          <w:p>
            <w:pPr>
              <w:spacing w:after="0"/>
              <w:rPr>
                <w:sz w:val="10"/>
                <w:szCs w:val="10"/>
                <w:color w:val="auto"/>
              </w:rPr>
            </w:pPr>
          </w:p>
        </w:tc>
        <w:tc>
          <w:tcPr>
            <w:tcW w:w="78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2"/>
                <w:szCs w:val="12"/>
                <w:b w:val="1"/>
                <w:bCs w:val="1"/>
                <w:color w:val="auto"/>
              </w:rPr>
              <w:t>Up to 1</w:t>
            </w:r>
          </w:p>
        </w:tc>
        <w:tc>
          <w:tcPr>
            <w:tcW w:w="720" w:type="dxa"/>
            <w:vAlign w:val="bottom"/>
            <w:tcBorders>
              <w:top w:val="single" w:sz="8" w:color="auto"/>
            </w:tcBorders>
          </w:tcPr>
          <w:p>
            <w:pPr>
              <w:spacing w:after="0" w:line="116" w:lineRule="exact"/>
              <w:rPr>
                <w:sz w:val="20"/>
                <w:szCs w:val="20"/>
                <w:color w:val="auto"/>
              </w:rPr>
            </w:pPr>
            <w:r>
              <w:rPr>
                <w:rFonts w:ascii="Arial" w:cs="Arial" w:eastAsia="Arial" w:hAnsi="Arial"/>
                <w:sz w:val="12"/>
                <w:szCs w:val="12"/>
                <w:b w:val="1"/>
                <w:bCs w:val="1"/>
                <w:color w:val="auto"/>
              </w:rPr>
              <w:t>From 1 to 3</w:t>
            </w:r>
          </w:p>
        </w:tc>
        <w:tc>
          <w:tcPr>
            <w:tcW w:w="1100" w:type="dxa"/>
            <w:vAlign w:val="bottom"/>
            <w:tcBorders>
              <w:top w:val="single" w:sz="8" w:color="auto"/>
            </w:tcBorders>
            <w:gridSpan w:val="3"/>
          </w:tcPr>
          <w:p>
            <w:pPr>
              <w:ind w:left="180"/>
              <w:spacing w:after="0" w:line="116" w:lineRule="exact"/>
              <w:rPr>
                <w:sz w:val="20"/>
                <w:szCs w:val="20"/>
                <w:color w:val="auto"/>
              </w:rPr>
            </w:pPr>
            <w:r>
              <w:rPr>
                <w:rFonts w:ascii="Arial" w:cs="Arial" w:eastAsia="Arial" w:hAnsi="Arial"/>
                <w:sz w:val="12"/>
                <w:szCs w:val="12"/>
                <w:b w:val="1"/>
                <w:bCs w:val="1"/>
                <w:color w:val="auto"/>
              </w:rPr>
              <w:t>From 3 to 5</w:t>
            </w:r>
          </w:p>
        </w:tc>
        <w:tc>
          <w:tcPr>
            <w:tcW w:w="520" w:type="dxa"/>
            <w:vAlign w:val="bottom"/>
            <w:tcBorders>
              <w:top w:val="single" w:sz="8" w:color="auto"/>
            </w:tcBorders>
          </w:tcPr>
          <w:p>
            <w:pPr>
              <w:spacing w:after="0" w:line="116" w:lineRule="exact"/>
              <w:rPr>
                <w:sz w:val="20"/>
                <w:szCs w:val="20"/>
                <w:color w:val="auto"/>
              </w:rPr>
            </w:pPr>
            <w:r>
              <w:rPr>
                <w:rFonts w:ascii="Arial" w:cs="Arial" w:eastAsia="Arial" w:hAnsi="Arial"/>
                <w:sz w:val="12"/>
                <w:szCs w:val="12"/>
                <w:b w:val="1"/>
                <w:bCs w:val="1"/>
                <w:color w:val="auto"/>
              </w:rPr>
              <w:t>Over 5</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2"/>
                <w:szCs w:val="12"/>
                <w:b w:val="1"/>
                <w:bCs w:val="1"/>
                <w:color w:val="auto"/>
              </w:rPr>
              <w:t>Up to 1</w:t>
            </w:r>
          </w:p>
        </w:tc>
        <w:tc>
          <w:tcPr>
            <w:tcW w:w="1160" w:type="dxa"/>
            <w:vAlign w:val="bottom"/>
            <w:tcBorders>
              <w:top w:val="single" w:sz="8" w:color="auto"/>
            </w:tcBorders>
            <w:gridSpan w:val="3"/>
          </w:tcPr>
          <w:p>
            <w:pPr>
              <w:ind w:left="200"/>
              <w:spacing w:after="0" w:line="116" w:lineRule="exact"/>
              <w:rPr>
                <w:sz w:val="20"/>
                <w:szCs w:val="20"/>
                <w:color w:val="auto"/>
              </w:rPr>
            </w:pPr>
            <w:r>
              <w:rPr>
                <w:rFonts w:ascii="Arial" w:cs="Arial" w:eastAsia="Arial" w:hAnsi="Arial"/>
                <w:sz w:val="12"/>
                <w:szCs w:val="12"/>
                <w:b w:val="1"/>
                <w:bCs w:val="1"/>
                <w:color w:val="auto"/>
              </w:rPr>
              <w:t>From 1 to 3</w:t>
            </w:r>
          </w:p>
        </w:tc>
        <w:tc>
          <w:tcPr>
            <w:tcW w:w="94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2"/>
                <w:szCs w:val="12"/>
                <w:b w:val="1"/>
                <w:bCs w:val="1"/>
                <w:color w:val="auto"/>
              </w:rPr>
              <w:t>From 3 to 5</w:t>
            </w:r>
          </w:p>
        </w:tc>
        <w:tc>
          <w:tcPr>
            <w:tcW w:w="740" w:type="dxa"/>
            <w:vAlign w:val="bottom"/>
            <w:tcBorders>
              <w:top w:val="single" w:sz="8" w:color="auto"/>
            </w:tcBorders>
            <w:gridSpan w:val="2"/>
          </w:tcPr>
          <w:p>
            <w:pPr>
              <w:ind w:left="20"/>
              <w:spacing w:after="0" w:line="116" w:lineRule="exact"/>
              <w:rPr>
                <w:sz w:val="20"/>
                <w:szCs w:val="20"/>
                <w:color w:val="auto"/>
              </w:rPr>
            </w:pPr>
            <w:r>
              <w:rPr>
                <w:rFonts w:ascii="Arial" w:cs="Arial" w:eastAsia="Arial" w:hAnsi="Arial"/>
                <w:sz w:val="12"/>
                <w:szCs w:val="12"/>
                <w:b w:val="1"/>
                <w:bCs w:val="1"/>
                <w:color w:val="auto"/>
              </w:rPr>
              <w:t>Over 5</w:t>
            </w:r>
          </w:p>
        </w:tc>
        <w:tc>
          <w:tcPr>
            <w:tcW w:w="620" w:type="dxa"/>
            <w:vAlign w:val="bottom"/>
            <w:tcBorders>
              <w:top w:val="single" w:sz="8" w:color="auto"/>
            </w:tcBorders>
          </w:tcPr>
          <w:p>
            <w:pPr>
              <w:spacing w:after="0"/>
              <w:rPr>
                <w:sz w:val="10"/>
                <w:szCs w:val="10"/>
                <w:color w:val="auto"/>
              </w:rPr>
            </w:pPr>
          </w:p>
        </w:tc>
      </w:tr>
      <w:tr>
        <w:trPr>
          <w:trHeight w:val="149"/>
        </w:trPr>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year</w:t>
            </w:r>
          </w:p>
        </w:tc>
        <w:tc>
          <w:tcPr>
            <w:tcW w:w="720" w:type="dxa"/>
            <w:vAlign w:val="bottom"/>
          </w:tcPr>
          <w:p>
            <w:pPr>
              <w:spacing w:after="0"/>
              <w:rPr>
                <w:sz w:val="20"/>
                <w:szCs w:val="20"/>
                <w:color w:val="auto"/>
              </w:rPr>
            </w:pPr>
            <w:r>
              <w:rPr>
                <w:rFonts w:ascii="Arial" w:cs="Arial" w:eastAsia="Arial" w:hAnsi="Arial"/>
                <w:sz w:val="12"/>
                <w:szCs w:val="12"/>
                <w:b w:val="1"/>
                <w:bCs w:val="1"/>
                <w:color w:val="auto"/>
              </w:rPr>
              <w:t>years</w:t>
            </w:r>
          </w:p>
        </w:tc>
        <w:tc>
          <w:tcPr>
            <w:tcW w:w="1100" w:type="dxa"/>
            <w:vAlign w:val="bottom"/>
            <w:gridSpan w:val="3"/>
          </w:tcPr>
          <w:p>
            <w:pPr>
              <w:ind w:left="180"/>
              <w:spacing w:after="0"/>
              <w:rPr>
                <w:sz w:val="20"/>
                <w:szCs w:val="20"/>
                <w:color w:val="auto"/>
              </w:rPr>
            </w:pPr>
            <w:r>
              <w:rPr>
                <w:rFonts w:ascii="Arial" w:cs="Arial" w:eastAsia="Arial" w:hAnsi="Arial"/>
                <w:sz w:val="12"/>
                <w:szCs w:val="12"/>
                <w:b w:val="1"/>
                <w:bCs w:val="1"/>
                <w:color w:val="auto"/>
              </w:rPr>
              <w:t>years</w:t>
            </w:r>
          </w:p>
        </w:tc>
        <w:tc>
          <w:tcPr>
            <w:tcW w:w="520" w:type="dxa"/>
            <w:vAlign w:val="bottom"/>
          </w:tcPr>
          <w:p>
            <w:pPr>
              <w:spacing w:after="0"/>
              <w:rPr>
                <w:sz w:val="20"/>
                <w:szCs w:val="20"/>
                <w:color w:val="auto"/>
              </w:rPr>
            </w:pPr>
            <w:r>
              <w:rPr>
                <w:rFonts w:ascii="Arial" w:cs="Arial" w:eastAsia="Arial" w:hAnsi="Arial"/>
                <w:sz w:val="12"/>
                <w:szCs w:val="12"/>
                <w:b w:val="1"/>
                <w:bCs w:val="1"/>
                <w:color w:val="auto"/>
              </w:rPr>
              <w:t>years</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year</w:t>
            </w:r>
          </w:p>
        </w:tc>
        <w:tc>
          <w:tcPr>
            <w:tcW w:w="1160" w:type="dxa"/>
            <w:vAlign w:val="bottom"/>
            <w:gridSpan w:val="3"/>
          </w:tcPr>
          <w:p>
            <w:pPr>
              <w:ind w:left="200"/>
              <w:spacing w:after="0"/>
              <w:rPr>
                <w:sz w:val="20"/>
                <w:szCs w:val="20"/>
                <w:color w:val="auto"/>
              </w:rPr>
            </w:pPr>
            <w:r>
              <w:rPr>
                <w:rFonts w:ascii="Arial" w:cs="Arial" w:eastAsia="Arial" w:hAnsi="Arial"/>
                <w:sz w:val="12"/>
                <w:szCs w:val="12"/>
                <w:b w:val="1"/>
                <w:bCs w:val="1"/>
                <w:color w:val="auto"/>
              </w:rPr>
              <w:t>years</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years</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years</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Total</w:t>
            </w:r>
          </w:p>
        </w:tc>
      </w:tr>
      <w:tr>
        <w:trPr>
          <w:trHeight w:val="117"/>
        </w:trPr>
        <w:tc>
          <w:tcPr>
            <w:tcW w:w="20" w:type="dxa"/>
            <w:vAlign w:val="bottom"/>
          </w:tcPr>
          <w:p>
            <w:pPr>
              <w:spacing w:after="0"/>
              <w:rPr>
                <w:sz w:val="10"/>
                <w:szCs w:val="10"/>
                <w:color w:val="auto"/>
              </w:rPr>
            </w:pPr>
          </w:p>
        </w:tc>
        <w:tc>
          <w:tcPr>
            <w:tcW w:w="60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0"/>
                <w:szCs w:val="10"/>
                <w:color w:val="auto"/>
              </w:rPr>
            </w:pPr>
          </w:p>
        </w:tc>
        <w:tc>
          <w:tcPr>
            <w:tcW w:w="74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0"/>
                <w:szCs w:val="10"/>
                <w:color w:val="auto"/>
              </w:rPr>
            </w:pPr>
          </w:p>
        </w:tc>
        <w:tc>
          <w:tcPr>
            <w:tcW w:w="540" w:type="dxa"/>
            <w:vAlign w:val="bottom"/>
            <w:tcBorders>
              <w:top w:val="single" w:sz="8" w:color="auto"/>
            </w:tcBorders>
          </w:tcPr>
          <w:p>
            <w:pPr>
              <w:ind w:left="20"/>
              <w:spacing w:after="0" w:line="117"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0"/>
                <w:szCs w:val="10"/>
                <w:color w:val="auto"/>
              </w:rPr>
            </w:pPr>
          </w:p>
        </w:tc>
        <w:tc>
          <w:tcPr>
            <w:tcW w:w="62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S/(000)</w:t>
            </w:r>
          </w:p>
        </w:tc>
      </w:tr>
    </w:tbl>
    <w:p>
      <w:pPr>
        <w:spacing w:after="0" w:line="1" w:lineRule="exact"/>
        <w:rPr>
          <w:sz w:val="20"/>
          <w:szCs w:val="20"/>
          <w:color w:val="auto"/>
        </w:rPr>
      </w:pPr>
    </w:p>
    <w:tbl>
      <w:tblPr>
        <w:tblLayout w:type="fixed"/>
        <w:tblInd w:w="315" w:type="dxa"/>
        <w:tblCellMar>
          <w:top w:w="0" w:type="dxa"/>
          <w:left w:w="0" w:type="dxa"/>
          <w:bottom w:w="0" w:type="dxa"/>
          <w:right w:w="0" w:type="dxa"/>
        </w:tblCellMar>
      </w:tblPr>
      <w:tr>
        <w:trPr>
          <w:trHeight w:val="130"/>
        </w:trPr>
        <w:tc>
          <w:tcPr>
            <w:tcW w:w="1240" w:type="dxa"/>
            <w:vAlign w:val="bottom"/>
          </w:tcPr>
          <w:p>
            <w:pPr>
              <w:spacing w:after="0" w:line="130" w:lineRule="exact"/>
              <w:rPr>
                <w:sz w:val="20"/>
                <w:szCs w:val="20"/>
                <w:color w:val="auto"/>
              </w:rPr>
            </w:pPr>
            <w:r>
              <w:rPr>
                <w:rFonts w:ascii="Arial" w:cs="Arial" w:eastAsia="Arial" w:hAnsi="Arial"/>
                <w:sz w:val="12"/>
                <w:szCs w:val="12"/>
                <w:color w:val="auto"/>
              </w:rPr>
              <w:t>Cash inflows (assets)</w:t>
            </w:r>
          </w:p>
        </w:tc>
        <w:tc>
          <w:tcPr>
            <w:tcW w:w="820" w:type="dxa"/>
            <w:vAlign w:val="bottom"/>
          </w:tcPr>
          <w:p>
            <w:pPr>
              <w:jc w:val="right"/>
              <w:ind w:right="140"/>
              <w:spacing w:after="0" w:line="130" w:lineRule="exact"/>
              <w:rPr>
                <w:sz w:val="20"/>
                <w:szCs w:val="20"/>
                <w:color w:val="auto"/>
              </w:rPr>
            </w:pPr>
            <w:r>
              <w:rPr>
                <w:rFonts w:ascii="Arial" w:cs="Arial" w:eastAsia="Arial" w:hAnsi="Arial"/>
                <w:sz w:val="12"/>
                <w:szCs w:val="12"/>
                <w:color w:val="auto"/>
              </w:rPr>
              <w:t>250,835</w:t>
            </w:r>
          </w:p>
        </w:tc>
        <w:tc>
          <w:tcPr>
            <w:tcW w:w="940" w:type="dxa"/>
            <w:vAlign w:val="bottom"/>
          </w:tcPr>
          <w:p>
            <w:pPr>
              <w:jc w:val="right"/>
              <w:ind w:right="180"/>
              <w:spacing w:after="0" w:line="130" w:lineRule="exact"/>
              <w:rPr>
                <w:sz w:val="20"/>
                <w:szCs w:val="20"/>
                <w:color w:val="auto"/>
              </w:rPr>
            </w:pPr>
            <w:r>
              <w:rPr>
                <w:rFonts w:ascii="Arial" w:cs="Arial" w:eastAsia="Arial" w:hAnsi="Arial"/>
                <w:sz w:val="12"/>
                <w:szCs w:val="12"/>
                <w:color w:val="auto"/>
              </w:rPr>
              <w:t>938,513</w:t>
            </w:r>
          </w:p>
        </w:tc>
        <w:tc>
          <w:tcPr>
            <w:tcW w:w="1000" w:type="dxa"/>
            <w:vAlign w:val="bottom"/>
          </w:tcPr>
          <w:p>
            <w:pPr>
              <w:jc w:val="right"/>
              <w:ind w:right="260"/>
              <w:spacing w:after="0" w:line="130" w:lineRule="exact"/>
              <w:rPr>
                <w:sz w:val="20"/>
                <w:szCs w:val="20"/>
                <w:color w:val="auto"/>
              </w:rPr>
            </w:pPr>
            <w:r>
              <w:rPr>
                <w:rFonts w:ascii="Arial" w:cs="Arial" w:eastAsia="Arial" w:hAnsi="Arial"/>
                <w:sz w:val="12"/>
                <w:szCs w:val="12"/>
                <w:color w:val="auto"/>
              </w:rPr>
              <w:t>76,280</w:t>
            </w:r>
          </w:p>
        </w:tc>
        <w:tc>
          <w:tcPr>
            <w:tcW w:w="500" w:type="dxa"/>
            <w:vAlign w:val="bottom"/>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0"/>
              <w:spacing w:after="0" w:line="130" w:lineRule="exact"/>
              <w:rPr>
                <w:sz w:val="20"/>
                <w:szCs w:val="20"/>
                <w:color w:val="auto"/>
              </w:rPr>
            </w:pPr>
            <w:r>
              <w:rPr>
                <w:rFonts w:ascii="Arial" w:cs="Arial" w:eastAsia="Arial" w:hAnsi="Arial"/>
                <w:sz w:val="12"/>
                <w:szCs w:val="12"/>
                <w:color w:val="auto"/>
              </w:rPr>
              <w:t>1,265,628</w:t>
            </w:r>
          </w:p>
        </w:tc>
        <w:tc>
          <w:tcPr>
            <w:tcW w:w="860" w:type="dxa"/>
            <w:vAlign w:val="bottom"/>
          </w:tcPr>
          <w:p>
            <w:pPr>
              <w:jc w:val="right"/>
              <w:ind w:right="160"/>
              <w:spacing w:after="0" w:line="130" w:lineRule="exact"/>
              <w:rPr>
                <w:sz w:val="20"/>
                <w:szCs w:val="20"/>
                <w:color w:val="auto"/>
              </w:rPr>
            </w:pPr>
            <w:r>
              <w:rPr>
                <w:rFonts w:ascii="Arial" w:cs="Arial" w:eastAsia="Arial" w:hAnsi="Arial"/>
                <w:sz w:val="12"/>
                <w:szCs w:val="12"/>
                <w:color w:val="auto"/>
              </w:rPr>
              <w:t>191,962</w:t>
            </w:r>
          </w:p>
        </w:tc>
        <w:tc>
          <w:tcPr>
            <w:tcW w:w="940" w:type="dxa"/>
            <w:vAlign w:val="bottom"/>
          </w:tcPr>
          <w:p>
            <w:pPr>
              <w:jc w:val="right"/>
              <w:ind w:right="160"/>
              <w:spacing w:after="0" w:line="130" w:lineRule="exact"/>
              <w:rPr>
                <w:sz w:val="20"/>
                <w:szCs w:val="20"/>
                <w:color w:val="auto"/>
              </w:rPr>
            </w:pPr>
            <w:r>
              <w:rPr>
                <w:rFonts w:ascii="Arial" w:cs="Arial" w:eastAsia="Arial" w:hAnsi="Arial"/>
                <w:sz w:val="12"/>
                <w:szCs w:val="12"/>
                <w:color w:val="auto"/>
              </w:rPr>
              <w:t>327,914</w:t>
            </w:r>
          </w:p>
        </w:tc>
        <w:tc>
          <w:tcPr>
            <w:tcW w:w="1100" w:type="dxa"/>
            <w:vAlign w:val="bottom"/>
          </w:tcPr>
          <w:p>
            <w:pPr>
              <w:jc w:val="right"/>
              <w:ind w:right="300"/>
              <w:spacing w:after="0" w:line="130" w:lineRule="exact"/>
              <w:rPr>
                <w:sz w:val="20"/>
                <w:szCs w:val="20"/>
                <w:color w:val="auto"/>
              </w:rPr>
            </w:pPr>
            <w:r>
              <w:rPr>
                <w:rFonts w:ascii="Arial" w:cs="Arial" w:eastAsia="Arial" w:hAnsi="Arial"/>
                <w:sz w:val="12"/>
                <w:szCs w:val="12"/>
                <w:color w:val="auto"/>
              </w:rPr>
              <w:t>496,552</w:t>
            </w:r>
          </w:p>
        </w:tc>
        <w:tc>
          <w:tcPr>
            <w:tcW w:w="520" w:type="dxa"/>
            <w:vAlign w:val="bottom"/>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1,016,428</w:t>
            </w: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2"/>
                <w:szCs w:val="12"/>
                <w:color w:val="auto"/>
              </w:rPr>
              <w:t>Cash outflows</w:t>
            </w: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2"/>
                <w:szCs w:val="12"/>
                <w:color w:val="auto"/>
              </w:rPr>
              <w:t>(liabilities)</w:t>
            </w:r>
          </w:p>
        </w:tc>
        <w:tc>
          <w:tcPr>
            <w:tcW w:w="820" w:type="dxa"/>
            <w:vAlign w:val="bottom"/>
          </w:tcPr>
          <w:p>
            <w:pPr>
              <w:jc w:val="right"/>
              <w:ind w:right="140"/>
              <w:spacing w:after="0" w:line="130" w:lineRule="exact"/>
              <w:rPr>
                <w:sz w:val="20"/>
                <w:szCs w:val="20"/>
                <w:color w:val="auto"/>
              </w:rPr>
            </w:pPr>
            <w:r>
              <w:rPr>
                <w:rFonts w:ascii="Arial" w:cs="Arial" w:eastAsia="Arial" w:hAnsi="Arial"/>
                <w:sz w:val="12"/>
                <w:szCs w:val="12"/>
                <w:color w:val="auto"/>
              </w:rPr>
              <w:t>(294,548)</w:t>
            </w:r>
          </w:p>
        </w:tc>
        <w:tc>
          <w:tcPr>
            <w:tcW w:w="940" w:type="dxa"/>
            <w:vAlign w:val="bottom"/>
          </w:tcPr>
          <w:p>
            <w:pPr>
              <w:jc w:val="right"/>
              <w:ind w:right="180"/>
              <w:spacing w:after="0" w:line="130" w:lineRule="exact"/>
              <w:rPr>
                <w:sz w:val="20"/>
                <w:szCs w:val="20"/>
                <w:color w:val="auto"/>
              </w:rPr>
            </w:pPr>
            <w:r>
              <w:rPr>
                <w:rFonts w:ascii="Arial" w:cs="Arial" w:eastAsia="Arial" w:hAnsi="Arial"/>
                <w:sz w:val="12"/>
                <w:szCs w:val="12"/>
                <w:color w:val="auto"/>
              </w:rPr>
              <w:t>(934,119)</w:t>
            </w:r>
          </w:p>
        </w:tc>
        <w:tc>
          <w:tcPr>
            <w:tcW w:w="1000" w:type="dxa"/>
            <w:vAlign w:val="bottom"/>
          </w:tcPr>
          <w:p>
            <w:pPr>
              <w:jc w:val="right"/>
              <w:ind w:right="260"/>
              <w:spacing w:after="0" w:line="130" w:lineRule="exact"/>
              <w:rPr>
                <w:sz w:val="20"/>
                <w:szCs w:val="20"/>
                <w:color w:val="auto"/>
              </w:rPr>
            </w:pPr>
            <w:r>
              <w:rPr>
                <w:rFonts w:ascii="Arial" w:cs="Arial" w:eastAsia="Arial" w:hAnsi="Arial"/>
                <w:sz w:val="12"/>
                <w:szCs w:val="12"/>
                <w:color w:val="auto"/>
              </w:rPr>
              <w:t>(73,232)</w:t>
            </w:r>
          </w:p>
        </w:tc>
        <w:tc>
          <w:tcPr>
            <w:tcW w:w="500" w:type="dxa"/>
            <w:vAlign w:val="bottom"/>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0"/>
              <w:spacing w:after="0" w:line="130" w:lineRule="exact"/>
              <w:rPr>
                <w:sz w:val="20"/>
                <w:szCs w:val="20"/>
                <w:color w:val="auto"/>
              </w:rPr>
            </w:pPr>
            <w:r>
              <w:rPr>
                <w:rFonts w:ascii="Arial" w:cs="Arial" w:eastAsia="Arial" w:hAnsi="Arial"/>
                <w:sz w:val="12"/>
                <w:szCs w:val="12"/>
                <w:color w:val="auto"/>
              </w:rPr>
              <w:t>(1,301,899)</w:t>
            </w:r>
          </w:p>
        </w:tc>
        <w:tc>
          <w:tcPr>
            <w:tcW w:w="860" w:type="dxa"/>
            <w:vAlign w:val="bottom"/>
          </w:tcPr>
          <w:p>
            <w:pPr>
              <w:jc w:val="right"/>
              <w:ind w:right="160"/>
              <w:spacing w:after="0" w:line="130" w:lineRule="exact"/>
              <w:rPr>
                <w:sz w:val="20"/>
                <w:szCs w:val="20"/>
                <w:color w:val="auto"/>
              </w:rPr>
            </w:pPr>
            <w:r>
              <w:rPr>
                <w:rFonts w:ascii="Arial" w:cs="Arial" w:eastAsia="Arial" w:hAnsi="Arial"/>
                <w:sz w:val="12"/>
                <w:szCs w:val="12"/>
                <w:color w:val="auto"/>
              </w:rPr>
              <w:t>(209,707)</w:t>
            </w:r>
          </w:p>
        </w:tc>
        <w:tc>
          <w:tcPr>
            <w:tcW w:w="940" w:type="dxa"/>
            <w:vAlign w:val="bottom"/>
          </w:tcPr>
          <w:p>
            <w:pPr>
              <w:jc w:val="right"/>
              <w:ind w:right="160"/>
              <w:spacing w:after="0" w:line="130" w:lineRule="exact"/>
              <w:rPr>
                <w:sz w:val="20"/>
                <w:szCs w:val="20"/>
                <w:color w:val="auto"/>
              </w:rPr>
            </w:pPr>
            <w:r>
              <w:rPr>
                <w:rFonts w:ascii="Arial" w:cs="Arial" w:eastAsia="Arial" w:hAnsi="Arial"/>
                <w:sz w:val="12"/>
                <w:szCs w:val="12"/>
                <w:color w:val="auto"/>
              </w:rPr>
              <w:t>(338,518)</w:t>
            </w:r>
          </w:p>
        </w:tc>
        <w:tc>
          <w:tcPr>
            <w:tcW w:w="1100" w:type="dxa"/>
            <w:vAlign w:val="bottom"/>
          </w:tcPr>
          <w:p>
            <w:pPr>
              <w:jc w:val="right"/>
              <w:ind w:right="300"/>
              <w:spacing w:after="0" w:line="130" w:lineRule="exact"/>
              <w:rPr>
                <w:sz w:val="20"/>
                <w:szCs w:val="20"/>
                <w:color w:val="auto"/>
              </w:rPr>
            </w:pPr>
            <w:r>
              <w:rPr>
                <w:rFonts w:ascii="Arial" w:cs="Arial" w:eastAsia="Arial" w:hAnsi="Arial"/>
                <w:sz w:val="12"/>
                <w:szCs w:val="12"/>
                <w:color w:val="auto"/>
              </w:rPr>
              <w:t>(446,582)</w:t>
            </w:r>
          </w:p>
        </w:tc>
        <w:tc>
          <w:tcPr>
            <w:tcW w:w="520" w:type="dxa"/>
            <w:vAlign w:val="bottom"/>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(994,807)</w:t>
            </w: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2"/>
                <w:szCs w:val="12"/>
                <w:color w:val="auto"/>
              </w:rPr>
              <w:t>Consolidated</w:t>
            </w: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5"/>
        </w:trPr>
        <w:tc>
          <w:tcPr>
            <w:tcW w:w="1240" w:type="dxa"/>
            <w:vAlign w:val="bottom"/>
          </w:tcPr>
          <w:p>
            <w:pPr>
              <w:spacing w:after="0"/>
              <w:rPr>
                <w:sz w:val="20"/>
                <w:szCs w:val="20"/>
                <w:color w:val="auto"/>
              </w:rPr>
            </w:pPr>
            <w:r>
              <w:rPr>
                <w:rFonts w:ascii="Arial" w:cs="Arial" w:eastAsia="Arial" w:hAnsi="Arial"/>
                <w:sz w:val="12"/>
                <w:szCs w:val="12"/>
                <w:color w:val="auto"/>
              </w:rPr>
              <w:t>statement of income</w:t>
            </w: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397</w:t>
            </w: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(7,222)</w:t>
            </w:r>
          </w:p>
        </w:tc>
        <w:tc>
          <w:tcPr>
            <w:tcW w:w="1000" w:type="dxa"/>
            <w:vAlign w:val="bottom"/>
          </w:tcPr>
          <w:p>
            <w:pPr>
              <w:jc w:val="right"/>
              <w:ind w:right="260"/>
              <w:spacing w:after="0"/>
              <w:rPr>
                <w:sz w:val="20"/>
                <w:szCs w:val="20"/>
                <w:color w:val="auto"/>
              </w:rPr>
            </w:pPr>
            <w:r>
              <w:rPr>
                <w:rFonts w:ascii="Arial" w:cs="Arial" w:eastAsia="Arial" w:hAnsi="Arial"/>
                <w:sz w:val="12"/>
                <w:szCs w:val="12"/>
                <w:color w:val="auto"/>
              </w:rPr>
              <w:t>7,070</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245</w:t>
            </w:r>
          </w:p>
        </w:tc>
        <w:tc>
          <w:tcPr>
            <w:tcW w:w="860" w:type="dxa"/>
            <w:vAlign w:val="bottom"/>
          </w:tcPr>
          <w:p>
            <w:pPr>
              <w:jc w:val="right"/>
              <w:ind w:right="160"/>
              <w:spacing w:after="0"/>
              <w:rPr>
                <w:sz w:val="20"/>
                <w:szCs w:val="20"/>
                <w:color w:val="auto"/>
              </w:rPr>
            </w:pPr>
            <w:r>
              <w:rPr>
                <w:rFonts w:ascii="Arial" w:cs="Arial" w:eastAsia="Arial" w:hAnsi="Arial"/>
                <w:sz w:val="12"/>
                <w:szCs w:val="12"/>
                <w:color w:val="auto"/>
              </w:rPr>
              <w:t>(461)</w:t>
            </w:r>
          </w:p>
        </w:tc>
        <w:tc>
          <w:tcPr>
            <w:tcW w:w="940" w:type="dxa"/>
            <w:vAlign w:val="bottom"/>
          </w:tcPr>
          <w:p>
            <w:pPr>
              <w:jc w:val="right"/>
              <w:ind w:right="160"/>
              <w:spacing w:after="0"/>
              <w:rPr>
                <w:sz w:val="20"/>
                <w:szCs w:val="20"/>
                <w:color w:val="auto"/>
              </w:rPr>
            </w:pPr>
            <w:r>
              <w:rPr>
                <w:rFonts w:ascii="Arial" w:cs="Arial" w:eastAsia="Arial" w:hAnsi="Arial"/>
                <w:sz w:val="12"/>
                <w:szCs w:val="12"/>
                <w:color w:val="auto"/>
              </w:rPr>
              <w:t>(20)</w:t>
            </w:r>
          </w:p>
        </w:tc>
        <w:tc>
          <w:tcPr>
            <w:tcW w:w="1100" w:type="dxa"/>
            <w:vAlign w:val="bottom"/>
          </w:tcPr>
          <w:p>
            <w:pPr>
              <w:jc w:val="right"/>
              <w:ind w:right="300"/>
              <w:spacing w:after="0"/>
              <w:rPr>
                <w:sz w:val="20"/>
                <w:szCs w:val="20"/>
                <w:color w:val="auto"/>
              </w:rPr>
            </w:pPr>
            <w:r>
              <w:rPr>
                <w:rFonts w:ascii="Arial" w:cs="Arial" w:eastAsia="Arial" w:hAnsi="Arial"/>
                <w:sz w:val="12"/>
                <w:szCs w:val="12"/>
                <w:color w:val="auto"/>
              </w:rPr>
              <w:t>197</w:t>
            </w: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(284)</w:t>
            </w:r>
          </w:p>
        </w:tc>
      </w:tr>
    </w:tbl>
    <w:p>
      <w:pPr>
        <w:spacing w:after="0" w:line="183" w:lineRule="exact"/>
        <w:rPr>
          <w:sz w:val="20"/>
          <w:szCs w:val="20"/>
          <w:color w:val="auto"/>
        </w:rPr>
      </w:pPr>
    </w:p>
    <w:p>
      <w:pPr>
        <w:ind w:left="315" w:right="180"/>
        <w:spacing w:after="0" w:line="241" w:lineRule="auto"/>
        <w:rPr>
          <w:sz w:val="20"/>
          <w:szCs w:val="20"/>
          <w:color w:val="auto"/>
        </w:rPr>
      </w:pPr>
      <w:r>
        <w:rPr>
          <w:rFonts w:ascii="Arial" w:cs="Arial" w:eastAsia="Arial" w:hAnsi="Arial"/>
          <w:sz w:val="17"/>
          <w:szCs w:val="17"/>
          <w:color w:val="auto"/>
        </w:rPr>
        <w:t>As of December 31, 2022 the accumulated balance of the net unrealized result from cash flow hedges, which is presented as other comprehensive income in the caption " Cash flow hedge reserves ", results from current hedges that have an unrealized gain of approximately S/0.2 million (unrealized loss of approximately S/0.3 million for current hedges and an unrealized loss of 0.7 million for revoked hedges, as of December 31, 2021), which has been realized in the consolidated statements of income during the term of the underlying financial instrument. Likewise, the transfer of the unrealized loss of cash flow hedges to the consolidated statement of income is presented in note 18(c).</w:t>
      </w:r>
    </w:p>
    <w:p>
      <w:pPr>
        <w:spacing w:after="0" w:line="156" w:lineRule="exact"/>
        <w:rPr>
          <w:sz w:val="20"/>
          <w:szCs w:val="20"/>
          <w:color w:val="auto"/>
        </w:rPr>
      </w:pPr>
    </w:p>
    <w:p>
      <w:pPr>
        <w:ind w:left="4795"/>
        <w:spacing w:after="0"/>
        <w:rPr>
          <w:sz w:val="20"/>
          <w:szCs w:val="20"/>
          <w:color w:val="auto"/>
        </w:rPr>
      </w:pPr>
      <w:r>
        <w:rPr>
          <w:rFonts w:ascii="Arial" w:cs="Arial" w:eastAsia="Arial" w:hAnsi="Arial"/>
          <w:sz w:val="17"/>
          <w:szCs w:val="17"/>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96" w:name="page97"/>
    <w:bookmarkEnd w:id="96"/>
    <w:p>
      <w:pPr>
        <w:ind w:left="315" w:right="20" w:hanging="315"/>
        <w:spacing w:after="0" w:line="243" w:lineRule="auto"/>
        <w:tabs>
          <w:tab w:leader="none" w:pos="31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Transactions in process include deposits received, granted and collected loans, funds transferred and other similar types of transactions, which are made in the final days of the month and not reclassified to their final accounts in the interim condensed consolidated statement of financial position until the first days of the following month. The regularization of these transactions does not affect the Group’s net income.</w:t>
      </w:r>
    </w:p>
    <w:p>
      <w:pPr>
        <w:spacing w:after="0" w:line="178" w:lineRule="exact"/>
        <w:rPr>
          <w:rFonts w:ascii="Arial" w:cs="Arial" w:eastAsia="Arial" w:hAnsi="Arial"/>
          <w:sz w:val="17"/>
          <w:szCs w:val="17"/>
          <w:color w:val="auto"/>
        </w:rPr>
      </w:pPr>
    </w:p>
    <w:p>
      <w:pPr>
        <w:ind w:left="315" w:right="880" w:hanging="315"/>
        <w:spacing w:after="0" w:line="254" w:lineRule="auto"/>
        <w:tabs>
          <w:tab w:leader="none" w:pos="31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As of December 31, 2022 and 2021, corresponds to accounts receivable and payable for the sale and purchase of financial investments negotiated during the last days of the month, which were settled during the first days of the following month</w:t>
      </w:r>
    </w:p>
    <w:p>
      <w:pPr>
        <w:spacing w:after="0" w:line="169" w:lineRule="exact"/>
        <w:rPr>
          <w:rFonts w:ascii="Arial" w:cs="Arial" w:eastAsia="Arial" w:hAnsi="Arial"/>
          <w:sz w:val="17"/>
          <w:szCs w:val="17"/>
          <w:color w:val="auto"/>
        </w:rPr>
      </w:pPr>
    </w:p>
    <w:p>
      <w:pPr>
        <w:ind w:left="315" w:hanging="315"/>
        <w:spacing w:after="0" w:line="242" w:lineRule="auto"/>
        <w:tabs>
          <w:tab w:leader="none" w:pos="31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As of December 31, 2022, the balance mainly comprises to the payment in advance in favor of Latam Airlines Group S.A. Peru Branch for US$128.0 million, equivalent to S/488.4 million, (US$113.9 million, equivalent to S/454.0 million as of December 31, 2021) on account of the Latam Pass Miles that the Bank has been crediting to its clients for the use of your credit and debit cards, and other financial products BCP Latam Pass. Customers can use these miles directly with Latam to exchange tickets, goods or services offered by them.</w:t>
      </w:r>
    </w:p>
    <w:p>
      <w:pPr>
        <w:spacing w:after="0" w:line="180" w:lineRule="exact"/>
        <w:rPr>
          <w:rFonts w:ascii="Arial" w:cs="Arial" w:eastAsia="Arial" w:hAnsi="Arial"/>
          <w:sz w:val="17"/>
          <w:szCs w:val="17"/>
          <w:color w:val="auto"/>
        </w:rPr>
      </w:pPr>
    </w:p>
    <w:p>
      <w:pPr>
        <w:ind w:left="315" w:right="140" w:hanging="315"/>
        <w:spacing w:after="0" w:line="254" w:lineRule="auto"/>
        <w:tabs>
          <w:tab w:leader="none" w:pos="31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Credicorp’s principal associate is Entidad Prestadora de Salud (EPS), whose balance amounts to S/627.9 million and S/598.1 million as of December 31, 2022 and 2021, respectively.</w:t>
      </w:r>
    </w:p>
    <w:p>
      <w:pPr>
        <w:spacing w:after="0" w:line="169" w:lineRule="exact"/>
        <w:rPr>
          <w:rFonts w:ascii="Arial" w:cs="Arial" w:eastAsia="Arial" w:hAnsi="Arial"/>
          <w:sz w:val="17"/>
          <w:szCs w:val="17"/>
          <w:color w:val="auto"/>
        </w:rPr>
      </w:pPr>
    </w:p>
    <w:p>
      <w:pPr>
        <w:ind w:left="315" w:hanging="315"/>
        <w:spacing w:after="0"/>
        <w:tabs>
          <w:tab w:leader="none" w:pos="31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Investment properties, net -</w:t>
      </w:r>
    </w:p>
    <w:p>
      <w:pPr>
        <w:spacing w:after="0" w:line="193"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The movement of investment properties is as follows:</w:t>
      </w:r>
    </w:p>
    <w:p>
      <w:pPr>
        <w:spacing w:after="0" w:line="184" w:lineRule="exact"/>
        <w:rPr>
          <w:sz w:val="20"/>
          <w:szCs w:val="20"/>
          <w:color w:val="auto"/>
        </w:rPr>
      </w:pPr>
    </w:p>
    <w:tbl>
      <w:tblPr>
        <w:tblLayout w:type="fixed"/>
        <w:tblInd w:w="4255" w:type="dxa"/>
        <w:tblCellMar>
          <w:top w:w="0" w:type="dxa"/>
          <w:left w:w="0" w:type="dxa"/>
          <w:bottom w:w="0" w:type="dxa"/>
          <w:right w:w="0" w:type="dxa"/>
        </w:tblCellMar>
      </w:tblPr>
      <w:tr>
        <w:trPr>
          <w:trHeight w:val="217"/>
        </w:trPr>
        <w:tc>
          <w:tcPr>
            <w:tcW w:w="1460" w:type="dxa"/>
            <w:vAlign w:val="bottom"/>
            <w:gridSpan w:val="2"/>
          </w:tcPr>
          <w:p>
            <w:pPr>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2021</w:t>
            </w:r>
          </w:p>
        </w:tc>
      </w:tr>
      <w:tr>
        <w:trPr>
          <w:trHeight w:val="200"/>
        </w:trPr>
        <w:tc>
          <w:tcPr>
            <w:tcW w:w="20" w:type="dxa"/>
            <w:vAlign w:val="bottom"/>
          </w:tcPr>
          <w:p>
            <w:pPr>
              <w:spacing w:after="0"/>
              <w:rPr>
                <w:sz w:val="17"/>
                <w:szCs w:val="17"/>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Land</w:t>
            </w:r>
          </w:p>
        </w:tc>
        <w:tc>
          <w:tcPr>
            <w:tcW w:w="1680" w:type="dxa"/>
            <w:vAlign w:val="bottom"/>
            <w:tcBorders>
              <w:top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rPr>
              <w:t>Buildings</w:t>
            </w: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Total</w:t>
            </w:r>
          </w:p>
        </w:tc>
      </w:tr>
      <w:tr>
        <w:trPr>
          <w:trHeight w:val="186"/>
        </w:trPr>
        <w:tc>
          <w:tcPr>
            <w:tcW w:w="20" w:type="dxa"/>
            <w:vAlign w:val="bottom"/>
          </w:tcPr>
          <w:p>
            <w:pPr>
              <w:spacing w:after="0"/>
              <w:rPr>
                <w:sz w:val="16"/>
                <w:szCs w:val="16"/>
                <w:color w:val="auto"/>
              </w:rPr>
            </w:pPr>
          </w:p>
        </w:tc>
        <w:tc>
          <w:tcPr>
            <w:tcW w:w="144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r>
    </w:tbl>
    <w:p>
      <w:pPr>
        <w:spacing w:after="0" w:line="1" w:lineRule="exact"/>
        <w:rPr>
          <w:sz w:val="20"/>
          <w:szCs w:val="20"/>
          <w:color w:val="auto"/>
        </w:rPr>
      </w:pPr>
    </w:p>
    <w:tbl>
      <w:tblPr>
        <w:tblLayout w:type="fixed"/>
        <w:tblInd w:w="315" w:type="dxa"/>
        <w:tblCellMar>
          <w:top w:w="0" w:type="dxa"/>
          <w:left w:w="0" w:type="dxa"/>
          <w:bottom w:w="0" w:type="dxa"/>
          <w:right w:w="0" w:type="dxa"/>
        </w:tblCellMar>
      </w:tblPr>
      <w:tr>
        <w:trPr>
          <w:trHeight w:val="194"/>
        </w:trPr>
        <w:tc>
          <w:tcPr>
            <w:tcW w:w="3940" w:type="dxa"/>
            <w:vAlign w:val="bottom"/>
          </w:tcPr>
          <w:p>
            <w:pPr>
              <w:spacing w:after="0" w:line="194" w:lineRule="exact"/>
              <w:rPr>
                <w:sz w:val="20"/>
                <w:szCs w:val="20"/>
                <w:color w:val="auto"/>
              </w:rPr>
            </w:pPr>
            <w:r>
              <w:rPr>
                <w:rFonts w:ascii="Arial" w:cs="Arial" w:eastAsia="Arial" w:hAnsi="Arial"/>
                <w:sz w:val="17"/>
                <w:szCs w:val="17"/>
                <w:b w:val="1"/>
                <w:bCs w:val="1"/>
                <w:color w:val="auto"/>
              </w:rPr>
              <w:t>Cost</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line="194" w:lineRule="exact"/>
              <w:rPr>
                <w:sz w:val="20"/>
                <w:szCs w:val="20"/>
                <w:color w:val="auto"/>
              </w:rPr>
            </w:pPr>
            <w:r>
              <w:rPr>
                <w:rFonts w:ascii="Arial" w:cs="Arial" w:eastAsia="Arial" w:hAnsi="Arial"/>
                <w:sz w:val="17"/>
                <w:szCs w:val="17"/>
                <w:color w:val="auto"/>
              </w:rPr>
              <w:t>Balance at January 1</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274,769</w:t>
            </w:r>
          </w:p>
        </w:tc>
        <w:tc>
          <w:tcPr>
            <w:tcW w:w="120" w:type="dxa"/>
            <w:vAlign w:val="bottom"/>
          </w:tcPr>
          <w:p>
            <w:pPr>
              <w:spacing w:after="0"/>
              <w:rPr>
                <w:sz w:val="16"/>
                <w:szCs w:val="16"/>
                <w:color w:val="auto"/>
              </w:rPr>
            </w:pP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252,166</w:t>
            </w:r>
          </w:p>
        </w:tc>
        <w:tc>
          <w:tcPr>
            <w:tcW w:w="100" w:type="dxa"/>
            <w:vAlign w:val="bottom"/>
          </w:tcPr>
          <w:p>
            <w:pPr>
              <w:spacing w:after="0"/>
              <w:rPr>
                <w:sz w:val="16"/>
                <w:szCs w:val="16"/>
                <w:color w:val="auto"/>
              </w:rPr>
            </w:pP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526,935</w:t>
            </w:r>
          </w:p>
        </w:tc>
        <w:tc>
          <w:tcPr>
            <w:tcW w:w="100" w:type="dxa"/>
            <w:vAlign w:val="bottom"/>
          </w:tcPr>
          <w:p>
            <w:pPr>
              <w:spacing w:after="0"/>
              <w:rPr>
                <w:sz w:val="16"/>
                <w:szCs w:val="16"/>
                <w:color w:val="auto"/>
              </w:rPr>
            </w:pPr>
          </w:p>
        </w:tc>
        <w:tc>
          <w:tcPr>
            <w:tcW w:w="14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513,918</w:t>
            </w:r>
          </w:p>
        </w:tc>
        <w:tc>
          <w:tcPr>
            <w:tcW w:w="0" w:type="dxa"/>
            <w:vAlign w:val="bottom"/>
          </w:tcPr>
          <w:p>
            <w:pPr>
              <w:spacing w:after="0"/>
              <w:rPr>
                <w:sz w:val="1"/>
                <w:szCs w:val="1"/>
                <w:color w:val="auto"/>
              </w:rPr>
            </w:pPr>
          </w:p>
        </w:tc>
      </w:tr>
      <w:tr>
        <w:trPr>
          <w:trHeight w:val="194"/>
        </w:trPr>
        <w:tc>
          <w:tcPr>
            <w:tcW w:w="3940" w:type="dxa"/>
            <w:vAlign w:val="bottom"/>
          </w:tcPr>
          <w:p>
            <w:pPr>
              <w:spacing w:after="0" w:line="194" w:lineRule="exact"/>
              <w:rPr>
                <w:sz w:val="20"/>
                <w:szCs w:val="20"/>
                <w:color w:val="auto"/>
              </w:rPr>
            </w:pPr>
            <w:r>
              <w:rPr>
                <w:rFonts w:ascii="Arial" w:cs="Arial" w:eastAsia="Arial" w:hAnsi="Arial"/>
                <w:sz w:val="17"/>
                <w:szCs w:val="17"/>
                <w:color w:val="auto"/>
              </w:rPr>
              <w:t>Additions (i)</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53,500</w:t>
            </w:r>
          </w:p>
        </w:tc>
        <w:tc>
          <w:tcPr>
            <w:tcW w:w="120" w:type="dxa"/>
            <w:vAlign w:val="bottom"/>
          </w:tcPr>
          <w:p>
            <w:pPr>
              <w:spacing w:after="0"/>
              <w:rPr>
                <w:sz w:val="16"/>
                <w:szCs w:val="16"/>
                <w:color w:val="auto"/>
              </w:rPr>
            </w:pP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33,632</w:t>
            </w:r>
          </w:p>
        </w:tc>
        <w:tc>
          <w:tcPr>
            <w:tcW w:w="100" w:type="dxa"/>
            <w:vAlign w:val="bottom"/>
          </w:tcPr>
          <w:p>
            <w:pPr>
              <w:spacing w:after="0"/>
              <w:rPr>
                <w:sz w:val="16"/>
                <w:szCs w:val="16"/>
                <w:color w:val="auto"/>
              </w:rPr>
            </w:pP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87,132</w:t>
            </w:r>
          </w:p>
        </w:tc>
        <w:tc>
          <w:tcPr>
            <w:tcW w:w="100" w:type="dxa"/>
            <w:vAlign w:val="bottom"/>
          </w:tcPr>
          <w:p>
            <w:pPr>
              <w:spacing w:after="0"/>
              <w:rPr>
                <w:sz w:val="16"/>
                <w:szCs w:val="16"/>
                <w:color w:val="auto"/>
              </w:rPr>
            </w:pPr>
          </w:p>
        </w:tc>
        <w:tc>
          <w:tcPr>
            <w:tcW w:w="14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12,068</w:t>
            </w:r>
          </w:p>
        </w:tc>
        <w:tc>
          <w:tcPr>
            <w:tcW w:w="0" w:type="dxa"/>
            <w:vAlign w:val="bottom"/>
          </w:tcPr>
          <w:p>
            <w:pPr>
              <w:spacing w:after="0"/>
              <w:rPr>
                <w:sz w:val="1"/>
                <w:szCs w:val="1"/>
                <w:color w:val="auto"/>
              </w:rPr>
            </w:pPr>
          </w:p>
        </w:tc>
      </w:tr>
      <w:tr>
        <w:trPr>
          <w:trHeight w:val="185"/>
        </w:trPr>
        <w:tc>
          <w:tcPr>
            <w:tcW w:w="3940" w:type="dxa"/>
            <w:vAlign w:val="bottom"/>
          </w:tcPr>
          <w:p>
            <w:pPr>
              <w:spacing w:after="0" w:line="185" w:lineRule="exact"/>
              <w:rPr>
                <w:sz w:val="20"/>
                <w:szCs w:val="20"/>
                <w:color w:val="auto"/>
              </w:rPr>
            </w:pPr>
            <w:r>
              <w:rPr>
                <w:rFonts w:ascii="Arial" w:cs="Arial" w:eastAsia="Arial" w:hAnsi="Arial"/>
                <w:sz w:val="17"/>
                <w:szCs w:val="17"/>
                <w:color w:val="auto"/>
              </w:rPr>
              <w:t>Disposals and others</w:t>
            </w:r>
          </w:p>
        </w:tc>
        <w:tc>
          <w:tcPr>
            <w:tcW w:w="1460" w:type="dxa"/>
            <w:vAlign w:val="bottom"/>
          </w:tcPr>
          <w:p>
            <w:pPr>
              <w:jc w:val="right"/>
              <w:ind w:right="14"/>
              <w:spacing w:after="0" w:line="185" w:lineRule="exact"/>
              <w:rPr>
                <w:sz w:val="20"/>
                <w:szCs w:val="20"/>
                <w:color w:val="auto"/>
              </w:rPr>
            </w:pPr>
            <w:r>
              <w:rPr>
                <w:rFonts w:ascii="Arial" w:cs="Arial" w:eastAsia="Arial" w:hAnsi="Arial"/>
                <w:sz w:val="17"/>
                <w:szCs w:val="17"/>
                <w:color w:val="auto"/>
              </w:rPr>
              <w:t>(138)</w:t>
            </w:r>
          </w:p>
        </w:tc>
        <w:tc>
          <w:tcPr>
            <w:tcW w:w="120" w:type="dxa"/>
            <w:vAlign w:val="bottom"/>
          </w:tcPr>
          <w:p>
            <w:pPr>
              <w:spacing w:after="0"/>
              <w:rPr>
                <w:sz w:val="16"/>
                <w:szCs w:val="16"/>
                <w:color w:val="auto"/>
              </w:rPr>
            </w:pPr>
          </w:p>
        </w:tc>
        <w:tc>
          <w:tcPr>
            <w:tcW w:w="1460" w:type="dxa"/>
            <w:vAlign w:val="bottom"/>
          </w:tcPr>
          <w:p>
            <w:pPr>
              <w:jc w:val="right"/>
              <w:ind w:right="14"/>
              <w:spacing w:after="0" w:line="185" w:lineRule="exact"/>
              <w:rPr>
                <w:sz w:val="20"/>
                <w:szCs w:val="20"/>
                <w:color w:val="auto"/>
              </w:rPr>
            </w:pPr>
            <w:r>
              <w:rPr>
                <w:rFonts w:ascii="Arial" w:cs="Arial" w:eastAsia="Arial" w:hAnsi="Arial"/>
                <w:sz w:val="17"/>
                <w:szCs w:val="17"/>
                <w:color w:val="auto"/>
              </w:rPr>
              <w:t>(610)</w:t>
            </w:r>
          </w:p>
        </w:tc>
        <w:tc>
          <w:tcPr>
            <w:tcW w:w="100" w:type="dxa"/>
            <w:vAlign w:val="bottom"/>
          </w:tcPr>
          <w:p>
            <w:pPr>
              <w:spacing w:after="0"/>
              <w:rPr>
                <w:sz w:val="16"/>
                <w:szCs w:val="16"/>
                <w:color w:val="auto"/>
              </w:rPr>
            </w:pPr>
          </w:p>
        </w:tc>
        <w:tc>
          <w:tcPr>
            <w:tcW w:w="1460" w:type="dxa"/>
            <w:vAlign w:val="bottom"/>
          </w:tcPr>
          <w:p>
            <w:pPr>
              <w:jc w:val="right"/>
              <w:ind w:right="14"/>
              <w:spacing w:after="0" w:line="185" w:lineRule="exact"/>
              <w:rPr>
                <w:sz w:val="20"/>
                <w:szCs w:val="20"/>
                <w:color w:val="auto"/>
              </w:rPr>
            </w:pPr>
            <w:r>
              <w:rPr>
                <w:rFonts w:ascii="Arial" w:cs="Arial" w:eastAsia="Arial" w:hAnsi="Arial"/>
                <w:sz w:val="17"/>
                <w:szCs w:val="17"/>
                <w:color w:val="auto"/>
              </w:rPr>
              <w:t>(748)</w:t>
            </w:r>
          </w:p>
        </w:tc>
        <w:tc>
          <w:tcPr>
            <w:tcW w:w="100" w:type="dxa"/>
            <w:vAlign w:val="bottom"/>
          </w:tcPr>
          <w:p>
            <w:pPr>
              <w:spacing w:after="0"/>
              <w:rPr>
                <w:sz w:val="16"/>
                <w:szCs w:val="16"/>
                <w:color w:val="auto"/>
              </w:rPr>
            </w:pPr>
          </w:p>
        </w:tc>
        <w:tc>
          <w:tcPr>
            <w:tcW w:w="1480" w:type="dxa"/>
            <w:vAlign w:val="bottom"/>
          </w:tcPr>
          <w:p>
            <w:pPr>
              <w:jc w:val="right"/>
              <w:ind w:right="34"/>
              <w:spacing w:after="0" w:line="185" w:lineRule="exact"/>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3"/>
        </w:trPr>
        <w:tc>
          <w:tcPr>
            <w:tcW w:w="3940" w:type="dxa"/>
            <w:vAlign w:val="bottom"/>
            <w:vMerge w:val="restart"/>
          </w:tcPr>
          <w:p>
            <w:pPr>
              <w:spacing w:after="0"/>
              <w:rPr>
                <w:sz w:val="20"/>
                <w:szCs w:val="20"/>
                <w:color w:val="auto"/>
              </w:rPr>
            </w:pPr>
            <w:r>
              <w:rPr>
                <w:rFonts w:ascii="Arial" w:cs="Arial" w:eastAsia="Arial" w:hAnsi="Arial"/>
                <w:sz w:val="17"/>
                <w:szCs w:val="17"/>
                <w:b w:val="1"/>
                <w:bCs w:val="1"/>
                <w:color w:val="auto"/>
              </w:rPr>
              <w:t>Balance at December 31</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94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328,131</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285,188</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613,319</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526,935</w:t>
            </w:r>
          </w:p>
        </w:tc>
        <w:tc>
          <w:tcPr>
            <w:tcW w:w="0" w:type="dxa"/>
            <w:vAlign w:val="bottom"/>
          </w:tcPr>
          <w:p>
            <w:pPr>
              <w:spacing w:after="0"/>
              <w:rPr>
                <w:sz w:val="1"/>
                <w:szCs w:val="1"/>
                <w:color w:val="auto"/>
              </w:rPr>
            </w:pPr>
          </w:p>
        </w:tc>
      </w:tr>
      <w:tr>
        <w:trPr>
          <w:trHeight w:val="381"/>
        </w:trPr>
        <w:tc>
          <w:tcPr>
            <w:tcW w:w="3940" w:type="dxa"/>
            <w:vAlign w:val="bottom"/>
          </w:tcPr>
          <w:p>
            <w:pPr>
              <w:spacing w:after="0"/>
              <w:rPr>
                <w:sz w:val="20"/>
                <w:szCs w:val="20"/>
                <w:color w:val="auto"/>
              </w:rPr>
            </w:pPr>
            <w:r>
              <w:rPr>
                <w:rFonts w:ascii="Arial" w:cs="Arial" w:eastAsia="Arial" w:hAnsi="Arial"/>
                <w:sz w:val="17"/>
                <w:szCs w:val="17"/>
                <w:b w:val="1"/>
                <w:bCs w:val="1"/>
                <w:color w:val="auto"/>
              </w:rPr>
              <w:t>Accumulated depreciation</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line="194" w:lineRule="exact"/>
              <w:rPr>
                <w:sz w:val="20"/>
                <w:szCs w:val="20"/>
                <w:color w:val="auto"/>
              </w:rPr>
            </w:pPr>
            <w:r>
              <w:rPr>
                <w:rFonts w:ascii="Arial" w:cs="Arial" w:eastAsia="Arial" w:hAnsi="Arial"/>
                <w:sz w:val="17"/>
                <w:szCs w:val="17"/>
                <w:color w:val="auto"/>
              </w:rPr>
              <w:t>Balance at January 1</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56,412</w:t>
            </w:r>
          </w:p>
        </w:tc>
        <w:tc>
          <w:tcPr>
            <w:tcW w:w="100" w:type="dxa"/>
            <w:vAlign w:val="bottom"/>
          </w:tcPr>
          <w:p>
            <w:pPr>
              <w:spacing w:after="0"/>
              <w:rPr>
                <w:sz w:val="16"/>
                <w:szCs w:val="16"/>
                <w:color w:val="auto"/>
              </w:rPr>
            </w:pP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56,412</w:t>
            </w:r>
          </w:p>
        </w:tc>
        <w:tc>
          <w:tcPr>
            <w:tcW w:w="100" w:type="dxa"/>
            <w:vAlign w:val="bottom"/>
          </w:tcPr>
          <w:p>
            <w:pPr>
              <w:spacing w:after="0"/>
              <w:rPr>
                <w:sz w:val="16"/>
                <w:szCs w:val="16"/>
                <w:color w:val="auto"/>
              </w:rPr>
            </w:pPr>
          </w:p>
        </w:tc>
        <w:tc>
          <w:tcPr>
            <w:tcW w:w="14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45,649</w:t>
            </w:r>
          </w:p>
        </w:tc>
        <w:tc>
          <w:tcPr>
            <w:tcW w:w="0" w:type="dxa"/>
            <w:vAlign w:val="bottom"/>
          </w:tcPr>
          <w:p>
            <w:pPr>
              <w:spacing w:after="0"/>
              <w:rPr>
                <w:sz w:val="1"/>
                <w:szCs w:val="1"/>
                <w:color w:val="auto"/>
              </w:rPr>
            </w:pPr>
          </w:p>
        </w:tc>
      </w:tr>
      <w:tr>
        <w:trPr>
          <w:trHeight w:val="194"/>
        </w:trPr>
        <w:tc>
          <w:tcPr>
            <w:tcW w:w="3940" w:type="dxa"/>
            <w:vAlign w:val="bottom"/>
          </w:tcPr>
          <w:p>
            <w:pPr>
              <w:spacing w:after="0" w:line="194" w:lineRule="exact"/>
              <w:rPr>
                <w:sz w:val="20"/>
                <w:szCs w:val="20"/>
                <w:color w:val="auto"/>
              </w:rPr>
            </w:pPr>
            <w:r>
              <w:rPr>
                <w:rFonts w:ascii="Arial" w:cs="Arial" w:eastAsia="Arial" w:hAnsi="Arial"/>
                <w:sz w:val="17"/>
                <w:szCs w:val="17"/>
                <w:color w:val="auto"/>
              </w:rPr>
              <w:t>Depreciation for the period</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7,107</w:t>
            </w:r>
          </w:p>
        </w:tc>
        <w:tc>
          <w:tcPr>
            <w:tcW w:w="100" w:type="dxa"/>
            <w:vAlign w:val="bottom"/>
          </w:tcPr>
          <w:p>
            <w:pPr>
              <w:spacing w:after="0"/>
              <w:rPr>
                <w:sz w:val="16"/>
                <w:szCs w:val="16"/>
                <w:color w:val="auto"/>
              </w:rPr>
            </w:pP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7,107</w:t>
            </w:r>
          </w:p>
        </w:tc>
        <w:tc>
          <w:tcPr>
            <w:tcW w:w="100" w:type="dxa"/>
            <w:vAlign w:val="bottom"/>
          </w:tcPr>
          <w:p>
            <w:pPr>
              <w:spacing w:after="0"/>
              <w:rPr>
                <w:sz w:val="16"/>
                <w:szCs w:val="16"/>
                <w:color w:val="auto"/>
              </w:rPr>
            </w:pPr>
          </w:p>
        </w:tc>
        <w:tc>
          <w:tcPr>
            <w:tcW w:w="14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7,302</w:t>
            </w:r>
          </w:p>
        </w:tc>
        <w:tc>
          <w:tcPr>
            <w:tcW w:w="0" w:type="dxa"/>
            <w:vAlign w:val="bottom"/>
          </w:tcPr>
          <w:p>
            <w:pPr>
              <w:spacing w:after="0"/>
              <w:rPr>
                <w:sz w:val="1"/>
                <w:szCs w:val="1"/>
                <w:color w:val="auto"/>
              </w:rPr>
            </w:pPr>
          </w:p>
        </w:tc>
      </w:tr>
      <w:tr>
        <w:trPr>
          <w:trHeight w:val="185"/>
        </w:trPr>
        <w:tc>
          <w:tcPr>
            <w:tcW w:w="3940" w:type="dxa"/>
            <w:vAlign w:val="bottom"/>
          </w:tcPr>
          <w:p>
            <w:pPr>
              <w:spacing w:after="0" w:line="185" w:lineRule="exact"/>
              <w:rPr>
                <w:sz w:val="20"/>
                <w:szCs w:val="20"/>
                <w:color w:val="auto"/>
              </w:rPr>
            </w:pPr>
            <w:r>
              <w:rPr>
                <w:rFonts w:ascii="Arial" w:cs="Arial" w:eastAsia="Arial" w:hAnsi="Arial"/>
                <w:sz w:val="17"/>
                <w:szCs w:val="17"/>
                <w:color w:val="auto"/>
              </w:rPr>
              <w:t>Disposals and others</w:t>
            </w:r>
          </w:p>
        </w:tc>
        <w:tc>
          <w:tcPr>
            <w:tcW w:w="1460" w:type="dxa"/>
            <w:vAlign w:val="bottom"/>
          </w:tcPr>
          <w:p>
            <w:pPr>
              <w:jc w:val="right"/>
              <w:ind w:right="14"/>
              <w:spacing w:after="0" w:line="185"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460" w:type="dxa"/>
            <w:vAlign w:val="bottom"/>
          </w:tcPr>
          <w:p>
            <w:pPr>
              <w:jc w:val="right"/>
              <w:ind w:right="14"/>
              <w:spacing w:after="0" w:line="185" w:lineRule="exact"/>
              <w:rPr>
                <w:sz w:val="20"/>
                <w:szCs w:val="20"/>
                <w:color w:val="auto"/>
              </w:rPr>
            </w:pPr>
            <w:r>
              <w:rPr>
                <w:rFonts w:ascii="Arial" w:cs="Arial" w:eastAsia="Arial" w:hAnsi="Arial"/>
                <w:sz w:val="17"/>
                <w:szCs w:val="17"/>
                <w:color w:val="auto"/>
              </w:rPr>
              <w:t>(168)</w:t>
            </w:r>
          </w:p>
        </w:tc>
        <w:tc>
          <w:tcPr>
            <w:tcW w:w="100" w:type="dxa"/>
            <w:vAlign w:val="bottom"/>
          </w:tcPr>
          <w:p>
            <w:pPr>
              <w:spacing w:after="0"/>
              <w:rPr>
                <w:sz w:val="16"/>
                <w:szCs w:val="16"/>
                <w:color w:val="auto"/>
              </w:rPr>
            </w:pPr>
          </w:p>
        </w:tc>
        <w:tc>
          <w:tcPr>
            <w:tcW w:w="1460" w:type="dxa"/>
            <w:vAlign w:val="bottom"/>
          </w:tcPr>
          <w:p>
            <w:pPr>
              <w:jc w:val="right"/>
              <w:ind w:right="14"/>
              <w:spacing w:after="0" w:line="185" w:lineRule="exact"/>
              <w:rPr>
                <w:sz w:val="20"/>
                <w:szCs w:val="20"/>
                <w:color w:val="auto"/>
              </w:rPr>
            </w:pPr>
            <w:r>
              <w:rPr>
                <w:rFonts w:ascii="Arial" w:cs="Arial" w:eastAsia="Arial" w:hAnsi="Arial"/>
                <w:sz w:val="17"/>
                <w:szCs w:val="17"/>
                <w:color w:val="auto"/>
              </w:rPr>
              <w:t>(168)</w:t>
            </w:r>
          </w:p>
        </w:tc>
        <w:tc>
          <w:tcPr>
            <w:tcW w:w="100" w:type="dxa"/>
            <w:vAlign w:val="bottom"/>
          </w:tcPr>
          <w:p>
            <w:pPr>
              <w:spacing w:after="0"/>
              <w:rPr>
                <w:sz w:val="16"/>
                <w:szCs w:val="16"/>
                <w:color w:val="auto"/>
              </w:rPr>
            </w:pPr>
          </w:p>
        </w:tc>
        <w:tc>
          <w:tcPr>
            <w:tcW w:w="1480" w:type="dxa"/>
            <w:vAlign w:val="bottom"/>
          </w:tcPr>
          <w:p>
            <w:pPr>
              <w:jc w:val="right"/>
              <w:ind w:right="34"/>
              <w:spacing w:after="0" w:line="185" w:lineRule="exact"/>
              <w:rPr>
                <w:sz w:val="20"/>
                <w:szCs w:val="20"/>
                <w:color w:val="auto"/>
              </w:rPr>
            </w:pPr>
            <w:r>
              <w:rPr>
                <w:rFonts w:ascii="Arial" w:cs="Arial" w:eastAsia="Arial" w:hAnsi="Arial"/>
                <w:sz w:val="17"/>
                <w:szCs w:val="17"/>
                <w:color w:val="auto"/>
              </w:rPr>
              <w:t>3,461</w:t>
            </w:r>
          </w:p>
        </w:tc>
        <w:tc>
          <w:tcPr>
            <w:tcW w:w="0" w:type="dxa"/>
            <w:vAlign w:val="bottom"/>
          </w:tcPr>
          <w:p>
            <w:pPr>
              <w:spacing w:after="0"/>
              <w:rPr>
                <w:sz w:val="1"/>
                <w:szCs w:val="1"/>
                <w:color w:val="auto"/>
              </w:rPr>
            </w:pPr>
          </w:p>
        </w:tc>
      </w:tr>
      <w:tr>
        <w:trPr>
          <w:trHeight w:val="23"/>
        </w:trPr>
        <w:tc>
          <w:tcPr>
            <w:tcW w:w="3940" w:type="dxa"/>
            <w:vAlign w:val="bottom"/>
            <w:vMerge w:val="restart"/>
          </w:tcPr>
          <w:p>
            <w:pPr>
              <w:spacing w:after="0"/>
              <w:rPr>
                <w:sz w:val="20"/>
                <w:szCs w:val="20"/>
                <w:color w:val="auto"/>
              </w:rPr>
            </w:pPr>
            <w:r>
              <w:rPr>
                <w:rFonts w:ascii="Arial" w:cs="Arial" w:eastAsia="Arial" w:hAnsi="Arial"/>
                <w:sz w:val="17"/>
                <w:szCs w:val="17"/>
                <w:b w:val="1"/>
                <w:bCs w:val="1"/>
                <w:color w:val="auto"/>
              </w:rPr>
              <w:t>Balance at December 31</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94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63,351</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63,351</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56,412</w:t>
            </w:r>
          </w:p>
        </w:tc>
        <w:tc>
          <w:tcPr>
            <w:tcW w:w="0" w:type="dxa"/>
            <w:vAlign w:val="bottom"/>
          </w:tcPr>
          <w:p>
            <w:pPr>
              <w:spacing w:after="0"/>
              <w:rPr>
                <w:sz w:val="1"/>
                <w:szCs w:val="1"/>
                <w:color w:val="auto"/>
              </w:rPr>
            </w:pPr>
          </w:p>
        </w:tc>
      </w:tr>
      <w:tr>
        <w:trPr>
          <w:trHeight w:val="187"/>
        </w:trPr>
        <w:tc>
          <w:tcPr>
            <w:tcW w:w="3940" w:type="dxa"/>
            <w:vAlign w:val="bottom"/>
            <w:vMerge w:val="restart"/>
          </w:tcPr>
          <w:p>
            <w:pPr>
              <w:spacing w:after="0"/>
              <w:rPr>
                <w:sz w:val="20"/>
                <w:szCs w:val="20"/>
                <w:color w:val="auto"/>
              </w:rPr>
            </w:pPr>
            <w:r>
              <w:rPr>
                <w:rFonts w:ascii="Arial" w:cs="Arial" w:eastAsia="Arial" w:hAnsi="Arial"/>
                <w:sz w:val="17"/>
                <w:szCs w:val="17"/>
                <w:b w:val="1"/>
                <w:bCs w:val="1"/>
                <w:color w:val="auto"/>
              </w:rPr>
              <w:t>Impairment losses (ii)</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689</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721</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1,410</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1,410</w:t>
            </w:r>
          </w:p>
        </w:tc>
        <w:tc>
          <w:tcPr>
            <w:tcW w:w="0" w:type="dxa"/>
            <w:vAlign w:val="bottom"/>
          </w:tcPr>
          <w:p>
            <w:pPr>
              <w:spacing w:after="0"/>
              <w:rPr>
                <w:sz w:val="1"/>
                <w:szCs w:val="1"/>
                <w:color w:val="auto"/>
              </w:rPr>
            </w:pPr>
          </w:p>
        </w:tc>
      </w:tr>
      <w:tr>
        <w:trPr>
          <w:trHeight w:val="187"/>
        </w:trPr>
        <w:tc>
          <w:tcPr>
            <w:tcW w:w="3940" w:type="dxa"/>
            <w:vAlign w:val="bottom"/>
            <w:vMerge w:val="restart"/>
          </w:tcPr>
          <w:p>
            <w:pPr>
              <w:spacing w:after="0"/>
              <w:rPr>
                <w:sz w:val="20"/>
                <w:szCs w:val="20"/>
                <w:color w:val="auto"/>
              </w:rPr>
            </w:pPr>
            <w:r>
              <w:rPr>
                <w:rFonts w:ascii="Arial" w:cs="Arial" w:eastAsia="Arial" w:hAnsi="Arial"/>
                <w:sz w:val="17"/>
                <w:szCs w:val="17"/>
                <w:b w:val="1"/>
                <w:bCs w:val="1"/>
                <w:color w:val="auto"/>
              </w:rPr>
              <w:t>Net carrying amount</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4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327,442</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221,116</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548,558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469,113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15"/>
        <w:spacing w:after="0"/>
        <w:rPr>
          <w:sz w:val="20"/>
          <w:szCs w:val="20"/>
          <w:color w:val="auto"/>
        </w:rPr>
      </w:pPr>
      <w:r>
        <w:rPr>
          <w:rFonts w:ascii="Arial" w:cs="Arial" w:eastAsia="Arial" w:hAnsi="Arial"/>
          <w:sz w:val="17"/>
          <w:szCs w:val="17"/>
          <w:color w:val="auto"/>
        </w:rPr>
        <w:t>Land and buildings are mainly used for office rental, which are free of all encumbrances.</w:t>
      </w:r>
    </w:p>
    <w:p>
      <w:pPr>
        <w:spacing w:after="0" w:line="193" w:lineRule="exact"/>
        <w:rPr>
          <w:sz w:val="20"/>
          <w:szCs w:val="20"/>
          <w:color w:val="auto"/>
        </w:rPr>
      </w:pPr>
    </w:p>
    <w:p>
      <w:pPr>
        <w:ind w:left="615" w:right="220" w:hanging="304"/>
        <w:spacing w:after="0" w:line="254" w:lineRule="auto"/>
        <w:tabs>
          <w:tab w:leader="none" w:pos="61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As of December 31, 2022 the Group has made disbursements for the acquisition of land and real estate for S/87.1 million. As of December 31, 2021, the Group has made disbursements for property improvements for S/12.1 million.</w:t>
      </w:r>
    </w:p>
    <w:p>
      <w:pPr>
        <w:spacing w:after="0" w:line="169" w:lineRule="exact"/>
        <w:rPr>
          <w:rFonts w:ascii="Arial" w:cs="Arial" w:eastAsia="Arial" w:hAnsi="Arial"/>
          <w:sz w:val="17"/>
          <w:szCs w:val="17"/>
          <w:color w:val="auto"/>
        </w:rPr>
      </w:pPr>
    </w:p>
    <w:p>
      <w:pPr>
        <w:ind w:left="615" w:right="80" w:hanging="304"/>
        <w:spacing w:after="0" w:line="254" w:lineRule="auto"/>
        <w:tabs>
          <w:tab w:leader="none" w:pos="61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Group’s Management has determined that the recoverable value of its investment properties is greater than their net carrying amount.</w:t>
      </w:r>
    </w:p>
    <w:p>
      <w:pPr>
        <w:spacing w:after="0" w:line="143" w:lineRule="exact"/>
        <w:rPr>
          <w:rFonts w:ascii="Arial" w:cs="Arial" w:eastAsia="Arial" w:hAnsi="Arial"/>
          <w:sz w:val="17"/>
          <w:szCs w:val="17"/>
          <w:color w:val="auto"/>
        </w:rPr>
      </w:pPr>
    </w:p>
    <w:p>
      <w:pPr>
        <w:ind w:left="4895" w:hanging="97"/>
        <w:spacing w:after="0"/>
        <w:tabs>
          <w:tab w:leader="none" w:pos="489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75"/>
          </w:cols>
          <w:pgMar w:left="945" w:top="140" w:right="379" w:bottom="1440" w:gutter="0" w:footer="0" w:header="0"/>
        </w:sectPr>
      </w:pPr>
    </w:p>
    <w:bookmarkStart w:id="97" w:name="page98"/>
    <w:bookmarkEnd w:id="97"/>
    <w:p>
      <w:pPr>
        <w:ind w:left="615" w:right="100"/>
        <w:spacing w:after="0" w:line="253" w:lineRule="auto"/>
        <w:rPr>
          <w:sz w:val="20"/>
          <w:szCs w:val="20"/>
          <w:color w:val="auto"/>
        </w:rPr>
      </w:pPr>
      <w:r>
        <w:rPr>
          <w:rFonts w:ascii="Arial" w:cs="Arial" w:eastAsia="Arial" w:hAnsi="Arial"/>
          <w:sz w:val="17"/>
          <w:szCs w:val="17"/>
          <w:color w:val="auto"/>
        </w:rPr>
        <w:t>As of December 31, 2022 and 2021, the market value of the properties amounts to approximately S/1,206.5 million and S/1,244.1 million, respectively; which was determined through a valuation made by an independent appraiser.</w:t>
      </w:r>
    </w:p>
    <w:p>
      <w:pPr>
        <w:spacing w:after="0" w:line="170" w:lineRule="exact"/>
        <w:rPr>
          <w:sz w:val="20"/>
          <w:szCs w:val="20"/>
          <w:color w:val="auto"/>
        </w:rPr>
      </w:pPr>
    </w:p>
    <w:p>
      <w:pPr>
        <w:ind w:left="315" w:hanging="315"/>
        <w:spacing w:after="0"/>
        <w:tabs>
          <w:tab w:leader="none" w:pos="31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As of December 31, 2022, the balance mainly comprises payables to suppliers for S/434.6. million, payables to client investors in stock exchange for S/322.7, payables to policyholders for S/114.6 million, payables to intermediaries for S/101.1 million, payables for premiums to the deposit insurance fund for S/57.7 million, payables for foreign exchange sale for S/22.3 million, interbank operations to be settled with the BCRP for S/6.0 million, among others. As of December 31, 2021, the balance corresponds mainly comprises payables to suppliers for S/208.4 million, payables to policyholders for S/108.1 million, payables for purchase of deferred foreign currency for S/101.6 million, payables to intermediaries for S/90.0 million, payables for premiums to the Deposit Insurance Fund for S/52.7 million, settlement funds of Financiera TFC for S/12.0 million, interbank operations to be settled with the BCRP for S/8.8 million, payables to an associate for S/7.4 million, among others.</w:t>
      </w:r>
    </w:p>
    <w:p>
      <w:pPr>
        <w:spacing w:after="0" w:line="184" w:lineRule="exact"/>
        <w:rPr>
          <w:rFonts w:ascii="Arial" w:cs="Arial" w:eastAsia="Arial" w:hAnsi="Arial"/>
          <w:sz w:val="17"/>
          <w:szCs w:val="17"/>
          <w:color w:val="auto"/>
        </w:rPr>
      </w:pPr>
    </w:p>
    <w:p>
      <w:pPr>
        <w:ind w:left="315" w:hanging="315"/>
        <w:spacing w:after="0"/>
        <w:tabs>
          <w:tab w:leader="none" w:pos="31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movement of the allowance for sundry risks for the years ended December 31, 2022, 2021 and 2020 was as follows:</w:t>
      </w:r>
    </w:p>
    <w:p>
      <w:pPr>
        <w:spacing w:after="0" w:line="184" w:lineRule="exact"/>
        <w:rPr>
          <w:sz w:val="20"/>
          <w:szCs w:val="20"/>
          <w:color w:val="auto"/>
        </w:rPr>
      </w:pPr>
    </w:p>
    <w:tbl>
      <w:tblPr>
        <w:tblLayout w:type="fixed"/>
        <w:tblInd w:w="315" w:type="dxa"/>
        <w:tblCellMar>
          <w:top w:w="0" w:type="dxa"/>
          <w:left w:w="0" w:type="dxa"/>
          <w:bottom w:w="0" w:type="dxa"/>
          <w:right w:w="0" w:type="dxa"/>
        </w:tblCellMar>
      </w:tblPr>
      <w:tr>
        <w:trPr>
          <w:trHeight w:val="217"/>
        </w:trPr>
        <w:tc>
          <w:tcPr>
            <w:tcW w:w="5320" w:type="dxa"/>
            <w:vAlign w:val="bottom"/>
            <w:gridSpan w:val="2"/>
          </w:tcPr>
          <w:p>
            <w:pPr>
              <w:ind w:left="4640"/>
              <w:spacing w:after="0"/>
              <w:rPr>
                <w:sz w:val="20"/>
                <w:szCs w:val="20"/>
                <w:color w:val="auto"/>
              </w:rPr>
            </w:pPr>
            <w:r>
              <w:rPr>
                <w:rFonts w:ascii="Arial" w:cs="Arial" w:eastAsia="Arial" w:hAnsi="Arial"/>
                <w:sz w:val="17"/>
                <w:szCs w:val="17"/>
                <w:b w:val="1"/>
                <w:bCs w:val="1"/>
                <w:color w:val="auto"/>
              </w:rPr>
              <w:t>2022</w:t>
            </w:r>
          </w:p>
        </w:tc>
        <w:tc>
          <w:tcPr>
            <w:tcW w:w="86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b w:val="1"/>
                <w:bCs w:val="1"/>
                <w:color w:val="auto"/>
              </w:rPr>
              <w:t>2020</w:t>
            </w:r>
          </w:p>
        </w:tc>
      </w:tr>
      <w:tr>
        <w:trPr>
          <w:trHeight w:val="223"/>
        </w:trPr>
        <w:tc>
          <w:tcPr>
            <w:tcW w:w="464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r>
      <w:tr>
        <w:trPr>
          <w:trHeight w:val="352"/>
        </w:trPr>
        <w:tc>
          <w:tcPr>
            <w:tcW w:w="5320" w:type="dxa"/>
            <w:vAlign w:val="bottom"/>
            <w:gridSpan w:val="2"/>
          </w:tcPr>
          <w:p>
            <w:pPr>
              <w:spacing w:after="0"/>
              <w:rPr>
                <w:sz w:val="20"/>
                <w:szCs w:val="20"/>
                <w:color w:val="auto"/>
              </w:rPr>
            </w:pPr>
            <w:r>
              <w:rPr>
                <w:rFonts w:ascii="Arial" w:cs="Arial" w:eastAsia="Arial" w:hAnsi="Arial"/>
                <w:sz w:val="17"/>
                <w:szCs w:val="17"/>
                <w:b w:val="1"/>
                <w:bCs w:val="1"/>
                <w:color w:val="auto"/>
              </w:rPr>
              <w:t>Balance at the beginning of the year</w:t>
            </w: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614,012</w:t>
            </w:r>
          </w:p>
        </w:tc>
        <w:tc>
          <w:tcPr>
            <w:tcW w:w="1680" w:type="dxa"/>
            <w:vAlign w:val="bottom"/>
            <w:gridSpan w:val="2"/>
          </w:tcPr>
          <w:p>
            <w:pPr>
              <w:jc w:val="right"/>
              <w:ind w:right="34"/>
              <w:spacing w:after="0"/>
              <w:rPr>
                <w:sz w:val="20"/>
                <w:szCs w:val="20"/>
                <w:color w:val="auto"/>
              </w:rPr>
            </w:pPr>
            <w:r>
              <w:rPr>
                <w:rFonts w:ascii="Arial" w:cs="Arial" w:eastAsia="Arial" w:hAnsi="Arial"/>
                <w:sz w:val="17"/>
                <w:szCs w:val="17"/>
                <w:color w:val="auto"/>
              </w:rPr>
              <w:t>514,382</w:t>
            </w:r>
          </w:p>
        </w:tc>
        <w:tc>
          <w:tcPr>
            <w:tcW w:w="120" w:type="dxa"/>
            <w:vAlign w:val="bottom"/>
          </w:tcPr>
          <w:p>
            <w:pPr>
              <w:spacing w:after="0"/>
              <w:rPr>
                <w:sz w:val="24"/>
                <w:szCs w:val="24"/>
                <w:color w:val="auto"/>
              </w:rPr>
            </w:pPr>
          </w:p>
        </w:tc>
        <w:tc>
          <w:tcPr>
            <w:tcW w:w="1560" w:type="dxa"/>
            <w:vAlign w:val="bottom"/>
          </w:tcPr>
          <w:p>
            <w:pPr>
              <w:jc w:val="right"/>
              <w:ind w:right="34"/>
              <w:spacing w:after="0"/>
              <w:rPr>
                <w:sz w:val="20"/>
                <w:szCs w:val="20"/>
                <w:color w:val="auto"/>
              </w:rPr>
            </w:pPr>
            <w:r>
              <w:rPr>
                <w:rFonts w:ascii="Arial" w:cs="Arial" w:eastAsia="Arial" w:hAnsi="Arial"/>
                <w:sz w:val="17"/>
                <w:szCs w:val="17"/>
                <w:color w:val="auto"/>
              </w:rPr>
              <w:t>359,853</w:t>
            </w:r>
          </w:p>
        </w:tc>
      </w:tr>
      <w:tr>
        <w:trPr>
          <w:trHeight w:val="194"/>
        </w:trPr>
        <w:tc>
          <w:tcPr>
            <w:tcW w:w="5320" w:type="dxa"/>
            <w:vAlign w:val="bottom"/>
            <w:gridSpan w:val="2"/>
          </w:tcPr>
          <w:p>
            <w:pPr>
              <w:spacing w:after="0" w:line="194" w:lineRule="exact"/>
              <w:rPr>
                <w:sz w:val="20"/>
                <w:szCs w:val="20"/>
                <w:color w:val="auto"/>
              </w:rPr>
            </w:pPr>
            <w:r>
              <w:rPr>
                <w:rFonts w:ascii="Arial" w:cs="Arial" w:eastAsia="Arial" w:hAnsi="Arial"/>
                <w:sz w:val="17"/>
                <w:szCs w:val="17"/>
                <w:color w:val="auto"/>
              </w:rPr>
              <w:t>Allowance, Note 29</w:t>
            </w:r>
          </w:p>
        </w:tc>
        <w:tc>
          <w:tcPr>
            <w:tcW w:w="8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43,846</w:t>
            </w:r>
          </w:p>
        </w:tc>
        <w:tc>
          <w:tcPr>
            <w:tcW w:w="1680" w:type="dxa"/>
            <w:vAlign w:val="bottom"/>
            <w:gridSpan w:val="2"/>
          </w:tcPr>
          <w:p>
            <w:pPr>
              <w:jc w:val="right"/>
              <w:ind w:right="34"/>
              <w:spacing w:after="0" w:line="194" w:lineRule="exact"/>
              <w:rPr>
                <w:sz w:val="20"/>
                <w:szCs w:val="20"/>
                <w:color w:val="auto"/>
              </w:rPr>
            </w:pPr>
            <w:r>
              <w:rPr>
                <w:rFonts w:ascii="Arial" w:cs="Arial" w:eastAsia="Arial" w:hAnsi="Arial"/>
                <w:sz w:val="17"/>
                <w:szCs w:val="17"/>
                <w:color w:val="auto"/>
              </w:rPr>
              <w:t>70,824</w:t>
            </w:r>
          </w:p>
        </w:tc>
        <w:tc>
          <w:tcPr>
            <w:tcW w:w="120" w:type="dxa"/>
            <w:vAlign w:val="bottom"/>
          </w:tcPr>
          <w:p>
            <w:pPr>
              <w:spacing w:after="0"/>
              <w:rPr>
                <w:sz w:val="16"/>
                <w:szCs w:val="16"/>
                <w:color w:val="auto"/>
              </w:rPr>
            </w:pPr>
          </w:p>
        </w:tc>
        <w:tc>
          <w:tcPr>
            <w:tcW w:w="15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140,897</w:t>
            </w:r>
          </w:p>
        </w:tc>
      </w:tr>
      <w:tr>
        <w:trPr>
          <w:trHeight w:val="208"/>
        </w:trPr>
        <w:tc>
          <w:tcPr>
            <w:tcW w:w="5320" w:type="dxa"/>
            <w:vAlign w:val="bottom"/>
            <w:gridSpan w:val="2"/>
          </w:tcPr>
          <w:p>
            <w:pPr>
              <w:spacing w:after="0"/>
              <w:rPr>
                <w:sz w:val="20"/>
                <w:szCs w:val="20"/>
                <w:color w:val="auto"/>
              </w:rPr>
            </w:pPr>
            <w:r>
              <w:rPr>
                <w:rFonts w:ascii="Arial" w:cs="Arial" w:eastAsia="Arial" w:hAnsi="Arial"/>
                <w:sz w:val="17"/>
                <w:szCs w:val="17"/>
                <w:color w:val="auto"/>
              </w:rPr>
              <w:t>(Decrease) increase, net</w:t>
            </w: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(33,709)</w:t>
            </w:r>
          </w:p>
        </w:tc>
        <w:tc>
          <w:tcPr>
            <w:tcW w:w="1680" w:type="dxa"/>
            <w:vAlign w:val="bottom"/>
            <w:gridSpan w:val="2"/>
          </w:tcPr>
          <w:p>
            <w:pPr>
              <w:jc w:val="right"/>
              <w:ind w:right="34"/>
              <w:spacing w:after="0"/>
              <w:rPr>
                <w:sz w:val="20"/>
                <w:szCs w:val="20"/>
                <w:color w:val="auto"/>
              </w:rPr>
            </w:pPr>
            <w:r>
              <w:rPr>
                <w:rFonts w:ascii="Arial" w:cs="Arial" w:eastAsia="Arial" w:hAnsi="Arial"/>
                <w:sz w:val="17"/>
                <w:szCs w:val="17"/>
                <w:color w:val="auto"/>
              </w:rPr>
              <w:t>28,806</w:t>
            </w:r>
          </w:p>
        </w:tc>
        <w:tc>
          <w:tcPr>
            <w:tcW w:w="120" w:type="dxa"/>
            <w:vAlign w:val="bottom"/>
          </w:tcPr>
          <w:p>
            <w:pPr>
              <w:spacing w:after="0"/>
              <w:rPr>
                <w:sz w:val="18"/>
                <w:szCs w:val="18"/>
                <w:color w:val="auto"/>
              </w:rPr>
            </w:pPr>
          </w:p>
        </w:tc>
        <w:tc>
          <w:tcPr>
            <w:tcW w:w="1560" w:type="dxa"/>
            <w:vAlign w:val="bottom"/>
          </w:tcPr>
          <w:p>
            <w:pPr>
              <w:jc w:val="right"/>
              <w:ind w:right="34"/>
              <w:spacing w:after="0"/>
              <w:rPr>
                <w:sz w:val="20"/>
                <w:szCs w:val="20"/>
                <w:color w:val="auto"/>
              </w:rPr>
            </w:pPr>
            <w:r>
              <w:rPr>
                <w:rFonts w:ascii="Arial" w:cs="Arial" w:eastAsia="Arial" w:hAnsi="Arial"/>
                <w:sz w:val="17"/>
                <w:szCs w:val="17"/>
                <w:color w:val="auto"/>
              </w:rPr>
              <w:t>13,632</w:t>
            </w:r>
          </w:p>
        </w:tc>
      </w:tr>
      <w:tr>
        <w:trPr>
          <w:trHeight w:val="193"/>
        </w:trPr>
        <w:tc>
          <w:tcPr>
            <w:tcW w:w="4640" w:type="dxa"/>
            <w:vAlign w:val="bottom"/>
          </w:tcPr>
          <w:p>
            <w:pPr>
              <w:spacing w:after="0" w:line="187" w:lineRule="exact"/>
              <w:rPr>
                <w:sz w:val="20"/>
                <w:szCs w:val="20"/>
                <w:color w:val="auto"/>
              </w:rPr>
            </w:pPr>
            <w:r>
              <w:rPr>
                <w:rFonts w:ascii="Arial" w:cs="Arial" w:eastAsia="Arial" w:hAnsi="Arial"/>
                <w:sz w:val="17"/>
                <w:szCs w:val="17"/>
                <w:b w:val="1"/>
                <w:bCs w:val="1"/>
                <w:color w:val="auto"/>
              </w:rPr>
              <w:t>Balances at the end of the year</w:t>
            </w:r>
          </w:p>
        </w:tc>
        <w:tc>
          <w:tcPr>
            <w:tcW w:w="6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624,149</w:t>
            </w:r>
          </w:p>
        </w:tc>
        <w:tc>
          <w:tcPr>
            <w:tcW w:w="100" w:type="dxa"/>
            <w:vAlign w:val="bottom"/>
          </w:tcPr>
          <w:p>
            <w:pPr>
              <w:spacing w:after="0"/>
              <w:rPr>
                <w:sz w:val="16"/>
                <w:szCs w:val="16"/>
                <w:color w:val="auto"/>
              </w:rPr>
            </w:pPr>
          </w:p>
        </w:tc>
        <w:tc>
          <w:tcPr>
            <w:tcW w:w="1580" w:type="dxa"/>
            <w:vAlign w:val="bottom"/>
            <w:tcBorders>
              <w:top w:val="single" w:sz="8" w:color="auto"/>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614,012</w:t>
            </w:r>
          </w:p>
        </w:tc>
        <w:tc>
          <w:tcPr>
            <w:tcW w:w="120" w:type="dxa"/>
            <w:vAlign w:val="bottom"/>
          </w:tcPr>
          <w:p>
            <w:pPr>
              <w:spacing w:after="0"/>
              <w:rPr>
                <w:sz w:val="16"/>
                <w:szCs w:val="16"/>
                <w:color w:val="auto"/>
              </w:rPr>
            </w:pPr>
          </w:p>
        </w:tc>
        <w:tc>
          <w:tcPr>
            <w:tcW w:w="1560" w:type="dxa"/>
            <w:vAlign w:val="bottom"/>
            <w:tcBorders>
              <w:top w:val="single" w:sz="8" w:color="auto"/>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514,382</w:t>
            </w:r>
          </w:p>
        </w:tc>
      </w:tr>
    </w:tbl>
    <w:p>
      <w:pPr>
        <w:spacing w:after="0" w:line="193" w:lineRule="exact"/>
        <w:rPr>
          <w:sz w:val="20"/>
          <w:szCs w:val="20"/>
          <w:color w:val="auto"/>
        </w:rPr>
      </w:pPr>
    </w:p>
    <w:p>
      <w:pPr>
        <w:ind w:left="315"/>
        <w:spacing w:after="0" w:line="242" w:lineRule="auto"/>
        <w:rPr>
          <w:sz w:val="20"/>
          <w:szCs w:val="20"/>
          <w:color w:val="auto"/>
        </w:rPr>
      </w:pPr>
      <w:r>
        <w:rPr>
          <w:rFonts w:ascii="Arial" w:cs="Arial" w:eastAsia="Arial" w:hAnsi="Arial"/>
          <w:sz w:val="17"/>
          <w:szCs w:val="17"/>
          <w:color w:val="auto"/>
        </w:rPr>
        <w:t>Because of the nature of its business, the Group has various pending lawsuits, which allowances are recorded when, in Management's and its in-house legal advisors opinion, it is likely that these may result in an additional liability and such amount can be reliably estimated. Regarding lawsuits against the Group which have not been recorded as an allowance, in Management’s and its in-house legal advisors opinion, they will not result in an additional liability other than those recorded previously and they will not have a material effect on the Group’s consolidated financial statements.</w:t>
      </w:r>
    </w:p>
    <w:p>
      <w:pPr>
        <w:spacing w:after="0" w:line="154" w:lineRule="exact"/>
        <w:rPr>
          <w:sz w:val="20"/>
          <w:szCs w:val="20"/>
          <w:color w:val="auto"/>
        </w:rPr>
      </w:pPr>
    </w:p>
    <w:p>
      <w:pPr>
        <w:ind w:left="4795"/>
        <w:spacing w:after="0"/>
        <w:rPr>
          <w:sz w:val="20"/>
          <w:szCs w:val="20"/>
          <w:color w:val="auto"/>
        </w:rPr>
      </w:pPr>
      <w:r>
        <w:rPr>
          <w:rFonts w:ascii="Arial" w:cs="Arial" w:eastAsia="Arial" w:hAnsi="Arial"/>
          <w:sz w:val="17"/>
          <w:szCs w:val="17"/>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95"/>
          </w:cols>
          <w:pgMar w:left="945" w:top="140" w:right="359" w:bottom="1440" w:gutter="0" w:footer="0" w:header="0"/>
        </w:sectPr>
      </w:pPr>
    </w:p>
    <w:bookmarkStart w:id="98" w:name="page99"/>
    <w:bookmarkEnd w:id="98"/>
    <w:p>
      <w:pPr>
        <w:ind w:left="620" w:hanging="616"/>
        <w:spacing w:after="0"/>
        <w:tabs>
          <w:tab w:leader="none" w:pos="62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DEPOSITS AND OBLIGATIONS</w:t>
      </w:r>
    </w:p>
    <w:p>
      <w:pPr>
        <w:spacing w:after="0" w:line="214" w:lineRule="exact"/>
        <w:rPr>
          <w:rFonts w:ascii="Arial" w:cs="Arial" w:eastAsia="Arial" w:hAnsi="Arial"/>
          <w:sz w:val="17"/>
          <w:szCs w:val="17"/>
          <w:b w:val="1"/>
          <w:bCs w:val="1"/>
          <w:color w:val="auto"/>
        </w:rPr>
      </w:pPr>
    </w:p>
    <w:p>
      <w:pPr>
        <w:ind w:left="940" w:hanging="315"/>
        <w:spacing w:after="0"/>
        <w:tabs>
          <w:tab w:leader="none" w:pos="94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This item consists of the following:</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2021</w:t>
            </w:r>
          </w:p>
        </w:tc>
      </w:tr>
      <w:tr>
        <w:trPr>
          <w:trHeight w:val="223"/>
        </w:trPr>
        <w:tc>
          <w:tcPr>
            <w:tcW w:w="7240" w:type="dxa"/>
            <w:vAlign w:val="bottom"/>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r>
      <w:tr>
        <w:trPr>
          <w:trHeight w:val="352"/>
        </w:trPr>
        <w:tc>
          <w:tcPr>
            <w:tcW w:w="7240" w:type="dxa"/>
            <w:vAlign w:val="bottom"/>
          </w:tcPr>
          <w:p>
            <w:pPr>
              <w:spacing w:after="0"/>
              <w:rPr>
                <w:sz w:val="20"/>
                <w:szCs w:val="20"/>
                <w:color w:val="auto"/>
              </w:rPr>
            </w:pPr>
            <w:r>
              <w:rPr>
                <w:rFonts w:ascii="Arial" w:cs="Arial" w:eastAsia="Arial" w:hAnsi="Arial"/>
                <w:sz w:val="17"/>
                <w:szCs w:val="17"/>
                <w:color w:val="auto"/>
              </w:rPr>
              <w:t>Saving deposits</w:t>
            </w:r>
          </w:p>
        </w:tc>
        <w:tc>
          <w:tcPr>
            <w:tcW w:w="1300" w:type="dxa"/>
            <w:vAlign w:val="bottom"/>
          </w:tcPr>
          <w:p>
            <w:pPr>
              <w:jc w:val="right"/>
              <w:spacing w:after="0"/>
              <w:rPr>
                <w:sz w:val="20"/>
                <w:szCs w:val="20"/>
                <w:color w:val="auto"/>
              </w:rPr>
            </w:pPr>
            <w:r>
              <w:rPr>
                <w:rFonts w:ascii="Arial" w:cs="Arial" w:eastAsia="Arial" w:hAnsi="Arial"/>
                <w:sz w:val="17"/>
                <w:szCs w:val="17"/>
                <w:color w:val="auto"/>
              </w:rPr>
              <w:t>54,769,045</w:t>
            </w:r>
          </w:p>
        </w:tc>
        <w:tc>
          <w:tcPr>
            <w:tcW w:w="24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56,945,262</w:t>
            </w:r>
          </w:p>
        </w:tc>
      </w:tr>
      <w:tr>
        <w:trPr>
          <w:trHeight w:val="194"/>
        </w:trPr>
        <w:tc>
          <w:tcPr>
            <w:tcW w:w="7240" w:type="dxa"/>
            <w:vAlign w:val="bottom"/>
          </w:tcPr>
          <w:p>
            <w:pPr>
              <w:spacing w:after="0" w:line="194" w:lineRule="exact"/>
              <w:rPr>
                <w:sz w:val="20"/>
                <w:szCs w:val="20"/>
                <w:color w:val="auto"/>
              </w:rPr>
            </w:pPr>
            <w:r>
              <w:rPr>
                <w:rFonts w:ascii="Arial" w:cs="Arial" w:eastAsia="Arial" w:hAnsi="Arial"/>
                <w:sz w:val="17"/>
                <w:szCs w:val="17"/>
                <w:color w:val="auto"/>
              </w:rPr>
              <w:t>Demand deposits</w:t>
            </w: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48,467,248</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58,629,661</w:t>
            </w:r>
          </w:p>
        </w:tc>
      </w:tr>
      <w:tr>
        <w:trPr>
          <w:trHeight w:val="194"/>
        </w:trPr>
        <w:tc>
          <w:tcPr>
            <w:tcW w:w="7240" w:type="dxa"/>
            <w:vAlign w:val="bottom"/>
          </w:tcPr>
          <w:p>
            <w:pPr>
              <w:spacing w:after="0" w:line="194" w:lineRule="exact"/>
              <w:rPr>
                <w:sz w:val="20"/>
                <w:szCs w:val="20"/>
                <w:color w:val="auto"/>
              </w:rPr>
            </w:pPr>
            <w:r>
              <w:rPr>
                <w:rFonts w:ascii="Arial" w:cs="Arial" w:eastAsia="Arial" w:hAnsi="Arial"/>
                <w:sz w:val="17"/>
                <w:szCs w:val="17"/>
                <w:color w:val="auto"/>
              </w:rPr>
              <w:t>Time deposits (c)</w:t>
            </w: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37,478,269</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27,923,803</w:t>
            </w:r>
          </w:p>
        </w:tc>
      </w:tr>
      <w:tr>
        <w:trPr>
          <w:trHeight w:val="194"/>
        </w:trPr>
        <w:tc>
          <w:tcPr>
            <w:tcW w:w="7240" w:type="dxa"/>
            <w:vAlign w:val="bottom"/>
          </w:tcPr>
          <w:p>
            <w:pPr>
              <w:spacing w:after="0" w:line="194" w:lineRule="exact"/>
              <w:rPr>
                <w:sz w:val="20"/>
                <w:szCs w:val="20"/>
                <w:color w:val="auto"/>
              </w:rPr>
            </w:pPr>
            <w:r>
              <w:rPr>
                <w:rFonts w:ascii="Arial" w:cs="Arial" w:eastAsia="Arial" w:hAnsi="Arial"/>
                <w:sz w:val="17"/>
                <w:szCs w:val="17"/>
                <w:color w:val="auto"/>
              </w:rPr>
              <w:t>Severance indemnity deposits</w:t>
            </w: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3,824,629</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4,017,065</w:t>
            </w:r>
          </w:p>
        </w:tc>
      </w:tr>
      <w:tr>
        <w:trPr>
          <w:trHeight w:val="195"/>
        </w:trPr>
        <w:tc>
          <w:tcPr>
            <w:tcW w:w="7240" w:type="dxa"/>
            <w:vAlign w:val="bottom"/>
          </w:tcPr>
          <w:p>
            <w:pPr>
              <w:spacing w:after="0"/>
              <w:rPr>
                <w:sz w:val="20"/>
                <w:szCs w:val="20"/>
                <w:color w:val="auto"/>
              </w:rPr>
            </w:pPr>
            <w:r>
              <w:rPr>
                <w:rFonts w:ascii="Arial" w:cs="Arial" w:eastAsia="Arial" w:hAnsi="Arial"/>
                <w:sz w:val="17"/>
                <w:szCs w:val="17"/>
                <w:color w:val="auto"/>
              </w:rPr>
              <w:t>Bank’s negotiable certificates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1,418,740</w:t>
            </w:r>
          </w:p>
        </w:tc>
        <w:tc>
          <w:tcPr>
            <w:tcW w:w="24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1,327,690</w:t>
            </w:r>
          </w:p>
        </w:tc>
      </w:tr>
      <w:tr>
        <w:trPr>
          <w:trHeight w:val="186"/>
        </w:trPr>
        <w:tc>
          <w:tcPr>
            <w:tcW w:w="7240" w:type="dxa"/>
            <w:vAlign w:val="bottom"/>
          </w:tcPr>
          <w:p>
            <w:pPr>
              <w:spacing w:after="0" w:line="186" w:lineRule="exact"/>
              <w:rPr>
                <w:sz w:val="20"/>
                <w:szCs w:val="20"/>
                <w:color w:val="auto"/>
              </w:rPr>
            </w:pPr>
            <w:r>
              <w:rPr>
                <w:rFonts w:ascii="Arial" w:cs="Arial" w:eastAsia="Arial" w:hAnsi="Arial"/>
                <w:sz w:val="17"/>
                <w:szCs w:val="17"/>
                <w:b w:val="1"/>
                <w:bCs w:val="1"/>
                <w:color w:val="auto"/>
              </w:rPr>
              <w:t>Total</w:t>
            </w:r>
          </w:p>
        </w:tc>
        <w:tc>
          <w:tcPr>
            <w:tcW w:w="1300" w:type="dxa"/>
            <w:vAlign w:val="bottom"/>
          </w:tcPr>
          <w:p>
            <w:pPr>
              <w:jc w:val="right"/>
              <w:spacing w:after="0" w:line="186" w:lineRule="exact"/>
              <w:rPr>
                <w:sz w:val="20"/>
                <w:szCs w:val="20"/>
                <w:color w:val="auto"/>
              </w:rPr>
            </w:pPr>
            <w:r>
              <w:rPr>
                <w:rFonts w:ascii="Arial" w:cs="Arial" w:eastAsia="Arial" w:hAnsi="Arial"/>
                <w:sz w:val="17"/>
                <w:szCs w:val="17"/>
                <w:color w:val="auto"/>
              </w:rPr>
              <w:t>145,957,931</w:t>
            </w:r>
          </w:p>
        </w:tc>
        <w:tc>
          <w:tcPr>
            <w:tcW w:w="240" w:type="dxa"/>
            <w:vAlign w:val="bottom"/>
          </w:tcPr>
          <w:p>
            <w:pPr>
              <w:spacing w:after="0"/>
              <w:rPr>
                <w:sz w:val="16"/>
                <w:szCs w:val="16"/>
                <w:color w:val="auto"/>
              </w:rPr>
            </w:pPr>
          </w:p>
        </w:tc>
        <w:tc>
          <w:tcPr>
            <w:tcW w:w="1340" w:type="dxa"/>
            <w:vAlign w:val="bottom"/>
          </w:tcPr>
          <w:p>
            <w:pPr>
              <w:jc w:val="right"/>
              <w:ind w:right="14"/>
              <w:spacing w:after="0" w:line="186" w:lineRule="exact"/>
              <w:rPr>
                <w:sz w:val="20"/>
                <w:szCs w:val="20"/>
                <w:color w:val="auto"/>
              </w:rPr>
            </w:pPr>
            <w:r>
              <w:rPr>
                <w:rFonts w:ascii="Arial" w:cs="Arial" w:eastAsia="Arial" w:hAnsi="Arial"/>
                <w:sz w:val="17"/>
                <w:szCs w:val="17"/>
                <w:color w:val="auto"/>
              </w:rPr>
              <w:t>148,843,481</w:t>
            </w:r>
          </w:p>
        </w:tc>
      </w:tr>
      <w:tr>
        <w:trPr>
          <w:trHeight w:val="195"/>
        </w:trPr>
        <w:tc>
          <w:tcPr>
            <w:tcW w:w="7240" w:type="dxa"/>
            <w:vAlign w:val="bottom"/>
          </w:tcPr>
          <w:p>
            <w:pPr>
              <w:spacing w:after="0"/>
              <w:rPr>
                <w:sz w:val="20"/>
                <w:szCs w:val="20"/>
                <w:color w:val="auto"/>
              </w:rPr>
            </w:pPr>
            <w:r>
              <w:rPr>
                <w:rFonts w:ascii="Arial" w:cs="Arial" w:eastAsia="Arial" w:hAnsi="Arial"/>
                <w:sz w:val="17"/>
                <w:szCs w:val="17"/>
                <w:color w:val="auto"/>
              </w:rPr>
              <w:t>Interest payable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1,062,856</w:t>
            </w:r>
          </w:p>
        </w:tc>
        <w:tc>
          <w:tcPr>
            <w:tcW w:w="24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753,064</w:t>
            </w:r>
          </w:p>
        </w:tc>
      </w:tr>
      <w:tr>
        <w:trPr>
          <w:trHeight w:val="193"/>
        </w:trPr>
        <w:tc>
          <w:tcPr>
            <w:tcW w:w="724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3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147,020,787</w:t>
            </w:r>
          </w:p>
        </w:tc>
        <w:tc>
          <w:tcPr>
            <w:tcW w:w="24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149,596,545</w:t>
            </w:r>
          </w:p>
        </w:tc>
      </w:tr>
    </w:tbl>
    <w:p>
      <w:pPr>
        <w:spacing w:after="0" w:line="193" w:lineRule="exact"/>
        <w:rPr>
          <w:sz w:val="20"/>
          <w:szCs w:val="20"/>
          <w:color w:val="auto"/>
        </w:rPr>
      </w:pPr>
    </w:p>
    <w:p>
      <w:pPr>
        <w:jc w:val="both"/>
        <w:ind w:left="940" w:right="60"/>
        <w:spacing w:after="0" w:line="246" w:lineRule="auto"/>
        <w:rPr>
          <w:sz w:val="20"/>
          <w:szCs w:val="20"/>
          <w:color w:val="auto"/>
        </w:rPr>
      </w:pPr>
      <w:r>
        <w:rPr>
          <w:rFonts w:ascii="Arial" w:cs="Arial" w:eastAsia="Arial" w:hAnsi="Arial"/>
          <w:sz w:val="17"/>
          <w:szCs w:val="17"/>
          <w:color w:val="auto"/>
        </w:rPr>
        <w:t>The Group has established a policy to remunerate demand deposits and savings accounts according to a growing interest rate scale, based on the average balance maintained in those accounts. On the other hand, according to its policy, balances that are lower than a specified amount for each type of account do not bear interest. Also, time deposits earn interest at market rates.</w:t>
      </w:r>
    </w:p>
    <w:p>
      <w:pPr>
        <w:spacing w:after="0" w:line="176" w:lineRule="exact"/>
        <w:rPr>
          <w:sz w:val="20"/>
          <w:szCs w:val="20"/>
          <w:color w:val="auto"/>
        </w:rPr>
      </w:pPr>
    </w:p>
    <w:p>
      <w:pPr>
        <w:ind w:left="940" w:right="720"/>
        <w:spacing w:after="0" w:line="254" w:lineRule="auto"/>
        <w:rPr>
          <w:sz w:val="20"/>
          <w:szCs w:val="20"/>
          <w:color w:val="auto"/>
        </w:rPr>
      </w:pPr>
      <w:r>
        <w:rPr>
          <w:rFonts w:ascii="Arial" w:cs="Arial" w:eastAsia="Arial" w:hAnsi="Arial"/>
          <w:sz w:val="17"/>
          <w:szCs w:val="17"/>
          <w:color w:val="auto"/>
        </w:rPr>
        <w:t>Interest rates are determined by the Group considering the interest rates prevailing in the market in which each of the Group’s subsidiaries operates.</w:t>
      </w:r>
    </w:p>
    <w:p>
      <w:pPr>
        <w:spacing w:after="0" w:line="169" w:lineRule="exact"/>
        <w:rPr>
          <w:sz w:val="20"/>
          <w:szCs w:val="20"/>
          <w:color w:val="auto"/>
        </w:rPr>
      </w:pPr>
    </w:p>
    <w:p>
      <w:pPr>
        <w:ind w:left="620"/>
        <w:spacing w:after="0"/>
        <w:tabs>
          <w:tab w:leader="none" w:pos="920" w:val="left"/>
        </w:tabs>
        <w:rPr>
          <w:sz w:val="20"/>
          <w:szCs w:val="20"/>
          <w:color w:val="auto"/>
        </w:rPr>
      </w:pPr>
      <w:r>
        <w:rPr>
          <w:rFonts w:ascii="Arial" w:cs="Arial" w:eastAsia="Arial" w:hAnsi="Arial"/>
          <w:sz w:val="17"/>
          <w:szCs w:val="17"/>
          <w:color w:val="auto"/>
        </w:rPr>
        <w:t>b)</w:t>
        <w:tab/>
        <w:t>The amounts of non-interest-bearing and interest-bearing deposits and obligations are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Pr>
          <w:p>
            <w:pPr>
              <w:spacing w:after="0"/>
              <w:rPr>
                <w:sz w:val="18"/>
                <w:szCs w:val="18"/>
                <w:color w:val="auto"/>
              </w:rPr>
            </w:pPr>
          </w:p>
        </w:tc>
        <w:tc>
          <w:tcPr>
            <w:tcW w:w="5360" w:type="dxa"/>
            <w:vAlign w:val="bottom"/>
            <w:gridSpan w:val="2"/>
          </w:tcPr>
          <w:p>
            <w:pPr>
              <w:ind w:left="414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8"/>
                <w:szCs w:val="18"/>
                <w:color w:val="auto"/>
              </w:rPr>
            </w:pPr>
          </w:p>
        </w:tc>
      </w:tr>
      <w:tr>
        <w:trPr>
          <w:trHeight w:val="223"/>
        </w:trPr>
        <w:tc>
          <w:tcPr>
            <w:tcW w:w="41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0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34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4120" w:type="dxa"/>
            <w:vAlign w:val="bottom"/>
          </w:tcPr>
          <w:p>
            <w:pPr>
              <w:ind w:left="1020"/>
              <w:spacing w:after="0"/>
              <w:rPr>
                <w:sz w:val="20"/>
                <w:szCs w:val="20"/>
                <w:color w:val="auto"/>
              </w:rPr>
            </w:pPr>
            <w:r>
              <w:rPr>
                <w:rFonts w:ascii="Arial" w:cs="Arial" w:eastAsia="Arial" w:hAnsi="Arial"/>
                <w:sz w:val="17"/>
                <w:szCs w:val="17"/>
                <w:b w:val="1"/>
                <w:bCs w:val="1"/>
                <w:color w:val="auto"/>
              </w:rPr>
              <w:t>Non-interest-bearing -</w:t>
            </w:r>
          </w:p>
        </w:tc>
        <w:tc>
          <w:tcPr>
            <w:tcW w:w="4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4120" w:type="dxa"/>
            <w:vAlign w:val="bottom"/>
          </w:tcPr>
          <w:p>
            <w:pPr>
              <w:ind w:left="1020"/>
              <w:spacing w:after="0" w:line="194" w:lineRule="exact"/>
              <w:rPr>
                <w:sz w:val="20"/>
                <w:szCs w:val="20"/>
                <w:color w:val="auto"/>
              </w:rPr>
            </w:pPr>
            <w:r>
              <w:rPr>
                <w:rFonts w:ascii="Arial" w:cs="Arial" w:eastAsia="Arial" w:hAnsi="Arial"/>
                <w:sz w:val="17"/>
                <w:szCs w:val="17"/>
                <w:color w:val="auto"/>
              </w:rPr>
              <w:t>In Peru</w:t>
            </w:r>
          </w:p>
        </w:tc>
        <w:tc>
          <w:tcPr>
            <w:tcW w:w="53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39,370,497</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45,909,164</w:t>
            </w:r>
          </w:p>
        </w:tc>
        <w:tc>
          <w:tcPr>
            <w:tcW w:w="180" w:type="dxa"/>
            <w:vAlign w:val="bottom"/>
          </w:tcPr>
          <w:p>
            <w:pPr>
              <w:spacing w:after="0"/>
              <w:rPr>
                <w:sz w:val="16"/>
                <w:szCs w:val="16"/>
                <w:color w:val="auto"/>
              </w:rPr>
            </w:pPr>
          </w:p>
        </w:tc>
      </w:tr>
      <w:tr>
        <w:trPr>
          <w:trHeight w:val="195"/>
        </w:trPr>
        <w:tc>
          <w:tcPr>
            <w:tcW w:w="4120" w:type="dxa"/>
            <w:vAlign w:val="bottom"/>
          </w:tcPr>
          <w:p>
            <w:pPr>
              <w:ind w:left="1020"/>
              <w:spacing w:after="0"/>
              <w:rPr>
                <w:sz w:val="20"/>
                <w:szCs w:val="20"/>
                <w:color w:val="auto"/>
              </w:rPr>
            </w:pPr>
            <w:r>
              <w:rPr>
                <w:rFonts w:ascii="Arial" w:cs="Arial" w:eastAsia="Arial" w:hAnsi="Arial"/>
                <w:sz w:val="17"/>
                <w:szCs w:val="17"/>
                <w:color w:val="auto"/>
              </w:rPr>
              <w:t>In other countries</w:t>
            </w:r>
          </w:p>
        </w:tc>
        <w:tc>
          <w:tcPr>
            <w:tcW w:w="5360" w:type="dxa"/>
            <w:vAlign w:val="bottom"/>
            <w:gridSpan w:val="2"/>
          </w:tcPr>
          <w:p>
            <w:pPr>
              <w:jc w:val="right"/>
              <w:spacing w:after="0"/>
              <w:rPr>
                <w:sz w:val="20"/>
                <w:szCs w:val="20"/>
                <w:color w:val="auto"/>
              </w:rPr>
            </w:pPr>
            <w:r>
              <w:rPr>
                <w:rFonts w:ascii="Arial" w:cs="Arial" w:eastAsia="Arial" w:hAnsi="Arial"/>
                <w:sz w:val="17"/>
                <w:szCs w:val="17"/>
                <w:color w:val="auto"/>
              </w:rPr>
              <w:t>3,975,654</w:t>
            </w:r>
          </w:p>
        </w:tc>
        <w:tc>
          <w:tcPr>
            <w:tcW w:w="24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5,942,042</w:t>
            </w:r>
          </w:p>
        </w:tc>
        <w:tc>
          <w:tcPr>
            <w:tcW w:w="180" w:type="dxa"/>
            <w:vAlign w:val="bottom"/>
          </w:tcPr>
          <w:p>
            <w:pPr>
              <w:spacing w:after="0"/>
              <w:rPr>
                <w:sz w:val="16"/>
                <w:szCs w:val="16"/>
                <w:color w:val="auto"/>
              </w:rPr>
            </w:pPr>
          </w:p>
        </w:tc>
      </w:tr>
      <w:tr>
        <w:trPr>
          <w:trHeight w:val="187"/>
        </w:trPr>
        <w:tc>
          <w:tcPr>
            <w:tcW w:w="4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43,346,151</w:t>
            </w:r>
          </w:p>
        </w:tc>
        <w:tc>
          <w:tcPr>
            <w:tcW w:w="24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51,851,206</w:t>
            </w:r>
          </w:p>
        </w:tc>
        <w:tc>
          <w:tcPr>
            <w:tcW w:w="180" w:type="dxa"/>
            <w:vAlign w:val="bottom"/>
          </w:tcPr>
          <w:p>
            <w:pPr>
              <w:spacing w:after="0"/>
              <w:rPr>
                <w:sz w:val="16"/>
                <w:szCs w:val="16"/>
                <w:color w:val="auto"/>
              </w:rPr>
            </w:pPr>
          </w:p>
        </w:tc>
      </w:tr>
      <w:tr>
        <w:trPr>
          <w:trHeight w:val="381"/>
        </w:trPr>
        <w:tc>
          <w:tcPr>
            <w:tcW w:w="4120" w:type="dxa"/>
            <w:vAlign w:val="bottom"/>
          </w:tcPr>
          <w:p>
            <w:pPr>
              <w:ind w:left="1020"/>
              <w:spacing w:after="0"/>
              <w:rPr>
                <w:sz w:val="20"/>
                <w:szCs w:val="20"/>
                <w:color w:val="auto"/>
              </w:rPr>
            </w:pPr>
            <w:r>
              <w:rPr>
                <w:rFonts w:ascii="Arial" w:cs="Arial" w:eastAsia="Arial" w:hAnsi="Arial"/>
                <w:sz w:val="17"/>
                <w:szCs w:val="17"/>
                <w:b w:val="1"/>
                <w:bCs w:val="1"/>
                <w:color w:val="auto"/>
              </w:rPr>
              <w:t>Interest-bearing -</w:t>
            </w:r>
          </w:p>
        </w:tc>
        <w:tc>
          <w:tcPr>
            <w:tcW w:w="4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4120" w:type="dxa"/>
            <w:vAlign w:val="bottom"/>
          </w:tcPr>
          <w:p>
            <w:pPr>
              <w:ind w:left="1020"/>
              <w:spacing w:after="0" w:line="194" w:lineRule="exact"/>
              <w:rPr>
                <w:sz w:val="20"/>
                <w:szCs w:val="20"/>
                <w:color w:val="auto"/>
              </w:rPr>
            </w:pPr>
            <w:r>
              <w:rPr>
                <w:rFonts w:ascii="Arial" w:cs="Arial" w:eastAsia="Arial" w:hAnsi="Arial"/>
                <w:sz w:val="17"/>
                <w:szCs w:val="17"/>
                <w:color w:val="auto"/>
              </w:rPr>
              <w:t>In Peru</w:t>
            </w:r>
          </w:p>
        </w:tc>
        <w:tc>
          <w:tcPr>
            <w:tcW w:w="53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92,276,991</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86,987,254</w:t>
            </w:r>
          </w:p>
        </w:tc>
        <w:tc>
          <w:tcPr>
            <w:tcW w:w="180" w:type="dxa"/>
            <w:vAlign w:val="bottom"/>
          </w:tcPr>
          <w:p>
            <w:pPr>
              <w:spacing w:after="0"/>
              <w:rPr>
                <w:sz w:val="16"/>
                <w:szCs w:val="16"/>
                <w:color w:val="auto"/>
              </w:rPr>
            </w:pPr>
          </w:p>
        </w:tc>
      </w:tr>
      <w:tr>
        <w:trPr>
          <w:trHeight w:val="195"/>
        </w:trPr>
        <w:tc>
          <w:tcPr>
            <w:tcW w:w="4120" w:type="dxa"/>
            <w:vAlign w:val="bottom"/>
          </w:tcPr>
          <w:p>
            <w:pPr>
              <w:ind w:left="1020"/>
              <w:spacing w:after="0"/>
              <w:rPr>
                <w:sz w:val="20"/>
                <w:szCs w:val="20"/>
                <w:color w:val="auto"/>
              </w:rPr>
            </w:pPr>
            <w:r>
              <w:rPr>
                <w:rFonts w:ascii="Arial" w:cs="Arial" w:eastAsia="Arial" w:hAnsi="Arial"/>
                <w:sz w:val="17"/>
                <w:szCs w:val="17"/>
                <w:color w:val="auto"/>
              </w:rPr>
              <w:t>In other countries</w:t>
            </w:r>
          </w:p>
        </w:tc>
        <w:tc>
          <w:tcPr>
            <w:tcW w:w="5360" w:type="dxa"/>
            <w:vAlign w:val="bottom"/>
            <w:gridSpan w:val="2"/>
          </w:tcPr>
          <w:p>
            <w:pPr>
              <w:jc w:val="right"/>
              <w:spacing w:after="0"/>
              <w:rPr>
                <w:sz w:val="20"/>
                <w:szCs w:val="20"/>
                <w:color w:val="auto"/>
              </w:rPr>
            </w:pPr>
            <w:r>
              <w:rPr>
                <w:rFonts w:ascii="Arial" w:cs="Arial" w:eastAsia="Arial" w:hAnsi="Arial"/>
                <w:sz w:val="17"/>
                <w:szCs w:val="17"/>
                <w:color w:val="auto"/>
              </w:rPr>
              <w:t>10,334,789</w:t>
            </w:r>
          </w:p>
        </w:tc>
        <w:tc>
          <w:tcPr>
            <w:tcW w:w="24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10,005,021</w:t>
            </w:r>
          </w:p>
        </w:tc>
        <w:tc>
          <w:tcPr>
            <w:tcW w:w="180" w:type="dxa"/>
            <w:vAlign w:val="bottom"/>
          </w:tcPr>
          <w:p>
            <w:pPr>
              <w:spacing w:after="0"/>
              <w:rPr>
                <w:sz w:val="16"/>
                <w:szCs w:val="16"/>
                <w:color w:val="auto"/>
              </w:rPr>
            </w:pPr>
          </w:p>
        </w:tc>
      </w:tr>
      <w:tr>
        <w:trPr>
          <w:trHeight w:val="187"/>
        </w:trPr>
        <w:tc>
          <w:tcPr>
            <w:tcW w:w="4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102,611,780</w:t>
            </w:r>
          </w:p>
        </w:tc>
        <w:tc>
          <w:tcPr>
            <w:tcW w:w="24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96,992,275</w:t>
            </w:r>
          </w:p>
        </w:tc>
        <w:tc>
          <w:tcPr>
            <w:tcW w:w="180" w:type="dxa"/>
            <w:vAlign w:val="bottom"/>
          </w:tcPr>
          <w:p>
            <w:pPr>
              <w:spacing w:after="0"/>
              <w:rPr>
                <w:sz w:val="16"/>
                <w:szCs w:val="16"/>
                <w:color w:val="auto"/>
              </w:rPr>
            </w:pPr>
          </w:p>
        </w:tc>
      </w:tr>
      <w:tr>
        <w:trPr>
          <w:trHeight w:val="387"/>
        </w:trPr>
        <w:tc>
          <w:tcPr>
            <w:tcW w:w="4120" w:type="dxa"/>
            <w:vAlign w:val="bottom"/>
          </w:tcPr>
          <w:p>
            <w:pPr>
              <w:ind w:left="1020"/>
              <w:spacing w:after="0"/>
              <w:rPr>
                <w:sz w:val="20"/>
                <w:szCs w:val="20"/>
                <w:color w:val="auto"/>
              </w:rPr>
            </w:pPr>
            <w:r>
              <w:rPr>
                <w:rFonts w:ascii="Arial" w:cs="Arial" w:eastAsia="Arial" w:hAnsi="Arial"/>
                <w:sz w:val="17"/>
                <w:szCs w:val="17"/>
                <w:b w:val="1"/>
                <w:bCs w:val="1"/>
                <w:color w:val="auto"/>
              </w:rPr>
              <w:t>Total</w:t>
            </w:r>
          </w:p>
        </w:tc>
        <w:tc>
          <w:tcPr>
            <w:tcW w:w="5360" w:type="dxa"/>
            <w:vAlign w:val="bottom"/>
            <w:gridSpan w:val="2"/>
          </w:tcPr>
          <w:p>
            <w:pPr>
              <w:jc w:val="right"/>
              <w:spacing w:after="0"/>
              <w:rPr>
                <w:sz w:val="20"/>
                <w:szCs w:val="20"/>
                <w:color w:val="auto"/>
              </w:rPr>
            </w:pPr>
            <w:r>
              <w:rPr>
                <w:rFonts w:ascii="Arial" w:cs="Arial" w:eastAsia="Arial" w:hAnsi="Arial"/>
                <w:sz w:val="17"/>
                <w:szCs w:val="17"/>
                <w:color w:val="auto"/>
              </w:rPr>
              <w:t>145,957,931</w:t>
            </w:r>
          </w:p>
        </w:tc>
        <w:tc>
          <w:tcPr>
            <w:tcW w:w="24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148,843,481</w:t>
            </w:r>
          </w:p>
        </w:tc>
        <w:tc>
          <w:tcPr>
            <w:tcW w:w="180" w:type="dxa"/>
            <w:vAlign w:val="bottom"/>
          </w:tcPr>
          <w:p>
            <w:pPr>
              <w:spacing w:after="0"/>
              <w:rPr>
                <w:sz w:val="24"/>
                <w:szCs w:val="24"/>
                <w:color w:val="auto"/>
              </w:rPr>
            </w:pPr>
          </w:p>
        </w:tc>
      </w:tr>
      <w:tr>
        <w:trPr>
          <w:trHeight w:val="570"/>
        </w:trPr>
        <w:tc>
          <w:tcPr>
            <w:tcW w:w="4120" w:type="dxa"/>
            <w:vAlign w:val="bottom"/>
          </w:tcPr>
          <w:p>
            <w:pPr>
              <w:spacing w:after="0"/>
              <w:rPr>
                <w:sz w:val="24"/>
                <w:szCs w:val="24"/>
                <w:color w:val="auto"/>
              </w:rPr>
            </w:pPr>
          </w:p>
        </w:tc>
        <w:tc>
          <w:tcPr>
            <w:tcW w:w="4060" w:type="dxa"/>
            <w:vAlign w:val="bottom"/>
          </w:tcPr>
          <w:p>
            <w:pPr>
              <w:jc w:val="right"/>
              <w:ind w:right="2274"/>
              <w:spacing w:after="0"/>
              <w:rPr>
                <w:sz w:val="20"/>
                <w:szCs w:val="20"/>
                <w:color w:val="auto"/>
              </w:rPr>
            </w:pPr>
            <w:r>
              <w:rPr>
                <w:rFonts w:ascii="Arial" w:cs="Arial" w:eastAsia="Arial" w:hAnsi="Arial"/>
                <w:sz w:val="17"/>
                <w:szCs w:val="17"/>
                <w:color w:val="auto"/>
              </w:rPr>
              <w:t>- 94 -</w:t>
            </w: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412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20"/>
                <w:szCs w:val="20"/>
                <w:color w:val="auto"/>
              </w:rPr>
            </w:pPr>
            <w:r>
              <w:rPr>
                <w:rFonts w:ascii="Arial" w:cs="Arial" w:eastAsia="Arial" w:hAnsi="Arial"/>
                <w:sz w:val="17"/>
                <w:szCs w:val="17"/>
                <w:color w:val="auto"/>
              </w:rPr>
              <w:t>c)  The balance of time deposits classified by maturity is as follows: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75"/>
        </w:trPr>
        <w:tc>
          <w:tcPr>
            <w:tcW w:w="7560" w:type="dxa"/>
            <w:vAlign w:val="bottom"/>
          </w:tcPr>
          <w:p>
            <w:pPr>
              <w:spacing w:after="0"/>
              <w:rPr>
                <w:sz w:val="24"/>
                <w:szCs w:val="24"/>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24"/>
                <w:szCs w:val="24"/>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2021</w:t>
            </w:r>
          </w:p>
        </w:tc>
      </w:tr>
      <w:tr>
        <w:trPr>
          <w:trHeight w:val="223"/>
        </w:trPr>
        <w:tc>
          <w:tcPr>
            <w:tcW w:w="7560" w:type="dxa"/>
            <w:vAlign w:val="bottom"/>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r>
      <w:tr>
        <w:trPr>
          <w:trHeight w:val="352"/>
        </w:trPr>
        <w:tc>
          <w:tcPr>
            <w:tcW w:w="7560" w:type="dxa"/>
            <w:vAlign w:val="bottom"/>
          </w:tcPr>
          <w:p>
            <w:pPr>
              <w:ind w:left="400"/>
              <w:spacing w:after="0"/>
              <w:rPr>
                <w:sz w:val="20"/>
                <w:szCs w:val="20"/>
                <w:color w:val="auto"/>
              </w:rPr>
            </w:pPr>
            <w:r>
              <w:rPr>
                <w:rFonts w:ascii="Arial" w:cs="Arial" w:eastAsia="Arial" w:hAnsi="Arial"/>
                <w:sz w:val="17"/>
                <w:szCs w:val="17"/>
                <w:color w:val="auto"/>
              </w:rPr>
              <w:t>Up to 3 months</w:t>
            </w:r>
          </w:p>
        </w:tc>
        <w:tc>
          <w:tcPr>
            <w:tcW w:w="1300" w:type="dxa"/>
            <w:vAlign w:val="bottom"/>
          </w:tcPr>
          <w:p>
            <w:pPr>
              <w:jc w:val="right"/>
              <w:spacing w:after="0"/>
              <w:rPr>
                <w:sz w:val="20"/>
                <w:szCs w:val="20"/>
                <w:color w:val="auto"/>
              </w:rPr>
            </w:pPr>
            <w:r>
              <w:rPr>
                <w:rFonts w:ascii="Arial" w:cs="Arial" w:eastAsia="Arial" w:hAnsi="Arial"/>
                <w:sz w:val="17"/>
                <w:szCs w:val="17"/>
                <w:color w:val="auto"/>
              </w:rPr>
              <w:t>17,201,364</w:t>
            </w:r>
          </w:p>
        </w:tc>
        <w:tc>
          <w:tcPr>
            <w:tcW w:w="24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14,052,666</w:t>
            </w:r>
          </w:p>
        </w:tc>
      </w:tr>
      <w:tr>
        <w:trPr>
          <w:trHeight w:val="194"/>
        </w:trPr>
        <w:tc>
          <w:tcPr>
            <w:tcW w:w="7560" w:type="dxa"/>
            <w:vAlign w:val="bottom"/>
          </w:tcPr>
          <w:p>
            <w:pPr>
              <w:ind w:left="400"/>
              <w:spacing w:after="0" w:line="194" w:lineRule="exact"/>
              <w:rPr>
                <w:sz w:val="20"/>
                <w:szCs w:val="20"/>
                <w:color w:val="auto"/>
              </w:rPr>
            </w:pPr>
            <w:r>
              <w:rPr>
                <w:rFonts w:ascii="Arial" w:cs="Arial" w:eastAsia="Arial" w:hAnsi="Arial"/>
                <w:sz w:val="17"/>
                <w:szCs w:val="17"/>
                <w:color w:val="auto"/>
              </w:rPr>
              <w:t>From 3 months to 1 year</w:t>
            </w: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12,688,483</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8,141,349</w:t>
            </w:r>
          </w:p>
        </w:tc>
      </w:tr>
      <w:tr>
        <w:trPr>
          <w:trHeight w:val="194"/>
        </w:trPr>
        <w:tc>
          <w:tcPr>
            <w:tcW w:w="7560" w:type="dxa"/>
            <w:vAlign w:val="bottom"/>
          </w:tcPr>
          <w:p>
            <w:pPr>
              <w:ind w:left="400"/>
              <w:spacing w:after="0" w:line="194" w:lineRule="exact"/>
              <w:rPr>
                <w:sz w:val="20"/>
                <w:szCs w:val="20"/>
                <w:color w:val="auto"/>
              </w:rPr>
            </w:pPr>
            <w:r>
              <w:rPr>
                <w:rFonts w:ascii="Arial" w:cs="Arial" w:eastAsia="Arial" w:hAnsi="Arial"/>
                <w:sz w:val="17"/>
                <w:szCs w:val="17"/>
                <w:color w:val="auto"/>
              </w:rPr>
              <w:t>From 1 to 3 years</w:t>
            </w: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4,144,424</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2,391,139</w:t>
            </w:r>
          </w:p>
        </w:tc>
      </w:tr>
      <w:tr>
        <w:trPr>
          <w:trHeight w:val="194"/>
        </w:trPr>
        <w:tc>
          <w:tcPr>
            <w:tcW w:w="7560" w:type="dxa"/>
            <w:vAlign w:val="bottom"/>
          </w:tcPr>
          <w:p>
            <w:pPr>
              <w:ind w:left="400"/>
              <w:spacing w:after="0" w:line="194" w:lineRule="exact"/>
              <w:rPr>
                <w:sz w:val="20"/>
                <w:szCs w:val="20"/>
                <w:color w:val="auto"/>
              </w:rPr>
            </w:pPr>
            <w:r>
              <w:rPr>
                <w:rFonts w:ascii="Arial" w:cs="Arial" w:eastAsia="Arial" w:hAnsi="Arial"/>
                <w:sz w:val="17"/>
                <w:szCs w:val="17"/>
                <w:color w:val="auto"/>
              </w:rPr>
              <w:t>From 3 to 5 years</w:t>
            </w: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502,291</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402,042</w:t>
            </w:r>
          </w:p>
        </w:tc>
      </w:tr>
      <w:tr>
        <w:trPr>
          <w:trHeight w:val="195"/>
        </w:trPr>
        <w:tc>
          <w:tcPr>
            <w:tcW w:w="7560" w:type="dxa"/>
            <w:vAlign w:val="bottom"/>
          </w:tcPr>
          <w:p>
            <w:pPr>
              <w:ind w:left="400"/>
              <w:spacing w:after="0"/>
              <w:rPr>
                <w:sz w:val="20"/>
                <w:szCs w:val="20"/>
                <w:color w:val="auto"/>
              </w:rPr>
            </w:pPr>
            <w:r>
              <w:rPr>
                <w:rFonts w:ascii="Arial" w:cs="Arial" w:eastAsia="Arial" w:hAnsi="Arial"/>
                <w:sz w:val="17"/>
                <w:szCs w:val="17"/>
                <w:color w:val="auto"/>
              </w:rPr>
              <w:t>More than 5 years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2,941,707</w:t>
            </w:r>
          </w:p>
        </w:tc>
        <w:tc>
          <w:tcPr>
            <w:tcW w:w="24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2,936,607</w:t>
            </w:r>
          </w:p>
        </w:tc>
      </w:tr>
      <w:tr>
        <w:trPr>
          <w:trHeight w:val="193"/>
        </w:trPr>
        <w:tc>
          <w:tcPr>
            <w:tcW w:w="7560" w:type="dxa"/>
            <w:vAlign w:val="bottom"/>
          </w:tcPr>
          <w:p>
            <w:pPr>
              <w:ind w:left="400"/>
              <w:spacing w:after="0" w:line="187" w:lineRule="exact"/>
              <w:rPr>
                <w:sz w:val="20"/>
                <w:szCs w:val="20"/>
                <w:color w:val="auto"/>
              </w:rPr>
            </w:pPr>
            <w:r>
              <w:rPr>
                <w:rFonts w:ascii="Arial" w:cs="Arial" w:eastAsia="Arial" w:hAnsi="Arial"/>
                <w:sz w:val="17"/>
                <w:szCs w:val="17"/>
                <w:b w:val="1"/>
                <w:bCs w:val="1"/>
                <w:color w:val="auto"/>
              </w:rPr>
              <w:t>Total</w:t>
            </w:r>
          </w:p>
        </w:tc>
        <w:tc>
          <w:tcPr>
            <w:tcW w:w="13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37,478,269</w:t>
            </w:r>
          </w:p>
        </w:tc>
        <w:tc>
          <w:tcPr>
            <w:tcW w:w="240" w:type="dxa"/>
            <w:vAlign w:val="bottom"/>
          </w:tcPr>
          <w:p>
            <w:pPr>
              <w:spacing w:after="0"/>
              <w:rPr>
                <w:sz w:val="16"/>
                <w:szCs w:val="16"/>
                <w:color w:val="auto"/>
              </w:rPr>
            </w:pPr>
          </w:p>
        </w:tc>
        <w:tc>
          <w:tcPr>
            <w:tcW w:w="13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27,923,803</w:t>
            </w:r>
          </w:p>
        </w:tc>
      </w:tr>
    </w:tbl>
    <w:p>
      <w:pPr>
        <w:spacing w:after="0" w:line="193" w:lineRule="exact"/>
        <w:rPr>
          <w:sz w:val="20"/>
          <w:szCs w:val="20"/>
          <w:color w:val="auto"/>
        </w:rPr>
      </w:pPr>
    </w:p>
    <w:p>
      <w:pPr>
        <w:ind w:left="320" w:right="240"/>
        <w:spacing w:after="0" w:line="254" w:lineRule="auto"/>
        <w:rPr>
          <w:sz w:val="20"/>
          <w:szCs w:val="20"/>
          <w:color w:val="auto"/>
        </w:rPr>
      </w:pPr>
      <w:r>
        <w:rPr>
          <w:rFonts w:ascii="Arial" w:cs="Arial" w:eastAsia="Arial" w:hAnsi="Arial"/>
          <w:sz w:val="17"/>
          <w:szCs w:val="17"/>
          <w:color w:val="auto"/>
        </w:rPr>
        <w:t>In Management’s opinion the Group’s deposits and obligations are diversified with no significant concentrations as of December 31, 2022 and 2021.</w:t>
      </w:r>
    </w:p>
    <w:p>
      <w:pPr>
        <w:spacing w:after="0" w:line="169" w:lineRule="exact"/>
        <w:rPr>
          <w:sz w:val="20"/>
          <w:szCs w:val="20"/>
          <w:color w:val="auto"/>
        </w:rPr>
      </w:pPr>
    </w:p>
    <w:p>
      <w:pPr>
        <w:ind w:left="320" w:right="100"/>
        <w:spacing w:after="0" w:line="243" w:lineRule="auto"/>
        <w:rPr>
          <w:sz w:val="20"/>
          <w:szCs w:val="20"/>
          <w:color w:val="auto"/>
        </w:rPr>
      </w:pPr>
      <w:r>
        <w:rPr>
          <w:rFonts w:ascii="Arial" w:cs="Arial" w:eastAsia="Arial" w:hAnsi="Arial"/>
          <w:sz w:val="17"/>
          <w:szCs w:val="17"/>
          <w:color w:val="auto"/>
        </w:rPr>
        <w:t>As of December 31, 2022 and 2021, the balance of deposits and obligations, guaranteed by the Peruvian “Fondo de Seguro de Depositos” (Deposit Insurance Fund) amounts to approximately S/52,745.2 million and S/50,478.8 million, respectively. At said dates, maximum amount of coverage per depositor recognized by “Fondo de Seguro de Depositos” totaled S/125,603 and S/115,637, respectively.</w:t>
      </w:r>
    </w:p>
    <w:p>
      <w:pPr>
        <w:spacing w:after="0" w:line="180"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auto"/>
        </w:rPr>
        <w:t>As of December 31, 2022 and 2021 the balance of deposits and obligations of Mibanco Colombia guaranteed by the “Financial Institutions Guarantee Fund” (FOGAFÍN, for its Spanish acronym) of Colombia, amounts to 304,758.0 million Colombian pesos (equivalent to S/239.5 million) and 224,078.1 million Colombian pesos (equivalent to S/219.8 million), respectively. At said dates, maximum amount of coverage per depositor recognized by “FOGAFÍN” totaled 50,000,000.0 Colombian pesos (equivalent to S/39,300 and S/49,050, respectively).</w:t>
      </w:r>
    </w:p>
    <w:p>
      <w:pPr>
        <w:spacing w:after="0" w:line="154"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80"/>
          </w:cols>
          <w:pgMar w:left="940" w:top="140" w:right="3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9"/>
        </w:trPr>
        <w:tc>
          <w:tcPr>
            <w:tcW w:w="420" w:type="dxa"/>
            <w:vAlign w:val="bottom"/>
          </w:tcPr>
          <w:p>
            <w:pPr>
              <w:jc w:val="right"/>
              <w:ind w:right="134"/>
              <w:spacing w:after="0"/>
              <w:rPr>
                <w:sz w:val="20"/>
                <w:szCs w:val="20"/>
                <w:color w:val="auto"/>
              </w:rPr>
            </w:pPr>
            <w:r>
              <w:rPr>
                <w:rFonts w:ascii="Arial" w:cs="Arial" w:eastAsia="Arial" w:hAnsi="Arial"/>
                <w:sz w:val="17"/>
                <w:szCs w:val="17"/>
                <w:b w:val="1"/>
                <w:bCs w:val="1"/>
                <w:color w:val="auto"/>
                <w:w w:val="94"/>
              </w:rPr>
              <w:t>15</w:t>
            </w:r>
          </w:p>
        </w:tc>
        <w:tc>
          <w:tcPr>
            <w:tcW w:w="4640" w:type="dxa"/>
            <w:vAlign w:val="bottom"/>
          </w:tcPr>
          <w:p>
            <w:pPr>
              <w:ind w:left="200"/>
              <w:spacing w:after="0"/>
              <w:rPr>
                <w:sz w:val="20"/>
                <w:szCs w:val="20"/>
                <w:color w:val="auto"/>
              </w:rPr>
            </w:pPr>
            <w:r>
              <w:rPr>
                <w:rFonts w:ascii="Arial" w:cs="Arial" w:eastAsia="Arial" w:hAnsi="Arial"/>
                <w:sz w:val="17"/>
                <w:szCs w:val="17"/>
                <w:b w:val="1"/>
                <w:bCs w:val="1"/>
                <w:color w:val="auto"/>
              </w:rPr>
              <w:t>DUE TO BANKS AND CORRESPONDENTS</w:t>
            </w:r>
          </w:p>
        </w:tc>
        <w:tc>
          <w:tcPr>
            <w:tcW w:w="3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89"/>
        </w:trPr>
        <w:tc>
          <w:tcPr>
            <w:tcW w:w="42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7"/>
                <w:szCs w:val="17"/>
                <w:color w:val="auto"/>
              </w:rPr>
              <w:t>a)  This item consists of the following:</w:t>
            </w:r>
          </w:p>
        </w:tc>
        <w:tc>
          <w:tcPr>
            <w:tcW w:w="3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5"/>
        </w:trPr>
        <w:tc>
          <w:tcPr>
            <w:tcW w:w="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420" w:type="dxa"/>
            <w:vAlign w:val="bottom"/>
            <w:gridSpan w:val="2"/>
          </w:tcPr>
          <w:p>
            <w:pPr>
              <w:ind w:left="320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30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34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420" w:type="dxa"/>
            <w:vAlign w:val="bottom"/>
          </w:tcPr>
          <w:p>
            <w:pPr>
              <w:spacing w:after="0"/>
              <w:rPr>
                <w:sz w:val="24"/>
                <w:szCs w:val="24"/>
                <w:color w:val="auto"/>
              </w:rPr>
            </w:pPr>
          </w:p>
        </w:tc>
        <w:tc>
          <w:tcPr>
            <w:tcW w:w="4640" w:type="dxa"/>
            <w:vAlign w:val="bottom"/>
          </w:tcPr>
          <w:p>
            <w:pPr>
              <w:ind w:left="600"/>
              <w:spacing w:after="0"/>
              <w:rPr>
                <w:sz w:val="20"/>
                <w:szCs w:val="20"/>
                <w:color w:val="auto"/>
              </w:rPr>
            </w:pPr>
            <w:r>
              <w:rPr>
                <w:rFonts w:ascii="Arial" w:cs="Arial" w:eastAsia="Arial" w:hAnsi="Arial"/>
                <w:sz w:val="17"/>
                <w:szCs w:val="17"/>
                <w:color w:val="auto"/>
              </w:rPr>
              <w:t>International funds and others (b)</w:t>
            </w:r>
          </w:p>
        </w:tc>
        <w:tc>
          <w:tcPr>
            <w:tcW w:w="4420" w:type="dxa"/>
            <w:vAlign w:val="bottom"/>
            <w:gridSpan w:val="2"/>
          </w:tcPr>
          <w:p>
            <w:pPr>
              <w:jc w:val="right"/>
              <w:spacing w:after="0"/>
              <w:rPr>
                <w:sz w:val="20"/>
                <w:szCs w:val="20"/>
                <w:color w:val="auto"/>
              </w:rPr>
            </w:pPr>
            <w:r>
              <w:rPr>
                <w:rFonts w:ascii="Arial" w:cs="Arial" w:eastAsia="Arial" w:hAnsi="Arial"/>
                <w:sz w:val="17"/>
                <w:szCs w:val="17"/>
                <w:color w:val="auto"/>
              </w:rPr>
              <w:t>4,694,617</w:t>
            </w:r>
          </w:p>
        </w:tc>
        <w:tc>
          <w:tcPr>
            <w:tcW w:w="24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3,519,453</w:t>
            </w:r>
          </w:p>
        </w:tc>
        <w:tc>
          <w:tcPr>
            <w:tcW w:w="18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4640" w:type="dxa"/>
            <w:vAlign w:val="bottom"/>
          </w:tcPr>
          <w:p>
            <w:pPr>
              <w:ind w:left="600"/>
              <w:spacing w:after="0"/>
              <w:rPr>
                <w:sz w:val="20"/>
                <w:szCs w:val="20"/>
                <w:color w:val="auto"/>
              </w:rPr>
            </w:pPr>
            <w:r>
              <w:rPr>
                <w:rFonts w:ascii="Arial" w:cs="Arial" w:eastAsia="Arial" w:hAnsi="Arial"/>
                <w:sz w:val="17"/>
                <w:szCs w:val="17"/>
                <w:color w:val="auto"/>
              </w:rPr>
              <w:t>Promotional credit lines (c)</w:t>
            </w:r>
          </w:p>
        </w:tc>
        <w:tc>
          <w:tcPr>
            <w:tcW w:w="4420" w:type="dxa"/>
            <w:vAlign w:val="bottom"/>
            <w:gridSpan w:val="2"/>
          </w:tcPr>
          <w:p>
            <w:pPr>
              <w:jc w:val="right"/>
              <w:spacing w:after="0"/>
              <w:rPr>
                <w:sz w:val="20"/>
                <w:szCs w:val="20"/>
                <w:color w:val="auto"/>
              </w:rPr>
            </w:pPr>
            <w:r>
              <w:rPr>
                <w:rFonts w:ascii="Arial" w:cs="Arial" w:eastAsia="Arial" w:hAnsi="Arial"/>
                <w:sz w:val="17"/>
                <w:szCs w:val="17"/>
                <w:color w:val="auto"/>
              </w:rPr>
              <w:t>4,107,294</w:t>
            </w:r>
          </w:p>
        </w:tc>
        <w:tc>
          <w:tcPr>
            <w:tcW w:w="24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3,592,008</w:t>
            </w:r>
          </w:p>
        </w:tc>
        <w:tc>
          <w:tcPr>
            <w:tcW w:w="180" w:type="dxa"/>
            <w:vAlign w:val="bottom"/>
          </w:tcPr>
          <w:p>
            <w:pPr>
              <w:spacing w:after="0"/>
              <w:rPr>
                <w:sz w:val="16"/>
                <w:szCs w:val="16"/>
                <w:color w:val="auto"/>
              </w:rPr>
            </w:pPr>
          </w:p>
        </w:tc>
      </w:tr>
      <w:tr>
        <w:trPr>
          <w:trHeight w:val="186"/>
        </w:trPr>
        <w:tc>
          <w:tcPr>
            <w:tcW w:w="4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30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8,801,911</w:t>
            </w:r>
          </w:p>
        </w:tc>
        <w:tc>
          <w:tcPr>
            <w:tcW w:w="240" w:type="dxa"/>
            <w:vAlign w:val="bottom"/>
          </w:tcPr>
          <w:p>
            <w:pPr>
              <w:spacing w:after="0"/>
              <w:rPr>
                <w:sz w:val="16"/>
                <w:szCs w:val="16"/>
                <w:color w:val="auto"/>
              </w:rPr>
            </w:pPr>
          </w:p>
        </w:tc>
        <w:tc>
          <w:tcPr>
            <w:tcW w:w="1340" w:type="dxa"/>
            <w:vAlign w:val="bottom"/>
            <w:tcBorders>
              <w:top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rPr>
              <w:t>7,111,461</w:t>
            </w:r>
          </w:p>
        </w:tc>
        <w:tc>
          <w:tcPr>
            <w:tcW w:w="180" w:type="dxa"/>
            <w:vAlign w:val="bottom"/>
          </w:tcPr>
          <w:p>
            <w:pPr>
              <w:spacing w:after="0"/>
              <w:rPr>
                <w:sz w:val="16"/>
                <w:szCs w:val="16"/>
                <w:color w:val="auto"/>
              </w:rPr>
            </w:pPr>
          </w:p>
        </w:tc>
      </w:tr>
      <w:tr>
        <w:trPr>
          <w:trHeight w:val="195"/>
        </w:trPr>
        <w:tc>
          <w:tcPr>
            <w:tcW w:w="420" w:type="dxa"/>
            <w:vAlign w:val="bottom"/>
          </w:tcPr>
          <w:p>
            <w:pPr>
              <w:spacing w:after="0"/>
              <w:rPr>
                <w:sz w:val="16"/>
                <w:szCs w:val="16"/>
                <w:color w:val="auto"/>
              </w:rPr>
            </w:pPr>
          </w:p>
        </w:tc>
        <w:tc>
          <w:tcPr>
            <w:tcW w:w="4640" w:type="dxa"/>
            <w:vAlign w:val="bottom"/>
          </w:tcPr>
          <w:p>
            <w:pPr>
              <w:ind w:left="600"/>
              <w:spacing w:after="0"/>
              <w:rPr>
                <w:sz w:val="20"/>
                <w:szCs w:val="20"/>
                <w:color w:val="auto"/>
              </w:rPr>
            </w:pPr>
            <w:r>
              <w:rPr>
                <w:rFonts w:ascii="Arial" w:cs="Arial" w:eastAsia="Arial" w:hAnsi="Arial"/>
                <w:sz w:val="17"/>
                <w:szCs w:val="17"/>
                <w:color w:val="auto"/>
              </w:rPr>
              <w:t>Interest payable</w:t>
            </w:r>
          </w:p>
        </w:tc>
        <w:tc>
          <w:tcPr>
            <w:tcW w:w="4420" w:type="dxa"/>
            <w:vAlign w:val="bottom"/>
            <w:gridSpan w:val="2"/>
          </w:tcPr>
          <w:p>
            <w:pPr>
              <w:jc w:val="right"/>
              <w:spacing w:after="0"/>
              <w:rPr>
                <w:sz w:val="20"/>
                <w:szCs w:val="20"/>
                <w:color w:val="auto"/>
              </w:rPr>
            </w:pPr>
            <w:r>
              <w:rPr>
                <w:rFonts w:ascii="Arial" w:cs="Arial" w:eastAsia="Arial" w:hAnsi="Arial"/>
                <w:sz w:val="17"/>
                <w:szCs w:val="17"/>
                <w:color w:val="auto"/>
              </w:rPr>
              <w:t>135,500</w:t>
            </w:r>
          </w:p>
        </w:tc>
        <w:tc>
          <w:tcPr>
            <w:tcW w:w="24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101,485</w:t>
            </w:r>
          </w:p>
        </w:tc>
        <w:tc>
          <w:tcPr>
            <w:tcW w:w="180" w:type="dxa"/>
            <w:vAlign w:val="bottom"/>
          </w:tcPr>
          <w:p>
            <w:pPr>
              <w:spacing w:after="0"/>
              <w:rPr>
                <w:sz w:val="16"/>
                <w:szCs w:val="16"/>
                <w:color w:val="auto"/>
              </w:rPr>
            </w:pPr>
          </w:p>
        </w:tc>
      </w:tr>
      <w:tr>
        <w:trPr>
          <w:trHeight w:val="193"/>
        </w:trPr>
        <w:tc>
          <w:tcPr>
            <w:tcW w:w="420" w:type="dxa"/>
            <w:vAlign w:val="bottom"/>
          </w:tcPr>
          <w:p>
            <w:pPr>
              <w:spacing w:after="0"/>
              <w:rPr>
                <w:sz w:val="16"/>
                <w:szCs w:val="16"/>
                <w:color w:val="auto"/>
              </w:rPr>
            </w:pPr>
          </w:p>
        </w:tc>
        <w:tc>
          <w:tcPr>
            <w:tcW w:w="4640" w:type="dxa"/>
            <w:vAlign w:val="bottom"/>
          </w:tcPr>
          <w:p>
            <w:pPr>
              <w:ind w:left="600"/>
              <w:spacing w:after="0" w:line="187" w:lineRule="exact"/>
              <w:rPr>
                <w:sz w:val="20"/>
                <w:szCs w:val="20"/>
                <w:color w:val="auto"/>
              </w:rPr>
            </w:pPr>
            <w:r>
              <w:rPr>
                <w:rFonts w:ascii="Arial" w:cs="Arial" w:eastAsia="Arial" w:hAnsi="Arial"/>
                <w:sz w:val="17"/>
                <w:szCs w:val="17"/>
                <w:b w:val="1"/>
                <w:bCs w:val="1"/>
                <w:color w:val="auto"/>
              </w:rPr>
              <w:t>Total</w:t>
            </w:r>
          </w:p>
        </w:tc>
        <w:tc>
          <w:tcPr>
            <w:tcW w:w="312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8,937,411</w:t>
            </w:r>
          </w:p>
        </w:tc>
        <w:tc>
          <w:tcPr>
            <w:tcW w:w="24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7,212,946</w:t>
            </w:r>
          </w:p>
        </w:tc>
        <w:tc>
          <w:tcPr>
            <w:tcW w:w="180" w:type="dxa"/>
            <w:vAlign w:val="bottom"/>
          </w:tcPr>
          <w:p>
            <w:pPr>
              <w:spacing w:after="0"/>
              <w:rPr>
                <w:sz w:val="16"/>
                <w:szCs w:val="16"/>
                <w:color w:val="auto"/>
              </w:rPr>
            </w:pPr>
          </w:p>
        </w:tc>
      </w:tr>
      <w:tr>
        <w:trPr>
          <w:trHeight w:val="402"/>
        </w:trPr>
        <w:tc>
          <w:tcPr>
            <w:tcW w:w="42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7"/>
                <w:szCs w:val="17"/>
                <w:color w:val="auto"/>
              </w:rPr>
              <w:t>b)  This item consists of the following:</w:t>
            </w:r>
          </w:p>
        </w:tc>
        <w:tc>
          <w:tcPr>
            <w:tcW w:w="3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5"/>
        </w:trPr>
        <w:tc>
          <w:tcPr>
            <w:tcW w:w="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420" w:type="dxa"/>
            <w:vAlign w:val="bottom"/>
            <w:gridSpan w:val="2"/>
          </w:tcPr>
          <w:p>
            <w:pPr>
              <w:ind w:left="320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30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34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420" w:type="dxa"/>
            <w:vAlign w:val="bottom"/>
          </w:tcPr>
          <w:p>
            <w:pPr>
              <w:spacing w:after="0"/>
              <w:rPr>
                <w:sz w:val="24"/>
                <w:szCs w:val="24"/>
                <w:color w:val="auto"/>
              </w:rPr>
            </w:pPr>
          </w:p>
        </w:tc>
        <w:tc>
          <w:tcPr>
            <w:tcW w:w="4640" w:type="dxa"/>
            <w:vAlign w:val="bottom"/>
          </w:tcPr>
          <w:p>
            <w:pPr>
              <w:ind w:left="600"/>
              <w:spacing w:after="0"/>
              <w:rPr>
                <w:sz w:val="20"/>
                <w:szCs w:val="20"/>
                <w:color w:val="auto"/>
              </w:rPr>
            </w:pPr>
            <w:r>
              <w:rPr>
                <w:rFonts w:ascii="Arial" w:cs="Arial" w:eastAsia="Arial" w:hAnsi="Arial"/>
                <w:sz w:val="17"/>
                <w:szCs w:val="17"/>
                <w:color w:val="auto"/>
              </w:rPr>
              <w:t>Bank of New York Mellon</w:t>
            </w:r>
          </w:p>
        </w:tc>
        <w:tc>
          <w:tcPr>
            <w:tcW w:w="4420" w:type="dxa"/>
            <w:vAlign w:val="bottom"/>
            <w:gridSpan w:val="2"/>
          </w:tcPr>
          <w:p>
            <w:pPr>
              <w:jc w:val="right"/>
              <w:spacing w:after="0"/>
              <w:rPr>
                <w:sz w:val="20"/>
                <w:szCs w:val="20"/>
                <w:color w:val="auto"/>
              </w:rPr>
            </w:pPr>
            <w:r>
              <w:rPr>
                <w:rFonts w:ascii="Arial" w:cs="Arial" w:eastAsia="Arial" w:hAnsi="Arial"/>
                <w:sz w:val="17"/>
                <w:szCs w:val="17"/>
                <w:color w:val="auto"/>
              </w:rPr>
              <w:t>572,100</w:t>
            </w:r>
          </w:p>
        </w:tc>
        <w:tc>
          <w:tcPr>
            <w:tcW w:w="24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Corporación Financiera de Desarrollo (COFIDE)</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503,538</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563,136</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Standard Chartered Bank (i)</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456,244</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International Finance Corporation (IFC)</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382,840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Citibank N.A.</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381,400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398,700</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Wells Fargo Bank, N.A. (i)</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380,020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677,790</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The Toronto Dominion Bank</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247,910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Caixabank</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190,700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Bank of America N.A. (i)</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189,470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920,036</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HSBC Bank USA (i)</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189,321</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JP Morgan Chase Bank, N.A. (i)</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189,321</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Banco Internacional del Perú S.A.A. (Interbank)</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150,000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Bancoldex</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126,957</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174,145</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Scotiabank Perú S.A.A.</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120,000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180,198</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Banco BBVA Perú</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114,000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119,900</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ICBC Perú Bank S.A.</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100,000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Banco de Occidente</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84,096</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43,167</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Bradesco Bac Florida Bank</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76,280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Bancolombia S.A.</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59,604</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78,715</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Zurcher Kantonalbank</w:t>
            </w:r>
          </w:p>
        </w:tc>
        <w:tc>
          <w:tcPr>
            <w:tcW w:w="4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95,350</w:t>
            </w:r>
          </w:p>
        </w:tc>
        <w:tc>
          <w:tcPr>
            <w:tcW w:w="240" w:type="dxa"/>
            <w:vAlign w:val="bottom"/>
          </w:tcPr>
          <w:p>
            <w:pPr>
              <w:spacing w:after="0"/>
              <w:rPr>
                <w:sz w:val="16"/>
                <w:szCs w:val="16"/>
                <w:color w:val="auto"/>
              </w:rPr>
            </w:pP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4640" w:type="dxa"/>
            <w:vAlign w:val="bottom"/>
          </w:tcPr>
          <w:p>
            <w:pPr>
              <w:ind w:left="600"/>
              <w:spacing w:after="0" w:line="194" w:lineRule="exact"/>
              <w:rPr>
                <w:sz w:val="20"/>
                <w:szCs w:val="20"/>
                <w:color w:val="auto"/>
              </w:rPr>
            </w:pPr>
            <w:r>
              <w:rPr>
                <w:rFonts w:ascii="Arial" w:cs="Arial" w:eastAsia="Arial" w:hAnsi="Arial"/>
                <w:sz w:val="17"/>
                <w:szCs w:val="17"/>
                <w:color w:val="auto"/>
              </w:rPr>
              <w:t>Banco de la Nación</w:t>
            </w:r>
          </w:p>
        </w:tc>
        <w:tc>
          <w:tcPr>
            <w:tcW w:w="3120" w:type="dxa"/>
            <w:vAlign w:val="bottom"/>
          </w:tcPr>
          <w:p>
            <w:pPr>
              <w:spacing w:after="0"/>
              <w:rPr>
                <w:sz w:val="16"/>
                <w:szCs w:val="16"/>
                <w:color w:val="auto"/>
              </w:rPr>
            </w:pPr>
          </w:p>
        </w:tc>
        <w:tc>
          <w:tcPr>
            <w:tcW w:w="154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185,000</w:t>
            </w:r>
          </w:p>
        </w:tc>
        <w:tc>
          <w:tcPr>
            <w:tcW w:w="180" w:type="dxa"/>
            <w:vAlign w:val="bottom"/>
          </w:tcPr>
          <w:p>
            <w:pPr>
              <w:spacing w:after="0"/>
              <w:rPr>
                <w:sz w:val="16"/>
                <w:szCs w:val="16"/>
                <w:color w:val="auto"/>
              </w:rPr>
            </w:pPr>
          </w:p>
        </w:tc>
      </w:tr>
      <w:tr>
        <w:trPr>
          <w:trHeight w:val="195"/>
        </w:trPr>
        <w:tc>
          <w:tcPr>
            <w:tcW w:w="420" w:type="dxa"/>
            <w:vAlign w:val="bottom"/>
          </w:tcPr>
          <w:p>
            <w:pPr>
              <w:spacing w:after="0"/>
              <w:rPr>
                <w:sz w:val="16"/>
                <w:szCs w:val="16"/>
                <w:color w:val="auto"/>
              </w:rPr>
            </w:pPr>
          </w:p>
        </w:tc>
        <w:tc>
          <w:tcPr>
            <w:tcW w:w="4640" w:type="dxa"/>
            <w:vAlign w:val="bottom"/>
          </w:tcPr>
          <w:p>
            <w:pPr>
              <w:ind w:left="600"/>
              <w:spacing w:after="0"/>
              <w:rPr>
                <w:sz w:val="20"/>
                <w:szCs w:val="20"/>
                <w:color w:val="auto"/>
              </w:rPr>
            </w:pPr>
            <w:r>
              <w:rPr>
                <w:rFonts w:ascii="Arial" w:cs="Arial" w:eastAsia="Arial" w:hAnsi="Arial"/>
                <w:sz w:val="17"/>
                <w:szCs w:val="17"/>
                <w:color w:val="auto"/>
              </w:rPr>
              <w:t>Others</w:t>
            </w:r>
          </w:p>
        </w:tc>
        <w:tc>
          <w:tcPr>
            <w:tcW w:w="4420" w:type="dxa"/>
            <w:vAlign w:val="bottom"/>
            <w:gridSpan w:val="2"/>
          </w:tcPr>
          <w:p>
            <w:pPr>
              <w:jc w:val="right"/>
              <w:spacing w:after="0"/>
              <w:rPr>
                <w:sz w:val="20"/>
                <w:szCs w:val="20"/>
                <w:color w:val="auto"/>
              </w:rPr>
            </w:pPr>
            <w:r>
              <w:rPr>
                <w:rFonts w:ascii="Arial" w:cs="Arial" w:eastAsia="Arial" w:hAnsi="Arial"/>
                <w:sz w:val="17"/>
                <w:szCs w:val="17"/>
                <w:color w:val="auto"/>
              </w:rPr>
              <w:t>85,466</w:t>
            </w:r>
          </w:p>
        </w:tc>
        <w:tc>
          <w:tcPr>
            <w:tcW w:w="24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178,666</w:t>
            </w:r>
          </w:p>
        </w:tc>
        <w:tc>
          <w:tcPr>
            <w:tcW w:w="180" w:type="dxa"/>
            <w:vAlign w:val="bottom"/>
          </w:tcPr>
          <w:p>
            <w:pPr>
              <w:spacing w:after="0"/>
              <w:rPr>
                <w:sz w:val="16"/>
                <w:szCs w:val="16"/>
                <w:color w:val="auto"/>
              </w:rPr>
            </w:pPr>
          </w:p>
        </w:tc>
      </w:tr>
      <w:tr>
        <w:trPr>
          <w:trHeight w:val="193"/>
        </w:trPr>
        <w:tc>
          <w:tcPr>
            <w:tcW w:w="420" w:type="dxa"/>
            <w:vAlign w:val="bottom"/>
          </w:tcPr>
          <w:p>
            <w:pPr>
              <w:spacing w:after="0"/>
              <w:rPr>
                <w:sz w:val="16"/>
                <w:szCs w:val="16"/>
                <w:color w:val="auto"/>
              </w:rPr>
            </w:pPr>
          </w:p>
        </w:tc>
        <w:tc>
          <w:tcPr>
            <w:tcW w:w="4640" w:type="dxa"/>
            <w:vAlign w:val="bottom"/>
          </w:tcPr>
          <w:p>
            <w:pPr>
              <w:ind w:left="600"/>
              <w:spacing w:after="0" w:line="187" w:lineRule="exact"/>
              <w:rPr>
                <w:sz w:val="20"/>
                <w:szCs w:val="20"/>
                <w:color w:val="auto"/>
              </w:rPr>
            </w:pPr>
            <w:r>
              <w:rPr>
                <w:rFonts w:ascii="Arial" w:cs="Arial" w:eastAsia="Arial" w:hAnsi="Arial"/>
                <w:sz w:val="17"/>
                <w:szCs w:val="17"/>
                <w:b w:val="1"/>
                <w:bCs w:val="1"/>
                <w:color w:val="auto"/>
              </w:rPr>
              <w:t>Total</w:t>
            </w:r>
          </w:p>
        </w:tc>
        <w:tc>
          <w:tcPr>
            <w:tcW w:w="312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4,694,617</w:t>
            </w:r>
          </w:p>
        </w:tc>
        <w:tc>
          <w:tcPr>
            <w:tcW w:w="24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3,519,453</w:t>
            </w:r>
          </w:p>
        </w:tc>
        <w:tc>
          <w:tcPr>
            <w:tcW w:w="180" w:type="dxa"/>
            <w:vAlign w:val="bottom"/>
          </w:tcPr>
          <w:p>
            <w:pPr>
              <w:spacing w:after="0"/>
              <w:rPr>
                <w:sz w:val="16"/>
                <w:szCs w:val="16"/>
                <w:color w:val="auto"/>
              </w:rPr>
            </w:pPr>
          </w:p>
        </w:tc>
      </w:tr>
      <w:tr>
        <w:trPr>
          <w:trHeight w:val="376"/>
        </w:trPr>
        <w:tc>
          <w:tcPr>
            <w:tcW w:w="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120" w:type="dxa"/>
            <w:vAlign w:val="bottom"/>
          </w:tcPr>
          <w:p>
            <w:pPr>
              <w:jc w:val="right"/>
              <w:ind w:right="2274"/>
              <w:spacing w:after="0"/>
              <w:rPr>
                <w:sz w:val="20"/>
                <w:szCs w:val="20"/>
                <w:color w:val="auto"/>
              </w:rPr>
            </w:pPr>
            <w:r>
              <w:rPr>
                <w:rFonts w:ascii="Arial" w:cs="Arial" w:eastAsia="Arial" w:hAnsi="Arial"/>
                <w:sz w:val="17"/>
                <w:szCs w:val="17"/>
                <w:color w:val="auto"/>
              </w:rPr>
              <w:t>- 96 -</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420" w:type="dxa"/>
            <w:vAlign w:val="bottom"/>
            <w:tcBorders>
              <w:bottom w:val="single" w:sz="8" w:color="auto"/>
            </w:tcBorders>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101" w:name="page102"/>
    <w:bookmarkEnd w:id="101"/>
    <w:p>
      <w:pPr>
        <w:jc w:val="both"/>
        <w:ind w:left="315" w:right="120"/>
        <w:spacing w:after="0" w:line="245" w:lineRule="auto"/>
        <w:rPr>
          <w:sz w:val="20"/>
          <w:szCs w:val="20"/>
          <w:color w:val="auto"/>
        </w:rPr>
      </w:pPr>
      <w:r>
        <w:rPr>
          <w:rFonts w:ascii="Arial" w:cs="Arial" w:eastAsia="Arial" w:hAnsi="Arial"/>
          <w:sz w:val="17"/>
          <w:szCs w:val="17"/>
          <w:color w:val="auto"/>
        </w:rPr>
        <w:t>As of December 31, 2022, the loans have maturities between January 2023 and December 2031 (between January 2022 and March 2032, as of December 31, 2021) and accrue interest in soles currency at rates that fluctuate between 2.23 percent and 9.45 percent (between 1.15 percent and 7.53 percent, as of December 31, 2021) and accrue interest in foreign currency as follows:</w:t>
      </w:r>
    </w:p>
    <w:p>
      <w:pPr>
        <w:spacing w:after="0" w:line="350" w:lineRule="exact"/>
        <w:rPr>
          <w:sz w:val="20"/>
          <w:szCs w:val="20"/>
          <w:color w:val="auto"/>
        </w:rPr>
      </w:pPr>
    </w:p>
    <w:tbl>
      <w:tblPr>
        <w:tblLayout w:type="fixed"/>
        <w:tblInd w:w="315" w:type="dxa"/>
        <w:tblCellMar>
          <w:top w:w="0" w:type="dxa"/>
          <w:left w:w="0" w:type="dxa"/>
          <w:bottom w:w="0" w:type="dxa"/>
          <w:right w:w="0" w:type="dxa"/>
        </w:tblCellMar>
      </w:tblPr>
      <w:tr>
        <w:trPr>
          <w:trHeight w:val="217"/>
        </w:trPr>
        <w:tc>
          <w:tcPr>
            <w:tcW w:w="4420" w:type="dxa"/>
            <w:vAlign w:val="bottom"/>
            <w:gridSpan w:val="2"/>
          </w:tcPr>
          <w:p>
            <w:pPr>
              <w:ind w:left="3720"/>
              <w:spacing w:after="0"/>
              <w:rPr>
                <w:sz w:val="20"/>
                <w:szCs w:val="20"/>
                <w:color w:val="auto"/>
              </w:rPr>
            </w:pPr>
            <w:r>
              <w:rPr>
                <w:rFonts w:ascii="Arial" w:cs="Arial" w:eastAsia="Arial" w:hAnsi="Arial"/>
                <w:sz w:val="17"/>
                <w:szCs w:val="17"/>
                <w:b w:val="1"/>
                <w:bCs w:val="1"/>
                <w:color w:val="auto"/>
              </w:rPr>
              <w:t>2022</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7"/>
                <w:szCs w:val="17"/>
                <w:b w:val="1"/>
                <w:bCs w:val="1"/>
                <w:color w:val="auto"/>
              </w:rPr>
              <w:t>2021</w:t>
            </w:r>
          </w:p>
        </w:tc>
        <w:tc>
          <w:tcPr>
            <w:tcW w:w="1420" w:type="dxa"/>
            <w:vAlign w:val="bottom"/>
          </w:tcPr>
          <w:p>
            <w:pPr>
              <w:spacing w:after="0"/>
              <w:rPr>
                <w:sz w:val="18"/>
                <w:szCs w:val="18"/>
                <w:color w:val="auto"/>
              </w:rPr>
            </w:pPr>
          </w:p>
        </w:tc>
      </w:tr>
      <w:tr>
        <w:trPr>
          <w:trHeight w:val="164"/>
        </w:trPr>
        <w:tc>
          <w:tcPr>
            <w:tcW w:w="3540" w:type="dxa"/>
            <w:vAlign w:val="bottom"/>
          </w:tcPr>
          <w:p>
            <w:pPr>
              <w:spacing w:after="0"/>
              <w:rPr>
                <w:sz w:val="14"/>
                <w:szCs w:val="14"/>
                <w:color w:val="auto"/>
              </w:rPr>
            </w:pPr>
          </w:p>
        </w:tc>
        <w:tc>
          <w:tcPr>
            <w:tcW w:w="880" w:type="dxa"/>
            <w:vAlign w:val="bottom"/>
            <w:tcBorders>
              <w:top w:val="single" w:sz="8" w:color="auto"/>
            </w:tcBorders>
          </w:tcPr>
          <w:p>
            <w:pPr>
              <w:ind w:left="180"/>
              <w:spacing w:after="0" w:line="164" w:lineRule="exact"/>
              <w:rPr>
                <w:sz w:val="20"/>
                <w:szCs w:val="20"/>
                <w:color w:val="auto"/>
              </w:rPr>
            </w:pPr>
            <w:r>
              <w:rPr>
                <w:rFonts w:ascii="Arial" w:cs="Arial" w:eastAsia="Arial" w:hAnsi="Arial"/>
                <w:sz w:val="17"/>
                <w:szCs w:val="17"/>
                <w:b w:val="1"/>
                <w:bCs w:val="1"/>
                <w:color w:val="auto"/>
              </w:rPr>
              <w:t>Min</w:t>
            </w:r>
          </w:p>
        </w:tc>
        <w:tc>
          <w:tcPr>
            <w:tcW w:w="8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ind w:left="180"/>
              <w:spacing w:after="0" w:line="164" w:lineRule="exact"/>
              <w:rPr>
                <w:sz w:val="20"/>
                <w:szCs w:val="20"/>
                <w:color w:val="auto"/>
              </w:rPr>
            </w:pPr>
            <w:r>
              <w:rPr>
                <w:rFonts w:ascii="Arial" w:cs="Arial" w:eastAsia="Arial" w:hAnsi="Arial"/>
                <w:sz w:val="17"/>
                <w:szCs w:val="17"/>
                <w:b w:val="1"/>
                <w:bCs w:val="1"/>
                <w:color w:val="auto"/>
              </w:rPr>
              <w:t>Max</w:t>
            </w:r>
          </w:p>
        </w:tc>
        <w:tc>
          <w:tcPr>
            <w:tcW w:w="580" w:type="dxa"/>
            <w:vAlign w:val="bottom"/>
          </w:tcPr>
          <w:p>
            <w:pPr>
              <w:spacing w:after="0"/>
              <w:rPr>
                <w:sz w:val="14"/>
                <w:szCs w:val="14"/>
                <w:color w:val="auto"/>
              </w:rPr>
            </w:pPr>
          </w:p>
        </w:tc>
        <w:tc>
          <w:tcPr>
            <w:tcW w:w="1420" w:type="dxa"/>
            <w:vAlign w:val="bottom"/>
            <w:tcBorders>
              <w:top w:val="single" w:sz="8" w:color="auto"/>
            </w:tcBorders>
          </w:tcPr>
          <w:p>
            <w:pPr>
              <w:jc w:val="right"/>
              <w:ind w:right="854"/>
              <w:spacing w:after="0" w:line="164" w:lineRule="exact"/>
              <w:rPr>
                <w:sz w:val="20"/>
                <w:szCs w:val="20"/>
                <w:color w:val="auto"/>
              </w:rPr>
            </w:pPr>
            <w:r>
              <w:rPr>
                <w:rFonts w:ascii="Arial" w:cs="Arial" w:eastAsia="Arial" w:hAnsi="Arial"/>
                <w:sz w:val="17"/>
                <w:szCs w:val="17"/>
                <w:b w:val="1"/>
                <w:bCs w:val="1"/>
                <w:color w:val="auto"/>
              </w:rPr>
              <w:t>Min</w:t>
            </w:r>
          </w:p>
        </w:tc>
        <w:tc>
          <w:tcPr>
            <w:tcW w:w="1420" w:type="dxa"/>
            <w:vAlign w:val="bottom"/>
            <w:tcBorders>
              <w:top w:val="single" w:sz="8" w:color="auto"/>
            </w:tcBorders>
          </w:tcPr>
          <w:p>
            <w:pPr>
              <w:ind w:left="180"/>
              <w:spacing w:after="0" w:line="164" w:lineRule="exact"/>
              <w:rPr>
                <w:sz w:val="20"/>
                <w:szCs w:val="20"/>
                <w:color w:val="auto"/>
              </w:rPr>
            </w:pPr>
            <w:r>
              <w:rPr>
                <w:rFonts w:ascii="Arial" w:cs="Arial" w:eastAsia="Arial" w:hAnsi="Arial"/>
                <w:sz w:val="17"/>
                <w:szCs w:val="17"/>
                <w:b w:val="1"/>
                <w:bCs w:val="1"/>
                <w:color w:val="auto"/>
              </w:rPr>
              <w:t>Max</w:t>
            </w:r>
          </w:p>
        </w:tc>
      </w:tr>
      <w:tr>
        <w:trPr>
          <w:trHeight w:val="216"/>
        </w:trPr>
        <w:tc>
          <w:tcPr>
            <w:tcW w:w="4420" w:type="dxa"/>
            <w:vAlign w:val="bottom"/>
            <w:gridSpan w:val="2"/>
          </w:tcPr>
          <w:p>
            <w:pPr>
              <w:ind w:left="372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1420" w:type="dxa"/>
            <w:vAlign w:val="bottom"/>
          </w:tcPr>
          <w:p>
            <w:pPr>
              <w:ind w:left="180"/>
              <w:spacing w:after="0"/>
              <w:rPr>
                <w:sz w:val="20"/>
                <w:szCs w:val="20"/>
                <w:color w:val="auto"/>
              </w:rPr>
            </w:pPr>
            <w:r>
              <w:rPr>
                <w:rFonts w:ascii="Arial" w:cs="Arial" w:eastAsia="Arial" w:hAnsi="Arial"/>
                <w:sz w:val="17"/>
                <w:szCs w:val="17"/>
                <w:b w:val="1"/>
                <w:bCs w:val="1"/>
                <w:color w:val="auto"/>
              </w:rPr>
              <w:t>%</w:t>
            </w:r>
          </w:p>
        </w:tc>
      </w:tr>
      <w:tr>
        <w:trPr>
          <w:trHeight w:val="194"/>
        </w:trPr>
        <w:tc>
          <w:tcPr>
            <w:tcW w:w="4420" w:type="dxa"/>
            <w:vAlign w:val="bottom"/>
            <w:gridSpan w:val="2"/>
          </w:tcPr>
          <w:p>
            <w:pPr>
              <w:spacing w:after="0" w:line="194" w:lineRule="exact"/>
              <w:rPr>
                <w:sz w:val="20"/>
                <w:szCs w:val="20"/>
                <w:color w:val="auto"/>
              </w:rPr>
            </w:pPr>
            <w:r>
              <w:rPr>
                <w:rFonts w:ascii="Arial" w:cs="Arial" w:eastAsia="Arial" w:hAnsi="Arial"/>
                <w:sz w:val="17"/>
                <w:szCs w:val="17"/>
                <w:color w:val="auto"/>
              </w:rPr>
              <w:t>Boliviano</w:t>
            </w:r>
          </w:p>
        </w:tc>
        <w:tc>
          <w:tcPr>
            <w:tcW w:w="840" w:type="dxa"/>
            <w:vAlign w:val="bottom"/>
          </w:tcPr>
          <w:p>
            <w:pPr>
              <w:jc w:val="right"/>
              <w:ind w:right="74"/>
              <w:spacing w:after="0" w:line="194" w:lineRule="exact"/>
              <w:rPr>
                <w:sz w:val="20"/>
                <w:szCs w:val="20"/>
                <w:color w:val="auto"/>
              </w:rPr>
            </w:pPr>
            <w:r>
              <w:rPr>
                <w:rFonts w:ascii="Arial" w:cs="Arial" w:eastAsia="Arial" w:hAnsi="Arial"/>
                <w:sz w:val="17"/>
                <w:szCs w:val="17"/>
                <w:color w:val="auto"/>
              </w:rPr>
              <w:t>6.00</w:t>
            </w:r>
          </w:p>
        </w:tc>
        <w:tc>
          <w:tcPr>
            <w:tcW w:w="1440" w:type="dxa"/>
            <w:vAlign w:val="bottom"/>
          </w:tcPr>
          <w:p>
            <w:pPr>
              <w:jc w:val="right"/>
              <w:ind w:right="94"/>
              <w:spacing w:after="0" w:line="194" w:lineRule="exact"/>
              <w:rPr>
                <w:sz w:val="20"/>
                <w:szCs w:val="20"/>
                <w:color w:val="auto"/>
              </w:rPr>
            </w:pPr>
            <w:r>
              <w:rPr>
                <w:rFonts w:ascii="Arial" w:cs="Arial" w:eastAsia="Arial" w:hAnsi="Arial"/>
                <w:sz w:val="17"/>
                <w:szCs w:val="17"/>
                <w:color w:val="auto"/>
              </w:rPr>
              <w:t>6.00</w:t>
            </w:r>
          </w:p>
        </w:tc>
        <w:tc>
          <w:tcPr>
            <w:tcW w:w="580" w:type="dxa"/>
            <w:vAlign w:val="bottom"/>
          </w:tcPr>
          <w:p>
            <w:pPr>
              <w:spacing w:after="0"/>
              <w:rPr>
                <w:sz w:val="16"/>
                <w:szCs w:val="16"/>
                <w:color w:val="auto"/>
              </w:rPr>
            </w:pP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0.73</w:t>
            </w: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6.00</w:t>
            </w:r>
          </w:p>
        </w:tc>
      </w:tr>
      <w:tr>
        <w:trPr>
          <w:trHeight w:val="194"/>
        </w:trPr>
        <w:tc>
          <w:tcPr>
            <w:tcW w:w="4420" w:type="dxa"/>
            <w:vAlign w:val="bottom"/>
            <w:gridSpan w:val="2"/>
          </w:tcPr>
          <w:p>
            <w:pPr>
              <w:spacing w:after="0" w:line="194" w:lineRule="exact"/>
              <w:rPr>
                <w:sz w:val="20"/>
                <w:szCs w:val="20"/>
                <w:color w:val="auto"/>
              </w:rPr>
            </w:pPr>
            <w:r>
              <w:rPr>
                <w:rFonts w:ascii="Arial" w:cs="Arial" w:eastAsia="Arial" w:hAnsi="Arial"/>
                <w:sz w:val="17"/>
                <w:szCs w:val="17"/>
                <w:color w:val="auto"/>
              </w:rPr>
              <w:t>Chilean Peso</w:t>
            </w:r>
          </w:p>
        </w:tc>
        <w:tc>
          <w:tcPr>
            <w:tcW w:w="840" w:type="dxa"/>
            <w:vAlign w:val="bottom"/>
          </w:tcPr>
          <w:p>
            <w:pPr>
              <w:jc w:val="right"/>
              <w:ind w:right="74"/>
              <w:spacing w:after="0" w:line="194" w:lineRule="exact"/>
              <w:rPr>
                <w:sz w:val="20"/>
                <w:szCs w:val="20"/>
                <w:color w:val="auto"/>
              </w:rPr>
            </w:pPr>
            <w:r>
              <w:rPr>
                <w:rFonts w:ascii="Arial" w:cs="Arial" w:eastAsia="Arial" w:hAnsi="Arial"/>
                <w:sz w:val="17"/>
                <w:szCs w:val="17"/>
                <w:color w:val="auto"/>
              </w:rPr>
              <w:t>-</w:t>
            </w:r>
          </w:p>
        </w:tc>
        <w:tc>
          <w:tcPr>
            <w:tcW w:w="144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5.20</w:t>
            </w: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5.26</w:t>
            </w:r>
          </w:p>
        </w:tc>
      </w:tr>
      <w:tr>
        <w:trPr>
          <w:trHeight w:val="194"/>
        </w:trPr>
        <w:tc>
          <w:tcPr>
            <w:tcW w:w="4420" w:type="dxa"/>
            <w:vAlign w:val="bottom"/>
            <w:gridSpan w:val="2"/>
          </w:tcPr>
          <w:p>
            <w:pPr>
              <w:spacing w:after="0" w:line="194" w:lineRule="exact"/>
              <w:rPr>
                <w:sz w:val="20"/>
                <w:szCs w:val="20"/>
                <w:color w:val="auto"/>
              </w:rPr>
            </w:pPr>
            <w:r>
              <w:rPr>
                <w:rFonts w:ascii="Arial" w:cs="Arial" w:eastAsia="Arial" w:hAnsi="Arial"/>
                <w:sz w:val="17"/>
                <w:szCs w:val="17"/>
                <w:color w:val="auto"/>
              </w:rPr>
              <w:t>Colombian Peso</w:t>
            </w:r>
          </w:p>
        </w:tc>
        <w:tc>
          <w:tcPr>
            <w:tcW w:w="840" w:type="dxa"/>
            <w:vAlign w:val="bottom"/>
          </w:tcPr>
          <w:p>
            <w:pPr>
              <w:jc w:val="right"/>
              <w:ind w:right="74"/>
              <w:spacing w:after="0" w:line="194" w:lineRule="exact"/>
              <w:rPr>
                <w:sz w:val="20"/>
                <w:szCs w:val="20"/>
                <w:color w:val="auto"/>
              </w:rPr>
            </w:pPr>
            <w:r>
              <w:rPr>
                <w:rFonts w:ascii="Arial" w:cs="Arial" w:eastAsia="Arial" w:hAnsi="Arial"/>
                <w:sz w:val="17"/>
                <w:szCs w:val="17"/>
                <w:color w:val="auto"/>
              </w:rPr>
              <w:t>0.40</w:t>
            </w:r>
          </w:p>
        </w:tc>
        <w:tc>
          <w:tcPr>
            <w:tcW w:w="144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17.04</w:t>
            </w:r>
          </w:p>
        </w:tc>
        <w:tc>
          <w:tcPr>
            <w:tcW w:w="580" w:type="dxa"/>
            <w:vAlign w:val="bottom"/>
          </w:tcPr>
          <w:p>
            <w:pPr>
              <w:spacing w:after="0"/>
              <w:rPr>
                <w:sz w:val="16"/>
                <w:szCs w:val="16"/>
                <w:color w:val="auto"/>
              </w:rPr>
            </w:pP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0.40</w:t>
            </w: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8.30</w:t>
            </w:r>
          </w:p>
        </w:tc>
      </w:tr>
      <w:tr>
        <w:trPr>
          <w:trHeight w:val="208"/>
        </w:trPr>
        <w:tc>
          <w:tcPr>
            <w:tcW w:w="4420" w:type="dxa"/>
            <w:vAlign w:val="bottom"/>
            <w:gridSpan w:val="2"/>
          </w:tcPr>
          <w:p>
            <w:pPr>
              <w:spacing w:after="0"/>
              <w:rPr>
                <w:sz w:val="20"/>
                <w:szCs w:val="20"/>
                <w:color w:val="auto"/>
              </w:rPr>
            </w:pPr>
            <w:r>
              <w:rPr>
                <w:rFonts w:ascii="Arial" w:cs="Arial" w:eastAsia="Arial" w:hAnsi="Arial"/>
                <w:sz w:val="17"/>
                <w:szCs w:val="17"/>
                <w:color w:val="auto"/>
              </w:rPr>
              <w:t>U.S. Dollar</w:t>
            </w:r>
          </w:p>
        </w:tc>
        <w:tc>
          <w:tcPr>
            <w:tcW w:w="840" w:type="dxa"/>
            <w:vAlign w:val="bottom"/>
          </w:tcPr>
          <w:p>
            <w:pPr>
              <w:jc w:val="right"/>
              <w:ind w:right="74"/>
              <w:spacing w:after="0"/>
              <w:rPr>
                <w:sz w:val="20"/>
                <w:szCs w:val="20"/>
                <w:color w:val="auto"/>
              </w:rPr>
            </w:pPr>
            <w:r>
              <w:rPr>
                <w:rFonts w:ascii="Arial" w:cs="Arial" w:eastAsia="Arial" w:hAnsi="Arial"/>
                <w:sz w:val="17"/>
                <w:szCs w:val="17"/>
                <w:color w:val="auto"/>
              </w:rPr>
              <w:t>1.50</w:t>
            </w: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6.32</w:t>
            </w:r>
          </w:p>
        </w:tc>
        <w:tc>
          <w:tcPr>
            <w:tcW w:w="580" w:type="dxa"/>
            <w:vAlign w:val="bottom"/>
          </w:tcPr>
          <w:p>
            <w:pPr>
              <w:spacing w:after="0"/>
              <w:rPr>
                <w:sz w:val="18"/>
                <w:szCs w:val="18"/>
                <w:color w:val="auto"/>
              </w:rPr>
            </w:pPr>
          </w:p>
        </w:tc>
        <w:tc>
          <w:tcPr>
            <w:tcW w:w="1420" w:type="dxa"/>
            <w:vAlign w:val="bottom"/>
          </w:tcPr>
          <w:p>
            <w:pPr>
              <w:jc w:val="right"/>
              <w:ind w:right="94"/>
              <w:spacing w:after="0"/>
              <w:rPr>
                <w:sz w:val="20"/>
                <w:szCs w:val="20"/>
                <w:color w:val="auto"/>
              </w:rPr>
            </w:pPr>
            <w:r>
              <w:rPr>
                <w:rFonts w:ascii="Arial" w:cs="Arial" w:eastAsia="Arial" w:hAnsi="Arial"/>
                <w:sz w:val="17"/>
                <w:szCs w:val="17"/>
                <w:color w:val="auto"/>
              </w:rPr>
              <w:t>0.43</w:t>
            </w:r>
          </w:p>
        </w:tc>
        <w:tc>
          <w:tcPr>
            <w:tcW w:w="1420" w:type="dxa"/>
            <w:vAlign w:val="bottom"/>
          </w:tcPr>
          <w:p>
            <w:pPr>
              <w:jc w:val="right"/>
              <w:ind w:right="94"/>
              <w:spacing w:after="0"/>
              <w:rPr>
                <w:sz w:val="20"/>
                <w:szCs w:val="20"/>
                <w:color w:val="auto"/>
              </w:rPr>
            </w:pPr>
            <w:r>
              <w:rPr>
                <w:rFonts w:ascii="Arial" w:cs="Arial" w:eastAsia="Arial" w:hAnsi="Arial"/>
                <w:sz w:val="17"/>
                <w:szCs w:val="17"/>
                <w:color w:val="auto"/>
              </w:rPr>
              <w:t>6.30</w:t>
            </w:r>
          </w:p>
        </w:tc>
      </w:tr>
    </w:tbl>
    <w:p>
      <w:pPr>
        <w:spacing w:after="0" w:line="375" w:lineRule="exact"/>
        <w:rPr>
          <w:sz w:val="20"/>
          <w:szCs w:val="20"/>
          <w:color w:val="auto"/>
        </w:rPr>
      </w:pPr>
    </w:p>
    <w:p>
      <w:pPr>
        <w:ind w:left="615" w:hanging="304"/>
        <w:spacing w:after="0" w:line="242" w:lineRule="auto"/>
        <w:tabs>
          <w:tab w:leader="none" w:pos="615"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In November 2022, the Bank agreed on a loan under the Club Deal Loan Format at 25 months for US$250.0 million equivalent to S/953.5 million, having as borrowers to five foreign banks: Wells Fargo – Administrative Agent, Standard Chartered, JP Morgan Chase, HSBC Bank and Bank of America. The loan accrues interest at a variable interest rate of 3 months SOFR plus a 1.5 percent spread. Likewise, the expenses related to said transaction were deferred and accrued proportionally during the months of November and December 2022 and will continue accruing during the term of the loan.</w:t>
      </w:r>
    </w:p>
    <w:p>
      <w:pPr>
        <w:spacing w:after="0" w:line="180" w:lineRule="exact"/>
        <w:rPr>
          <w:rFonts w:ascii="Arial" w:cs="Arial" w:eastAsia="Arial" w:hAnsi="Arial"/>
          <w:sz w:val="17"/>
          <w:szCs w:val="17"/>
          <w:color w:val="auto"/>
        </w:rPr>
      </w:pPr>
    </w:p>
    <w:p>
      <w:pPr>
        <w:ind w:left="315" w:right="40" w:hanging="315"/>
        <w:spacing w:after="0" w:line="241" w:lineRule="auto"/>
        <w:tabs>
          <w:tab w:leader="none" w:pos="31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Promotional credit lines represent loans granted by Corporación Financiera de Desarrollo and Fondo de Cooperación para el Desarrollo Social (COFIDE and FONCODES by its acronyms in Spanish, respectively) to promote the development of Peru, they mature between January 2023 and January 2032 and bear annual interest in soles at rates that fluctuate between 3.50 percent and 7.60 percent and interest in foreign currency 7.75 percent as of December 31, 2022 (between January 2022 and January 2032 and with annual interest in soles between 6.00 percent and 7.60 percent and interest in foreign currency 7.75 percent as of December 31, 2021). These lines of credit are guaranteed with a portfolio of Fondo Mi Vivienda mortgage loans amounting to S/4,107.3 million and S/3,592.0 million, as of December 31, 2022 and 2021, respectively.</w:t>
      </w:r>
    </w:p>
    <w:p>
      <w:pPr>
        <w:spacing w:after="0" w:line="180" w:lineRule="exact"/>
        <w:rPr>
          <w:rFonts w:ascii="Arial" w:cs="Arial" w:eastAsia="Arial" w:hAnsi="Arial"/>
          <w:sz w:val="17"/>
          <w:szCs w:val="17"/>
          <w:color w:val="auto"/>
        </w:rPr>
      </w:pPr>
    </w:p>
    <w:p>
      <w:pPr>
        <w:ind w:left="315" w:right="100" w:hanging="315"/>
        <w:spacing w:after="0" w:line="254" w:lineRule="auto"/>
        <w:tabs>
          <w:tab w:leader="none" w:pos="31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 of December 31, 2022 and 2021 the following table presents the maturities of due to banks and based on the period remaining to maturity:</w:t>
      </w:r>
    </w:p>
    <w:p>
      <w:pPr>
        <w:spacing w:after="0" w:line="147" w:lineRule="exact"/>
        <w:rPr>
          <w:sz w:val="20"/>
          <w:szCs w:val="20"/>
          <w:color w:val="auto"/>
        </w:rPr>
      </w:pPr>
    </w:p>
    <w:tbl>
      <w:tblPr>
        <w:tblLayout w:type="fixed"/>
        <w:tblInd w:w="395"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2021</w:t>
            </w:r>
          </w:p>
        </w:tc>
      </w:tr>
      <w:tr>
        <w:trPr>
          <w:trHeight w:val="223"/>
        </w:trPr>
        <w:tc>
          <w:tcPr>
            <w:tcW w:w="6320" w:type="dxa"/>
            <w:vAlign w:val="bottom"/>
          </w:tcPr>
          <w:p>
            <w:pPr>
              <w:spacing w:after="0"/>
              <w:rPr>
                <w:sz w:val="19"/>
                <w:szCs w:val="19"/>
                <w:color w:val="auto"/>
              </w:rPr>
            </w:pPr>
          </w:p>
        </w:tc>
        <w:tc>
          <w:tcPr>
            <w:tcW w:w="116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180" w:type="dxa"/>
            <w:vAlign w:val="bottom"/>
          </w:tcPr>
          <w:p>
            <w:pPr>
              <w:ind w:left="100"/>
              <w:spacing w:after="0"/>
              <w:rPr>
                <w:sz w:val="20"/>
                <w:szCs w:val="20"/>
                <w:color w:val="auto"/>
              </w:rPr>
            </w:pPr>
            <w:r>
              <w:rPr>
                <w:rFonts w:ascii="Arial" w:cs="Arial" w:eastAsia="Arial" w:hAnsi="Arial"/>
                <w:sz w:val="17"/>
                <w:szCs w:val="17"/>
                <w:b w:val="1"/>
                <w:bCs w:val="1"/>
                <w:color w:val="auto"/>
              </w:rPr>
              <w:t>S/(000)</w:t>
            </w:r>
          </w:p>
        </w:tc>
      </w:tr>
      <w:tr>
        <w:trPr>
          <w:trHeight w:val="352"/>
        </w:trPr>
        <w:tc>
          <w:tcPr>
            <w:tcW w:w="6320" w:type="dxa"/>
            <w:vAlign w:val="bottom"/>
          </w:tcPr>
          <w:p>
            <w:pPr>
              <w:spacing w:after="0"/>
              <w:rPr>
                <w:sz w:val="20"/>
                <w:szCs w:val="20"/>
                <w:color w:val="auto"/>
              </w:rPr>
            </w:pPr>
            <w:r>
              <w:rPr>
                <w:rFonts w:ascii="Arial" w:cs="Arial" w:eastAsia="Arial" w:hAnsi="Arial"/>
                <w:sz w:val="17"/>
                <w:szCs w:val="17"/>
                <w:color w:val="auto"/>
              </w:rPr>
              <w:t>Up to 3 months</w:t>
            </w: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1,420,872</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1,786,693</w:t>
            </w: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From 3 months to 1 year</w:t>
            </w:r>
          </w:p>
        </w:tc>
        <w:tc>
          <w:tcPr>
            <w:tcW w:w="11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1,562,224</w:t>
            </w:r>
          </w:p>
        </w:tc>
        <w:tc>
          <w:tcPr>
            <w:tcW w:w="240" w:type="dxa"/>
            <w:vAlign w:val="bottom"/>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1,255,291</w:t>
            </w: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From 1 to 3 years</w:t>
            </w:r>
          </w:p>
        </w:tc>
        <w:tc>
          <w:tcPr>
            <w:tcW w:w="11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2,660,926</w:t>
            </w:r>
          </w:p>
        </w:tc>
        <w:tc>
          <w:tcPr>
            <w:tcW w:w="240" w:type="dxa"/>
            <w:vAlign w:val="bottom"/>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1,091,482</w:t>
            </w: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From 3 to 5 years</w:t>
            </w:r>
          </w:p>
        </w:tc>
        <w:tc>
          <w:tcPr>
            <w:tcW w:w="11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694,308</w:t>
            </w:r>
          </w:p>
        </w:tc>
        <w:tc>
          <w:tcPr>
            <w:tcW w:w="240" w:type="dxa"/>
            <w:vAlign w:val="bottom"/>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781,547</w:t>
            </w: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More than 5 years</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2,463,581</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2,196,448</w:t>
            </w:r>
          </w:p>
        </w:tc>
      </w:tr>
      <w:tr>
        <w:trPr>
          <w:trHeight w:val="193"/>
        </w:trPr>
        <w:tc>
          <w:tcPr>
            <w:tcW w:w="632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1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8,801,911</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7,111,461</w:t>
            </w:r>
          </w:p>
        </w:tc>
      </w:tr>
    </w:tbl>
    <w:p>
      <w:pPr>
        <w:spacing w:after="0" w:line="193" w:lineRule="exact"/>
        <w:rPr>
          <w:sz w:val="20"/>
          <w:szCs w:val="20"/>
          <w:color w:val="auto"/>
        </w:rPr>
      </w:pPr>
    </w:p>
    <w:p>
      <w:pPr>
        <w:ind w:left="315" w:right="380" w:hanging="315"/>
        <w:spacing w:after="0" w:line="254" w:lineRule="auto"/>
        <w:tabs>
          <w:tab w:leader="none" w:pos="31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 of December 31, 2022 and 2021, lines of credit granted by various local and foreign financial institutions, to be used for future operating activities total S/8,801.9 million and S/7,111.5 million, respectively.</w:t>
      </w:r>
    </w:p>
    <w:p>
      <w:pPr>
        <w:spacing w:after="0" w:line="143" w:lineRule="exact"/>
        <w:rPr>
          <w:rFonts w:ascii="Arial" w:cs="Arial" w:eastAsia="Arial" w:hAnsi="Arial"/>
          <w:sz w:val="17"/>
          <w:szCs w:val="17"/>
          <w:color w:val="auto"/>
        </w:rPr>
      </w:pPr>
    </w:p>
    <w:p>
      <w:pPr>
        <w:ind w:left="4895" w:hanging="97"/>
        <w:spacing w:after="0"/>
        <w:tabs>
          <w:tab w:leader="none" w:pos="4895" w:val="left"/>
        </w:tabs>
        <w:numPr>
          <w:ilvl w:val="1"/>
          <w:numId w:val="115"/>
        </w:numPr>
        <w:rPr>
          <w:rFonts w:ascii="Arial" w:cs="Arial" w:eastAsia="Arial" w:hAnsi="Arial"/>
          <w:sz w:val="17"/>
          <w:szCs w:val="17"/>
          <w:color w:val="auto"/>
        </w:rPr>
      </w:pPr>
      <w:r>
        <w:rPr>
          <w:rFonts w:ascii="Arial" w:cs="Arial" w:eastAsia="Arial" w:hAnsi="Arial"/>
          <w:sz w:val="17"/>
          <w:szCs w:val="17"/>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495"/>
          </w:cols>
          <w:pgMar w:left="945" w:top="140" w:right="459" w:bottom="1440" w:gutter="0" w:footer="0" w:header="0"/>
        </w:sectPr>
      </w:pPr>
    </w:p>
    <w:bookmarkStart w:id="102" w:name="page103"/>
    <w:bookmarkEnd w:id="102"/>
    <w:p>
      <w:pPr>
        <w:ind w:left="940" w:right="120" w:hanging="315"/>
        <w:spacing w:after="0" w:line="245" w:lineRule="auto"/>
        <w:tabs>
          <w:tab w:leader="none" w:pos="9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Certain debts to banks, correspondents and other entities include specific agreements on how the funds received should be used, the financial conditions that the Bank must maintain, as well as other administrative matters. In Management's opinion, these specific agreements have been fulfilled by the Bank as of December 31, 2022 and 2021.</w:t>
      </w:r>
    </w:p>
    <w:p>
      <w:pPr>
        <w:spacing w:after="0" w:line="155" w:lineRule="exact"/>
        <w:rPr>
          <w:sz w:val="20"/>
          <w:szCs w:val="20"/>
          <w:color w:val="auto"/>
        </w:rPr>
      </w:pPr>
    </w:p>
    <w:p>
      <w:pPr>
        <w:ind w:left="620" w:hanging="616"/>
        <w:spacing w:after="0"/>
        <w:tabs>
          <w:tab w:leader="none" w:pos="62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RESERVES FOR INSURANCE CLAIMS AND PREMIUMS</w:t>
      </w:r>
    </w:p>
    <w:p>
      <w:pPr>
        <w:spacing w:after="0" w:line="215" w:lineRule="exact"/>
        <w:rPr>
          <w:rFonts w:ascii="Arial" w:cs="Arial" w:eastAsia="Arial" w:hAnsi="Arial"/>
          <w:sz w:val="17"/>
          <w:szCs w:val="17"/>
          <w:b w:val="1"/>
          <w:bCs w:val="1"/>
          <w:color w:val="auto"/>
        </w:rPr>
      </w:pPr>
    </w:p>
    <w:p>
      <w:pPr>
        <w:ind w:left="940" w:hanging="315"/>
        <w:spacing w:after="0"/>
        <w:tabs>
          <w:tab w:leader="none" w:pos="9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This item consists of the following:</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164"/>
        </w:trPr>
        <w:tc>
          <w:tcPr>
            <w:tcW w:w="4200" w:type="dxa"/>
            <w:vAlign w:val="bottom"/>
          </w:tcPr>
          <w:p>
            <w:pPr>
              <w:spacing w:after="0"/>
              <w:rPr>
                <w:sz w:val="14"/>
                <w:szCs w:val="14"/>
                <w:color w:val="auto"/>
              </w:rPr>
            </w:pPr>
          </w:p>
        </w:tc>
        <w:tc>
          <w:tcPr>
            <w:tcW w:w="1840" w:type="dxa"/>
            <w:vAlign w:val="bottom"/>
            <w:gridSpan w:val="2"/>
          </w:tcPr>
          <w:p>
            <w:pPr>
              <w:ind w:left="80"/>
              <w:spacing w:after="0" w:line="164" w:lineRule="exact"/>
              <w:rPr>
                <w:sz w:val="20"/>
                <w:szCs w:val="20"/>
                <w:color w:val="auto"/>
              </w:rPr>
            </w:pPr>
            <w:r>
              <w:rPr>
                <w:rFonts w:ascii="Arial" w:cs="Arial" w:eastAsia="Arial" w:hAnsi="Arial"/>
                <w:sz w:val="17"/>
                <w:szCs w:val="17"/>
                <w:b w:val="1"/>
                <w:bCs w:val="1"/>
                <w:color w:val="auto"/>
              </w:rPr>
              <w:t>Technical</w:t>
            </w:r>
          </w:p>
        </w:tc>
        <w:tc>
          <w:tcPr>
            <w:tcW w:w="1880" w:type="dxa"/>
            <w:vAlign w:val="bottom"/>
            <w:gridSpan w:val="2"/>
          </w:tcPr>
          <w:p>
            <w:pPr>
              <w:ind w:left="100"/>
              <w:spacing w:after="0" w:line="164" w:lineRule="exact"/>
              <w:rPr>
                <w:sz w:val="20"/>
                <w:szCs w:val="20"/>
                <w:color w:val="auto"/>
              </w:rPr>
            </w:pPr>
            <w:r>
              <w:rPr>
                <w:rFonts w:ascii="Arial" w:cs="Arial" w:eastAsia="Arial" w:hAnsi="Arial"/>
                <w:sz w:val="17"/>
                <w:szCs w:val="17"/>
                <w:b w:val="1"/>
                <w:bCs w:val="1"/>
                <w:color w:val="auto"/>
              </w:rPr>
              <w:t>Technical</w:t>
            </w:r>
          </w:p>
        </w:tc>
        <w:tc>
          <w:tcPr>
            <w:tcW w:w="1620" w:type="dxa"/>
            <w:vAlign w:val="bottom"/>
          </w:tcPr>
          <w:p>
            <w:pPr>
              <w:spacing w:after="0"/>
              <w:rPr>
                <w:sz w:val="14"/>
                <w:szCs w:val="14"/>
                <w:color w:val="auto"/>
              </w:rPr>
            </w:pPr>
          </w:p>
        </w:tc>
      </w:tr>
      <w:tr>
        <w:trPr>
          <w:trHeight w:val="194"/>
        </w:trPr>
        <w:tc>
          <w:tcPr>
            <w:tcW w:w="4200" w:type="dxa"/>
            <w:vAlign w:val="bottom"/>
          </w:tcPr>
          <w:p>
            <w:pPr>
              <w:spacing w:after="0"/>
              <w:rPr>
                <w:sz w:val="16"/>
                <w:szCs w:val="16"/>
                <w:color w:val="auto"/>
              </w:rPr>
            </w:pPr>
          </w:p>
        </w:tc>
        <w:tc>
          <w:tcPr>
            <w:tcW w:w="184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reserves for</w:t>
            </w:r>
          </w:p>
        </w:tc>
        <w:tc>
          <w:tcPr>
            <w:tcW w:w="188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reserves for</w:t>
            </w:r>
          </w:p>
        </w:tc>
        <w:tc>
          <w:tcPr>
            <w:tcW w:w="1620" w:type="dxa"/>
            <w:vAlign w:val="bottom"/>
          </w:tcPr>
          <w:p>
            <w:pPr>
              <w:spacing w:after="0"/>
              <w:rPr>
                <w:sz w:val="16"/>
                <w:szCs w:val="16"/>
                <w:color w:val="auto"/>
              </w:rPr>
            </w:pPr>
          </w:p>
        </w:tc>
      </w:tr>
      <w:tr>
        <w:trPr>
          <w:trHeight w:val="217"/>
        </w:trPr>
        <w:tc>
          <w:tcPr>
            <w:tcW w:w="420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7"/>
                <w:szCs w:val="17"/>
                <w:b w:val="1"/>
                <w:bCs w:val="1"/>
                <w:color w:val="auto"/>
              </w:rPr>
              <w:t>claims</w:t>
            </w:r>
          </w:p>
        </w:tc>
        <w:tc>
          <w:tcPr>
            <w:tcW w:w="1880" w:type="dxa"/>
            <w:vAlign w:val="bottom"/>
            <w:gridSpan w:val="2"/>
          </w:tcPr>
          <w:p>
            <w:pPr>
              <w:ind w:left="100"/>
              <w:spacing w:after="0"/>
              <w:rPr>
                <w:sz w:val="20"/>
                <w:szCs w:val="20"/>
                <w:color w:val="auto"/>
              </w:rPr>
            </w:pPr>
            <w:r>
              <w:rPr>
                <w:rFonts w:ascii="Arial" w:cs="Arial" w:eastAsia="Arial" w:hAnsi="Arial"/>
                <w:sz w:val="17"/>
                <w:szCs w:val="17"/>
                <w:b w:val="1"/>
                <w:bCs w:val="1"/>
                <w:color w:val="auto"/>
              </w:rPr>
              <w:t>premiums (*)</w:t>
            </w:r>
          </w:p>
        </w:tc>
        <w:tc>
          <w:tcPr>
            <w:tcW w:w="1620" w:type="dxa"/>
            <w:vAlign w:val="bottom"/>
          </w:tcPr>
          <w:p>
            <w:pPr>
              <w:ind w:left="100"/>
              <w:spacing w:after="0"/>
              <w:rPr>
                <w:sz w:val="20"/>
                <w:szCs w:val="20"/>
                <w:color w:val="auto"/>
              </w:rPr>
            </w:pPr>
            <w:r>
              <w:rPr>
                <w:rFonts w:ascii="Arial" w:cs="Arial" w:eastAsia="Arial" w:hAnsi="Arial"/>
                <w:sz w:val="17"/>
                <w:szCs w:val="17"/>
                <w:b w:val="1"/>
                <w:bCs w:val="1"/>
                <w:color w:val="auto"/>
              </w:rPr>
              <w:t>Total</w:t>
            </w:r>
          </w:p>
        </w:tc>
      </w:tr>
      <w:tr>
        <w:trPr>
          <w:trHeight w:val="223"/>
        </w:trPr>
        <w:tc>
          <w:tcPr>
            <w:tcW w:w="4200" w:type="dxa"/>
            <w:vAlign w:val="bottom"/>
          </w:tcPr>
          <w:p>
            <w:pPr>
              <w:spacing w:after="0"/>
              <w:rPr>
                <w:sz w:val="19"/>
                <w:szCs w:val="19"/>
                <w:color w:val="auto"/>
              </w:rPr>
            </w:pPr>
          </w:p>
        </w:tc>
        <w:tc>
          <w:tcPr>
            <w:tcW w:w="160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62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260" w:type="dxa"/>
            <w:vAlign w:val="bottom"/>
          </w:tcPr>
          <w:p>
            <w:pPr>
              <w:spacing w:after="0"/>
              <w:rPr>
                <w:sz w:val="19"/>
                <w:szCs w:val="19"/>
                <w:color w:val="auto"/>
              </w:rPr>
            </w:pPr>
          </w:p>
        </w:tc>
        <w:tc>
          <w:tcPr>
            <w:tcW w:w="162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r>
      <w:tr>
        <w:trPr>
          <w:trHeight w:val="352"/>
        </w:trPr>
        <w:tc>
          <w:tcPr>
            <w:tcW w:w="4200" w:type="dxa"/>
            <w:vAlign w:val="bottom"/>
          </w:tcPr>
          <w:p>
            <w:pPr>
              <w:spacing w:after="0"/>
              <w:rPr>
                <w:sz w:val="20"/>
                <w:szCs w:val="20"/>
                <w:color w:val="auto"/>
              </w:rPr>
            </w:pPr>
            <w:r>
              <w:rPr>
                <w:rFonts w:ascii="Arial" w:cs="Arial" w:eastAsia="Arial" w:hAnsi="Arial"/>
                <w:sz w:val="17"/>
                <w:szCs w:val="17"/>
                <w:color w:val="auto"/>
              </w:rPr>
              <w:t>Life insurance</w:t>
            </w:r>
          </w:p>
        </w:tc>
        <w:tc>
          <w:tcPr>
            <w:tcW w:w="1600" w:type="dxa"/>
            <w:vAlign w:val="bottom"/>
          </w:tcPr>
          <w:p>
            <w:pPr>
              <w:jc w:val="right"/>
              <w:ind w:right="14"/>
              <w:spacing w:after="0"/>
              <w:rPr>
                <w:sz w:val="20"/>
                <w:szCs w:val="20"/>
                <w:color w:val="auto"/>
              </w:rPr>
            </w:pPr>
            <w:r>
              <w:rPr>
                <w:rFonts w:ascii="Arial" w:cs="Arial" w:eastAsia="Arial" w:hAnsi="Arial"/>
                <w:sz w:val="17"/>
                <w:szCs w:val="17"/>
                <w:color w:val="auto"/>
              </w:rPr>
              <w:t>1,790,666</w:t>
            </w:r>
          </w:p>
        </w:tc>
        <w:tc>
          <w:tcPr>
            <w:tcW w:w="240" w:type="dxa"/>
            <w:vAlign w:val="bottom"/>
          </w:tcPr>
          <w:p>
            <w:pPr>
              <w:spacing w:after="0"/>
              <w:rPr>
                <w:sz w:val="24"/>
                <w:szCs w:val="24"/>
                <w:color w:val="auto"/>
              </w:rPr>
            </w:pPr>
          </w:p>
        </w:tc>
        <w:tc>
          <w:tcPr>
            <w:tcW w:w="1620" w:type="dxa"/>
            <w:vAlign w:val="bottom"/>
          </w:tcPr>
          <w:p>
            <w:pPr>
              <w:jc w:val="right"/>
              <w:ind w:right="14"/>
              <w:spacing w:after="0"/>
              <w:rPr>
                <w:sz w:val="20"/>
                <w:szCs w:val="20"/>
                <w:color w:val="auto"/>
              </w:rPr>
            </w:pPr>
            <w:r>
              <w:rPr>
                <w:rFonts w:ascii="Arial" w:cs="Arial" w:eastAsia="Arial" w:hAnsi="Arial"/>
                <w:sz w:val="17"/>
                <w:szCs w:val="17"/>
                <w:color w:val="auto"/>
              </w:rPr>
              <w:t>8,478,060</w:t>
            </w:r>
          </w:p>
        </w:tc>
        <w:tc>
          <w:tcPr>
            <w:tcW w:w="260" w:type="dxa"/>
            <w:vAlign w:val="bottom"/>
          </w:tcPr>
          <w:p>
            <w:pPr>
              <w:spacing w:after="0"/>
              <w:rPr>
                <w:sz w:val="24"/>
                <w:szCs w:val="24"/>
                <w:color w:val="auto"/>
              </w:rPr>
            </w:pPr>
          </w:p>
        </w:tc>
        <w:tc>
          <w:tcPr>
            <w:tcW w:w="1620" w:type="dxa"/>
            <w:vAlign w:val="bottom"/>
          </w:tcPr>
          <w:p>
            <w:pPr>
              <w:jc w:val="right"/>
              <w:ind w:right="14"/>
              <w:spacing w:after="0"/>
              <w:rPr>
                <w:sz w:val="20"/>
                <w:szCs w:val="20"/>
                <w:color w:val="auto"/>
              </w:rPr>
            </w:pPr>
            <w:r>
              <w:rPr>
                <w:rFonts w:ascii="Arial" w:cs="Arial" w:eastAsia="Arial" w:hAnsi="Arial"/>
                <w:sz w:val="17"/>
                <w:szCs w:val="17"/>
                <w:color w:val="auto"/>
              </w:rPr>
              <w:t>10,268,726</w:t>
            </w:r>
          </w:p>
        </w:tc>
      </w:tr>
      <w:tr>
        <w:trPr>
          <w:trHeight w:val="194"/>
        </w:trPr>
        <w:tc>
          <w:tcPr>
            <w:tcW w:w="4200" w:type="dxa"/>
            <w:vAlign w:val="bottom"/>
          </w:tcPr>
          <w:p>
            <w:pPr>
              <w:spacing w:after="0" w:line="194" w:lineRule="exact"/>
              <w:rPr>
                <w:sz w:val="20"/>
                <w:szCs w:val="20"/>
                <w:color w:val="auto"/>
              </w:rPr>
            </w:pPr>
            <w:r>
              <w:rPr>
                <w:rFonts w:ascii="Arial" w:cs="Arial" w:eastAsia="Arial" w:hAnsi="Arial"/>
                <w:sz w:val="17"/>
                <w:szCs w:val="17"/>
                <w:color w:val="auto"/>
              </w:rPr>
              <w:t>General insurance</w:t>
            </w:r>
          </w:p>
        </w:tc>
        <w:tc>
          <w:tcPr>
            <w:tcW w:w="16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694,576</w:t>
            </w:r>
          </w:p>
        </w:tc>
        <w:tc>
          <w:tcPr>
            <w:tcW w:w="240" w:type="dxa"/>
            <w:vAlign w:val="bottom"/>
          </w:tcPr>
          <w:p>
            <w:pPr>
              <w:spacing w:after="0"/>
              <w:rPr>
                <w:sz w:val="16"/>
                <w:szCs w:val="16"/>
                <w:color w:val="auto"/>
              </w:rPr>
            </w:pPr>
          </w:p>
        </w:tc>
        <w:tc>
          <w:tcPr>
            <w:tcW w:w="16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670,341</w:t>
            </w:r>
          </w:p>
        </w:tc>
        <w:tc>
          <w:tcPr>
            <w:tcW w:w="260" w:type="dxa"/>
            <w:vAlign w:val="bottom"/>
          </w:tcPr>
          <w:p>
            <w:pPr>
              <w:spacing w:after="0"/>
              <w:rPr>
                <w:sz w:val="16"/>
                <w:szCs w:val="16"/>
                <w:color w:val="auto"/>
              </w:rPr>
            </w:pPr>
          </w:p>
        </w:tc>
        <w:tc>
          <w:tcPr>
            <w:tcW w:w="16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1,364,917</w:t>
            </w:r>
          </w:p>
        </w:tc>
      </w:tr>
      <w:tr>
        <w:trPr>
          <w:trHeight w:val="195"/>
        </w:trPr>
        <w:tc>
          <w:tcPr>
            <w:tcW w:w="4200" w:type="dxa"/>
            <w:vAlign w:val="bottom"/>
          </w:tcPr>
          <w:p>
            <w:pPr>
              <w:spacing w:after="0"/>
              <w:rPr>
                <w:sz w:val="20"/>
                <w:szCs w:val="20"/>
                <w:color w:val="auto"/>
              </w:rPr>
            </w:pPr>
            <w:r>
              <w:rPr>
                <w:rFonts w:ascii="Arial" w:cs="Arial" w:eastAsia="Arial" w:hAnsi="Arial"/>
                <w:sz w:val="17"/>
                <w:szCs w:val="17"/>
                <w:color w:val="auto"/>
              </w:rPr>
              <w:t>Health insurance</w:t>
            </w:r>
          </w:p>
        </w:tc>
        <w:tc>
          <w:tcPr>
            <w:tcW w:w="16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157,934</w:t>
            </w:r>
          </w:p>
        </w:tc>
        <w:tc>
          <w:tcPr>
            <w:tcW w:w="240" w:type="dxa"/>
            <w:vAlign w:val="bottom"/>
          </w:tcPr>
          <w:p>
            <w:pPr>
              <w:spacing w:after="0"/>
              <w:rPr>
                <w:sz w:val="16"/>
                <w:szCs w:val="16"/>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199,382</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357,316</w:t>
            </w:r>
          </w:p>
        </w:tc>
      </w:tr>
      <w:tr>
        <w:trPr>
          <w:trHeight w:val="193"/>
        </w:trPr>
        <w:tc>
          <w:tcPr>
            <w:tcW w:w="420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60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2,643,176</w:t>
            </w:r>
          </w:p>
        </w:tc>
        <w:tc>
          <w:tcPr>
            <w:tcW w:w="240" w:type="dxa"/>
            <w:vAlign w:val="bottom"/>
          </w:tcPr>
          <w:p>
            <w:pPr>
              <w:spacing w:after="0"/>
              <w:rPr>
                <w:sz w:val="16"/>
                <w:szCs w:val="16"/>
                <w:color w:val="auto"/>
              </w:rPr>
            </w:pPr>
          </w:p>
        </w:tc>
        <w:tc>
          <w:tcPr>
            <w:tcW w:w="16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9,347,783</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11,990,959</w:t>
            </w:r>
          </w:p>
        </w:tc>
      </w:tr>
      <w:tr>
        <w:trPr>
          <w:trHeight w:val="389"/>
        </w:trPr>
        <w:tc>
          <w:tcPr>
            <w:tcW w:w="4200" w:type="dxa"/>
            <w:vAlign w:val="bottom"/>
          </w:tcPr>
          <w:p>
            <w:pPr>
              <w:spacing w:after="0"/>
              <w:rPr>
                <w:sz w:val="24"/>
                <w:szCs w:val="24"/>
                <w:color w:val="auto"/>
              </w:rPr>
            </w:pP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64"/>
        </w:trPr>
        <w:tc>
          <w:tcPr>
            <w:tcW w:w="4200" w:type="dxa"/>
            <w:vAlign w:val="bottom"/>
          </w:tcPr>
          <w:p>
            <w:pPr>
              <w:spacing w:after="0"/>
              <w:rPr>
                <w:sz w:val="14"/>
                <w:szCs w:val="14"/>
                <w:color w:val="auto"/>
              </w:rPr>
            </w:pPr>
          </w:p>
        </w:tc>
        <w:tc>
          <w:tcPr>
            <w:tcW w:w="1840" w:type="dxa"/>
            <w:vAlign w:val="bottom"/>
            <w:gridSpan w:val="2"/>
          </w:tcPr>
          <w:p>
            <w:pPr>
              <w:ind w:left="80"/>
              <w:spacing w:after="0" w:line="164" w:lineRule="exact"/>
              <w:rPr>
                <w:sz w:val="20"/>
                <w:szCs w:val="20"/>
                <w:color w:val="auto"/>
              </w:rPr>
            </w:pPr>
            <w:r>
              <w:rPr>
                <w:rFonts w:ascii="Arial" w:cs="Arial" w:eastAsia="Arial" w:hAnsi="Arial"/>
                <w:sz w:val="17"/>
                <w:szCs w:val="17"/>
                <w:b w:val="1"/>
                <w:bCs w:val="1"/>
                <w:color w:val="auto"/>
              </w:rPr>
              <w:t>Technical</w:t>
            </w:r>
          </w:p>
        </w:tc>
        <w:tc>
          <w:tcPr>
            <w:tcW w:w="1880" w:type="dxa"/>
            <w:vAlign w:val="bottom"/>
            <w:gridSpan w:val="2"/>
          </w:tcPr>
          <w:p>
            <w:pPr>
              <w:ind w:left="100"/>
              <w:spacing w:after="0" w:line="164" w:lineRule="exact"/>
              <w:rPr>
                <w:sz w:val="20"/>
                <w:szCs w:val="20"/>
                <w:color w:val="auto"/>
              </w:rPr>
            </w:pPr>
            <w:r>
              <w:rPr>
                <w:rFonts w:ascii="Arial" w:cs="Arial" w:eastAsia="Arial" w:hAnsi="Arial"/>
                <w:sz w:val="17"/>
                <w:szCs w:val="17"/>
                <w:b w:val="1"/>
                <w:bCs w:val="1"/>
                <w:color w:val="auto"/>
              </w:rPr>
              <w:t>Technical</w:t>
            </w:r>
          </w:p>
        </w:tc>
        <w:tc>
          <w:tcPr>
            <w:tcW w:w="1620" w:type="dxa"/>
            <w:vAlign w:val="bottom"/>
          </w:tcPr>
          <w:p>
            <w:pPr>
              <w:spacing w:after="0"/>
              <w:rPr>
                <w:sz w:val="14"/>
                <w:szCs w:val="14"/>
                <w:color w:val="auto"/>
              </w:rPr>
            </w:pPr>
          </w:p>
        </w:tc>
      </w:tr>
      <w:tr>
        <w:trPr>
          <w:trHeight w:val="194"/>
        </w:trPr>
        <w:tc>
          <w:tcPr>
            <w:tcW w:w="4200" w:type="dxa"/>
            <w:vAlign w:val="bottom"/>
          </w:tcPr>
          <w:p>
            <w:pPr>
              <w:spacing w:after="0"/>
              <w:rPr>
                <w:sz w:val="16"/>
                <w:szCs w:val="16"/>
                <w:color w:val="auto"/>
              </w:rPr>
            </w:pPr>
          </w:p>
        </w:tc>
        <w:tc>
          <w:tcPr>
            <w:tcW w:w="184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reserves for</w:t>
            </w:r>
          </w:p>
        </w:tc>
        <w:tc>
          <w:tcPr>
            <w:tcW w:w="188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reserves for</w:t>
            </w:r>
          </w:p>
        </w:tc>
        <w:tc>
          <w:tcPr>
            <w:tcW w:w="1620" w:type="dxa"/>
            <w:vAlign w:val="bottom"/>
          </w:tcPr>
          <w:p>
            <w:pPr>
              <w:spacing w:after="0"/>
              <w:rPr>
                <w:sz w:val="16"/>
                <w:szCs w:val="16"/>
                <w:color w:val="auto"/>
              </w:rPr>
            </w:pPr>
          </w:p>
        </w:tc>
      </w:tr>
      <w:tr>
        <w:trPr>
          <w:trHeight w:val="217"/>
        </w:trPr>
        <w:tc>
          <w:tcPr>
            <w:tcW w:w="420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7"/>
                <w:szCs w:val="17"/>
                <w:b w:val="1"/>
                <w:bCs w:val="1"/>
                <w:color w:val="auto"/>
              </w:rPr>
              <w:t>claims</w:t>
            </w:r>
          </w:p>
        </w:tc>
        <w:tc>
          <w:tcPr>
            <w:tcW w:w="1880" w:type="dxa"/>
            <w:vAlign w:val="bottom"/>
            <w:gridSpan w:val="2"/>
          </w:tcPr>
          <w:p>
            <w:pPr>
              <w:ind w:left="100"/>
              <w:spacing w:after="0"/>
              <w:rPr>
                <w:sz w:val="20"/>
                <w:szCs w:val="20"/>
                <w:color w:val="auto"/>
              </w:rPr>
            </w:pPr>
            <w:r>
              <w:rPr>
                <w:rFonts w:ascii="Arial" w:cs="Arial" w:eastAsia="Arial" w:hAnsi="Arial"/>
                <w:sz w:val="17"/>
                <w:szCs w:val="17"/>
                <w:b w:val="1"/>
                <w:bCs w:val="1"/>
                <w:color w:val="auto"/>
              </w:rPr>
              <w:t>premiums (*)</w:t>
            </w:r>
          </w:p>
        </w:tc>
        <w:tc>
          <w:tcPr>
            <w:tcW w:w="1620" w:type="dxa"/>
            <w:vAlign w:val="bottom"/>
          </w:tcPr>
          <w:p>
            <w:pPr>
              <w:ind w:left="100"/>
              <w:spacing w:after="0"/>
              <w:rPr>
                <w:sz w:val="20"/>
                <w:szCs w:val="20"/>
                <w:color w:val="auto"/>
              </w:rPr>
            </w:pPr>
            <w:r>
              <w:rPr>
                <w:rFonts w:ascii="Arial" w:cs="Arial" w:eastAsia="Arial" w:hAnsi="Arial"/>
                <w:sz w:val="17"/>
                <w:szCs w:val="17"/>
                <w:b w:val="1"/>
                <w:bCs w:val="1"/>
                <w:color w:val="auto"/>
              </w:rPr>
              <w:t>Total</w:t>
            </w:r>
          </w:p>
        </w:tc>
      </w:tr>
      <w:tr>
        <w:trPr>
          <w:trHeight w:val="223"/>
        </w:trPr>
        <w:tc>
          <w:tcPr>
            <w:tcW w:w="4200" w:type="dxa"/>
            <w:vAlign w:val="bottom"/>
          </w:tcPr>
          <w:p>
            <w:pPr>
              <w:spacing w:after="0"/>
              <w:rPr>
                <w:sz w:val="19"/>
                <w:szCs w:val="19"/>
                <w:color w:val="auto"/>
              </w:rPr>
            </w:pPr>
          </w:p>
        </w:tc>
        <w:tc>
          <w:tcPr>
            <w:tcW w:w="160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62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260" w:type="dxa"/>
            <w:vAlign w:val="bottom"/>
          </w:tcPr>
          <w:p>
            <w:pPr>
              <w:spacing w:after="0"/>
              <w:rPr>
                <w:sz w:val="19"/>
                <w:szCs w:val="19"/>
                <w:color w:val="auto"/>
              </w:rPr>
            </w:pPr>
          </w:p>
        </w:tc>
        <w:tc>
          <w:tcPr>
            <w:tcW w:w="162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r>
      <w:tr>
        <w:trPr>
          <w:trHeight w:val="352"/>
        </w:trPr>
        <w:tc>
          <w:tcPr>
            <w:tcW w:w="4200" w:type="dxa"/>
            <w:vAlign w:val="bottom"/>
          </w:tcPr>
          <w:p>
            <w:pPr>
              <w:spacing w:after="0"/>
              <w:rPr>
                <w:sz w:val="20"/>
                <w:szCs w:val="20"/>
                <w:color w:val="auto"/>
              </w:rPr>
            </w:pPr>
            <w:r>
              <w:rPr>
                <w:rFonts w:ascii="Arial" w:cs="Arial" w:eastAsia="Arial" w:hAnsi="Arial"/>
                <w:sz w:val="17"/>
                <w:szCs w:val="17"/>
                <w:color w:val="auto"/>
              </w:rPr>
              <w:t>Life insurance</w:t>
            </w:r>
          </w:p>
        </w:tc>
        <w:tc>
          <w:tcPr>
            <w:tcW w:w="1600" w:type="dxa"/>
            <w:vAlign w:val="bottom"/>
          </w:tcPr>
          <w:p>
            <w:pPr>
              <w:jc w:val="right"/>
              <w:ind w:right="14"/>
              <w:spacing w:after="0"/>
              <w:rPr>
                <w:sz w:val="20"/>
                <w:szCs w:val="20"/>
                <w:color w:val="auto"/>
              </w:rPr>
            </w:pPr>
            <w:r>
              <w:rPr>
                <w:rFonts w:ascii="Arial" w:cs="Arial" w:eastAsia="Arial" w:hAnsi="Arial"/>
                <w:sz w:val="17"/>
                <w:szCs w:val="17"/>
                <w:color w:val="auto"/>
              </w:rPr>
              <w:t>1,696,733</w:t>
            </w:r>
          </w:p>
        </w:tc>
        <w:tc>
          <w:tcPr>
            <w:tcW w:w="240" w:type="dxa"/>
            <w:vAlign w:val="bottom"/>
          </w:tcPr>
          <w:p>
            <w:pPr>
              <w:spacing w:after="0"/>
              <w:rPr>
                <w:sz w:val="24"/>
                <w:szCs w:val="24"/>
                <w:color w:val="auto"/>
              </w:rPr>
            </w:pPr>
          </w:p>
        </w:tc>
        <w:tc>
          <w:tcPr>
            <w:tcW w:w="1620" w:type="dxa"/>
            <w:vAlign w:val="bottom"/>
          </w:tcPr>
          <w:p>
            <w:pPr>
              <w:jc w:val="right"/>
              <w:ind w:right="14"/>
              <w:spacing w:after="0"/>
              <w:rPr>
                <w:sz w:val="20"/>
                <w:szCs w:val="20"/>
                <w:color w:val="auto"/>
              </w:rPr>
            </w:pPr>
            <w:r>
              <w:rPr>
                <w:rFonts w:ascii="Arial" w:cs="Arial" w:eastAsia="Arial" w:hAnsi="Arial"/>
                <w:sz w:val="17"/>
                <w:szCs w:val="17"/>
                <w:color w:val="auto"/>
              </w:rPr>
              <w:t>9,101,456</w:t>
            </w:r>
          </w:p>
        </w:tc>
        <w:tc>
          <w:tcPr>
            <w:tcW w:w="260" w:type="dxa"/>
            <w:vAlign w:val="bottom"/>
          </w:tcPr>
          <w:p>
            <w:pPr>
              <w:spacing w:after="0"/>
              <w:rPr>
                <w:sz w:val="24"/>
                <w:szCs w:val="24"/>
                <w:color w:val="auto"/>
              </w:rPr>
            </w:pPr>
          </w:p>
        </w:tc>
        <w:tc>
          <w:tcPr>
            <w:tcW w:w="1620" w:type="dxa"/>
            <w:vAlign w:val="bottom"/>
          </w:tcPr>
          <w:p>
            <w:pPr>
              <w:jc w:val="right"/>
              <w:ind w:right="14"/>
              <w:spacing w:after="0"/>
              <w:rPr>
                <w:sz w:val="20"/>
                <w:szCs w:val="20"/>
                <w:color w:val="auto"/>
              </w:rPr>
            </w:pPr>
            <w:r>
              <w:rPr>
                <w:rFonts w:ascii="Arial" w:cs="Arial" w:eastAsia="Arial" w:hAnsi="Arial"/>
                <w:sz w:val="17"/>
                <w:szCs w:val="17"/>
                <w:color w:val="auto"/>
              </w:rPr>
              <w:t>10,798,189</w:t>
            </w:r>
          </w:p>
        </w:tc>
      </w:tr>
      <w:tr>
        <w:trPr>
          <w:trHeight w:val="194"/>
        </w:trPr>
        <w:tc>
          <w:tcPr>
            <w:tcW w:w="4200" w:type="dxa"/>
            <w:vAlign w:val="bottom"/>
          </w:tcPr>
          <w:p>
            <w:pPr>
              <w:spacing w:after="0" w:line="194" w:lineRule="exact"/>
              <w:rPr>
                <w:sz w:val="20"/>
                <w:szCs w:val="20"/>
                <w:color w:val="auto"/>
              </w:rPr>
            </w:pPr>
            <w:r>
              <w:rPr>
                <w:rFonts w:ascii="Arial" w:cs="Arial" w:eastAsia="Arial" w:hAnsi="Arial"/>
                <w:sz w:val="17"/>
                <w:szCs w:val="17"/>
                <w:color w:val="auto"/>
              </w:rPr>
              <w:t>General insurance</w:t>
            </w:r>
          </w:p>
        </w:tc>
        <w:tc>
          <w:tcPr>
            <w:tcW w:w="16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714,700</w:t>
            </w:r>
          </w:p>
        </w:tc>
        <w:tc>
          <w:tcPr>
            <w:tcW w:w="240" w:type="dxa"/>
            <w:vAlign w:val="bottom"/>
          </w:tcPr>
          <w:p>
            <w:pPr>
              <w:spacing w:after="0"/>
              <w:rPr>
                <w:sz w:val="16"/>
                <w:szCs w:val="16"/>
                <w:color w:val="auto"/>
              </w:rPr>
            </w:pPr>
          </w:p>
        </w:tc>
        <w:tc>
          <w:tcPr>
            <w:tcW w:w="16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684,950</w:t>
            </w:r>
          </w:p>
        </w:tc>
        <w:tc>
          <w:tcPr>
            <w:tcW w:w="260" w:type="dxa"/>
            <w:vAlign w:val="bottom"/>
          </w:tcPr>
          <w:p>
            <w:pPr>
              <w:spacing w:after="0"/>
              <w:rPr>
                <w:sz w:val="16"/>
                <w:szCs w:val="16"/>
                <w:color w:val="auto"/>
              </w:rPr>
            </w:pPr>
          </w:p>
        </w:tc>
        <w:tc>
          <w:tcPr>
            <w:tcW w:w="16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1,399,650</w:t>
            </w:r>
          </w:p>
        </w:tc>
      </w:tr>
      <w:tr>
        <w:trPr>
          <w:trHeight w:val="195"/>
        </w:trPr>
        <w:tc>
          <w:tcPr>
            <w:tcW w:w="4200" w:type="dxa"/>
            <w:vAlign w:val="bottom"/>
          </w:tcPr>
          <w:p>
            <w:pPr>
              <w:spacing w:after="0"/>
              <w:rPr>
                <w:sz w:val="20"/>
                <w:szCs w:val="20"/>
                <w:color w:val="auto"/>
              </w:rPr>
            </w:pPr>
            <w:r>
              <w:rPr>
                <w:rFonts w:ascii="Arial" w:cs="Arial" w:eastAsia="Arial" w:hAnsi="Arial"/>
                <w:sz w:val="17"/>
                <w:szCs w:val="17"/>
                <w:color w:val="auto"/>
              </w:rPr>
              <w:t>Health insurance</w:t>
            </w:r>
          </w:p>
        </w:tc>
        <w:tc>
          <w:tcPr>
            <w:tcW w:w="16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144,147</w:t>
            </w:r>
          </w:p>
        </w:tc>
        <w:tc>
          <w:tcPr>
            <w:tcW w:w="240" w:type="dxa"/>
            <w:vAlign w:val="bottom"/>
          </w:tcPr>
          <w:p>
            <w:pPr>
              <w:spacing w:after="0"/>
              <w:rPr>
                <w:sz w:val="16"/>
                <w:szCs w:val="16"/>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192,525</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336,672</w:t>
            </w:r>
          </w:p>
        </w:tc>
      </w:tr>
      <w:tr>
        <w:trPr>
          <w:trHeight w:val="193"/>
        </w:trPr>
        <w:tc>
          <w:tcPr>
            <w:tcW w:w="420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60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2,555,580</w:t>
            </w:r>
          </w:p>
        </w:tc>
        <w:tc>
          <w:tcPr>
            <w:tcW w:w="240" w:type="dxa"/>
            <w:vAlign w:val="bottom"/>
          </w:tcPr>
          <w:p>
            <w:pPr>
              <w:spacing w:after="0"/>
              <w:rPr>
                <w:sz w:val="16"/>
                <w:szCs w:val="16"/>
                <w:color w:val="auto"/>
              </w:rPr>
            </w:pPr>
          </w:p>
        </w:tc>
        <w:tc>
          <w:tcPr>
            <w:tcW w:w="16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9,978,931</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12,534,511</w:t>
            </w:r>
          </w:p>
        </w:tc>
      </w:tr>
    </w:tbl>
    <w:p>
      <w:pPr>
        <w:spacing w:after="0" w:line="193" w:lineRule="exact"/>
        <w:rPr>
          <w:sz w:val="20"/>
          <w:szCs w:val="20"/>
          <w:color w:val="auto"/>
        </w:rPr>
      </w:pPr>
    </w:p>
    <w:p>
      <w:pPr>
        <w:ind w:left="1240" w:hanging="304"/>
        <w:spacing w:after="0" w:line="254" w:lineRule="auto"/>
        <w:tabs>
          <w:tab w:leader="none" w:pos="12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As of December 31, 2022, the life insurance technical reserves include the mathematical reserves of income amounting to S/6,254.0 million (S/ 6,759.7 million as of December 31, 2021).</w:t>
      </w:r>
    </w:p>
    <w:p>
      <w:pPr>
        <w:spacing w:after="0" w:line="169" w:lineRule="exact"/>
        <w:rPr>
          <w:sz w:val="20"/>
          <w:szCs w:val="20"/>
          <w:color w:val="auto"/>
        </w:rPr>
      </w:pPr>
    </w:p>
    <w:p>
      <w:pPr>
        <w:jc w:val="both"/>
        <w:ind w:left="940"/>
        <w:spacing w:after="0" w:line="254" w:lineRule="auto"/>
        <w:rPr>
          <w:sz w:val="20"/>
          <w:szCs w:val="20"/>
          <w:color w:val="auto"/>
        </w:rPr>
      </w:pPr>
      <w:r>
        <w:rPr>
          <w:rFonts w:ascii="Arial" w:cs="Arial" w:eastAsia="Arial" w:hAnsi="Arial"/>
          <w:sz w:val="17"/>
          <w:szCs w:val="17"/>
          <w:color w:val="auto"/>
        </w:rPr>
        <w:t>Insurance claims reserves represent reported claims and an estimate for incurred but non reported claims (IBNR). Reported claims are adjusted on the basis of technical reports received from independent adjusters.</w:t>
      </w:r>
    </w:p>
    <w:p>
      <w:pPr>
        <w:spacing w:after="0" w:line="169" w:lineRule="exact"/>
        <w:rPr>
          <w:sz w:val="20"/>
          <w:szCs w:val="20"/>
          <w:color w:val="auto"/>
        </w:rPr>
      </w:pPr>
    </w:p>
    <w:p>
      <w:pPr>
        <w:jc w:val="both"/>
        <w:ind w:left="940"/>
        <w:spacing w:after="0" w:line="246" w:lineRule="auto"/>
        <w:rPr>
          <w:sz w:val="20"/>
          <w:szCs w:val="20"/>
          <w:color w:val="auto"/>
        </w:rPr>
      </w:pPr>
      <w:r>
        <w:rPr>
          <w:rFonts w:ascii="Arial" w:cs="Arial" w:eastAsia="Arial" w:hAnsi="Arial"/>
          <w:sz w:val="17"/>
          <w:szCs w:val="17"/>
          <w:color w:val="auto"/>
        </w:rPr>
        <w:t>As of December 31, 2022, the reserves for direct claims include reserves for IBNR for life, general and health insurance for an amount of S/933.0 million, S/29.0 million and S/111.0 million, respectively (S/825.0 million, S/38.9 million and S/109.9 million, respectively, as of December 31, 2021).</w:t>
      </w:r>
    </w:p>
    <w:p>
      <w:pPr>
        <w:spacing w:after="0" w:line="176" w:lineRule="exact"/>
        <w:rPr>
          <w:sz w:val="20"/>
          <w:szCs w:val="20"/>
          <w:color w:val="auto"/>
        </w:rPr>
      </w:pPr>
    </w:p>
    <w:p>
      <w:pPr>
        <w:jc w:val="both"/>
        <w:ind w:left="940"/>
        <w:spacing w:after="0" w:line="254" w:lineRule="auto"/>
        <w:rPr>
          <w:sz w:val="20"/>
          <w:szCs w:val="20"/>
          <w:color w:val="auto"/>
        </w:rPr>
      </w:pPr>
      <w:r>
        <w:rPr>
          <w:rFonts w:ascii="Arial" w:cs="Arial" w:eastAsia="Arial" w:hAnsi="Arial"/>
          <w:sz w:val="17"/>
          <w:szCs w:val="17"/>
          <w:color w:val="auto"/>
        </w:rPr>
        <w:t>Insurance claims to be paid by reinsurers and co-insurers represent ceded claims, which are presented in “Accounts receivable from reinsurers and coinsurers” of the consolidated statement of financial position, See note 9(b).</w:t>
      </w:r>
    </w:p>
    <w:p>
      <w:pPr>
        <w:spacing w:after="0" w:line="169" w:lineRule="exact"/>
        <w:rPr>
          <w:sz w:val="20"/>
          <w:szCs w:val="20"/>
          <w:color w:val="auto"/>
        </w:rPr>
      </w:pPr>
    </w:p>
    <w:p>
      <w:pPr>
        <w:jc w:val="both"/>
        <w:ind w:left="940"/>
        <w:spacing w:after="0" w:line="254" w:lineRule="auto"/>
        <w:rPr>
          <w:sz w:val="20"/>
          <w:szCs w:val="20"/>
          <w:color w:val="auto"/>
        </w:rPr>
      </w:pPr>
      <w:r>
        <w:rPr>
          <w:rFonts w:ascii="Arial" w:cs="Arial" w:eastAsia="Arial" w:hAnsi="Arial"/>
          <w:sz w:val="17"/>
          <w:szCs w:val="17"/>
          <w:color w:val="auto"/>
        </w:rPr>
        <w:t>Claims reserves have had a slight reduction, mainly due to lower reporting of COVID-19 cases. Likewise, the increase in technical reserves for premiums is mainly due to the increase in new sales in the Income line.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ind w:left="940" w:right="200"/>
        <w:spacing w:after="0" w:line="245" w:lineRule="auto"/>
        <w:rPr>
          <w:sz w:val="20"/>
          <w:szCs w:val="20"/>
          <w:color w:val="auto"/>
        </w:rPr>
      </w:pPr>
      <w:r>
        <w:rPr>
          <w:rFonts w:ascii="Arial" w:cs="Arial" w:eastAsia="Arial" w:hAnsi="Arial"/>
          <w:sz w:val="17"/>
          <w:szCs w:val="17"/>
          <w:color w:val="auto"/>
        </w:rPr>
        <w:t>As of December 31, 2022, the effect due to the COVID-19 pandemic continues, IBNR reserves were calculated in two parts: a) IBNR reserve for regular claims and b) IBNR reserve for expected excess mortality (deaths above the average of cases of pre-pandemic months).</w:t>
      </w:r>
    </w:p>
    <w:p>
      <w:pPr>
        <w:spacing w:after="0" w:line="177" w:lineRule="exact"/>
        <w:rPr>
          <w:sz w:val="20"/>
          <w:szCs w:val="20"/>
          <w:color w:val="auto"/>
        </w:rPr>
      </w:pPr>
    </w:p>
    <w:p>
      <w:pPr>
        <w:ind w:left="940" w:right="400"/>
        <w:spacing w:after="0" w:line="254" w:lineRule="auto"/>
        <w:rPr>
          <w:sz w:val="20"/>
          <w:szCs w:val="20"/>
          <w:color w:val="auto"/>
        </w:rPr>
      </w:pPr>
      <w:r>
        <w:rPr>
          <w:rFonts w:ascii="Arial" w:cs="Arial" w:eastAsia="Arial" w:hAnsi="Arial"/>
          <w:sz w:val="17"/>
          <w:szCs w:val="17"/>
          <w:color w:val="auto"/>
        </w:rPr>
        <w:t>In general, the claims reserves have been estimated with prudential criteria due to the uncertainty in the claims rate caused by the pandemic that began in 2020 and continues in effect in 2021 and to a lesser extent in 2022.</w:t>
      </w:r>
    </w:p>
    <w:p>
      <w:pPr>
        <w:spacing w:after="0" w:line="169" w:lineRule="exact"/>
        <w:rPr>
          <w:sz w:val="20"/>
          <w:szCs w:val="20"/>
          <w:color w:val="auto"/>
        </w:rPr>
      </w:pPr>
    </w:p>
    <w:p>
      <w:pPr>
        <w:ind w:left="940" w:right="360"/>
        <w:spacing w:after="0" w:line="246" w:lineRule="auto"/>
        <w:rPr>
          <w:sz w:val="20"/>
          <w:szCs w:val="20"/>
          <w:color w:val="auto"/>
        </w:rPr>
      </w:pPr>
      <w:r>
        <w:rPr>
          <w:rFonts w:ascii="Arial" w:cs="Arial" w:eastAsia="Arial" w:hAnsi="Arial"/>
          <w:sz w:val="17"/>
          <w:szCs w:val="17"/>
          <w:color w:val="auto"/>
        </w:rPr>
        <w:t>Technical reserves include reserves for future benefit obligations under current life and personal accident insurance; and from unearned premium reserves in the proportion of written premiums that are allocable to the unexpired portion of the related hedging periods.</w:t>
      </w:r>
    </w:p>
    <w:p>
      <w:pPr>
        <w:spacing w:after="0" w:line="176" w:lineRule="exact"/>
        <w:rPr>
          <w:sz w:val="20"/>
          <w:szCs w:val="20"/>
          <w:color w:val="auto"/>
        </w:rPr>
      </w:pPr>
    </w:p>
    <w:p>
      <w:pPr>
        <w:ind w:left="620"/>
        <w:spacing w:after="0"/>
        <w:tabs>
          <w:tab w:leader="none" w:pos="920" w:val="left"/>
        </w:tabs>
        <w:rPr>
          <w:sz w:val="20"/>
          <w:szCs w:val="20"/>
          <w:color w:val="auto"/>
        </w:rPr>
      </w:pPr>
      <w:r>
        <w:rPr>
          <w:rFonts w:ascii="Arial" w:cs="Arial" w:eastAsia="Arial" w:hAnsi="Arial"/>
          <w:sz w:val="17"/>
          <w:szCs w:val="17"/>
          <w:color w:val="auto"/>
        </w:rPr>
        <w:t>b)</w:t>
        <w:tab/>
        <w:t>Movement of insurance claims reserves (direct and assumed) occurred during the years 2022 and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64"/>
        </w:trPr>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spacing w:after="0" w:line="164" w:lineRule="exact"/>
              <w:rPr>
                <w:sz w:val="20"/>
                <w:szCs w:val="20"/>
                <w:color w:val="auto"/>
              </w:rPr>
            </w:pPr>
            <w:r>
              <w:rPr>
                <w:rFonts w:ascii="Arial" w:cs="Arial" w:eastAsia="Arial" w:hAnsi="Arial"/>
                <w:sz w:val="17"/>
                <w:szCs w:val="17"/>
                <w:b w:val="1"/>
                <w:bCs w:val="1"/>
                <w:color w:val="auto"/>
              </w:rPr>
              <w:t>Life</w:t>
            </w:r>
          </w:p>
        </w:tc>
        <w:tc>
          <w:tcPr>
            <w:tcW w:w="1680" w:type="dxa"/>
            <w:vAlign w:val="bottom"/>
            <w:gridSpan w:val="4"/>
          </w:tcPr>
          <w:p>
            <w:pPr>
              <w:ind w:left="120"/>
              <w:spacing w:after="0" w:line="164" w:lineRule="exact"/>
              <w:rPr>
                <w:sz w:val="20"/>
                <w:szCs w:val="20"/>
                <w:color w:val="auto"/>
              </w:rPr>
            </w:pPr>
            <w:r>
              <w:rPr>
                <w:rFonts w:ascii="Arial" w:cs="Arial" w:eastAsia="Arial" w:hAnsi="Arial"/>
                <w:sz w:val="17"/>
                <w:szCs w:val="17"/>
                <w:b w:val="1"/>
                <w:bCs w:val="1"/>
                <w:color w:val="auto"/>
              </w:rPr>
              <w:t>General</w:t>
            </w:r>
          </w:p>
        </w:tc>
        <w:tc>
          <w:tcPr>
            <w:tcW w:w="1560" w:type="dxa"/>
            <w:vAlign w:val="bottom"/>
            <w:gridSpan w:val="3"/>
          </w:tcPr>
          <w:p>
            <w:pPr>
              <w:spacing w:after="0" w:line="164" w:lineRule="exact"/>
              <w:rPr>
                <w:sz w:val="20"/>
                <w:szCs w:val="20"/>
                <w:color w:val="auto"/>
              </w:rPr>
            </w:pPr>
            <w:r>
              <w:rPr>
                <w:rFonts w:ascii="Arial" w:cs="Arial" w:eastAsia="Arial" w:hAnsi="Arial"/>
                <w:sz w:val="17"/>
                <w:szCs w:val="17"/>
                <w:b w:val="1"/>
                <w:bCs w:val="1"/>
                <w:color w:val="auto"/>
              </w:rPr>
              <w:t>Health</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7"/>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7"/>
                <w:szCs w:val="17"/>
                <w:b w:val="1"/>
                <w:bCs w:val="1"/>
                <w:color w:val="auto"/>
              </w:rPr>
              <w:t>insurance</w:t>
            </w:r>
          </w:p>
        </w:tc>
        <w:tc>
          <w:tcPr>
            <w:tcW w:w="1680" w:type="dxa"/>
            <w:vAlign w:val="bottom"/>
            <w:gridSpan w:val="4"/>
          </w:tcPr>
          <w:p>
            <w:pPr>
              <w:ind w:left="120"/>
              <w:spacing w:after="0"/>
              <w:rPr>
                <w:sz w:val="20"/>
                <w:szCs w:val="20"/>
                <w:color w:val="auto"/>
              </w:rPr>
            </w:pPr>
            <w:r>
              <w:rPr>
                <w:rFonts w:ascii="Arial" w:cs="Arial" w:eastAsia="Arial" w:hAnsi="Arial"/>
                <w:sz w:val="17"/>
                <w:szCs w:val="17"/>
                <w:b w:val="1"/>
                <w:bCs w:val="1"/>
                <w:color w:val="auto"/>
              </w:rPr>
              <w:t>insurance</w:t>
            </w:r>
          </w:p>
        </w:tc>
        <w:tc>
          <w:tcPr>
            <w:tcW w:w="1560" w:type="dxa"/>
            <w:vAlign w:val="bottom"/>
            <w:gridSpan w:val="3"/>
          </w:tcPr>
          <w:p>
            <w:pPr>
              <w:spacing w:after="0"/>
              <w:rPr>
                <w:sz w:val="20"/>
                <w:szCs w:val="20"/>
                <w:color w:val="auto"/>
              </w:rPr>
            </w:pPr>
            <w:r>
              <w:rPr>
                <w:rFonts w:ascii="Arial" w:cs="Arial" w:eastAsia="Arial" w:hAnsi="Arial"/>
                <w:sz w:val="17"/>
                <w:szCs w:val="17"/>
                <w:b w:val="1"/>
                <w:bCs w:val="1"/>
                <w:color w:val="auto"/>
              </w:rPr>
              <w:t>insurance</w:t>
            </w:r>
          </w:p>
        </w:tc>
        <w:tc>
          <w:tcPr>
            <w:tcW w:w="148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spacing w:after="0"/>
              <w:rPr>
                <w:sz w:val="18"/>
                <w:szCs w:val="18"/>
                <w:color w:val="auto"/>
              </w:rPr>
            </w:pPr>
          </w:p>
        </w:tc>
      </w:tr>
      <w:tr>
        <w:trPr>
          <w:trHeight w:val="223"/>
        </w:trPr>
        <w:tc>
          <w:tcPr>
            <w:tcW w:w="4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gridSpan w:val="2"/>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gridSpan w:val="2"/>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4880" w:type="dxa"/>
            <w:vAlign w:val="bottom"/>
            <w:gridSpan w:val="2"/>
          </w:tcPr>
          <w:p>
            <w:pPr>
              <w:ind w:left="1020"/>
              <w:spacing w:after="0"/>
              <w:rPr>
                <w:sz w:val="20"/>
                <w:szCs w:val="20"/>
                <w:color w:val="auto"/>
              </w:rPr>
            </w:pPr>
            <w:r>
              <w:rPr>
                <w:rFonts w:ascii="Arial" w:cs="Arial" w:eastAsia="Arial" w:hAnsi="Arial"/>
                <w:sz w:val="17"/>
                <w:szCs w:val="17"/>
                <w:b w:val="1"/>
                <w:bCs w:val="1"/>
                <w:color w:val="auto"/>
              </w:rPr>
              <w:t>Opening balance</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1,696,733</w:t>
            </w:r>
          </w:p>
        </w:tc>
        <w:tc>
          <w:tcPr>
            <w:tcW w:w="1580" w:type="dxa"/>
            <w:vAlign w:val="bottom"/>
            <w:gridSpan w:val="3"/>
          </w:tcPr>
          <w:p>
            <w:pPr>
              <w:jc w:val="right"/>
              <w:ind w:right="100"/>
              <w:spacing w:after="0"/>
              <w:rPr>
                <w:sz w:val="20"/>
                <w:szCs w:val="20"/>
                <w:color w:val="auto"/>
              </w:rPr>
            </w:pPr>
            <w:r>
              <w:rPr>
                <w:rFonts w:ascii="Arial" w:cs="Arial" w:eastAsia="Arial" w:hAnsi="Arial"/>
                <w:sz w:val="17"/>
                <w:szCs w:val="17"/>
                <w:color w:val="auto"/>
              </w:rPr>
              <w:t>714,700</w:t>
            </w:r>
          </w:p>
        </w:tc>
        <w:tc>
          <w:tcPr>
            <w:tcW w:w="10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144,147</w:t>
            </w:r>
          </w:p>
        </w:tc>
        <w:tc>
          <w:tcPr>
            <w:tcW w:w="10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2,555,580</w:t>
            </w:r>
          </w:p>
        </w:tc>
        <w:tc>
          <w:tcPr>
            <w:tcW w:w="180" w:type="dxa"/>
            <w:vAlign w:val="bottom"/>
          </w:tcPr>
          <w:p>
            <w:pPr>
              <w:spacing w:after="0"/>
              <w:rPr>
                <w:sz w:val="24"/>
                <w:szCs w:val="24"/>
                <w:color w:val="auto"/>
              </w:rPr>
            </w:pPr>
          </w:p>
        </w:tc>
      </w:tr>
      <w:tr>
        <w:trPr>
          <w:trHeight w:val="194"/>
        </w:trPr>
        <w:tc>
          <w:tcPr>
            <w:tcW w:w="4880" w:type="dxa"/>
            <w:vAlign w:val="bottom"/>
            <w:gridSpan w:val="2"/>
          </w:tcPr>
          <w:p>
            <w:pPr>
              <w:ind w:left="1020"/>
              <w:spacing w:after="0" w:line="194" w:lineRule="exact"/>
              <w:rPr>
                <w:sz w:val="20"/>
                <w:szCs w:val="20"/>
                <w:color w:val="auto"/>
              </w:rPr>
            </w:pPr>
            <w:r>
              <w:rPr>
                <w:rFonts w:ascii="Arial" w:cs="Arial" w:eastAsia="Arial" w:hAnsi="Arial"/>
                <w:sz w:val="17"/>
                <w:szCs w:val="17"/>
                <w:color w:val="auto"/>
              </w:rPr>
              <w:t>Gross claims, Note 26</w:t>
            </w:r>
          </w:p>
        </w:tc>
        <w:tc>
          <w:tcPr>
            <w:tcW w:w="146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1,547,674</w:t>
            </w:r>
          </w:p>
        </w:tc>
        <w:tc>
          <w:tcPr>
            <w:tcW w:w="15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399,919</w:t>
            </w:r>
          </w:p>
        </w:tc>
        <w:tc>
          <w:tcPr>
            <w:tcW w:w="10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329,442</w:t>
            </w:r>
          </w:p>
        </w:tc>
        <w:tc>
          <w:tcPr>
            <w:tcW w:w="100" w:type="dxa"/>
            <w:vAlign w:val="bottom"/>
          </w:tcPr>
          <w:p>
            <w:pPr>
              <w:spacing w:after="0"/>
              <w:rPr>
                <w:sz w:val="16"/>
                <w:szCs w:val="16"/>
                <w:color w:val="auto"/>
              </w:rPr>
            </w:pPr>
          </w:p>
        </w:tc>
        <w:tc>
          <w:tcPr>
            <w:tcW w:w="14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2,277,035</w:t>
            </w:r>
          </w:p>
        </w:tc>
        <w:tc>
          <w:tcPr>
            <w:tcW w:w="180" w:type="dxa"/>
            <w:vAlign w:val="bottom"/>
          </w:tcPr>
          <w:p>
            <w:pPr>
              <w:spacing w:after="0"/>
              <w:rPr>
                <w:sz w:val="16"/>
                <w:szCs w:val="16"/>
                <w:color w:val="auto"/>
              </w:rPr>
            </w:pPr>
          </w:p>
        </w:tc>
      </w:tr>
      <w:tr>
        <w:trPr>
          <w:trHeight w:val="194"/>
        </w:trPr>
        <w:tc>
          <w:tcPr>
            <w:tcW w:w="4880" w:type="dxa"/>
            <w:vAlign w:val="bottom"/>
            <w:gridSpan w:val="2"/>
          </w:tcPr>
          <w:p>
            <w:pPr>
              <w:ind w:left="1020"/>
              <w:spacing w:after="0" w:line="194" w:lineRule="exact"/>
              <w:rPr>
                <w:sz w:val="20"/>
                <w:szCs w:val="20"/>
                <w:color w:val="auto"/>
              </w:rPr>
            </w:pPr>
            <w:r>
              <w:rPr>
                <w:rFonts w:ascii="Arial" w:cs="Arial" w:eastAsia="Arial" w:hAnsi="Arial"/>
                <w:sz w:val="17"/>
                <w:szCs w:val="17"/>
                <w:color w:val="auto"/>
              </w:rPr>
              <w:t>Payments</w:t>
            </w:r>
          </w:p>
        </w:tc>
        <w:tc>
          <w:tcPr>
            <w:tcW w:w="146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(1,447,753)</w:t>
            </w:r>
          </w:p>
        </w:tc>
        <w:tc>
          <w:tcPr>
            <w:tcW w:w="15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(391,510)</w:t>
            </w:r>
          </w:p>
        </w:tc>
        <w:tc>
          <w:tcPr>
            <w:tcW w:w="10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(315,540)</w:t>
            </w:r>
          </w:p>
        </w:tc>
        <w:tc>
          <w:tcPr>
            <w:tcW w:w="100" w:type="dxa"/>
            <w:vAlign w:val="bottom"/>
          </w:tcPr>
          <w:p>
            <w:pPr>
              <w:spacing w:after="0"/>
              <w:rPr>
                <w:sz w:val="16"/>
                <w:szCs w:val="16"/>
                <w:color w:val="auto"/>
              </w:rPr>
            </w:pPr>
          </w:p>
        </w:tc>
        <w:tc>
          <w:tcPr>
            <w:tcW w:w="14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(2,154,803)</w:t>
            </w:r>
          </w:p>
        </w:tc>
        <w:tc>
          <w:tcPr>
            <w:tcW w:w="180" w:type="dxa"/>
            <w:vAlign w:val="bottom"/>
          </w:tcPr>
          <w:p>
            <w:pPr>
              <w:spacing w:after="0"/>
              <w:rPr>
                <w:sz w:val="16"/>
                <w:szCs w:val="16"/>
                <w:color w:val="auto"/>
              </w:rPr>
            </w:pPr>
          </w:p>
        </w:tc>
      </w:tr>
      <w:tr>
        <w:trPr>
          <w:trHeight w:val="208"/>
        </w:trPr>
        <w:tc>
          <w:tcPr>
            <w:tcW w:w="4880" w:type="dxa"/>
            <w:vAlign w:val="bottom"/>
            <w:gridSpan w:val="2"/>
          </w:tcPr>
          <w:p>
            <w:pPr>
              <w:ind w:left="1020"/>
              <w:spacing w:after="0"/>
              <w:rPr>
                <w:sz w:val="20"/>
                <w:szCs w:val="20"/>
                <w:color w:val="auto"/>
              </w:rPr>
            </w:pPr>
            <w:r>
              <w:rPr>
                <w:rFonts w:ascii="Arial" w:cs="Arial" w:eastAsia="Arial" w:hAnsi="Arial"/>
                <w:sz w:val="17"/>
                <w:szCs w:val="17"/>
                <w:color w:val="auto"/>
              </w:rPr>
              <w:t>Exchange difference</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(5,988)</w:t>
            </w:r>
          </w:p>
        </w:tc>
        <w:tc>
          <w:tcPr>
            <w:tcW w:w="1580" w:type="dxa"/>
            <w:vAlign w:val="bottom"/>
            <w:gridSpan w:val="3"/>
          </w:tcPr>
          <w:p>
            <w:pPr>
              <w:jc w:val="right"/>
              <w:ind w:right="100"/>
              <w:spacing w:after="0"/>
              <w:rPr>
                <w:sz w:val="20"/>
                <w:szCs w:val="20"/>
                <w:color w:val="auto"/>
              </w:rPr>
            </w:pPr>
            <w:r>
              <w:rPr>
                <w:rFonts w:ascii="Arial" w:cs="Arial" w:eastAsia="Arial" w:hAnsi="Arial"/>
                <w:sz w:val="17"/>
                <w:szCs w:val="17"/>
                <w:color w:val="auto"/>
              </w:rPr>
              <w:t>(28,533)</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(34,636)</w:t>
            </w:r>
          </w:p>
        </w:tc>
        <w:tc>
          <w:tcPr>
            <w:tcW w:w="180" w:type="dxa"/>
            <w:vAlign w:val="bottom"/>
          </w:tcPr>
          <w:p>
            <w:pPr>
              <w:spacing w:after="0"/>
              <w:rPr>
                <w:sz w:val="18"/>
                <w:szCs w:val="18"/>
                <w:color w:val="auto"/>
              </w:rPr>
            </w:pPr>
          </w:p>
        </w:tc>
      </w:tr>
      <w:tr>
        <w:trPr>
          <w:trHeight w:val="193"/>
        </w:trPr>
        <w:tc>
          <w:tcPr>
            <w:tcW w:w="4880" w:type="dxa"/>
            <w:vAlign w:val="bottom"/>
            <w:gridSpan w:val="2"/>
          </w:tcPr>
          <w:p>
            <w:pPr>
              <w:ind w:left="1020"/>
              <w:spacing w:after="0" w:line="187" w:lineRule="exact"/>
              <w:rPr>
                <w:sz w:val="20"/>
                <w:szCs w:val="20"/>
                <w:color w:val="auto"/>
              </w:rPr>
            </w:pPr>
            <w:r>
              <w:rPr>
                <w:rFonts w:ascii="Arial" w:cs="Arial" w:eastAsia="Arial" w:hAnsi="Arial"/>
                <w:sz w:val="17"/>
                <w:szCs w:val="17"/>
                <w:b w:val="1"/>
                <w:bCs w:val="1"/>
                <w:color w:val="auto"/>
              </w:rPr>
              <w:t>Ending balance</w:t>
            </w:r>
          </w:p>
        </w:tc>
        <w:tc>
          <w:tcPr>
            <w:tcW w:w="20" w:type="dxa"/>
            <w:vAlign w:val="bottom"/>
          </w:tcPr>
          <w:p>
            <w:pPr>
              <w:spacing w:after="0"/>
              <w:rPr>
                <w:sz w:val="16"/>
                <w:szCs w:val="16"/>
                <w:color w:val="auto"/>
              </w:rPr>
            </w:pPr>
          </w:p>
        </w:tc>
        <w:tc>
          <w:tcPr>
            <w:tcW w:w="144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1,790,666</w:t>
            </w:r>
          </w:p>
        </w:tc>
        <w:tc>
          <w:tcPr>
            <w:tcW w:w="120" w:type="dxa"/>
            <w:vAlign w:val="bottom"/>
          </w:tcPr>
          <w:p>
            <w:pPr>
              <w:spacing w:after="0"/>
              <w:rPr>
                <w:sz w:val="16"/>
                <w:szCs w:val="16"/>
                <w:color w:val="auto"/>
              </w:rPr>
            </w:pPr>
          </w:p>
        </w:tc>
        <w:tc>
          <w:tcPr>
            <w:tcW w:w="146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694,576</w:t>
            </w:r>
          </w:p>
        </w:tc>
        <w:tc>
          <w:tcPr>
            <w:tcW w:w="100" w:type="dxa"/>
            <w:vAlign w:val="bottom"/>
          </w:tcPr>
          <w:p>
            <w:pPr>
              <w:spacing w:after="0"/>
              <w:rPr>
                <w:sz w:val="16"/>
                <w:szCs w:val="16"/>
                <w:color w:val="auto"/>
              </w:rPr>
            </w:pPr>
          </w:p>
        </w:tc>
        <w:tc>
          <w:tcPr>
            <w:tcW w:w="146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157,934</w:t>
            </w: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gridSpan w:val="2"/>
          </w:tcPr>
          <w:p>
            <w:pPr>
              <w:jc w:val="right"/>
              <w:ind w:right="120"/>
              <w:spacing w:after="0" w:line="187" w:lineRule="exact"/>
              <w:rPr>
                <w:sz w:val="20"/>
                <w:szCs w:val="20"/>
                <w:color w:val="auto"/>
              </w:rPr>
            </w:pPr>
            <w:r>
              <w:rPr>
                <w:rFonts w:ascii="Arial" w:cs="Arial" w:eastAsia="Arial" w:hAnsi="Arial"/>
                <w:sz w:val="17"/>
                <w:szCs w:val="17"/>
                <w:color w:val="auto"/>
              </w:rPr>
              <w:t>2,643,176</w:t>
            </w:r>
          </w:p>
        </w:tc>
        <w:tc>
          <w:tcPr>
            <w:tcW w:w="180" w:type="dxa"/>
            <w:vAlign w:val="bottom"/>
          </w:tcPr>
          <w:p>
            <w:pPr>
              <w:spacing w:after="0"/>
              <w:rPr>
                <w:sz w:val="16"/>
                <w:szCs w:val="16"/>
                <w:color w:val="auto"/>
              </w:rPr>
            </w:pPr>
          </w:p>
        </w:tc>
      </w:tr>
      <w:tr>
        <w:trPr>
          <w:trHeight w:val="596"/>
        </w:trPr>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4"/>
        </w:trPr>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spacing w:after="0" w:line="164" w:lineRule="exact"/>
              <w:rPr>
                <w:sz w:val="20"/>
                <w:szCs w:val="20"/>
                <w:color w:val="auto"/>
              </w:rPr>
            </w:pPr>
            <w:r>
              <w:rPr>
                <w:rFonts w:ascii="Arial" w:cs="Arial" w:eastAsia="Arial" w:hAnsi="Arial"/>
                <w:sz w:val="17"/>
                <w:szCs w:val="17"/>
                <w:b w:val="1"/>
                <w:bCs w:val="1"/>
                <w:color w:val="auto"/>
              </w:rPr>
              <w:t>Life</w:t>
            </w:r>
          </w:p>
        </w:tc>
        <w:tc>
          <w:tcPr>
            <w:tcW w:w="1680" w:type="dxa"/>
            <w:vAlign w:val="bottom"/>
            <w:gridSpan w:val="4"/>
          </w:tcPr>
          <w:p>
            <w:pPr>
              <w:ind w:left="120"/>
              <w:spacing w:after="0" w:line="164" w:lineRule="exact"/>
              <w:rPr>
                <w:sz w:val="20"/>
                <w:szCs w:val="20"/>
                <w:color w:val="auto"/>
              </w:rPr>
            </w:pPr>
            <w:r>
              <w:rPr>
                <w:rFonts w:ascii="Arial" w:cs="Arial" w:eastAsia="Arial" w:hAnsi="Arial"/>
                <w:sz w:val="17"/>
                <w:szCs w:val="17"/>
                <w:b w:val="1"/>
                <w:bCs w:val="1"/>
                <w:color w:val="auto"/>
              </w:rPr>
              <w:t>General</w:t>
            </w:r>
          </w:p>
        </w:tc>
        <w:tc>
          <w:tcPr>
            <w:tcW w:w="1560" w:type="dxa"/>
            <w:vAlign w:val="bottom"/>
            <w:gridSpan w:val="3"/>
          </w:tcPr>
          <w:p>
            <w:pPr>
              <w:spacing w:after="0" w:line="164" w:lineRule="exact"/>
              <w:rPr>
                <w:sz w:val="20"/>
                <w:szCs w:val="20"/>
                <w:color w:val="auto"/>
              </w:rPr>
            </w:pPr>
            <w:r>
              <w:rPr>
                <w:rFonts w:ascii="Arial" w:cs="Arial" w:eastAsia="Arial" w:hAnsi="Arial"/>
                <w:sz w:val="17"/>
                <w:szCs w:val="17"/>
                <w:b w:val="1"/>
                <w:bCs w:val="1"/>
                <w:color w:val="auto"/>
              </w:rPr>
              <w:t>Health</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7"/>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7"/>
                <w:szCs w:val="17"/>
                <w:b w:val="1"/>
                <w:bCs w:val="1"/>
                <w:color w:val="auto"/>
              </w:rPr>
              <w:t>insurance</w:t>
            </w:r>
          </w:p>
        </w:tc>
        <w:tc>
          <w:tcPr>
            <w:tcW w:w="1680" w:type="dxa"/>
            <w:vAlign w:val="bottom"/>
            <w:gridSpan w:val="4"/>
          </w:tcPr>
          <w:p>
            <w:pPr>
              <w:ind w:left="120"/>
              <w:spacing w:after="0"/>
              <w:rPr>
                <w:sz w:val="20"/>
                <w:szCs w:val="20"/>
                <w:color w:val="auto"/>
              </w:rPr>
            </w:pPr>
            <w:r>
              <w:rPr>
                <w:rFonts w:ascii="Arial" w:cs="Arial" w:eastAsia="Arial" w:hAnsi="Arial"/>
                <w:sz w:val="17"/>
                <w:szCs w:val="17"/>
                <w:b w:val="1"/>
                <w:bCs w:val="1"/>
                <w:color w:val="auto"/>
              </w:rPr>
              <w:t>insurance</w:t>
            </w:r>
          </w:p>
        </w:tc>
        <w:tc>
          <w:tcPr>
            <w:tcW w:w="1560" w:type="dxa"/>
            <w:vAlign w:val="bottom"/>
            <w:gridSpan w:val="3"/>
          </w:tcPr>
          <w:p>
            <w:pPr>
              <w:spacing w:after="0"/>
              <w:rPr>
                <w:sz w:val="20"/>
                <w:szCs w:val="20"/>
                <w:color w:val="auto"/>
              </w:rPr>
            </w:pPr>
            <w:r>
              <w:rPr>
                <w:rFonts w:ascii="Arial" w:cs="Arial" w:eastAsia="Arial" w:hAnsi="Arial"/>
                <w:sz w:val="17"/>
                <w:szCs w:val="17"/>
                <w:b w:val="1"/>
                <w:bCs w:val="1"/>
                <w:color w:val="auto"/>
              </w:rPr>
              <w:t>insurance</w:t>
            </w:r>
          </w:p>
        </w:tc>
        <w:tc>
          <w:tcPr>
            <w:tcW w:w="148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spacing w:after="0"/>
              <w:rPr>
                <w:sz w:val="18"/>
                <w:szCs w:val="18"/>
                <w:color w:val="auto"/>
              </w:rPr>
            </w:pPr>
          </w:p>
        </w:tc>
      </w:tr>
      <w:tr>
        <w:trPr>
          <w:trHeight w:val="223"/>
        </w:trPr>
        <w:tc>
          <w:tcPr>
            <w:tcW w:w="4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gridSpan w:val="2"/>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gridSpan w:val="2"/>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52"/>
        </w:trPr>
        <w:tc>
          <w:tcPr>
            <w:tcW w:w="4880" w:type="dxa"/>
            <w:vAlign w:val="bottom"/>
            <w:gridSpan w:val="2"/>
          </w:tcPr>
          <w:p>
            <w:pPr>
              <w:ind w:left="1020"/>
              <w:spacing w:after="0"/>
              <w:rPr>
                <w:sz w:val="20"/>
                <w:szCs w:val="20"/>
                <w:color w:val="auto"/>
              </w:rPr>
            </w:pPr>
            <w:r>
              <w:rPr>
                <w:rFonts w:ascii="Arial" w:cs="Arial" w:eastAsia="Arial" w:hAnsi="Arial"/>
                <w:sz w:val="17"/>
                <w:szCs w:val="17"/>
                <w:b w:val="1"/>
                <w:bCs w:val="1"/>
                <w:color w:val="auto"/>
              </w:rPr>
              <w:t>Opening balance</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1,288,056</w:t>
            </w:r>
          </w:p>
        </w:tc>
        <w:tc>
          <w:tcPr>
            <w:tcW w:w="1580" w:type="dxa"/>
            <w:vAlign w:val="bottom"/>
            <w:gridSpan w:val="3"/>
          </w:tcPr>
          <w:p>
            <w:pPr>
              <w:jc w:val="right"/>
              <w:ind w:right="100"/>
              <w:spacing w:after="0"/>
              <w:rPr>
                <w:sz w:val="20"/>
                <w:szCs w:val="20"/>
                <w:color w:val="auto"/>
              </w:rPr>
            </w:pPr>
            <w:r>
              <w:rPr>
                <w:rFonts w:ascii="Arial" w:cs="Arial" w:eastAsia="Arial" w:hAnsi="Arial"/>
                <w:sz w:val="17"/>
                <w:szCs w:val="17"/>
                <w:color w:val="auto"/>
              </w:rPr>
              <w:t>629,330</w:t>
            </w:r>
          </w:p>
        </w:tc>
        <w:tc>
          <w:tcPr>
            <w:tcW w:w="10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133,088</w:t>
            </w:r>
          </w:p>
        </w:tc>
        <w:tc>
          <w:tcPr>
            <w:tcW w:w="10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2,050,474</w:t>
            </w:r>
          </w:p>
        </w:tc>
        <w:tc>
          <w:tcPr>
            <w:tcW w:w="180" w:type="dxa"/>
            <w:vAlign w:val="bottom"/>
          </w:tcPr>
          <w:p>
            <w:pPr>
              <w:spacing w:after="0"/>
              <w:rPr>
                <w:sz w:val="24"/>
                <w:szCs w:val="24"/>
                <w:color w:val="auto"/>
              </w:rPr>
            </w:pPr>
          </w:p>
        </w:tc>
      </w:tr>
      <w:tr>
        <w:trPr>
          <w:trHeight w:val="194"/>
        </w:trPr>
        <w:tc>
          <w:tcPr>
            <w:tcW w:w="4880" w:type="dxa"/>
            <w:vAlign w:val="bottom"/>
            <w:gridSpan w:val="2"/>
          </w:tcPr>
          <w:p>
            <w:pPr>
              <w:ind w:left="1020"/>
              <w:spacing w:after="0" w:line="194" w:lineRule="exact"/>
              <w:rPr>
                <w:sz w:val="20"/>
                <w:szCs w:val="20"/>
                <w:color w:val="auto"/>
              </w:rPr>
            </w:pPr>
            <w:r>
              <w:rPr>
                <w:rFonts w:ascii="Arial" w:cs="Arial" w:eastAsia="Arial" w:hAnsi="Arial"/>
                <w:sz w:val="17"/>
                <w:szCs w:val="17"/>
                <w:color w:val="auto"/>
              </w:rPr>
              <w:t>Gross claims, Note 26</w:t>
            </w:r>
          </w:p>
        </w:tc>
        <w:tc>
          <w:tcPr>
            <w:tcW w:w="146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2,183,789</w:t>
            </w:r>
          </w:p>
        </w:tc>
        <w:tc>
          <w:tcPr>
            <w:tcW w:w="15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375,162</w:t>
            </w:r>
          </w:p>
        </w:tc>
        <w:tc>
          <w:tcPr>
            <w:tcW w:w="10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325,307</w:t>
            </w:r>
          </w:p>
        </w:tc>
        <w:tc>
          <w:tcPr>
            <w:tcW w:w="100" w:type="dxa"/>
            <w:vAlign w:val="bottom"/>
          </w:tcPr>
          <w:p>
            <w:pPr>
              <w:spacing w:after="0"/>
              <w:rPr>
                <w:sz w:val="16"/>
                <w:szCs w:val="16"/>
                <w:color w:val="auto"/>
              </w:rPr>
            </w:pPr>
          </w:p>
        </w:tc>
        <w:tc>
          <w:tcPr>
            <w:tcW w:w="14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2,884,258</w:t>
            </w:r>
          </w:p>
        </w:tc>
        <w:tc>
          <w:tcPr>
            <w:tcW w:w="180" w:type="dxa"/>
            <w:vAlign w:val="bottom"/>
          </w:tcPr>
          <w:p>
            <w:pPr>
              <w:spacing w:after="0"/>
              <w:rPr>
                <w:sz w:val="16"/>
                <w:szCs w:val="16"/>
                <w:color w:val="auto"/>
              </w:rPr>
            </w:pPr>
          </w:p>
        </w:tc>
      </w:tr>
      <w:tr>
        <w:trPr>
          <w:trHeight w:val="194"/>
        </w:trPr>
        <w:tc>
          <w:tcPr>
            <w:tcW w:w="4880" w:type="dxa"/>
            <w:vAlign w:val="bottom"/>
            <w:gridSpan w:val="2"/>
          </w:tcPr>
          <w:p>
            <w:pPr>
              <w:ind w:left="1020"/>
              <w:spacing w:after="0" w:line="194" w:lineRule="exact"/>
              <w:rPr>
                <w:sz w:val="20"/>
                <w:szCs w:val="20"/>
                <w:color w:val="auto"/>
              </w:rPr>
            </w:pPr>
            <w:r>
              <w:rPr>
                <w:rFonts w:ascii="Arial" w:cs="Arial" w:eastAsia="Arial" w:hAnsi="Arial"/>
                <w:sz w:val="17"/>
                <w:szCs w:val="17"/>
                <w:color w:val="auto"/>
              </w:rPr>
              <w:t>Payments</w:t>
            </w:r>
          </w:p>
        </w:tc>
        <w:tc>
          <w:tcPr>
            <w:tcW w:w="146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(1,786,376)</w:t>
            </w:r>
          </w:p>
        </w:tc>
        <w:tc>
          <w:tcPr>
            <w:tcW w:w="15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(353,147)</w:t>
            </w:r>
          </w:p>
        </w:tc>
        <w:tc>
          <w:tcPr>
            <w:tcW w:w="10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(314,343)</w:t>
            </w:r>
          </w:p>
        </w:tc>
        <w:tc>
          <w:tcPr>
            <w:tcW w:w="100" w:type="dxa"/>
            <w:vAlign w:val="bottom"/>
          </w:tcPr>
          <w:p>
            <w:pPr>
              <w:spacing w:after="0"/>
              <w:rPr>
                <w:sz w:val="16"/>
                <w:szCs w:val="16"/>
                <w:color w:val="auto"/>
              </w:rPr>
            </w:pPr>
          </w:p>
        </w:tc>
        <w:tc>
          <w:tcPr>
            <w:tcW w:w="14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(2,453,866)</w:t>
            </w:r>
          </w:p>
        </w:tc>
        <w:tc>
          <w:tcPr>
            <w:tcW w:w="180" w:type="dxa"/>
            <w:vAlign w:val="bottom"/>
          </w:tcPr>
          <w:p>
            <w:pPr>
              <w:spacing w:after="0"/>
              <w:rPr>
                <w:sz w:val="16"/>
                <w:szCs w:val="16"/>
                <w:color w:val="auto"/>
              </w:rPr>
            </w:pPr>
          </w:p>
        </w:tc>
      </w:tr>
      <w:tr>
        <w:trPr>
          <w:trHeight w:val="208"/>
        </w:trPr>
        <w:tc>
          <w:tcPr>
            <w:tcW w:w="4880" w:type="dxa"/>
            <w:vAlign w:val="bottom"/>
            <w:gridSpan w:val="2"/>
          </w:tcPr>
          <w:p>
            <w:pPr>
              <w:ind w:left="1020"/>
              <w:spacing w:after="0"/>
              <w:rPr>
                <w:sz w:val="20"/>
                <w:szCs w:val="20"/>
                <w:color w:val="auto"/>
              </w:rPr>
            </w:pPr>
            <w:r>
              <w:rPr>
                <w:rFonts w:ascii="Arial" w:cs="Arial" w:eastAsia="Arial" w:hAnsi="Arial"/>
                <w:sz w:val="17"/>
                <w:szCs w:val="17"/>
                <w:color w:val="auto"/>
              </w:rPr>
              <w:t>Exchange difference</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11,264</w:t>
            </w:r>
          </w:p>
        </w:tc>
        <w:tc>
          <w:tcPr>
            <w:tcW w:w="1580" w:type="dxa"/>
            <w:vAlign w:val="bottom"/>
            <w:gridSpan w:val="3"/>
          </w:tcPr>
          <w:p>
            <w:pPr>
              <w:jc w:val="right"/>
              <w:ind w:right="100"/>
              <w:spacing w:after="0"/>
              <w:rPr>
                <w:sz w:val="20"/>
                <w:szCs w:val="20"/>
                <w:color w:val="auto"/>
              </w:rPr>
            </w:pPr>
            <w:r>
              <w:rPr>
                <w:rFonts w:ascii="Arial" w:cs="Arial" w:eastAsia="Arial" w:hAnsi="Arial"/>
                <w:sz w:val="17"/>
                <w:szCs w:val="17"/>
                <w:color w:val="auto"/>
              </w:rPr>
              <w:t>63,355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74,714</w:t>
            </w:r>
          </w:p>
        </w:tc>
        <w:tc>
          <w:tcPr>
            <w:tcW w:w="180" w:type="dxa"/>
            <w:vAlign w:val="bottom"/>
          </w:tcPr>
          <w:p>
            <w:pPr>
              <w:spacing w:after="0"/>
              <w:rPr>
                <w:sz w:val="18"/>
                <w:szCs w:val="18"/>
                <w:color w:val="auto"/>
              </w:rPr>
            </w:pPr>
          </w:p>
        </w:tc>
      </w:tr>
      <w:tr>
        <w:trPr>
          <w:trHeight w:val="193"/>
        </w:trPr>
        <w:tc>
          <w:tcPr>
            <w:tcW w:w="4880" w:type="dxa"/>
            <w:vAlign w:val="bottom"/>
            <w:gridSpan w:val="2"/>
          </w:tcPr>
          <w:p>
            <w:pPr>
              <w:ind w:left="1020"/>
              <w:spacing w:after="0" w:line="187" w:lineRule="exact"/>
              <w:rPr>
                <w:sz w:val="20"/>
                <w:szCs w:val="20"/>
                <w:color w:val="auto"/>
              </w:rPr>
            </w:pPr>
            <w:r>
              <w:rPr>
                <w:rFonts w:ascii="Arial" w:cs="Arial" w:eastAsia="Arial" w:hAnsi="Arial"/>
                <w:sz w:val="17"/>
                <w:szCs w:val="17"/>
                <w:b w:val="1"/>
                <w:bCs w:val="1"/>
                <w:color w:val="auto"/>
              </w:rPr>
              <w:t>Ending balance</w:t>
            </w:r>
          </w:p>
        </w:tc>
        <w:tc>
          <w:tcPr>
            <w:tcW w:w="2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1,696,733</w:t>
            </w:r>
          </w:p>
        </w:tc>
        <w:tc>
          <w:tcPr>
            <w:tcW w:w="12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714,700</w:t>
            </w:r>
          </w:p>
        </w:tc>
        <w:tc>
          <w:tcPr>
            <w:tcW w:w="10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144,147</w:t>
            </w:r>
          </w:p>
        </w:tc>
        <w:tc>
          <w:tcPr>
            <w:tcW w:w="10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120"/>
              <w:spacing w:after="0" w:line="187" w:lineRule="exact"/>
              <w:rPr>
                <w:sz w:val="20"/>
                <w:szCs w:val="20"/>
                <w:color w:val="auto"/>
              </w:rPr>
            </w:pPr>
            <w:r>
              <w:rPr>
                <w:rFonts w:ascii="Arial" w:cs="Arial" w:eastAsia="Arial" w:hAnsi="Arial"/>
                <w:sz w:val="17"/>
                <w:szCs w:val="17"/>
                <w:color w:val="auto"/>
              </w:rPr>
              <w:t>2,555,580</w:t>
            </w:r>
          </w:p>
        </w:tc>
        <w:tc>
          <w:tcPr>
            <w:tcW w:w="180" w:type="dxa"/>
            <w:vAlign w:val="bottom"/>
          </w:tcPr>
          <w:p>
            <w:pPr>
              <w:spacing w:after="0"/>
              <w:rPr>
                <w:sz w:val="16"/>
                <w:szCs w:val="16"/>
                <w:color w:val="auto"/>
              </w:rPr>
            </w:pPr>
          </w:p>
        </w:tc>
      </w:tr>
      <w:tr>
        <w:trPr>
          <w:trHeight w:val="570"/>
        </w:trPr>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2"/>
          </w:tcPr>
          <w:p>
            <w:pPr>
              <w:ind w:left="540"/>
              <w:spacing w:after="0"/>
              <w:rPr>
                <w:sz w:val="20"/>
                <w:szCs w:val="20"/>
                <w:color w:val="auto"/>
              </w:rPr>
            </w:pPr>
            <w:r>
              <w:rPr>
                <w:rFonts w:ascii="Arial" w:cs="Arial" w:eastAsia="Arial" w:hAnsi="Arial"/>
                <w:sz w:val="17"/>
                <w:szCs w:val="17"/>
                <w:color w:val="auto"/>
              </w:rPr>
              <w:t>- 99 -</w:t>
            </w: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4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104" w:name="page105"/>
    <w:bookmarkEnd w:id="104"/>
    <w:p>
      <w:pPr>
        <w:ind w:left="940"/>
        <w:spacing w:after="0" w:line="253" w:lineRule="auto"/>
        <w:rPr>
          <w:sz w:val="20"/>
          <w:szCs w:val="20"/>
          <w:color w:val="auto"/>
        </w:rPr>
      </w:pPr>
      <w:r>
        <w:rPr>
          <w:rFonts w:ascii="Arial" w:cs="Arial" w:eastAsia="Arial" w:hAnsi="Arial"/>
          <w:sz w:val="17"/>
          <w:szCs w:val="17"/>
          <w:color w:val="auto"/>
        </w:rPr>
        <w:t>The increase in technical reserves for claims corresponds mainly to excess mortality in the Life Insurance Businesses and the provision of services for Health Insurance. The impact by business for COVID-19 cases is detailed below:</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auto"/>
        </w:rPr>
        <w:t>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40" w:type="dxa"/>
            <w:vAlign w:val="bottom"/>
          </w:tcPr>
          <w:p>
            <w:pPr>
              <w:spacing w:after="0"/>
              <w:rPr>
                <w:sz w:val="14"/>
                <w:szCs w:val="14"/>
                <w:color w:val="auto"/>
              </w:rPr>
            </w:pPr>
          </w:p>
        </w:tc>
        <w:tc>
          <w:tcPr>
            <w:tcW w:w="2960" w:type="dxa"/>
            <w:vAlign w:val="bottom"/>
            <w:tcBorders>
              <w:top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80"/>
              <w:spacing w:after="0" w:line="164" w:lineRule="exact"/>
              <w:rPr>
                <w:sz w:val="20"/>
                <w:szCs w:val="20"/>
                <w:color w:val="auto"/>
              </w:rPr>
            </w:pPr>
            <w:r>
              <w:rPr>
                <w:rFonts w:ascii="Arial" w:cs="Arial" w:eastAsia="Arial" w:hAnsi="Arial"/>
                <w:sz w:val="17"/>
                <w:szCs w:val="17"/>
                <w:b w:val="1"/>
                <w:bCs w:val="1"/>
                <w:color w:val="auto"/>
              </w:rPr>
              <w:t>IBNR</w:t>
            </w:r>
          </w:p>
        </w:tc>
        <w:tc>
          <w:tcPr>
            <w:tcW w:w="1540" w:type="dxa"/>
            <w:vAlign w:val="bottom"/>
            <w:tcBorders>
              <w:top w:val="single" w:sz="8" w:color="auto"/>
            </w:tcBorders>
            <w:gridSpan w:val="2"/>
          </w:tcPr>
          <w:p>
            <w:pPr>
              <w:ind w:left="100"/>
              <w:spacing w:after="0" w:line="164" w:lineRule="exact"/>
              <w:rPr>
                <w:sz w:val="20"/>
                <w:szCs w:val="20"/>
                <w:color w:val="auto"/>
              </w:rPr>
            </w:pPr>
            <w:r>
              <w:rPr>
                <w:rFonts w:ascii="Arial" w:cs="Arial" w:eastAsia="Arial" w:hAnsi="Arial"/>
                <w:sz w:val="17"/>
                <w:szCs w:val="17"/>
                <w:b w:val="1"/>
                <w:bCs w:val="1"/>
                <w:color w:val="auto"/>
              </w:rPr>
              <w:t>Claims</w:t>
            </w:r>
          </w:p>
        </w:tc>
        <w:tc>
          <w:tcPr>
            <w:tcW w:w="13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4"/>
        </w:trPr>
        <w:tc>
          <w:tcPr>
            <w:tcW w:w="9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Balance</w:t>
            </w:r>
          </w:p>
        </w:tc>
        <w:tc>
          <w:tcPr>
            <w:tcW w:w="154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reported</w:t>
            </w:r>
          </w:p>
        </w:tc>
        <w:tc>
          <w:tcPr>
            <w:tcW w:w="132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Total Impact</w:t>
            </w:r>
          </w:p>
        </w:tc>
        <w:tc>
          <w:tcPr>
            <w:tcW w:w="180" w:type="dxa"/>
            <w:vAlign w:val="bottom"/>
          </w:tcPr>
          <w:p>
            <w:pPr>
              <w:spacing w:after="0"/>
              <w:rPr>
                <w:sz w:val="16"/>
                <w:szCs w:val="16"/>
                <w:color w:val="auto"/>
              </w:rPr>
            </w:pPr>
          </w:p>
        </w:tc>
      </w:tr>
      <w:tr>
        <w:trPr>
          <w:trHeight w:val="217"/>
        </w:trPr>
        <w:tc>
          <w:tcPr>
            <w:tcW w:w="940" w:type="dxa"/>
            <w:vAlign w:val="bottom"/>
          </w:tcPr>
          <w:p>
            <w:pPr>
              <w:spacing w:after="0"/>
              <w:rPr>
                <w:sz w:val="18"/>
                <w:szCs w:val="18"/>
                <w:color w:val="auto"/>
              </w:rPr>
            </w:pPr>
          </w:p>
        </w:tc>
        <w:tc>
          <w:tcPr>
            <w:tcW w:w="2960" w:type="dxa"/>
            <w:vAlign w:val="bottom"/>
          </w:tcPr>
          <w:p>
            <w:pPr>
              <w:ind w:left="80"/>
              <w:spacing w:after="0"/>
              <w:rPr>
                <w:sz w:val="20"/>
                <w:szCs w:val="20"/>
                <w:color w:val="auto"/>
              </w:rPr>
            </w:pPr>
            <w:r>
              <w:rPr>
                <w:rFonts w:ascii="Arial" w:cs="Arial" w:eastAsia="Arial" w:hAnsi="Arial"/>
                <w:sz w:val="17"/>
                <w:szCs w:val="17"/>
                <w:b w:val="1"/>
                <w:bCs w:val="1"/>
                <w:color w:val="auto"/>
              </w:rPr>
              <w:t>Business line</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7"/>
                <w:szCs w:val="17"/>
                <w:b w:val="1"/>
                <w:bCs w:val="1"/>
                <w:color w:val="auto"/>
              </w:rPr>
              <w:t>COVID-19</w:t>
            </w:r>
          </w:p>
        </w:tc>
        <w:tc>
          <w:tcPr>
            <w:tcW w:w="1540" w:type="dxa"/>
            <w:vAlign w:val="bottom"/>
            <w:gridSpan w:val="2"/>
          </w:tcPr>
          <w:p>
            <w:pPr>
              <w:ind w:left="100"/>
              <w:spacing w:after="0"/>
              <w:rPr>
                <w:sz w:val="20"/>
                <w:szCs w:val="20"/>
                <w:color w:val="auto"/>
              </w:rPr>
            </w:pPr>
            <w:r>
              <w:rPr>
                <w:rFonts w:ascii="Arial" w:cs="Arial" w:eastAsia="Arial" w:hAnsi="Arial"/>
                <w:sz w:val="17"/>
                <w:szCs w:val="17"/>
                <w:b w:val="1"/>
                <w:bCs w:val="1"/>
                <w:color w:val="auto"/>
              </w:rPr>
              <w:t>COVID-19</w:t>
            </w:r>
          </w:p>
        </w:tc>
        <w:tc>
          <w:tcPr>
            <w:tcW w:w="1320" w:type="dxa"/>
            <w:vAlign w:val="bottom"/>
          </w:tcPr>
          <w:p>
            <w:pPr>
              <w:ind w:left="100"/>
              <w:spacing w:after="0"/>
              <w:rPr>
                <w:sz w:val="20"/>
                <w:szCs w:val="20"/>
                <w:color w:val="auto"/>
              </w:rPr>
            </w:pPr>
            <w:r>
              <w:rPr>
                <w:rFonts w:ascii="Arial" w:cs="Arial" w:eastAsia="Arial" w:hAnsi="Arial"/>
                <w:sz w:val="17"/>
                <w:szCs w:val="17"/>
                <w:b w:val="1"/>
                <w:bCs w:val="1"/>
                <w:color w:val="auto"/>
              </w:rPr>
              <w:t>COVID-19</w:t>
            </w:r>
          </w:p>
        </w:tc>
        <w:tc>
          <w:tcPr>
            <w:tcW w:w="180" w:type="dxa"/>
            <w:vAlign w:val="bottom"/>
          </w:tcPr>
          <w:p>
            <w:pPr>
              <w:spacing w:after="0"/>
              <w:rPr>
                <w:sz w:val="18"/>
                <w:szCs w:val="18"/>
                <w:color w:val="auto"/>
              </w:rPr>
            </w:pPr>
          </w:p>
        </w:tc>
      </w:tr>
      <w:tr>
        <w:trPr>
          <w:trHeight w:val="186"/>
        </w:trPr>
        <w:tc>
          <w:tcPr>
            <w:tcW w:w="940" w:type="dxa"/>
            <w:vAlign w:val="bottom"/>
          </w:tcPr>
          <w:p>
            <w:pPr>
              <w:spacing w:after="0"/>
              <w:rPr>
                <w:sz w:val="16"/>
                <w:szCs w:val="16"/>
                <w:color w:val="auto"/>
              </w:rPr>
            </w:pPr>
          </w:p>
        </w:tc>
        <w:tc>
          <w:tcPr>
            <w:tcW w:w="296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S/MM</w:t>
            </w:r>
          </w:p>
        </w:tc>
        <w:tc>
          <w:tcPr>
            <w:tcW w:w="240" w:type="dxa"/>
            <w:vAlign w:val="bottom"/>
          </w:tcPr>
          <w:p>
            <w:pPr>
              <w:spacing w:after="0"/>
              <w:rPr>
                <w:sz w:val="16"/>
                <w:szCs w:val="16"/>
                <w:color w:val="auto"/>
              </w:rPr>
            </w:pPr>
          </w:p>
        </w:tc>
        <w:tc>
          <w:tcPr>
            <w:tcW w:w="130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17"/>
                <w:szCs w:val="17"/>
                <w:b w:val="1"/>
                <w:bCs w:val="1"/>
                <w:color w:val="auto"/>
              </w:rPr>
              <w:t>S/MM</w:t>
            </w:r>
          </w:p>
        </w:tc>
        <w:tc>
          <w:tcPr>
            <w:tcW w:w="240" w:type="dxa"/>
            <w:vAlign w:val="bottom"/>
          </w:tcPr>
          <w:p>
            <w:pPr>
              <w:spacing w:after="0"/>
              <w:rPr>
                <w:sz w:val="16"/>
                <w:szCs w:val="16"/>
                <w:color w:val="auto"/>
              </w:rPr>
            </w:pPr>
          </w:p>
        </w:tc>
        <w:tc>
          <w:tcPr>
            <w:tcW w:w="132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17"/>
                <w:szCs w:val="17"/>
                <w:b w:val="1"/>
                <w:bCs w:val="1"/>
                <w:color w:val="auto"/>
              </w:rPr>
              <w:t>S/MM</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Vida Individual</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18.7</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3.0</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21.7</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Vida Grupo</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7.0</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2.4</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9.4</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Vida Ley</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16.1</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6.4</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22.5</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Vida Crédito</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50.5</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13.6</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64.1</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SISCO</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72.1</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102.4</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174.5</w:t>
            </w:r>
          </w:p>
        </w:tc>
        <w:tc>
          <w:tcPr>
            <w:tcW w:w="180" w:type="dxa"/>
            <w:vAlign w:val="bottom"/>
          </w:tcPr>
          <w:p>
            <w:pPr>
              <w:spacing w:after="0"/>
              <w:rPr>
                <w:sz w:val="16"/>
                <w:szCs w:val="16"/>
                <w:color w:val="auto"/>
              </w:rPr>
            </w:pPr>
          </w:p>
        </w:tc>
      </w:tr>
      <w:tr>
        <w:trPr>
          <w:trHeight w:val="195"/>
        </w:trPr>
        <w:tc>
          <w:tcPr>
            <w:tcW w:w="940" w:type="dxa"/>
            <w:vAlign w:val="bottom"/>
          </w:tcPr>
          <w:p>
            <w:pPr>
              <w:spacing w:after="0"/>
              <w:rPr>
                <w:sz w:val="16"/>
                <w:szCs w:val="16"/>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Asistencia Médica</w:t>
            </w:r>
          </w:p>
        </w:tc>
        <w:tc>
          <w:tcPr>
            <w:tcW w:w="4060" w:type="dxa"/>
            <w:vAlign w:val="bottom"/>
            <w:gridSpan w:val="3"/>
          </w:tcPr>
          <w:p>
            <w:pPr>
              <w:jc w:val="right"/>
              <w:ind w:right="14"/>
              <w:spacing w:after="0"/>
              <w:rPr>
                <w:sz w:val="20"/>
                <w:szCs w:val="20"/>
                <w:color w:val="auto"/>
              </w:rPr>
            </w:pPr>
            <w:r>
              <w:rPr>
                <w:rFonts w:ascii="Arial" w:cs="Arial" w:eastAsia="Arial" w:hAnsi="Arial"/>
                <w:sz w:val="17"/>
                <w:szCs w:val="17"/>
                <w:color w:val="auto"/>
              </w:rPr>
              <w:t>7.4</w:t>
            </w:r>
          </w:p>
        </w:tc>
        <w:tc>
          <w:tcPr>
            <w:tcW w:w="240" w:type="dxa"/>
            <w:vAlign w:val="bottom"/>
          </w:tcPr>
          <w:p>
            <w:pPr>
              <w:spacing w:after="0"/>
              <w:rPr>
                <w:sz w:val="16"/>
                <w:szCs w:val="16"/>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12.2</w:t>
            </w:r>
          </w:p>
        </w:tc>
        <w:tc>
          <w:tcPr>
            <w:tcW w:w="180" w:type="dxa"/>
            <w:vAlign w:val="bottom"/>
          </w:tcPr>
          <w:p>
            <w:pPr>
              <w:spacing w:after="0"/>
              <w:rPr>
                <w:sz w:val="16"/>
                <w:szCs w:val="16"/>
                <w:color w:val="auto"/>
              </w:rPr>
            </w:pPr>
          </w:p>
        </w:tc>
      </w:tr>
      <w:tr>
        <w:trPr>
          <w:trHeight w:val="193"/>
        </w:trPr>
        <w:tc>
          <w:tcPr>
            <w:tcW w:w="940" w:type="dxa"/>
            <w:vAlign w:val="bottom"/>
          </w:tcPr>
          <w:p>
            <w:pPr>
              <w:spacing w:after="0"/>
              <w:rPr>
                <w:sz w:val="16"/>
                <w:szCs w:val="16"/>
                <w:color w:val="auto"/>
              </w:rPr>
            </w:pPr>
          </w:p>
        </w:tc>
        <w:tc>
          <w:tcPr>
            <w:tcW w:w="2960" w:type="dxa"/>
            <w:vAlign w:val="bottom"/>
          </w:tcPr>
          <w:p>
            <w:pPr>
              <w:ind w:left="80"/>
              <w:spacing w:after="0" w:line="187" w:lineRule="exact"/>
              <w:rPr>
                <w:sz w:val="20"/>
                <w:szCs w:val="20"/>
                <w:color w:val="auto"/>
              </w:rPr>
            </w:pPr>
            <w:r>
              <w:rPr>
                <w:rFonts w:ascii="Arial" w:cs="Arial" w:eastAsia="Arial" w:hAnsi="Arial"/>
                <w:sz w:val="17"/>
                <w:szCs w:val="17"/>
                <w:b w:val="1"/>
                <w:bCs w:val="1"/>
                <w:color w:val="auto"/>
              </w:rPr>
              <w:t>Total</w:t>
            </w:r>
          </w:p>
        </w:tc>
        <w:tc>
          <w:tcPr>
            <w:tcW w:w="2780" w:type="dxa"/>
            <w:vAlign w:val="bottom"/>
            <w:gridSpan w:val="2"/>
          </w:tcPr>
          <w:p>
            <w:pPr>
              <w:spacing w:after="0"/>
              <w:rPr>
                <w:sz w:val="16"/>
                <w:szCs w:val="16"/>
                <w:color w:val="auto"/>
              </w:rPr>
            </w:pPr>
          </w:p>
        </w:tc>
        <w:tc>
          <w:tcPr>
            <w:tcW w:w="128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171.8</w:t>
            </w:r>
          </w:p>
        </w:tc>
        <w:tc>
          <w:tcPr>
            <w:tcW w:w="24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132.6</w:t>
            </w:r>
          </w:p>
        </w:tc>
        <w:tc>
          <w:tcPr>
            <w:tcW w:w="24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304.4</w:t>
            </w:r>
          </w:p>
        </w:tc>
        <w:tc>
          <w:tcPr>
            <w:tcW w:w="180" w:type="dxa"/>
            <w:vAlign w:val="bottom"/>
          </w:tcPr>
          <w:p>
            <w:pPr>
              <w:spacing w:after="0"/>
              <w:rPr>
                <w:sz w:val="16"/>
                <w:szCs w:val="16"/>
                <w:color w:val="auto"/>
              </w:rPr>
            </w:pPr>
          </w:p>
        </w:tc>
      </w:tr>
      <w:tr>
        <w:trPr>
          <w:trHeight w:val="583"/>
        </w:trPr>
        <w:tc>
          <w:tcPr>
            <w:tcW w:w="940" w:type="dxa"/>
            <w:vAlign w:val="bottom"/>
          </w:tcPr>
          <w:p>
            <w:pPr>
              <w:spacing w:after="0"/>
              <w:rPr>
                <w:sz w:val="24"/>
                <w:szCs w:val="24"/>
                <w:color w:val="auto"/>
              </w:rPr>
            </w:pPr>
          </w:p>
        </w:tc>
        <w:tc>
          <w:tcPr>
            <w:tcW w:w="29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2021</w:t>
            </w:r>
          </w:p>
        </w:tc>
        <w:tc>
          <w:tcPr>
            <w:tcW w:w="2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64"/>
        </w:trPr>
        <w:tc>
          <w:tcPr>
            <w:tcW w:w="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80"/>
              <w:spacing w:after="0" w:line="164" w:lineRule="exact"/>
              <w:rPr>
                <w:sz w:val="20"/>
                <w:szCs w:val="20"/>
                <w:color w:val="auto"/>
              </w:rPr>
            </w:pPr>
            <w:r>
              <w:rPr>
                <w:rFonts w:ascii="Arial" w:cs="Arial" w:eastAsia="Arial" w:hAnsi="Arial"/>
                <w:sz w:val="17"/>
                <w:szCs w:val="17"/>
                <w:b w:val="1"/>
                <w:bCs w:val="1"/>
                <w:color w:val="auto"/>
              </w:rPr>
              <w:t>IBNR</w:t>
            </w:r>
          </w:p>
        </w:tc>
        <w:tc>
          <w:tcPr>
            <w:tcW w:w="1540" w:type="dxa"/>
            <w:vAlign w:val="bottom"/>
            <w:gridSpan w:val="2"/>
          </w:tcPr>
          <w:p>
            <w:pPr>
              <w:ind w:left="100"/>
              <w:spacing w:after="0" w:line="164" w:lineRule="exact"/>
              <w:rPr>
                <w:sz w:val="20"/>
                <w:szCs w:val="20"/>
                <w:color w:val="auto"/>
              </w:rPr>
            </w:pPr>
            <w:r>
              <w:rPr>
                <w:rFonts w:ascii="Arial" w:cs="Arial" w:eastAsia="Arial" w:hAnsi="Arial"/>
                <w:sz w:val="17"/>
                <w:szCs w:val="17"/>
                <w:b w:val="1"/>
                <w:bCs w:val="1"/>
                <w:color w:val="auto"/>
              </w:rPr>
              <w:t>Claims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4"/>
        </w:trPr>
        <w:tc>
          <w:tcPr>
            <w:tcW w:w="9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Balance</w:t>
            </w:r>
          </w:p>
        </w:tc>
        <w:tc>
          <w:tcPr>
            <w:tcW w:w="154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reported</w:t>
            </w:r>
          </w:p>
        </w:tc>
        <w:tc>
          <w:tcPr>
            <w:tcW w:w="132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Total Impact</w:t>
            </w:r>
          </w:p>
        </w:tc>
        <w:tc>
          <w:tcPr>
            <w:tcW w:w="180" w:type="dxa"/>
            <w:vAlign w:val="bottom"/>
          </w:tcPr>
          <w:p>
            <w:pPr>
              <w:spacing w:after="0"/>
              <w:rPr>
                <w:sz w:val="16"/>
                <w:szCs w:val="16"/>
                <w:color w:val="auto"/>
              </w:rPr>
            </w:pPr>
          </w:p>
        </w:tc>
      </w:tr>
      <w:tr>
        <w:trPr>
          <w:trHeight w:val="217"/>
        </w:trPr>
        <w:tc>
          <w:tcPr>
            <w:tcW w:w="940" w:type="dxa"/>
            <w:vAlign w:val="bottom"/>
          </w:tcPr>
          <w:p>
            <w:pPr>
              <w:spacing w:after="0"/>
              <w:rPr>
                <w:sz w:val="18"/>
                <w:szCs w:val="18"/>
                <w:color w:val="auto"/>
              </w:rPr>
            </w:pPr>
          </w:p>
        </w:tc>
        <w:tc>
          <w:tcPr>
            <w:tcW w:w="2960" w:type="dxa"/>
            <w:vAlign w:val="bottom"/>
          </w:tcPr>
          <w:p>
            <w:pPr>
              <w:ind w:left="80"/>
              <w:spacing w:after="0"/>
              <w:rPr>
                <w:sz w:val="20"/>
                <w:szCs w:val="20"/>
                <w:color w:val="auto"/>
              </w:rPr>
            </w:pPr>
            <w:r>
              <w:rPr>
                <w:rFonts w:ascii="Arial" w:cs="Arial" w:eastAsia="Arial" w:hAnsi="Arial"/>
                <w:sz w:val="17"/>
                <w:szCs w:val="17"/>
                <w:b w:val="1"/>
                <w:bCs w:val="1"/>
                <w:color w:val="auto"/>
              </w:rPr>
              <w:t>Business line</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7"/>
                <w:szCs w:val="17"/>
                <w:b w:val="1"/>
                <w:bCs w:val="1"/>
                <w:color w:val="auto"/>
              </w:rPr>
              <w:t>COVID-19</w:t>
            </w:r>
          </w:p>
        </w:tc>
        <w:tc>
          <w:tcPr>
            <w:tcW w:w="1540" w:type="dxa"/>
            <w:vAlign w:val="bottom"/>
            <w:gridSpan w:val="2"/>
          </w:tcPr>
          <w:p>
            <w:pPr>
              <w:ind w:left="100"/>
              <w:spacing w:after="0"/>
              <w:rPr>
                <w:sz w:val="20"/>
                <w:szCs w:val="20"/>
                <w:color w:val="auto"/>
              </w:rPr>
            </w:pPr>
            <w:r>
              <w:rPr>
                <w:rFonts w:ascii="Arial" w:cs="Arial" w:eastAsia="Arial" w:hAnsi="Arial"/>
                <w:sz w:val="17"/>
                <w:szCs w:val="17"/>
                <w:b w:val="1"/>
                <w:bCs w:val="1"/>
                <w:color w:val="auto"/>
              </w:rPr>
              <w:t>COVID-19</w:t>
            </w:r>
          </w:p>
        </w:tc>
        <w:tc>
          <w:tcPr>
            <w:tcW w:w="1320" w:type="dxa"/>
            <w:vAlign w:val="bottom"/>
          </w:tcPr>
          <w:p>
            <w:pPr>
              <w:ind w:left="100"/>
              <w:spacing w:after="0"/>
              <w:rPr>
                <w:sz w:val="20"/>
                <w:szCs w:val="20"/>
                <w:color w:val="auto"/>
              </w:rPr>
            </w:pPr>
            <w:r>
              <w:rPr>
                <w:rFonts w:ascii="Arial" w:cs="Arial" w:eastAsia="Arial" w:hAnsi="Arial"/>
                <w:sz w:val="17"/>
                <w:szCs w:val="17"/>
                <w:b w:val="1"/>
                <w:bCs w:val="1"/>
                <w:color w:val="auto"/>
              </w:rPr>
              <w:t>COVID-19</w:t>
            </w:r>
          </w:p>
        </w:tc>
        <w:tc>
          <w:tcPr>
            <w:tcW w:w="180" w:type="dxa"/>
            <w:vAlign w:val="bottom"/>
          </w:tcPr>
          <w:p>
            <w:pPr>
              <w:spacing w:after="0"/>
              <w:rPr>
                <w:sz w:val="18"/>
                <w:szCs w:val="18"/>
                <w:color w:val="auto"/>
              </w:rPr>
            </w:pPr>
          </w:p>
        </w:tc>
      </w:tr>
      <w:tr>
        <w:trPr>
          <w:trHeight w:val="186"/>
        </w:trPr>
        <w:tc>
          <w:tcPr>
            <w:tcW w:w="940" w:type="dxa"/>
            <w:vAlign w:val="bottom"/>
          </w:tcPr>
          <w:p>
            <w:pPr>
              <w:spacing w:after="0"/>
              <w:rPr>
                <w:sz w:val="16"/>
                <w:szCs w:val="16"/>
                <w:color w:val="auto"/>
              </w:rPr>
            </w:pPr>
          </w:p>
        </w:tc>
        <w:tc>
          <w:tcPr>
            <w:tcW w:w="296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S/MM</w:t>
            </w:r>
          </w:p>
        </w:tc>
        <w:tc>
          <w:tcPr>
            <w:tcW w:w="240" w:type="dxa"/>
            <w:vAlign w:val="bottom"/>
          </w:tcPr>
          <w:p>
            <w:pPr>
              <w:spacing w:after="0"/>
              <w:rPr>
                <w:sz w:val="16"/>
                <w:szCs w:val="16"/>
                <w:color w:val="auto"/>
              </w:rPr>
            </w:pPr>
          </w:p>
        </w:tc>
        <w:tc>
          <w:tcPr>
            <w:tcW w:w="130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17"/>
                <w:szCs w:val="17"/>
                <w:b w:val="1"/>
                <w:bCs w:val="1"/>
                <w:color w:val="auto"/>
              </w:rPr>
              <w:t>S/MM</w:t>
            </w:r>
          </w:p>
        </w:tc>
        <w:tc>
          <w:tcPr>
            <w:tcW w:w="240" w:type="dxa"/>
            <w:vAlign w:val="bottom"/>
          </w:tcPr>
          <w:p>
            <w:pPr>
              <w:spacing w:after="0"/>
              <w:rPr>
                <w:sz w:val="16"/>
                <w:szCs w:val="16"/>
                <w:color w:val="auto"/>
              </w:rPr>
            </w:pPr>
          </w:p>
        </w:tc>
        <w:tc>
          <w:tcPr>
            <w:tcW w:w="132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17"/>
                <w:szCs w:val="17"/>
                <w:b w:val="1"/>
                <w:bCs w:val="1"/>
                <w:color w:val="auto"/>
              </w:rPr>
              <w:t>S/MM</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Vida Individual</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18.0</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39.0</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57.0</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Vida Grupo</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13.9</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18.7</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32.6</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Vida Ley</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27.2</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44.4</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71.6</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Vida Crédito</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45.6</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162.9</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208.5</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2960" w:type="dxa"/>
            <w:vAlign w:val="bottom"/>
          </w:tcPr>
          <w:p>
            <w:pPr>
              <w:ind w:left="80"/>
              <w:spacing w:after="0" w:line="194" w:lineRule="exact"/>
              <w:rPr>
                <w:sz w:val="20"/>
                <w:szCs w:val="20"/>
                <w:color w:val="auto"/>
              </w:rPr>
            </w:pPr>
            <w:r>
              <w:rPr>
                <w:rFonts w:ascii="Arial" w:cs="Arial" w:eastAsia="Arial" w:hAnsi="Arial"/>
                <w:sz w:val="17"/>
                <w:szCs w:val="17"/>
                <w:color w:val="auto"/>
              </w:rPr>
              <w:t>SISCO</w:t>
            </w:r>
          </w:p>
        </w:tc>
        <w:tc>
          <w:tcPr>
            <w:tcW w:w="4060" w:type="dxa"/>
            <w:vAlign w:val="bottom"/>
            <w:gridSpan w:val="3"/>
          </w:tcPr>
          <w:p>
            <w:pPr>
              <w:jc w:val="right"/>
              <w:ind w:right="14"/>
              <w:spacing w:after="0" w:line="194" w:lineRule="exact"/>
              <w:rPr>
                <w:sz w:val="20"/>
                <w:szCs w:val="20"/>
                <w:color w:val="auto"/>
              </w:rPr>
            </w:pPr>
            <w:r>
              <w:rPr>
                <w:rFonts w:ascii="Arial" w:cs="Arial" w:eastAsia="Arial" w:hAnsi="Arial"/>
                <w:sz w:val="17"/>
                <w:szCs w:val="17"/>
                <w:color w:val="auto"/>
              </w:rPr>
              <w:t>67.8</w:t>
            </w:r>
          </w:p>
        </w:tc>
        <w:tc>
          <w:tcPr>
            <w:tcW w:w="240" w:type="dxa"/>
            <w:vAlign w:val="bottom"/>
          </w:tcPr>
          <w:p>
            <w:pPr>
              <w:spacing w:after="0"/>
              <w:rPr>
                <w:sz w:val="16"/>
                <w:szCs w:val="16"/>
                <w:color w:val="auto"/>
              </w:rPr>
            </w:pPr>
          </w:p>
        </w:tc>
        <w:tc>
          <w:tcPr>
            <w:tcW w:w="13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286.5</w:t>
            </w:r>
          </w:p>
        </w:tc>
        <w:tc>
          <w:tcPr>
            <w:tcW w:w="240" w:type="dxa"/>
            <w:vAlign w:val="bottom"/>
          </w:tcPr>
          <w:p>
            <w:pPr>
              <w:spacing w:after="0"/>
              <w:rPr>
                <w:sz w:val="16"/>
                <w:szCs w:val="16"/>
                <w:color w:val="auto"/>
              </w:rPr>
            </w:pPr>
          </w:p>
        </w:tc>
        <w:tc>
          <w:tcPr>
            <w:tcW w:w="13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354.3</w:t>
            </w:r>
          </w:p>
        </w:tc>
        <w:tc>
          <w:tcPr>
            <w:tcW w:w="180" w:type="dxa"/>
            <w:vAlign w:val="bottom"/>
          </w:tcPr>
          <w:p>
            <w:pPr>
              <w:spacing w:after="0"/>
              <w:rPr>
                <w:sz w:val="16"/>
                <w:szCs w:val="16"/>
                <w:color w:val="auto"/>
              </w:rPr>
            </w:pPr>
          </w:p>
        </w:tc>
      </w:tr>
      <w:tr>
        <w:trPr>
          <w:trHeight w:val="195"/>
        </w:trPr>
        <w:tc>
          <w:tcPr>
            <w:tcW w:w="940" w:type="dxa"/>
            <w:vAlign w:val="bottom"/>
          </w:tcPr>
          <w:p>
            <w:pPr>
              <w:spacing w:after="0"/>
              <w:rPr>
                <w:sz w:val="16"/>
                <w:szCs w:val="16"/>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Asistencia Médica</w:t>
            </w:r>
          </w:p>
        </w:tc>
        <w:tc>
          <w:tcPr>
            <w:tcW w:w="4060" w:type="dxa"/>
            <w:vAlign w:val="bottom"/>
            <w:gridSpan w:val="3"/>
          </w:tcPr>
          <w:p>
            <w:pPr>
              <w:jc w:val="right"/>
              <w:ind w:right="14"/>
              <w:spacing w:after="0"/>
              <w:rPr>
                <w:sz w:val="20"/>
                <w:szCs w:val="20"/>
                <w:color w:val="auto"/>
              </w:rPr>
            </w:pPr>
            <w:r>
              <w:rPr>
                <w:rFonts w:ascii="Arial" w:cs="Arial" w:eastAsia="Arial" w:hAnsi="Arial"/>
                <w:sz w:val="17"/>
                <w:szCs w:val="17"/>
                <w:color w:val="auto"/>
              </w:rPr>
              <w:t>19.8</w:t>
            </w:r>
          </w:p>
        </w:tc>
        <w:tc>
          <w:tcPr>
            <w:tcW w:w="240" w:type="dxa"/>
            <w:vAlign w:val="bottom"/>
          </w:tcPr>
          <w:p>
            <w:pPr>
              <w:spacing w:after="0"/>
              <w:rPr>
                <w:sz w:val="16"/>
                <w:szCs w:val="16"/>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38.7</w:t>
            </w:r>
          </w:p>
        </w:tc>
        <w:tc>
          <w:tcPr>
            <w:tcW w:w="24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58.5</w:t>
            </w:r>
          </w:p>
        </w:tc>
        <w:tc>
          <w:tcPr>
            <w:tcW w:w="180" w:type="dxa"/>
            <w:vAlign w:val="bottom"/>
          </w:tcPr>
          <w:p>
            <w:pPr>
              <w:spacing w:after="0"/>
              <w:rPr>
                <w:sz w:val="16"/>
                <w:szCs w:val="16"/>
                <w:color w:val="auto"/>
              </w:rPr>
            </w:pPr>
          </w:p>
        </w:tc>
      </w:tr>
      <w:tr>
        <w:trPr>
          <w:trHeight w:val="193"/>
        </w:trPr>
        <w:tc>
          <w:tcPr>
            <w:tcW w:w="940" w:type="dxa"/>
            <w:vAlign w:val="bottom"/>
          </w:tcPr>
          <w:p>
            <w:pPr>
              <w:spacing w:after="0"/>
              <w:rPr>
                <w:sz w:val="16"/>
                <w:szCs w:val="16"/>
                <w:color w:val="auto"/>
              </w:rPr>
            </w:pPr>
          </w:p>
        </w:tc>
        <w:tc>
          <w:tcPr>
            <w:tcW w:w="2960" w:type="dxa"/>
            <w:vAlign w:val="bottom"/>
          </w:tcPr>
          <w:p>
            <w:pPr>
              <w:ind w:left="80"/>
              <w:spacing w:after="0" w:line="187" w:lineRule="exact"/>
              <w:rPr>
                <w:sz w:val="20"/>
                <w:szCs w:val="20"/>
                <w:color w:val="auto"/>
              </w:rPr>
            </w:pPr>
            <w:r>
              <w:rPr>
                <w:rFonts w:ascii="Arial" w:cs="Arial" w:eastAsia="Arial" w:hAnsi="Arial"/>
                <w:sz w:val="17"/>
                <w:szCs w:val="17"/>
                <w:b w:val="1"/>
                <w:bCs w:val="1"/>
                <w:color w:val="auto"/>
              </w:rPr>
              <w:t>Total</w:t>
            </w:r>
          </w:p>
        </w:tc>
        <w:tc>
          <w:tcPr>
            <w:tcW w:w="2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192.3</w:t>
            </w:r>
          </w:p>
        </w:tc>
        <w:tc>
          <w:tcPr>
            <w:tcW w:w="24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590.2</w:t>
            </w:r>
          </w:p>
        </w:tc>
        <w:tc>
          <w:tcPr>
            <w:tcW w:w="24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782.5</w:t>
            </w:r>
          </w:p>
        </w:tc>
        <w:tc>
          <w:tcPr>
            <w:tcW w:w="180" w:type="dxa"/>
            <w:vAlign w:val="bottom"/>
          </w:tcPr>
          <w:p>
            <w:pPr>
              <w:spacing w:after="0"/>
              <w:rPr>
                <w:sz w:val="16"/>
                <w:szCs w:val="16"/>
                <w:color w:val="auto"/>
              </w:rPr>
            </w:pPr>
          </w:p>
        </w:tc>
      </w:tr>
      <w:tr>
        <w:trPr>
          <w:trHeight w:val="376"/>
        </w:trPr>
        <w:tc>
          <w:tcPr>
            <w:tcW w:w="9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20" w:type="dxa"/>
            <w:vAlign w:val="bottom"/>
          </w:tcPr>
          <w:p>
            <w:pPr>
              <w:jc w:val="right"/>
              <w:ind w:right="454"/>
              <w:spacing w:after="0"/>
              <w:rPr>
                <w:sz w:val="20"/>
                <w:szCs w:val="20"/>
                <w:color w:val="auto"/>
              </w:rPr>
            </w:pPr>
            <w:r>
              <w:rPr>
                <w:rFonts w:ascii="Arial" w:cs="Arial" w:eastAsia="Arial" w:hAnsi="Arial"/>
                <w:sz w:val="17"/>
                <w:szCs w:val="17"/>
                <w:color w:val="auto"/>
              </w:rPr>
              <w:t>- 100 -</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9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105" w:name="page106"/>
    <w:bookmarkEnd w:id="105"/>
    <w:p>
      <w:pPr>
        <w:spacing w:after="0"/>
        <w:tabs>
          <w:tab w:leader="none" w:pos="300" w:val="left"/>
        </w:tabs>
        <w:rPr>
          <w:sz w:val="20"/>
          <w:szCs w:val="20"/>
          <w:color w:val="auto"/>
        </w:rPr>
      </w:pPr>
      <w:r>
        <w:rPr>
          <w:rFonts w:ascii="Arial" w:cs="Arial" w:eastAsia="Arial" w:hAnsi="Arial"/>
          <w:sz w:val="17"/>
          <w:szCs w:val="17"/>
          <w:color w:val="auto"/>
        </w:rPr>
        <w:t>c)</w:t>
        <w:tab/>
        <w:t>Movement of reserves for premiums (direct and assumed) that occurred during the years 2022 and 2021:</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5380" w:type="dxa"/>
            <w:vAlign w:val="bottom"/>
          </w:tcPr>
          <w:p>
            <w:pPr>
              <w:spacing w:after="0"/>
              <w:rPr>
                <w:sz w:val="14"/>
                <w:szCs w:val="14"/>
                <w:color w:val="auto"/>
              </w:rPr>
            </w:pPr>
          </w:p>
        </w:tc>
        <w:tc>
          <w:tcPr>
            <w:tcW w:w="112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Life</w:t>
            </w:r>
          </w:p>
        </w:tc>
        <w:tc>
          <w:tcPr>
            <w:tcW w:w="1320" w:type="dxa"/>
            <w:vAlign w:val="bottom"/>
            <w:gridSpan w:val="4"/>
          </w:tcPr>
          <w:p>
            <w:pPr>
              <w:ind w:left="100"/>
              <w:spacing w:after="0" w:line="164" w:lineRule="exact"/>
              <w:rPr>
                <w:sz w:val="20"/>
                <w:szCs w:val="20"/>
                <w:color w:val="auto"/>
              </w:rPr>
            </w:pPr>
            <w:r>
              <w:rPr>
                <w:rFonts w:ascii="Arial" w:cs="Arial" w:eastAsia="Arial" w:hAnsi="Arial"/>
                <w:sz w:val="17"/>
                <w:szCs w:val="17"/>
                <w:b w:val="1"/>
                <w:bCs w:val="1"/>
                <w:color w:val="auto"/>
              </w:rPr>
              <w:t>General</w:t>
            </w:r>
          </w:p>
        </w:tc>
        <w:tc>
          <w:tcPr>
            <w:tcW w:w="1180" w:type="dxa"/>
            <w:vAlign w:val="bottom"/>
            <w:gridSpan w:val="3"/>
          </w:tcPr>
          <w:p>
            <w:pPr>
              <w:spacing w:after="0" w:line="164" w:lineRule="exact"/>
              <w:rPr>
                <w:sz w:val="20"/>
                <w:szCs w:val="20"/>
                <w:color w:val="auto"/>
              </w:rPr>
            </w:pPr>
            <w:r>
              <w:rPr>
                <w:rFonts w:ascii="Arial" w:cs="Arial" w:eastAsia="Arial" w:hAnsi="Arial"/>
                <w:sz w:val="17"/>
                <w:szCs w:val="17"/>
                <w:b w:val="1"/>
                <w:bCs w:val="1"/>
                <w:color w:val="auto"/>
              </w:rPr>
              <w:t>Health</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7"/>
        </w:trPr>
        <w:tc>
          <w:tcPr>
            <w:tcW w:w="53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insurance</w:t>
            </w:r>
          </w:p>
        </w:tc>
        <w:tc>
          <w:tcPr>
            <w:tcW w:w="1320" w:type="dxa"/>
            <w:vAlign w:val="bottom"/>
            <w:gridSpan w:val="4"/>
          </w:tcPr>
          <w:p>
            <w:pPr>
              <w:ind w:left="100"/>
              <w:spacing w:after="0"/>
              <w:rPr>
                <w:sz w:val="20"/>
                <w:szCs w:val="20"/>
                <w:color w:val="auto"/>
              </w:rPr>
            </w:pPr>
            <w:r>
              <w:rPr>
                <w:rFonts w:ascii="Arial" w:cs="Arial" w:eastAsia="Arial" w:hAnsi="Arial"/>
                <w:sz w:val="17"/>
                <w:szCs w:val="17"/>
                <w:b w:val="1"/>
                <w:bCs w:val="1"/>
                <w:color w:val="auto"/>
              </w:rPr>
              <w:t>insurance</w:t>
            </w: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insurance</w:t>
            </w: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r>
      <w:tr>
        <w:trPr>
          <w:trHeight w:val="223"/>
        </w:trPr>
        <w:tc>
          <w:tcPr>
            <w:tcW w:w="538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gridSpan w:val="2"/>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80" w:type="dxa"/>
            <w:vAlign w:val="bottom"/>
            <w:gridSpan w:val="2"/>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r>
      <w:tr>
        <w:trPr>
          <w:trHeight w:val="352"/>
        </w:trPr>
        <w:tc>
          <w:tcPr>
            <w:tcW w:w="5380" w:type="dxa"/>
            <w:vAlign w:val="bottom"/>
          </w:tcPr>
          <w:p>
            <w:pPr>
              <w:spacing w:after="0"/>
              <w:rPr>
                <w:sz w:val="20"/>
                <w:szCs w:val="20"/>
                <w:color w:val="auto"/>
              </w:rPr>
            </w:pPr>
            <w:r>
              <w:rPr>
                <w:rFonts w:ascii="Arial" w:cs="Arial" w:eastAsia="Arial" w:hAnsi="Arial"/>
                <w:sz w:val="17"/>
                <w:szCs w:val="17"/>
                <w:b w:val="1"/>
                <w:bCs w:val="1"/>
                <w:color w:val="auto"/>
              </w:rPr>
              <w:t>Opening balance</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9,101,456</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684,950</w:t>
            </w:r>
          </w:p>
        </w:tc>
        <w:tc>
          <w:tcPr>
            <w:tcW w:w="1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192,525</w:t>
            </w:r>
          </w:p>
        </w:tc>
        <w:tc>
          <w:tcPr>
            <w:tcW w:w="8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9,978,931</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Time course expenses and others</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(251,627)</w:t>
            </w:r>
          </w:p>
        </w:tc>
        <w:tc>
          <w:tcPr>
            <w:tcW w:w="12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121,667</w:t>
            </w: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(129,960)</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Unearned premium and other technical reserves variation, net</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(1,341)</w:t>
            </w:r>
          </w:p>
        </w:tc>
        <w:tc>
          <w:tcPr>
            <w:tcW w:w="12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(118,168)</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6,960</w:t>
            </w:r>
          </w:p>
        </w:tc>
        <w:tc>
          <w:tcPr>
            <w:tcW w:w="8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(112,549)</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Insurance subscriptions</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755,290</w:t>
            </w:r>
          </w:p>
        </w:tc>
        <w:tc>
          <w:tcPr>
            <w:tcW w:w="100" w:type="dxa"/>
            <w:vAlign w:val="bottom"/>
          </w:tcPr>
          <w:p>
            <w:pPr>
              <w:spacing w:after="0"/>
              <w:rPr>
                <w:sz w:val="16"/>
                <w:szCs w:val="16"/>
                <w:color w:val="auto"/>
              </w:rPr>
            </w:pPr>
          </w:p>
        </w:tc>
        <w:tc>
          <w:tcPr>
            <w:tcW w:w="12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7,690</w:t>
            </w: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762,980</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Adjustment by application of market rates (i)</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(927,838)</w:t>
            </w:r>
          </w:p>
        </w:tc>
        <w:tc>
          <w:tcPr>
            <w:tcW w:w="12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(927,838)</w:t>
            </w:r>
          </w:p>
        </w:tc>
      </w:tr>
      <w:tr>
        <w:trPr>
          <w:trHeight w:val="208"/>
        </w:trPr>
        <w:tc>
          <w:tcPr>
            <w:tcW w:w="5380" w:type="dxa"/>
            <w:vAlign w:val="bottom"/>
          </w:tcPr>
          <w:p>
            <w:pPr>
              <w:spacing w:after="0"/>
              <w:rPr>
                <w:sz w:val="20"/>
                <w:szCs w:val="20"/>
                <w:color w:val="auto"/>
              </w:rPr>
            </w:pPr>
            <w:r>
              <w:rPr>
                <w:rFonts w:ascii="Arial" w:cs="Arial" w:eastAsia="Arial" w:hAnsi="Arial"/>
                <w:sz w:val="17"/>
                <w:szCs w:val="17"/>
                <w:color w:val="auto"/>
              </w:rPr>
              <w:t>Exchange difference and others (ii)</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(197,880)</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(25,798)</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(223,781)</w:t>
            </w:r>
          </w:p>
        </w:tc>
      </w:tr>
      <w:tr>
        <w:trPr>
          <w:trHeight w:val="193"/>
        </w:trPr>
        <w:tc>
          <w:tcPr>
            <w:tcW w:w="5380" w:type="dxa"/>
            <w:vAlign w:val="bottom"/>
          </w:tcPr>
          <w:p>
            <w:pPr>
              <w:spacing w:after="0" w:line="187" w:lineRule="exact"/>
              <w:rPr>
                <w:sz w:val="20"/>
                <w:szCs w:val="20"/>
                <w:color w:val="auto"/>
              </w:rPr>
            </w:pPr>
            <w:r>
              <w:rPr>
                <w:rFonts w:ascii="Arial" w:cs="Arial" w:eastAsia="Arial" w:hAnsi="Arial"/>
                <w:sz w:val="17"/>
                <w:szCs w:val="17"/>
                <w:b w:val="1"/>
                <w:bCs w:val="1"/>
                <w:color w:val="auto"/>
              </w:rPr>
              <w:t>Ending balance</w:t>
            </w:r>
          </w:p>
        </w:tc>
        <w:tc>
          <w:tcPr>
            <w:tcW w:w="112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8,478,060</w:t>
            </w: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670,341</w:t>
            </w:r>
          </w:p>
        </w:tc>
        <w:tc>
          <w:tcPr>
            <w:tcW w:w="100" w:type="dxa"/>
            <w:vAlign w:val="bottom"/>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199,382</w:t>
            </w:r>
          </w:p>
        </w:tc>
        <w:tc>
          <w:tcPr>
            <w:tcW w:w="80" w:type="dxa"/>
            <w:vAlign w:val="bottom"/>
          </w:tcPr>
          <w:p>
            <w:pPr>
              <w:spacing w:after="0"/>
              <w:rPr>
                <w:sz w:val="16"/>
                <w:szCs w:val="16"/>
                <w:color w:val="auto"/>
              </w:rPr>
            </w:pPr>
          </w:p>
        </w:tc>
        <w:tc>
          <w:tcPr>
            <w:tcW w:w="112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9,347,783</w:t>
            </w:r>
          </w:p>
        </w:tc>
      </w:tr>
      <w:tr>
        <w:trPr>
          <w:trHeight w:val="401"/>
        </w:trPr>
        <w:tc>
          <w:tcPr>
            <w:tcW w:w="538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4"/>
        </w:trPr>
        <w:tc>
          <w:tcPr>
            <w:tcW w:w="5380" w:type="dxa"/>
            <w:vAlign w:val="bottom"/>
          </w:tcPr>
          <w:p>
            <w:pPr>
              <w:spacing w:after="0"/>
              <w:rPr>
                <w:sz w:val="14"/>
                <w:szCs w:val="14"/>
                <w:color w:val="auto"/>
              </w:rPr>
            </w:pPr>
          </w:p>
        </w:tc>
        <w:tc>
          <w:tcPr>
            <w:tcW w:w="112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Life</w:t>
            </w:r>
          </w:p>
        </w:tc>
        <w:tc>
          <w:tcPr>
            <w:tcW w:w="1320" w:type="dxa"/>
            <w:vAlign w:val="bottom"/>
            <w:gridSpan w:val="4"/>
          </w:tcPr>
          <w:p>
            <w:pPr>
              <w:ind w:left="100"/>
              <w:spacing w:after="0" w:line="164" w:lineRule="exact"/>
              <w:rPr>
                <w:sz w:val="20"/>
                <w:szCs w:val="20"/>
                <w:color w:val="auto"/>
              </w:rPr>
            </w:pPr>
            <w:r>
              <w:rPr>
                <w:rFonts w:ascii="Arial" w:cs="Arial" w:eastAsia="Arial" w:hAnsi="Arial"/>
                <w:sz w:val="17"/>
                <w:szCs w:val="17"/>
                <w:b w:val="1"/>
                <w:bCs w:val="1"/>
                <w:color w:val="auto"/>
              </w:rPr>
              <w:t>General</w:t>
            </w:r>
          </w:p>
        </w:tc>
        <w:tc>
          <w:tcPr>
            <w:tcW w:w="1180" w:type="dxa"/>
            <w:vAlign w:val="bottom"/>
            <w:gridSpan w:val="3"/>
          </w:tcPr>
          <w:p>
            <w:pPr>
              <w:spacing w:after="0" w:line="164" w:lineRule="exact"/>
              <w:rPr>
                <w:sz w:val="20"/>
                <w:szCs w:val="20"/>
                <w:color w:val="auto"/>
              </w:rPr>
            </w:pPr>
            <w:r>
              <w:rPr>
                <w:rFonts w:ascii="Arial" w:cs="Arial" w:eastAsia="Arial" w:hAnsi="Arial"/>
                <w:sz w:val="17"/>
                <w:szCs w:val="17"/>
                <w:b w:val="1"/>
                <w:bCs w:val="1"/>
                <w:color w:val="auto"/>
              </w:rPr>
              <w:t>Health</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7"/>
        </w:trPr>
        <w:tc>
          <w:tcPr>
            <w:tcW w:w="53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insurance</w:t>
            </w:r>
          </w:p>
        </w:tc>
        <w:tc>
          <w:tcPr>
            <w:tcW w:w="1320" w:type="dxa"/>
            <w:vAlign w:val="bottom"/>
            <w:gridSpan w:val="4"/>
          </w:tcPr>
          <w:p>
            <w:pPr>
              <w:ind w:left="100"/>
              <w:spacing w:after="0"/>
              <w:rPr>
                <w:sz w:val="20"/>
                <w:szCs w:val="20"/>
                <w:color w:val="auto"/>
              </w:rPr>
            </w:pPr>
            <w:r>
              <w:rPr>
                <w:rFonts w:ascii="Arial" w:cs="Arial" w:eastAsia="Arial" w:hAnsi="Arial"/>
                <w:sz w:val="17"/>
                <w:szCs w:val="17"/>
                <w:b w:val="1"/>
                <w:bCs w:val="1"/>
                <w:color w:val="auto"/>
              </w:rPr>
              <w:t>insurance</w:t>
            </w: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insurance</w:t>
            </w: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r>
      <w:tr>
        <w:trPr>
          <w:trHeight w:val="223"/>
        </w:trPr>
        <w:tc>
          <w:tcPr>
            <w:tcW w:w="538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gridSpan w:val="2"/>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80" w:type="dxa"/>
            <w:vAlign w:val="bottom"/>
            <w:gridSpan w:val="2"/>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r>
      <w:tr>
        <w:trPr>
          <w:trHeight w:val="352"/>
        </w:trPr>
        <w:tc>
          <w:tcPr>
            <w:tcW w:w="5380" w:type="dxa"/>
            <w:vAlign w:val="bottom"/>
          </w:tcPr>
          <w:p>
            <w:pPr>
              <w:spacing w:after="0"/>
              <w:rPr>
                <w:sz w:val="20"/>
                <w:szCs w:val="20"/>
                <w:color w:val="auto"/>
              </w:rPr>
            </w:pPr>
            <w:r>
              <w:rPr>
                <w:rFonts w:ascii="Arial" w:cs="Arial" w:eastAsia="Arial" w:hAnsi="Arial"/>
                <w:sz w:val="17"/>
                <w:szCs w:val="17"/>
                <w:b w:val="1"/>
                <w:bCs w:val="1"/>
                <w:color w:val="auto"/>
              </w:rPr>
              <w:t>Opening balance</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8,784,732</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656,963</w:t>
            </w:r>
          </w:p>
        </w:tc>
        <w:tc>
          <w:tcPr>
            <w:tcW w:w="1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182,907</w:t>
            </w:r>
          </w:p>
        </w:tc>
        <w:tc>
          <w:tcPr>
            <w:tcW w:w="8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9,624,602</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Time course expenses and others</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(55,135)</w:t>
            </w:r>
          </w:p>
        </w:tc>
        <w:tc>
          <w:tcPr>
            <w:tcW w:w="100" w:type="dxa"/>
            <w:vAlign w:val="bottom"/>
          </w:tcPr>
          <w:p>
            <w:pPr>
              <w:spacing w:after="0"/>
              <w:rPr>
                <w:sz w:val="16"/>
                <w:szCs w:val="16"/>
                <w:color w:val="auto"/>
              </w:rPr>
            </w:pPr>
          </w:p>
        </w:tc>
        <w:tc>
          <w:tcPr>
            <w:tcW w:w="12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2,710</w:t>
            </w: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(52,425)</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Unearned premium and other technical reserves variation, net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(539)</w:t>
            </w:r>
          </w:p>
        </w:tc>
        <w:tc>
          <w:tcPr>
            <w:tcW w:w="100" w:type="dxa"/>
            <w:vAlign w:val="bottom"/>
          </w:tcPr>
          <w:p>
            <w:pPr>
              <w:spacing w:after="0"/>
              <w:rPr>
                <w:sz w:val="16"/>
                <w:szCs w:val="16"/>
                <w:color w:val="auto"/>
              </w:rPr>
            </w:pPr>
          </w:p>
        </w:tc>
        <w:tc>
          <w:tcPr>
            <w:tcW w:w="12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(21,844)</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9,371</w:t>
            </w:r>
          </w:p>
        </w:tc>
        <w:tc>
          <w:tcPr>
            <w:tcW w:w="8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(13,012)</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Insurance subscriptions</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751,942</w:t>
            </w:r>
          </w:p>
        </w:tc>
        <w:tc>
          <w:tcPr>
            <w:tcW w:w="100" w:type="dxa"/>
            <w:vAlign w:val="bottom"/>
          </w:tcPr>
          <w:p>
            <w:pPr>
              <w:spacing w:after="0"/>
              <w:rPr>
                <w:sz w:val="16"/>
                <w:szCs w:val="16"/>
                <w:color w:val="auto"/>
              </w:rPr>
            </w:pPr>
          </w:p>
        </w:tc>
        <w:tc>
          <w:tcPr>
            <w:tcW w:w="12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6,374</w:t>
            </w: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758,316</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Adjustment by application of market rates (i)</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(771,711)</w:t>
            </w:r>
          </w:p>
        </w:tc>
        <w:tc>
          <w:tcPr>
            <w:tcW w:w="12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(771,711)</w:t>
            </w:r>
          </w:p>
        </w:tc>
      </w:tr>
      <w:tr>
        <w:trPr>
          <w:trHeight w:val="208"/>
        </w:trPr>
        <w:tc>
          <w:tcPr>
            <w:tcW w:w="5380" w:type="dxa"/>
            <w:vAlign w:val="bottom"/>
          </w:tcPr>
          <w:p>
            <w:pPr>
              <w:spacing w:after="0"/>
              <w:rPr>
                <w:sz w:val="20"/>
                <w:szCs w:val="20"/>
                <w:color w:val="auto"/>
              </w:rPr>
            </w:pPr>
            <w:r>
              <w:rPr>
                <w:rFonts w:ascii="Arial" w:cs="Arial" w:eastAsia="Arial" w:hAnsi="Arial"/>
                <w:sz w:val="17"/>
                <w:szCs w:val="17"/>
                <w:color w:val="auto"/>
              </w:rPr>
              <w:t>Exchange difference and others (ii)</w:t>
            </w:r>
          </w:p>
        </w:tc>
        <w:tc>
          <w:tcPr>
            <w:tcW w:w="1020" w:type="dxa"/>
            <w:vAlign w:val="bottom"/>
          </w:tcPr>
          <w:p>
            <w:pPr>
              <w:jc w:val="right"/>
              <w:spacing w:after="0"/>
              <w:rPr>
                <w:sz w:val="20"/>
                <w:szCs w:val="20"/>
                <w:color w:val="auto"/>
              </w:rPr>
            </w:pPr>
            <w:r>
              <w:rPr>
                <w:rFonts w:ascii="Arial" w:cs="Arial" w:eastAsia="Arial" w:hAnsi="Arial"/>
                <w:sz w:val="17"/>
                <w:szCs w:val="17"/>
                <w:color w:val="auto"/>
              </w:rPr>
              <w:t>392,167</w:t>
            </w:r>
          </w:p>
        </w:tc>
        <w:tc>
          <w:tcPr>
            <w:tcW w:w="1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40,747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433,161</w:t>
            </w:r>
          </w:p>
        </w:tc>
      </w:tr>
      <w:tr>
        <w:trPr>
          <w:trHeight w:val="193"/>
        </w:trPr>
        <w:tc>
          <w:tcPr>
            <w:tcW w:w="5380" w:type="dxa"/>
            <w:vAlign w:val="bottom"/>
          </w:tcPr>
          <w:p>
            <w:pPr>
              <w:spacing w:after="0" w:line="187" w:lineRule="exact"/>
              <w:rPr>
                <w:sz w:val="20"/>
                <w:szCs w:val="20"/>
                <w:color w:val="auto"/>
              </w:rPr>
            </w:pPr>
            <w:r>
              <w:rPr>
                <w:rFonts w:ascii="Arial" w:cs="Arial" w:eastAsia="Arial" w:hAnsi="Arial"/>
                <w:sz w:val="17"/>
                <w:szCs w:val="17"/>
                <w:b w:val="1"/>
                <w:bCs w:val="1"/>
                <w:color w:val="auto"/>
              </w:rPr>
              <w:t>Ending balance</w:t>
            </w:r>
          </w:p>
        </w:tc>
        <w:tc>
          <w:tcPr>
            <w:tcW w:w="112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9,101,456</w:t>
            </w: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684,950</w:t>
            </w:r>
          </w:p>
        </w:tc>
        <w:tc>
          <w:tcPr>
            <w:tcW w:w="100" w:type="dxa"/>
            <w:vAlign w:val="bottom"/>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192,525</w:t>
            </w:r>
          </w:p>
        </w:tc>
        <w:tc>
          <w:tcPr>
            <w:tcW w:w="80" w:type="dxa"/>
            <w:vAlign w:val="bottom"/>
          </w:tcPr>
          <w:p>
            <w:pPr>
              <w:spacing w:after="0"/>
              <w:rPr>
                <w:sz w:val="16"/>
                <w:szCs w:val="16"/>
                <w:color w:val="auto"/>
              </w:rPr>
            </w:pPr>
          </w:p>
        </w:tc>
        <w:tc>
          <w:tcPr>
            <w:tcW w:w="1120" w:type="dxa"/>
            <w:vAlign w:val="bottom"/>
            <w:tcBorders>
              <w:top w:val="single" w:sz="8" w:color="auto"/>
              <w:bottom w:val="single" w:sz="8" w:color="auto"/>
            </w:tcBorders>
            <w:gridSpan w:val="2"/>
          </w:tcPr>
          <w:p>
            <w:pPr>
              <w:jc w:val="right"/>
              <w:ind w:right="100"/>
              <w:spacing w:after="0" w:line="187" w:lineRule="exact"/>
              <w:rPr>
                <w:sz w:val="20"/>
                <w:szCs w:val="20"/>
                <w:color w:val="auto"/>
              </w:rPr>
            </w:pPr>
            <w:r>
              <w:rPr>
                <w:rFonts w:ascii="Arial" w:cs="Arial" w:eastAsia="Arial" w:hAnsi="Arial"/>
                <w:sz w:val="17"/>
                <w:szCs w:val="17"/>
                <w:color w:val="auto"/>
              </w:rPr>
              <w:t>9,978,931</w:t>
            </w:r>
          </w:p>
        </w:tc>
      </w:tr>
    </w:tbl>
    <w:p>
      <w:pPr>
        <w:spacing w:after="0" w:line="193" w:lineRule="exact"/>
        <w:rPr>
          <w:sz w:val="20"/>
          <w:szCs w:val="20"/>
          <w:color w:val="auto"/>
        </w:rPr>
      </w:pPr>
    </w:p>
    <w:p>
      <w:pPr>
        <w:ind w:left="620" w:right="320" w:hanging="304"/>
        <w:spacing w:after="0" w:line="254" w:lineRule="auto"/>
        <w:tabs>
          <w:tab w:leader="none" w:pos="6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As of December 31, 2022, the variation corresponds to the product of Life Annuities for S/318.5 million due to the increase in market rates and other minors for S/162.4 million.</w:t>
      </w:r>
    </w:p>
    <w:p>
      <w:pPr>
        <w:spacing w:after="0" w:line="169" w:lineRule="exact"/>
        <w:rPr>
          <w:rFonts w:ascii="Arial" w:cs="Arial" w:eastAsia="Arial" w:hAnsi="Arial"/>
          <w:sz w:val="17"/>
          <w:szCs w:val="17"/>
          <w:color w:val="auto"/>
        </w:rPr>
      </w:pPr>
    </w:p>
    <w:p>
      <w:pPr>
        <w:ind w:left="620" w:right="220" w:hanging="304"/>
        <w:spacing w:after="0" w:line="254" w:lineRule="auto"/>
        <w:tabs>
          <w:tab w:leader="none" w:pos="6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(ii) As of December 31, 2022, the variation corresponds mainly to a lower exchange difference adjustment of Life Annuities for S/310.1 million, Individual Life for S/279.6 million and other minors for S/67.2 million.</w:t>
      </w:r>
    </w:p>
    <w:p>
      <w:pPr>
        <w:spacing w:after="0" w:line="143" w:lineRule="exact"/>
        <w:rPr>
          <w:rFonts w:ascii="Arial" w:cs="Arial" w:eastAsia="Arial" w:hAnsi="Arial"/>
          <w:sz w:val="17"/>
          <w:szCs w:val="17"/>
          <w:color w:val="auto"/>
        </w:rPr>
      </w:pPr>
    </w:p>
    <w:p>
      <w:pPr>
        <w:ind w:left="4860" w:hanging="105"/>
        <w:spacing w:after="0"/>
        <w:tabs>
          <w:tab w:leader="none" w:pos="48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440"/>
          </w:cols>
          <w:pgMar w:left="940" w:top="140" w:right="51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The main assumptions used to estimate of retirement, disability and survival annuities and individual life reserves are​ as follows:</w:t>
      </w:r>
    </w:p>
    <w:p>
      <w:pPr>
        <w:sectPr>
          <w:pgSz w:w="11900" w:h="16838" w:orient="portrait"/>
          <w:cols w:equalWidth="0" w:num="1">
            <w:col w:w="10120"/>
          </w:cols>
          <w:pgMar w:left="1260" w:top="140" w:right="519" w:bottom="1440" w:gutter="0" w:footer="0" w:header="0"/>
        </w:sect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Mortality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800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22612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tabs>
          <w:tab w:leader="none" w:pos="1400" w:val="left"/>
        </w:tabs>
        <w:rPr>
          <w:sz w:val="20"/>
          <w:szCs w:val="20"/>
          <w:color w:val="auto"/>
        </w:rPr>
      </w:pPr>
      <w:r>
        <w:rPr>
          <w:rFonts w:ascii="Arial" w:cs="Arial" w:eastAsia="Arial" w:hAnsi="Arial"/>
          <w:sz w:val="14"/>
          <w:szCs w:val="14"/>
          <w:b w:val="1"/>
          <w:bCs w:val="1"/>
          <w:color w:val="auto"/>
        </w:rPr>
        <w:t>Mortality table</w:t>
      </w:r>
      <w:r>
        <w:rPr>
          <w:sz w:val="20"/>
          <w:szCs w:val="20"/>
          <w:color w:val="auto"/>
        </w:rPr>
        <w:tab/>
      </w:r>
      <w:r>
        <w:rPr>
          <w:rFonts w:ascii="Arial" w:cs="Arial" w:eastAsia="Arial" w:hAnsi="Arial"/>
          <w:sz w:val="13"/>
          <w:szCs w:val="13"/>
          <w:b w:val="1"/>
          <w:bCs w:val="1"/>
          <w:color w:val="auto"/>
        </w:rPr>
        <w:t>Technical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22612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236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36470" cy="8255"/>
                    </a:xfrm>
                    <a:prstGeom prst="rect">
                      <a:avLst/>
                    </a:prstGeom>
                    <a:noFill/>
                  </pic:spPr>
                </pic:pic>
              </a:graphicData>
            </a:graphic>
          </wp:anchor>
        </w:drawing>
      </w:r>
    </w:p>
    <w:p>
      <w:pPr>
        <w:spacing w:after="0"/>
        <w:tabs>
          <w:tab w:leader="none" w:pos="1380" w:val="left"/>
        </w:tabs>
        <w:rPr>
          <w:sz w:val="20"/>
          <w:szCs w:val="20"/>
          <w:color w:val="auto"/>
        </w:rPr>
      </w:pPr>
      <w:r>
        <w:rPr>
          <w:rFonts w:ascii="Arial" w:cs="Arial" w:eastAsia="Arial" w:hAnsi="Arial"/>
          <w:sz w:val="14"/>
          <w:szCs w:val="14"/>
          <w:b w:val="1"/>
          <w:bCs w:val="1"/>
          <w:color w:val="auto"/>
        </w:rPr>
        <w:t>Mortality table</w:t>
      </w:r>
      <w:r>
        <w:rPr>
          <w:sz w:val="20"/>
          <w:szCs w:val="20"/>
          <w:color w:val="auto"/>
        </w:rPr>
        <w:tab/>
      </w:r>
      <w:r>
        <w:rPr>
          <w:rFonts w:ascii="Arial" w:cs="Arial" w:eastAsia="Arial" w:hAnsi="Arial"/>
          <w:sz w:val="13"/>
          <w:szCs w:val="13"/>
          <w:b w:val="1"/>
          <w:bCs w:val="1"/>
          <w:color w:val="auto"/>
        </w:rPr>
        <w:t>Technical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236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36470" cy="8255"/>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3">
            <w:col w:w="2220" w:space="720"/>
            <w:col w:w="2920" w:space="720"/>
            <w:col w:w="3540"/>
          </w:cols>
          <w:pgMar w:left="1260" w:top="140" w:right="519"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248285</wp:posOffset>
            </wp:positionV>
            <wp:extent cx="1800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spacing w:after="0" w:line="389" w:lineRule="exact"/>
        <w:rPr>
          <w:sz w:val="20"/>
          <w:szCs w:val="20"/>
          <w:color w:val="auto"/>
        </w:rPr>
      </w:pPr>
    </w:p>
    <w:p>
      <w:pPr>
        <w:ind w:right="400"/>
        <w:spacing w:after="0" w:line="274" w:lineRule="auto"/>
        <w:rPr>
          <w:sz w:val="20"/>
          <w:szCs w:val="20"/>
          <w:color w:val="auto"/>
        </w:rPr>
      </w:pPr>
      <w:r>
        <w:rPr>
          <w:rFonts w:ascii="Arial" w:cs="Arial" w:eastAsia="Arial" w:hAnsi="Arial"/>
          <w:sz w:val="13"/>
          <w:szCs w:val="13"/>
          <w:color w:val="auto"/>
        </w:rPr>
        <w:t>Pension insurance – Definitive Regime (Claims with an accrual date up to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1800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spacing w:after="0" w:line="40" w:lineRule="exact"/>
        <w:rPr>
          <w:sz w:val="20"/>
          <w:szCs w:val="20"/>
          <w:color w:val="auto"/>
        </w:rPr>
      </w:pPr>
    </w:p>
    <w:p>
      <w:pPr>
        <w:ind w:right="400"/>
        <w:spacing w:after="0" w:line="274" w:lineRule="auto"/>
        <w:rPr>
          <w:sz w:val="20"/>
          <w:szCs w:val="20"/>
          <w:color w:val="auto"/>
        </w:rPr>
      </w:pPr>
      <w:r>
        <w:rPr>
          <w:rFonts w:ascii="Arial" w:cs="Arial" w:eastAsia="Arial" w:hAnsi="Arial"/>
          <w:sz w:val="13"/>
          <w:szCs w:val="13"/>
          <w:color w:val="auto"/>
        </w:rPr>
        <w:t>Pension Insurance - Definitive Regime (Claims with accrual date at June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1800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spacing w:after="0" w:line="40"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Pension Insurance - Temporary Regime (IFRS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800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ind w:right="260"/>
        <w:spacing w:after="0" w:line="238" w:lineRule="auto"/>
        <w:rPr>
          <w:sz w:val="20"/>
          <w:szCs w:val="20"/>
          <w:color w:val="auto"/>
        </w:rPr>
      </w:pPr>
      <w:r>
        <w:rPr>
          <w:rFonts w:ascii="Arial" w:cs="Arial" w:eastAsia="Arial" w:hAnsi="Arial"/>
          <w:sz w:val="14"/>
          <w:szCs w:val="14"/>
          <w:color w:val="auto"/>
        </w:rPr>
        <w:t>SCTR (IFRS reserve) Claims settled up to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800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ind w:right="280"/>
        <w:spacing w:after="0" w:line="238" w:lineRule="auto"/>
        <w:rPr>
          <w:sz w:val="20"/>
          <w:szCs w:val="20"/>
          <w:color w:val="auto"/>
        </w:rPr>
      </w:pPr>
      <w:r>
        <w:rPr>
          <w:rFonts w:ascii="Arial" w:cs="Arial" w:eastAsia="Arial" w:hAnsi="Arial"/>
          <w:sz w:val="14"/>
          <w:szCs w:val="14"/>
          <w:color w:val="auto"/>
        </w:rPr>
        <w:t>SCTR (IFRS reserve) Claims settled from January 2020 onwards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800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Individual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1800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36" w:lineRule="auto"/>
        <w:rPr>
          <w:sz w:val="20"/>
          <w:szCs w:val="20"/>
          <w:color w:val="auto"/>
        </w:rPr>
      </w:pPr>
      <w:r>
        <w:rPr>
          <w:rFonts w:ascii="Arial" w:cs="Arial" w:eastAsia="Arial" w:hAnsi="Arial"/>
          <w:sz w:val="14"/>
          <w:szCs w:val="14"/>
          <w:color w:val="auto"/>
        </w:rPr>
        <w:t>SPP-S-2017 and SPP-I- 2017 (at market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838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62"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SPP-S-2017 and SPP-I- 2017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838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B-85 and MI-85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838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143"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B-85 adjusted and MI-85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838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62" w:lineRule="exact"/>
        <w:rPr>
          <w:sz w:val="20"/>
          <w:szCs w:val="20"/>
          <w:color w:val="auto"/>
        </w:rPr>
      </w:pPr>
    </w:p>
    <w:p>
      <w:pPr>
        <w:ind w:right="200"/>
        <w:spacing w:after="0" w:line="238" w:lineRule="auto"/>
        <w:rPr>
          <w:sz w:val="20"/>
          <w:szCs w:val="20"/>
          <w:color w:val="auto"/>
        </w:rPr>
      </w:pPr>
      <w:r>
        <w:rPr>
          <w:rFonts w:ascii="Arial" w:cs="Arial" w:eastAsia="Arial" w:hAnsi="Arial"/>
          <w:sz w:val="14"/>
          <w:szCs w:val="14"/>
          <w:color w:val="auto"/>
        </w:rPr>
        <w:t>SPP-S-2017- and SPP-I-2017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838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ind w:right="240"/>
        <w:spacing w:after="0" w:line="238" w:lineRule="auto"/>
        <w:rPr>
          <w:sz w:val="20"/>
          <w:szCs w:val="20"/>
          <w:color w:val="auto"/>
        </w:rPr>
      </w:pPr>
      <w:r>
        <w:rPr>
          <w:rFonts w:ascii="Arial" w:cs="Arial" w:eastAsia="Arial" w:hAnsi="Arial"/>
          <w:sz w:val="14"/>
          <w:szCs w:val="14"/>
          <w:color w:val="auto"/>
        </w:rPr>
        <w:t>SPP-S-2017 and SPP-I-2017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838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ind w:right="240"/>
        <w:spacing w:after="0" w:line="238" w:lineRule="auto"/>
        <w:rPr>
          <w:sz w:val="20"/>
          <w:szCs w:val="20"/>
          <w:color w:val="auto"/>
        </w:rPr>
      </w:pPr>
      <w:r>
        <w:rPr>
          <w:rFonts w:ascii="Arial" w:cs="Arial" w:eastAsia="Arial" w:hAnsi="Arial"/>
          <w:sz w:val="14"/>
          <w:szCs w:val="14"/>
          <w:color w:val="auto"/>
        </w:rPr>
        <w:t>SPP-S-2017 and SPP-I-2017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838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CSO 80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838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Investment rates: between 5.18% -</w:t>
      </w:r>
    </w:p>
    <w:p>
      <w:pPr>
        <w:spacing w:after="0"/>
        <w:rPr>
          <w:sz w:val="20"/>
          <w:szCs w:val="20"/>
          <w:color w:val="auto"/>
        </w:rPr>
      </w:pPr>
      <w:r>
        <w:rPr>
          <w:rFonts w:ascii="Arial" w:cs="Arial" w:eastAsia="Arial" w:hAnsi="Arial"/>
          <w:sz w:val="14"/>
          <w:szCs w:val="14"/>
          <w:color w:val="auto"/>
        </w:rPr>
        <w:t>9.73% Reinvestment rates:</w:t>
      </w:r>
    </w:p>
    <w:p>
      <w:pPr>
        <w:spacing w:after="0"/>
        <w:rPr>
          <w:sz w:val="20"/>
          <w:szCs w:val="20"/>
          <w:color w:val="auto"/>
        </w:rPr>
      </w:pPr>
      <w:r>
        <w:rPr>
          <w:rFonts w:ascii="Arial" w:cs="Arial" w:eastAsia="Arial" w:hAnsi="Arial"/>
          <w:sz w:val="14"/>
          <w:szCs w:val="14"/>
          <w:color w:val="auto"/>
        </w:rPr>
        <w:t>between 5.12% - 8.26%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3569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Investment rates: between 3.64% -</w:t>
      </w:r>
    </w:p>
    <w:p>
      <w:pPr>
        <w:spacing w:after="0"/>
        <w:rPr>
          <w:sz w:val="20"/>
          <w:szCs w:val="20"/>
          <w:color w:val="auto"/>
        </w:rPr>
      </w:pPr>
      <w:r>
        <w:rPr>
          <w:rFonts w:ascii="Arial" w:cs="Arial" w:eastAsia="Arial" w:hAnsi="Arial"/>
          <w:sz w:val="14"/>
          <w:szCs w:val="14"/>
          <w:color w:val="auto"/>
        </w:rPr>
        <w:t>8.03% Reinvestment rates:</w:t>
      </w:r>
    </w:p>
    <w:p>
      <w:pPr>
        <w:spacing w:after="0"/>
        <w:rPr>
          <w:sz w:val="20"/>
          <w:szCs w:val="20"/>
          <w:color w:val="auto"/>
        </w:rPr>
      </w:pPr>
      <w:r>
        <w:rPr>
          <w:rFonts w:ascii="Arial" w:cs="Arial" w:eastAsia="Arial" w:hAnsi="Arial"/>
          <w:sz w:val="14"/>
          <w:szCs w:val="14"/>
          <w:color w:val="auto"/>
        </w:rPr>
        <w:t>between 2.5% - 5.25%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3569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right="120"/>
        <w:spacing w:after="0" w:line="238" w:lineRule="auto"/>
        <w:rPr>
          <w:sz w:val="20"/>
          <w:szCs w:val="20"/>
          <w:color w:val="auto"/>
        </w:rPr>
      </w:pPr>
      <w:r>
        <w:rPr>
          <w:rFonts w:ascii="Arial" w:cs="Arial" w:eastAsia="Arial" w:hAnsi="Arial"/>
          <w:sz w:val="14"/>
          <w:szCs w:val="14"/>
          <w:color w:val="auto"/>
        </w:rPr>
        <w:t>Soles VAC 0.64% / Nominal U.S. dollar 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3569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right="120"/>
        <w:spacing w:after="0" w:line="249" w:lineRule="auto"/>
        <w:rPr>
          <w:sz w:val="20"/>
          <w:szCs w:val="20"/>
          <w:color w:val="auto"/>
        </w:rPr>
      </w:pPr>
      <w:r>
        <w:rPr>
          <w:rFonts w:ascii="Arial" w:cs="Arial" w:eastAsia="Arial" w:hAnsi="Arial"/>
          <w:sz w:val="13"/>
          <w:szCs w:val="13"/>
          <w:color w:val="auto"/>
        </w:rPr>
        <w:t>Soles VAC 0.64% / Nominal U.S. dollar 3.74% / Adjusted Soles</w:t>
      </w:r>
    </w:p>
    <w:p>
      <w:pPr>
        <w:spacing w:after="0" w:line="1" w:lineRule="exact"/>
        <w:rPr>
          <w:sz w:val="20"/>
          <w:szCs w:val="20"/>
          <w:color w:val="auto"/>
        </w:rPr>
      </w:pPr>
    </w:p>
    <w:p>
      <w:pPr>
        <w:ind w:right="300"/>
        <w:spacing w:after="0" w:line="372" w:lineRule="auto"/>
        <w:rPr>
          <w:sz w:val="20"/>
          <w:szCs w:val="20"/>
          <w:color w:val="auto"/>
        </w:rPr>
      </w:pPr>
      <w:r>
        <w:rPr>
          <w:rFonts w:ascii="Arial" w:cs="Arial" w:eastAsia="Arial" w:hAnsi="Arial"/>
          <w:sz w:val="14"/>
          <w:szCs w:val="14"/>
          <w:color w:val="auto"/>
        </w:rPr>
        <w:t>4.97% / Adjusted dollar 3.74% Soles VAC 3.7083%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569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569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13569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Soles VAC 3.743%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3569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Soles VAC 3.081%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3569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65"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US Dollars 2.0% - 4.0% / Soles 4.0%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3569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36" w:lineRule="auto"/>
        <w:rPr>
          <w:sz w:val="20"/>
          <w:szCs w:val="20"/>
          <w:color w:val="auto"/>
        </w:rPr>
      </w:pPr>
      <w:r>
        <w:rPr>
          <w:rFonts w:ascii="Arial" w:cs="Arial" w:eastAsia="Arial" w:hAnsi="Arial"/>
          <w:sz w:val="14"/>
          <w:szCs w:val="14"/>
          <w:color w:val="auto"/>
        </w:rPr>
        <w:t>SPP-S-2017 and SPP-I- 2017 (at market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30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62"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SPP-S-2017 and SPP-I- 2017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830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B-85 and MI-85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30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43" w:lineRule="exact"/>
        <w:rPr>
          <w:sz w:val="20"/>
          <w:szCs w:val="20"/>
          <w:color w:val="auto"/>
        </w:rPr>
      </w:pPr>
    </w:p>
    <w:p>
      <w:pPr>
        <w:ind w:right="180"/>
        <w:spacing w:after="0" w:line="238" w:lineRule="auto"/>
        <w:rPr>
          <w:sz w:val="20"/>
          <w:szCs w:val="20"/>
          <w:color w:val="auto"/>
        </w:rPr>
      </w:pPr>
      <w:r>
        <w:rPr>
          <w:rFonts w:ascii="Arial" w:cs="Arial" w:eastAsia="Arial" w:hAnsi="Arial"/>
          <w:sz w:val="14"/>
          <w:szCs w:val="14"/>
          <w:color w:val="auto"/>
        </w:rPr>
        <w:t>B-85 adjusted and MI-85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830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62"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SPP-S-2017- and SPP-I-2017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30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ind w:right="260"/>
        <w:spacing w:after="0" w:line="238" w:lineRule="auto"/>
        <w:rPr>
          <w:sz w:val="20"/>
          <w:szCs w:val="20"/>
          <w:color w:val="auto"/>
        </w:rPr>
      </w:pPr>
      <w:r>
        <w:rPr>
          <w:rFonts w:ascii="Arial" w:cs="Arial" w:eastAsia="Arial" w:hAnsi="Arial"/>
          <w:sz w:val="14"/>
          <w:szCs w:val="14"/>
          <w:color w:val="auto"/>
        </w:rPr>
        <w:t>SPP-S-2017 and SPP-I-2017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30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ind w:right="260"/>
        <w:spacing w:after="0" w:line="238" w:lineRule="auto"/>
        <w:rPr>
          <w:sz w:val="20"/>
          <w:szCs w:val="20"/>
          <w:color w:val="auto"/>
        </w:rPr>
      </w:pPr>
      <w:r>
        <w:rPr>
          <w:rFonts w:ascii="Arial" w:cs="Arial" w:eastAsia="Arial" w:hAnsi="Arial"/>
          <w:sz w:val="14"/>
          <w:szCs w:val="14"/>
          <w:color w:val="auto"/>
        </w:rPr>
        <w:t>SPP-S-2017 and SPP-I-2017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30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CSO 80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30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Investment rates: between 2.30%</w:t>
      </w:r>
    </w:p>
    <w:p>
      <w:pPr>
        <w:spacing w:after="0" w:line="6" w:lineRule="exact"/>
        <w:rPr>
          <w:sz w:val="20"/>
          <w:szCs w:val="20"/>
          <w:color w:val="auto"/>
        </w:rPr>
      </w:pPr>
    </w:p>
    <w:p>
      <w:pPr>
        <w:ind w:right="80" w:firstLine="6"/>
        <w:spacing w:after="0" w:line="256" w:lineRule="auto"/>
        <w:tabs>
          <w:tab w:leader="none" w:pos="8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8.89% Reinvestment rates: between 3.51% - 6.99% Investment rates: between 3.75%</w:t>
      </w:r>
    </w:p>
    <w:p>
      <w:pPr>
        <w:ind w:right="400" w:firstLine="6"/>
        <w:spacing w:after="0" w:line="259" w:lineRule="auto"/>
        <w:tabs>
          <w:tab w:leader="none" w:pos="8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8.02% Reinvestment rates: between 2.5% - 5.25%</w:t>
      </w:r>
    </w:p>
    <w:p>
      <w:pPr>
        <w:spacing w:after="0" w:line="1" w:lineRule="exact"/>
        <w:rPr>
          <w:rFonts w:ascii="Arial" w:cs="Arial" w:eastAsia="Arial" w:hAnsi="Arial"/>
          <w:sz w:val="13"/>
          <w:szCs w:val="13"/>
          <w:color w:val="auto"/>
        </w:rPr>
      </w:pPr>
    </w:p>
    <w:p>
      <w:pPr>
        <w:ind w:right="200"/>
        <w:spacing w:after="0" w:line="238" w:lineRule="auto"/>
        <w:rPr>
          <w:rFonts w:ascii="Arial" w:cs="Arial" w:eastAsia="Arial" w:hAnsi="Arial"/>
          <w:sz w:val="13"/>
          <w:szCs w:val="13"/>
          <w:color w:val="auto"/>
        </w:rPr>
      </w:pPr>
      <w:r>
        <w:rPr>
          <w:rFonts w:ascii="Arial" w:cs="Arial" w:eastAsia="Arial" w:hAnsi="Arial"/>
          <w:sz w:val="14"/>
          <w:szCs w:val="14"/>
          <w:color w:val="auto"/>
        </w:rPr>
        <w:t>Soles VAC 1.37% / Nominal US dollar 3.61%</w:t>
      </w:r>
    </w:p>
    <w:p>
      <w:pPr>
        <w:spacing w:after="0" w:line="4" w:lineRule="exact"/>
        <w:rPr>
          <w:rFonts w:ascii="Arial" w:cs="Arial" w:eastAsia="Arial" w:hAnsi="Arial"/>
          <w:sz w:val="13"/>
          <w:szCs w:val="13"/>
          <w:color w:val="auto"/>
        </w:rPr>
      </w:pPr>
    </w:p>
    <w:p>
      <w:pPr>
        <w:ind w:right="200"/>
        <w:spacing w:after="0" w:line="261" w:lineRule="auto"/>
        <w:rPr>
          <w:rFonts w:ascii="Arial" w:cs="Arial" w:eastAsia="Arial" w:hAnsi="Arial"/>
          <w:sz w:val="13"/>
          <w:szCs w:val="13"/>
          <w:color w:val="auto"/>
        </w:rPr>
      </w:pPr>
      <w:r>
        <w:rPr>
          <w:rFonts w:ascii="Arial" w:cs="Arial" w:eastAsia="Arial" w:hAnsi="Arial"/>
          <w:sz w:val="13"/>
          <w:szCs w:val="13"/>
          <w:color w:val="auto"/>
        </w:rPr>
        <w:t>Soles VAC 1.37% / Nominal US dollar 3.61% / Adjusted Soles 5.12% / Adjusted dollar 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3487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487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-320040</wp:posOffset>
            </wp:positionV>
            <wp:extent cx="13487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487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-525780</wp:posOffset>
            </wp:positionV>
            <wp:extent cx="13487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487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-829945</wp:posOffset>
            </wp:positionV>
            <wp:extent cx="13487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Soles VAC 3.614%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13487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Soles VAC 3.663%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13487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Soles VAC 2.748%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13487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65"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US Dollars 4.0% - 5.0% / Soles 4.0%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3487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5">
            <w:col w:w="2820" w:space="120"/>
            <w:col w:w="1280" w:space="140"/>
            <w:col w:w="2140" w:space="80"/>
            <w:col w:w="1300" w:space="100"/>
            <w:col w:w="2140"/>
          </w:cols>
          <w:pgMar w:left="1260" w:top="140" w:right="519" w:bottom="1440" w:gutter="0" w:footer="0" w:header="0"/>
          <w:type w:val="continuous"/>
        </w:sectPr>
      </w:pPr>
    </w:p>
    <w:p>
      <w:pPr>
        <w:spacing w:after="0" w:line="243" w:lineRule="auto"/>
        <w:rPr>
          <w:sz w:val="20"/>
          <w:szCs w:val="20"/>
          <w:color w:val="auto"/>
        </w:rPr>
      </w:pPr>
      <w:r>
        <w:rPr>
          <w:rFonts w:ascii="Arial" w:cs="Arial" w:eastAsia="Arial" w:hAnsi="Arial"/>
          <w:sz w:val="17"/>
          <w:szCs w:val="17"/>
          <w:color w:val="auto"/>
        </w:rPr>
        <w:t>The sensitivity of the estimates used by the Group to measure its insurance risks is represented primarily by the life insurance risks; the main variables as of December 31, 2022 and 2021, are the interest rates and the mortality tables used. The Group has evaluated the changes in its most significant reserves related to life insurance contracts included in retirement, disability and survival annuities reserves of +/- 100 bps of the interest rates and of +/- 5 bps of the mortality factors, with the following results: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0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Variables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Variation of the reserve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Variation of the reserve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Reserve</w:t>
            </w: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Percentage</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Reserve</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100" w:type="dxa"/>
            <w:vAlign w:val="bottom"/>
          </w:tcPr>
          <w:p>
            <w:pPr>
              <w:jc w:val="right"/>
              <w:ind w:right="271"/>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14"/>
                <w:szCs w:val="14"/>
                <w:b w:val="1"/>
                <w:bCs w:val="1"/>
                <w:color w:val="auto"/>
              </w:rPr>
              <w:t>Portfolio in S/ -</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20"/>
                <w:szCs w:val="20"/>
                <w:color w:val="auto"/>
              </w:rPr>
            </w:pPr>
            <w:r>
              <w:rPr>
                <w:rFonts w:ascii="Arial" w:cs="Arial" w:eastAsia="Arial" w:hAnsi="Arial"/>
                <w:sz w:val="14"/>
                <w:szCs w:val="14"/>
                <w:b w:val="1"/>
                <w:bCs w:val="1"/>
                <w:color w:val="auto"/>
              </w:rPr>
              <w:t>Base amount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3,932,792</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3,951,240</w:t>
            </w:r>
          </w:p>
        </w:tc>
        <w:tc>
          <w:tcPr>
            <w:tcW w:w="10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interest rates: +</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100 bps</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3,558,149</w:t>
            </w:r>
          </w:p>
        </w:tc>
        <w:tc>
          <w:tcPr>
            <w:tcW w:w="11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(374,643)</w:t>
            </w:r>
          </w:p>
        </w:tc>
        <w:tc>
          <w:tcPr>
            <w:tcW w:w="100" w:type="dxa"/>
            <w:vAlign w:val="bottom"/>
          </w:tcPr>
          <w:p>
            <w:pPr>
              <w:spacing w:after="0"/>
              <w:rPr>
                <w:sz w:val="13"/>
                <w:szCs w:val="13"/>
                <w:color w:val="auto"/>
              </w:rPr>
            </w:pPr>
          </w:p>
        </w:tc>
        <w:tc>
          <w:tcPr>
            <w:tcW w:w="10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(9.53)</w:t>
            </w:r>
          </w:p>
        </w:tc>
        <w:tc>
          <w:tcPr>
            <w:tcW w:w="10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3,581,606</w:t>
            </w:r>
          </w:p>
        </w:tc>
        <w:tc>
          <w:tcPr>
            <w:tcW w:w="100" w:type="dxa"/>
            <w:vAlign w:val="bottom"/>
          </w:tcPr>
          <w:p>
            <w:pPr>
              <w:spacing w:after="0"/>
              <w:rPr>
                <w:sz w:val="13"/>
                <w:szCs w:val="13"/>
                <w:color w:val="auto"/>
              </w:rPr>
            </w:pPr>
          </w:p>
        </w:tc>
        <w:tc>
          <w:tcPr>
            <w:tcW w:w="1020" w:type="dxa"/>
            <w:vAlign w:val="bottom"/>
          </w:tcPr>
          <w:p>
            <w:pPr>
              <w:jc w:val="right"/>
              <w:ind w:right="51"/>
              <w:spacing w:after="0" w:line="155" w:lineRule="exact"/>
              <w:rPr>
                <w:sz w:val="20"/>
                <w:szCs w:val="20"/>
                <w:color w:val="auto"/>
              </w:rPr>
            </w:pPr>
            <w:r>
              <w:rPr>
                <w:rFonts w:ascii="Arial" w:cs="Arial" w:eastAsia="Arial" w:hAnsi="Arial"/>
                <w:sz w:val="14"/>
                <w:szCs w:val="14"/>
                <w:color w:val="auto"/>
              </w:rPr>
              <w:t>(369,633)</w:t>
            </w:r>
          </w:p>
        </w:tc>
        <w:tc>
          <w:tcPr>
            <w:tcW w:w="100" w:type="dxa"/>
            <w:vAlign w:val="bottom"/>
          </w:tcPr>
          <w:p>
            <w:pPr>
              <w:spacing w:after="0"/>
              <w:rPr>
                <w:sz w:val="13"/>
                <w:szCs w:val="13"/>
                <w:color w:val="auto"/>
              </w:rPr>
            </w:pPr>
          </w:p>
        </w:tc>
        <w:tc>
          <w:tcPr>
            <w:tcW w:w="11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interest rates: -</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100 bps</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4,386,248</w:t>
            </w:r>
          </w:p>
        </w:tc>
        <w:tc>
          <w:tcPr>
            <w:tcW w:w="11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453,456</w:t>
            </w:r>
          </w:p>
        </w:tc>
        <w:tc>
          <w:tcPr>
            <w:tcW w:w="100" w:type="dxa"/>
            <w:vAlign w:val="bottom"/>
          </w:tcPr>
          <w:p>
            <w:pPr>
              <w:spacing w:after="0"/>
              <w:rPr>
                <w:sz w:val="13"/>
                <w:szCs w:val="13"/>
                <w:color w:val="auto"/>
              </w:rPr>
            </w:pPr>
          </w:p>
        </w:tc>
        <w:tc>
          <w:tcPr>
            <w:tcW w:w="10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11.53</w:t>
            </w:r>
          </w:p>
        </w:tc>
        <w:tc>
          <w:tcPr>
            <w:tcW w:w="10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4,398,670</w:t>
            </w:r>
          </w:p>
        </w:tc>
        <w:tc>
          <w:tcPr>
            <w:tcW w:w="100" w:type="dxa"/>
            <w:vAlign w:val="bottom"/>
          </w:tcPr>
          <w:p>
            <w:pPr>
              <w:spacing w:after="0"/>
              <w:rPr>
                <w:sz w:val="13"/>
                <w:szCs w:val="13"/>
                <w:color w:val="auto"/>
              </w:rPr>
            </w:pPr>
          </w:p>
        </w:tc>
        <w:tc>
          <w:tcPr>
            <w:tcW w:w="1020" w:type="dxa"/>
            <w:vAlign w:val="bottom"/>
          </w:tcPr>
          <w:p>
            <w:pPr>
              <w:jc w:val="right"/>
              <w:ind w:right="51"/>
              <w:spacing w:after="0" w:line="155" w:lineRule="exact"/>
              <w:rPr>
                <w:sz w:val="20"/>
                <w:szCs w:val="20"/>
                <w:color w:val="auto"/>
              </w:rPr>
            </w:pPr>
            <w:r>
              <w:rPr>
                <w:rFonts w:ascii="Arial" w:cs="Arial" w:eastAsia="Arial" w:hAnsi="Arial"/>
                <w:sz w:val="14"/>
                <w:szCs w:val="14"/>
                <w:color w:val="auto"/>
              </w:rPr>
              <w:t>447,430</w:t>
            </w:r>
          </w:p>
        </w:tc>
        <w:tc>
          <w:tcPr>
            <w:tcW w:w="100" w:type="dxa"/>
            <w:vAlign w:val="bottom"/>
          </w:tcPr>
          <w:p>
            <w:pPr>
              <w:spacing w:after="0"/>
              <w:rPr>
                <w:sz w:val="13"/>
                <w:szCs w:val="13"/>
                <w:color w:val="auto"/>
              </w:rPr>
            </w:pPr>
          </w:p>
        </w:tc>
        <w:tc>
          <w:tcPr>
            <w:tcW w:w="11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Mortality tables to</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105%</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3,903,888</w:t>
            </w:r>
          </w:p>
        </w:tc>
        <w:tc>
          <w:tcPr>
            <w:tcW w:w="11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(28,904)</w:t>
            </w:r>
          </w:p>
        </w:tc>
        <w:tc>
          <w:tcPr>
            <w:tcW w:w="100" w:type="dxa"/>
            <w:vAlign w:val="bottom"/>
          </w:tcPr>
          <w:p>
            <w:pPr>
              <w:spacing w:after="0"/>
              <w:rPr>
                <w:sz w:val="13"/>
                <w:szCs w:val="13"/>
                <w:color w:val="auto"/>
              </w:rPr>
            </w:pPr>
          </w:p>
        </w:tc>
        <w:tc>
          <w:tcPr>
            <w:tcW w:w="10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(0.73)</w:t>
            </w:r>
          </w:p>
        </w:tc>
        <w:tc>
          <w:tcPr>
            <w:tcW w:w="10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3,923,102</w:t>
            </w:r>
          </w:p>
        </w:tc>
        <w:tc>
          <w:tcPr>
            <w:tcW w:w="100" w:type="dxa"/>
            <w:vAlign w:val="bottom"/>
          </w:tcPr>
          <w:p>
            <w:pPr>
              <w:spacing w:after="0"/>
              <w:rPr>
                <w:sz w:val="13"/>
                <w:szCs w:val="13"/>
                <w:color w:val="auto"/>
              </w:rPr>
            </w:pPr>
          </w:p>
        </w:tc>
        <w:tc>
          <w:tcPr>
            <w:tcW w:w="1020" w:type="dxa"/>
            <w:vAlign w:val="bottom"/>
          </w:tcPr>
          <w:p>
            <w:pPr>
              <w:jc w:val="right"/>
              <w:ind w:right="51"/>
              <w:spacing w:after="0" w:line="155" w:lineRule="exact"/>
              <w:rPr>
                <w:sz w:val="20"/>
                <w:szCs w:val="20"/>
                <w:color w:val="auto"/>
              </w:rPr>
            </w:pPr>
            <w:r>
              <w:rPr>
                <w:rFonts w:ascii="Arial" w:cs="Arial" w:eastAsia="Arial" w:hAnsi="Arial"/>
                <w:sz w:val="14"/>
                <w:szCs w:val="14"/>
                <w:color w:val="auto"/>
              </w:rPr>
              <w:t>(28,138)</w:t>
            </w:r>
          </w:p>
        </w:tc>
        <w:tc>
          <w:tcPr>
            <w:tcW w:w="100" w:type="dxa"/>
            <w:vAlign w:val="bottom"/>
          </w:tcPr>
          <w:p>
            <w:pPr>
              <w:spacing w:after="0"/>
              <w:rPr>
                <w:sz w:val="13"/>
                <w:szCs w:val="13"/>
                <w:color w:val="auto"/>
              </w:rPr>
            </w:pPr>
          </w:p>
        </w:tc>
        <w:tc>
          <w:tcPr>
            <w:tcW w:w="11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Mortality tables to</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20"/>
                <w:szCs w:val="20"/>
                <w:color w:val="auto"/>
              </w:rPr>
            </w:pPr>
            <w:r>
              <w:rPr>
                <w:rFonts w:ascii="Arial" w:cs="Arial" w:eastAsia="Arial" w:hAnsi="Arial"/>
                <w:sz w:val="14"/>
                <w:szCs w:val="14"/>
                <w:color w:val="auto"/>
              </w:rPr>
              <w:t>95%</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3,963,030</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30,238</w:t>
            </w:r>
          </w:p>
        </w:tc>
        <w:tc>
          <w:tcPr>
            <w:tcW w:w="10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4"/>
                <w:szCs w:val="14"/>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3,980,673</w:t>
            </w:r>
          </w:p>
        </w:tc>
        <w:tc>
          <w:tcPr>
            <w:tcW w:w="10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29,433</w:t>
            </w:r>
          </w:p>
        </w:tc>
        <w:tc>
          <w:tcPr>
            <w:tcW w:w="10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441"/>
        </w:trPr>
        <w:tc>
          <w:tcPr>
            <w:tcW w:w="1200" w:type="dxa"/>
            <w:vAlign w:val="bottom"/>
          </w:tcPr>
          <w:p>
            <w:pPr>
              <w:spacing w:after="0"/>
              <w:rPr>
                <w:sz w:val="20"/>
                <w:szCs w:val="20"/>
                <w:color w:val="auto"/>
              </w:rPr>
            </w:pPr>
            <w:r>
              <w:rPr>
                <w:rFonts w:ascii="Arial" w:cs="Arial" w:eastAsia="Arial" w:hAnsi="Arial"/>
                <w:sz w:val="14"/>
                <w:szCs w:val="14"/>
                <w:b w:val="1"/>
                <w:bCs w:val="1"/>
                <w:color w:val="auto"/>
              </w:rPr>
              <w:t>Portfolio in US$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20"/>
                <w:szCs w:val="20"/>
                <w:color w:val="auto"/>
              </w:rPr>
            </w:pPr>
            <w:r>
              <w:rPr>
                <w:rFonts w:ascii="Arial" w:cs="Arial" w:eastAsia="Arial" w:hAnsi="Arial"/>
                <w:sz w:val="14"/>
                <w:szCs w:val="14"/>
                <w:b w:val="1"/>
                <w:bCs w:val="1"/>
                <w:color w:val="auto"/>
              </w:rPr>
              <w:t>- Base amount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2,563,504</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672,130</w:t>
            </w:r>
          </w:p>
        </w:tc>
        <w:tc>
          <w:tcPr>
            <w:tcW w:w="10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interest rates: +</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100 bps</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2,378,659</w:t>
            </w:r>
          </w:p>
        </w:tc>
        <w:tc>
          <w:tcPr>
            <w:tcW w:w="11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(184,845)</w:t>
            </w:r>
          </w:p>
        </w:tc>
        <w:tc>
          <w:tcPr>
            <w:tcW w:w="100" w:type="dxa"/>
            <w:vAlign w:val="bottom"/>
          </w:tcPr>
          <w:p>
            <w:pPr>
              <w:spacing w:after="0"/>
              <w:rPr>
                <w:sz w:val="13"/>
                <w:szCs w:val="13"/>
                <w:color w:val="auto"/>
              </w:rPr>
            </w:pPr>
          </w:p>
        </w:tc>
        <w:tc>
          <w:tcPr>
            <w:tcW w:w="10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(7.21)</w:t>
            </w:r>
          </w:p>
        </w:tc>
        <w:tc>
          <w:tcPr>
            <w:tcW w:w="10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623,665</w:t>
            </w:r>
          </w:p>
        </w:tc>
        <w:tc>
          <w:tcPr>
            <w:tcW w:w="100" w:type="dxa"/>
            <w:vAlign w:val="bottom"/>
          </w:tcPr>
          <w:p>
            <w:pPr>
              <w:spacing w:after="0"/>
              <w:rPr>
                <w:sz w:val="13"/>
                <w:szCs w:val="13"/>
                <w:color w:val="auto"/>
              </w:rPr>
            </w:pPr>
          </w:p>
        </w:tc>
        <w:tc>
          <w:tcPr>
            <w:tcW w:w="1020" w:type="dxa"/>
            <w:vAlign w:val="bottom"/>
          </w:tcPr>
          <w:p>
            <w:pPr>
              <w:jc w:val="right"/>
              <w:ind w:right="51"/>
              <w:spacing w:after="0" w:line="155" w:lineRule="exact"/>
              <w:rPr>
                <w:sz w:val="20"/>
                <w:szCs w:val="20"/>
                <w:color w:val="auto"/>
              </w:rPr>
            </w:pPr>
            <w:r>
              <w:rPr>
                <w:rFonts w:ascii="Arial" w:cs="Arial" w:eastAsia="Arial" w:hAnsi="Arial"/>
                <w:sz w:val="14"/>
                <w:szCs w:val="14"/>
                <w:color w:val="auto"/>
              </w:rPr>
              <w:t>(48,465)</w:t>
            </w:r>
          </w:p>
        </w:tc>
        <w:tc>
          <w:tcPr>
            <w:tcW w:w="100" w:type="dxa"/>
            <w:vAlign w:val="bottom"/>
          </w:tcPr>
          <w:p>
            <w:pPr>
              <w:spacing w:after="0"/>
              <w:rPr>
                <w:sz w:val="13"/>
                <w:szCs w:val="13"/>
                <w:color w:val="auto"/>
              </w:rPr>
            </w:pPr>
          </w:p>
        </w:tc>
        <w:tc>
          <w:tcPr>
            <w:tcW w:w="11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interest rates: -</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100 bps</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2,783,239</w:t>
            </w:r>
          </w:p>
        </w:tc>
        <w:tc>
          <w:tcPr>
            <w:tcW w:w="11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219,735</w:t>
            </w:r>
          </w:p>
        </w:tc>
        <w:tc>
          <w:tcPr>
            <w:tcW w:w="100" w:type="dxa"/>
            <w:vAlign w:val="bottom"/>
          </w:tcPr>
          <w:p>
            <w:pPr>
              <w:spacing w:after="0"/>
              <w:rPr>
                <w:sz w:val="13"/>
                <w:szCs w:val="13"/>
                <w:color w:val="auto"/>
              </w:rPr>
            </w:pPr>
          </w:p>
        </w:tc>
        <w:tc>
          <w:tcPr>
            <w:tcW w:w="10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8.57</w:t>
            </w:r>
          </w:p>
        </w:tc>
        <w:tc>
          <w:tcPr>
            <w:tcW w:w="10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729,743</w:t>
            </w:r>
          </w:p>
        </w:tc>
        <w:tc>
          <w:tcPr>
            <w:tcW w:w="100" w:type="dxa"/>
            <w:vAlign w:val="bottom"/>
          </w:tcPr>
          <w:p>
            <w:pPr>
              <w:spacing w:after="0"/>
              <w:rPr>
                <w:sz w:val="13"/>
                <w:szCs w:val="13"/>
                <w:color w:val="auto"/>
              </w:rPr>
            </w:pPr>
          </w:p>
        </w:tc>
        <w:tc>
          <w:tcPr>
            <w:tcW w:w="1020" w:type="dxa"/>
            <w:vAlign w:val="bottom"/>
          </w:tcPr>
          <w:p>
            <w:pPr>
              <w:jc w:val="right"/>
              <w:ind w:right="51"/>
              <w:spacing w:after="0" w:line="155" w:lineRule="exact"/>
              <w:rPr>
                <w:sz w:val="20"/>
                <w:szCs w:val="20"/>
                <w:color w:val="auto"/>
              </w:rPr>
            </w:pPr>
            <w:r>
              <w:rPr>
                <w:rFonts w:ascii="Arial" w:cs="Arial" w:eastAsia="Arial" w:hAnsi="Arial"/>
                <w:sz w:val="14"/>
                <w:szCs w:val="14"/>
                <w:color w:val="auto"/>
              </w:rPr>
              <w:t>57,613</w:t>
            </w:r>
          </w:p>
        </w:tc>
        <w:tc>
          <w:tcPr>
            <w:tcW w:w="100" w:type="dxa"/>
            <w:vAlign w:val="bottom"/>
          </w:tcPr>
          <w:p>
            <w:pPr>
              <w:spacing w:after="0"/>
              <w:rPr>
                <w:sz w:val="13"/>
                <w:szCs w:val="13"/>
                <w:color w:val="auto"/>
              </w:rPr>
            </w:pPr>
          </w:p>
        </w:tc>
        <w:tc>
          <w:tcPr>
            <w:tcW w:w="11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Mortality tables to</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105%</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2,541,988</w:t>
            </w:r>
          </w:p>
        </w:tc>
        <w:tc>
          <w:tcPr>
            <w:tcW w:w="11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(21,516)</w:t>
            </w:r>
          </w:p>
        </w:tc>
        <w:tc>
          <w:tcPr>
            <w:tcW w:w="100" w:type="dxa"/>
            <w:vAlign w:val="bottom"/>
          </w:tcPr>
          <w:p>
            <w:pPr>
              <w:spacing w:after="0"/>
              <w:rPr>
                <w:sz w:val="13"/>
                <w:szCs w:val="13"/>
                <w:color w:val="auto"/>
              </w:rPr>
            </w:pPr>
          </w:p>
        </w:tc>
        <w:tc>
          <w:tcPr>
            <w:tcW w:w="10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(0.84)</w:t>
            </w:r>
          </w:p>
        </w:tc>
        <w:tc>
          <w:tcPr>
            <w:tcW w:w="10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666,489</w:t>
            </w:r>
          </w:p>
        </w:tc>
        <w:tc>
          <w:tcPr>
            <w:tcW w:w="100" w:type="dxa"/>
            <w:vAlign w:val="bottom"/>
          </w:tcPr>
          <w:p>
            <w:pPr>
              <w:spacing w:after="0"/>
              <w:rPr>
                <w:sz w:val="13"/>
                <w:szCs w:val="13"/>
                <w:color w:val="auto"/>
              </w:rPr>
            </w:pPr>
          </w:p>
        </w:tc>
        <w:tc>
          <w:tcPr>
            <w:tcW w:w="1020" w:type="dxa"/>
            <w:vAlign w:val="bottom"/>
          </w:tcPr>
          <w:p>
            <w:pPr>
              <w:jc w:val="right"/>
              <w:ind w:right="51"/>
              <w:spacing w:after="0" w:line="155" w:lineRule="exact"/>
              <w:rPr>
                <w:sz w:val="20"/>
                <w:szCs w:val="20"/>
                <w:color w:val="auto"/>
              </w:rPr>
            </w:pPr>
            <w:r>
              <w:rPr>
                <w:rFonts w:ascii="Arial" w:cs="Arial" w:eastAsia="Arial" w:hAnsi="Arial"/>
                <w:sz w:val="14"/>
                <w:szCs w:val="14"/>
                <w:color w:val="auto"/>
              </w:rPr>
              <w:t>(5,641)</w:t>
            </w:r>
          </w:p>
        </w:tc>
        <w:tc>
          <w:tcPr>
            <w:tcW w:w="100" w:type="dxa"/>
            <w:vAlign w:val="bottom"/>
          </w:tcPr>
          <w:p>
            <w:pPr>
              <w:spacing w:after="0"/>
              <w:rPr>
                <w:sz w:val="13"/>
                <w:szCs w:val="13"/>
                <w:color w:val="auto"/>
              </w:rPr>
            </w:pPr>
          </w:p>
        </w:tc>
        <w:tc>
          <w:tcPr>
            <w:tcW w:w="11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Changes in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line="155" w:lineRule="exact"/>
              <w:rPr>
                <w:sz w:val="20"/>
                <w:szCs w:val="20"/>
                <w:color w:val="auto"/>
              </w:rPr>
            </w:pPr>
            <w:r>
              <w:rPr>
                <w:rFonts w:ascii="Arial" w:cs="Arial" w:eastAsia="Arial" w:hAnsi="Arial"/>
                <w:sz w:val="14"/>
                <w:szCs w:val="14"/>
                <w:color w:val="auto"/>
              </w:rPr>
              <w:t>Mortality tables to</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20"/>
                <w:szCs w:val="20"/>
                <w:color w:val="auto"/>
              </w:rPr>
            </w:pPr>
            <w:r>
              <w:rPr>
                <w:rFonts w:ascii="Arial" w:cs="Arial" w:eastAsia="Arial" w:hAnsi="Arial"/>
                <w:sz w:val="14"/>
                <w:szCs w:val="14"/>
                <w:color w:val="auto"/>
              </w:rPr>
              <w:t>95%</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2,585,823</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22,319</w:t>
            </w:r>
          </w:p>
        </w:tc>
        <w:tc>
          <w:tcPr>
            <w:tcW w:w="10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14"/>
                <w:szCs w:val="14"/>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677,982</w:t>
            </w:r>
          </w:p>
        </w:tc>
        <w:tc>
          <w:tcPr>
            <w:tcW w:w="10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5,852</w:t>
            </w:r>
          </w:p>
        </w:tc>
        <w:tc>
          <w:tcPr>
            <w:tcW w:w="10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20"/>
          </w:cols>
          <w:pgMar w:left="1260" w:top="140" w:right="519" w:bottom="1440" w:gutter="0" w:footer="0" w:header="0"/>
          <w:type w:val="continuous"/>
        </w:sectPr>
      </w:pPr>
    </w:p>
    <w:bookmarkStart w:id="107" w:name="page108"/>
    <w:bookmarkEnd w:id="107"/>
    <w:p>
      <w:pPr>
        <w:ind w:left="536" w:hanging="536"/>
        <w:spacing w:after="0"/>
        <w:tabs>
          <w:tab w:leader="none" w:pos="536"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BONDS AND NOTES ISSUED</w:t>
      </w:r>
    </w:p>
    <w:p>
      <w:pPr>
        <w:spacing w:after="0" w:line="214" w:lineRule="exact"/>
        <w:rPr>
          <w:rFonts w:ascii="Arial" w:cs="Arial" w:eastAsia="Arial" w:hAnsi="Arial"/>
          <w:sz w:val="17"/>
          <w:szCs w:val="17"/>
          <w:b w:val="1"/>
          <w:bCs w:val="1"/>
          <w:color w:val="auto"/>
        </w:rPr>
      </w:pPr>
    </w:p>
    <w:p>
      <w:pPr>
        <w:ind w:left="936" w:hanging="315"/>
        <w:spacing w:after="0"/>
        <w:tabs>
          <w:tab w:leader="none" w:pos="93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This item consists of the following:</w:t>
      </w:r>
    </w:p>
    <w:p>
      <w:pPr>
        <w:spacing w:after="0" w:line="174" w:lineRule="exact"/>
        <w:rPr>
          <w:sz w:val="20"/>
          <w:szCs w:val="20"/>
          <w:color w:val="auto"/>
        </w:rPr>
      </w:pPr>
    </w:p>
    <w:tbl>
      <w:tblPr>
        <w:tblLayout w:type="fixed"/>
        <w:tblInd w:w="936"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Annual interest</w:t>
            </w: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Interest</w:t>
            </w:r>
          </w:p>
        </w:tc>
        <w:tc>
          <w:tcPr>
            <w:tcW w:w="1440" w:type="dxa"/>
            <w:vAlign w:val="bottom"/>
            <w:gridSpan w:val="3"/>
          </w:tcPr>
          <w:p>
            <w:pPr>
              <w:ind w:left="100"/>
              <w:spacing w:after="0"/>
              <w:rPr>
                <w:sz w:val="20"/>
                <w:szCs w:val="20"/>
                <w:color w:val="auto"/>
              </w:rPr>
            </w:pPr>
            <w:r>
              <w:rPr>
                <w:rFonts w:ascii="Arial" w:cs="Arial" w:eastAsia="Arial" w:hAnsi="Arial"/>
                <w:sz w:val="12"/>
                <w:szCs w:val="12"/>
                <w:b w:val="1"/>
                <w:bCs w:val="1"/>
                <w:color w:val="auto"/>
              </w:rPr>
              <w:t>Hedge Accounting</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Nominal</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3"/>
          </w:tcPr>
          <w:p>
            <w:pPr>
              <w:ind w:left="100"/>
              <w:spacing w:after="0" w:line="103" w:lineRule="exact"/>
              <w:rPr>
                <w:sz w:val="20"/>
                <w:szCs w:val="20"/>
                <w:color w:val="auto"/>
              </w:rPr>
            </w:pPr>
            <w:r>
              <w:rPr>
                <w:rFonts w:ascii="Arial" w:cs="Arial" w:eastAsia="Arial" w:hAnsi="Arial"/>
                <w:sz w:val="11"/>
                <w:szCs w:val="11"/>
                <w:b w:val="1"/>
                <w:bCs w:val="1"/>
                <w:color w:val="auto"/>
              </w:rPr>
              <w:t>Issued</w:t>
            </w:r>
          </w:p>
        </w:tc>
        <w:tc>
          <w:tcPr>
            <w:tcW w:w="58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Carrying</w:t>
            </w:r>
          </w:p>
        </w:tc>
        <w:tc>
          <w:tcPr>
            <w:tcW w:w="1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3"/>
          </w:tcPr>
          <w:p>
            <w:pPr>
              <w:ind w:left="80"/>
              <w:spacing w:after="0" w:line="103" w:lineRule="exact"/>
              <w:rPr>
                <w:sz w:val="20"/>
                <w:szCs w:val="20"/>
                <w:color w:val="auto"/>
              </w:rPr>
            </w:pPr>
            <w:r>
              <w:rPr>
                <w:rFonts w:ascii="Arial" w:cs="Arial" w:eastAsia="Arial" w:hAnsi="Arial"/>
                <w:sz w:val="11"/>
                <w:szCs w:val="11"/>
                <w:b w:val="1"/>
                <w:bCs w:val="1"/>
                <w:color w:val="auto"/>
              </w:rPr>
              <w:t>Issued</w:t>
            </w:r>
          </w:p>
        </w:tc>
        <w:tc>
          <w:tcPr>
            <w:tcW w:w="68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Carrying</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rate</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payment</w:t>
            </w:r>
          </w:p>
        </w:tc>
        <w:tc>
          <w:tcPr>
            <w:tcW w:w="100" w:type="dxa"/>
            <w:vAlign w:val="bottom"/>
          </w:tcPr>
          <w:p>
            <w:pPr>
              <w:spacing w:after="0"/>
              <w:rPr>
                <w:sz w:val="12"/>
                <w:szCs w:val="12"/>
                <w:color w:val="auto"/>
              </w:rPr>
            </w:pP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Type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Nominal</w:t>
            </w:r>
          </w:p>
        </w:tc>
        <w:tc>
          <w:tcPr>
            <w:tcW w:w="6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Equivalent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Maturity</w:t>
            </w:r>
          </w:p>
        </w:tc>
        <w:tc>
          <w:tcPr>
            <w:tcW w:w="8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20"/>
                <w:szCs w:val="20"/>
                <w:color w:val="auto"/>
              </w:rPr>
            </w:pPr>
            <w:r>
              <w:rPr>
                <w:rFonts w:ascii="Arial" w:cs="Arial" w:eastAsia="Arial" w:hAnsi="Arial"/>
                <w:sz w:val="12"/>
                <w:szCs w:val="12"/>
                <w:b w:val="1"/>
                <w:bCs w:val="1"/>
                <w:color w:val="auto"/>
              </w:rPr>
              <w:t>Maturity</w:t>
            </w: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(000)</w:t>
            </w: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(000)</w:t>
            </w: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(000)</w:t>
            </w:r>
          </w:p>
        </w:tc>
        <w:tc>
          <w:tcPr>
            <w:tcW w:w="100" w:type="dxa"/>
            <w:vAlign w:val="bottom"/>
          </w:tcPr>
          <w:p>
            <w:pPr>
              <w:spacing w:after="0"/>
              <w:rPr>
                <w:sz w:val="13"/>
                <w:szCs w:val="13"/>
                <w:color w:val="auto"/>
              </w:rPr>
            </w:pPr>
          </w:p>
        </w:tc>
        <w:tc>
          <w:tcPr>
            <w:tcW w:w="68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20"/>
                <w:szCs w:val="20"/>
                <w:color w:val="auto"/>
              </w:rPr>
            </w:pPr>
            <w:r>
              <w:rPr>
                <w:rFonts w:ascii="Arial" w:cs="Arial" w:eastAsia="Arial" w:hAnsi="Arial"/>
                <w:sz w:val="12"/>
                <w:szCs w:val="12"/>
                <w:b w:val="1"/>
                <w:bCs w:val="1"/>
                <w:color w:val="auto"/>
              </w:rPr>
              <w:t>Senior notes - BCP</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(i)</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4.25</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Semi-annual</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April 2023</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US$716,301</w:t>
            </w:r>
          </w:p>
        </w:tc>
        <w:tc>
          <w:tcPr>
            <w:tcW w:w="7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2,713,911</w:t>
            </w:r>
          </w:p>
        </w:tc>
        <w:tc>
          <w:tcPr>
            <w:tcW w:w="760" w:type="dxa"/>
            <w:vAlign w:val="bottom"/>
          </w:tcPr>
          <w:p>
            <w:pPr>
              <w:spacing w:after="0" w:line="130" w:lineRule="exact"/>
              <w:rPr>
                <w:sz w:val="20"/>
                <w:szCs w:val="20"/>
                <w:color w:val="auto"/>
              </w:rPr>
            </w:pPr>
            <w:r>
              <w:rPr>
                <w:rFonts w:ascii="Arial" w:cs="Arial" w:eastAsia="Arial" w:hAnsi="Arial"/>
                <w:sz w:val="12"/>
                <w:szCs w:val="12"/>
                <w:color w:val="auto"/>
              </w:rPr>
              <w:t>April 2023</w:t>
            </w:r>
          </w:p>
        </w:tc>
        <w:tc>
          <w:tcPr>
            <w:tcW w:w="80" w:type="dxa"/>
            <w:vAlign w:val="bottom"/>
          </w:tcPr>
          <w:p>
            <w:pPr>
              <w:spacing w:after="0"/>
              <w:rPr>
                <w:sz w:val="11"/>
                <w:szCs w:val="11"/>
                <w:color w:val="auto"/>
              </w:rPr>
            </w:pPr>
          </w:p>
        </w:tc>
        <w:tc>
          <w:tcPr>
            <w:tcW w:w="8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US$716,301</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2,821,515</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Senior notes - BCP</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(ii)</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2.70</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Semi-annual</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CCS</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US$220,000</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839,080</w:t>
            </w:r>
          </w:p>
        </w:tc>
        <w:tc>
          <w:tcPr>
            <w:tcW w:w="4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January 2025</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US$700,000</w:t>
            </w:r>
          </w:p>
        </w:tc>
        <w:tc>
          <w:tcPr>
            <w:tcW w:w="7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2,623,445</w:t>
            </w:r>
          </w:p>
        </w:tc>
        <w:tc>
          <w:tcPr>
            <w:tcW w:w="760" w:type="dxa"/>
            <w:vAlign w:val="bottom"/>
          </w:tcPr>
          <w:p>
            <w:pPr>
              <w:spacing w:after="0" w:line="130" w:lineRule="exact"/>
              <w:rPr>
                <w:sz w:val="20"/>
                <w:szCs w:val="20"/>
                <w:color w:val="auto"/>
              </w:rPr>
            </w:pPr>
            <w:r>
              <w:rPr>
                <w:rFonts w:ascii="Arial" w:cs="Arial" w:eastAsia="Arial" w:hAnsi="Arial"/>
                <w:sz w:val="12"/>
                <w:szCs w:val="12"/>
                <w:color w:val="auto"/>
              </w:rPr>
              <w:t>January 2025</w:t>
            </w:r>
          </w:p>
        </w:tc>
        <w:tc>
          <w:tcPr>
            <w:tcW w:w="80" w:type="dxa"/>
            <w:vAlign w:val="bottom"/>
          </w:tcPr>
          <w:p>
            <w:pPr>
              <w:spacing w:after="0"/>
              <w:rPr>
                <w:sz w:val="11"/>
                <w:szCs w:val="11"/>
                <w:color w:val="auto"/>
              </w:rPr>
            </w:pPr>
          </w:p>
        </w:tc>
        <w:tc>
          <w:tcPr>
            <w:tcW w:w="8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US$700,000</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2,721,570</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Senior notes - BCP</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September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color w:val="auto"/>
              </w:rPr>
              <w:t>September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20"/>
                <w:szCs w:val="20"/>
                <w:color w:val="auto"/>
              </w:rPr>
            </w:pPr>
            <w:r>
              <w:rPr>
                <w:rFonts w:ascii="Arial" w:cs="Arial" w:eastAsia="Arial" w:hAnsi="Arial"/>
                <w:sz w:val="12"/>
                <w:szCs w:val="12"/>
                <w:b w:val="1"/>
                <w:bCs w:val="1"/>
                <w:color w:val="auto"/>
              </w:rPr>
              <w:t>(iii)</w:t>
            </w:r>
          </w:p>
        </w:tc>
        <w:tc>
          <w:tcPr>
            <w:tcW w:w="1020" w:type="dxa"/>
            <w:vAlign w:val="bottom"/>
            <w:gridSpan w:val="2"/>
          </w:tcPr>
          <w:p>
            <w:pPr>
              <w:jc w:val="center"/>
              <w:spacing w:after="0"/>
              <w:rPr>
                <w:sz w:val="20"/>
                <w:szCs w:val="20"/>
                <w:color w:val="auto"/>
              </w:rPr>
            </w:pPr>
            <w:r>
              <w:rPr>
                <w:rFonts w:ascii="Arial" w:cs="Arial" w:eastAsia="Arial" w:hAnsi="Arial"/>
                <w:sz w:val="12"/>
                <w:szCs w:val="12"/>
                <w:color w:val="auto"/>
              </w:rPr>
              <w:t>4.65</w:t>
            </w:r>
          </w:p>
        </w:tc>
        <w:tc>
          <w:tcPr>
            <w:tcW w:w="920" w:type="dxa"/>
            <w:vAlign w:val="bottom"/>
            <w:gridSpan w:val="2"/>
          </w:tcPr>
          <w:p>
            <w:pPr>
              <w:ind w:left="80"/>
              <w:spacing w:after="0"/>
              <w:rPr>
                <w:sz w:val="20"/>
                <w:szCs w:val="20"/>
                <w:color w:val="auto"/>
              </w:rPr>
            </w:pPr>
            <w:r>
              <w:rPr>
                <w:rFonts w:ascii="Arial" w:cs="Arial" w:eastAsia="Arial" w:hAnsi="Arial"/>
                <w:sz w:val="12"/>
                <w:szCs w:val="12"/>
                <w:color w:val="auto"/>
              </w:rPr>
              <w:t>Semi-annual</w:t>
            </w:r>
          </w:p>
        </w:tc>
        <w:tc>
          <w:tcPr>
            <w:tcW w:w="7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60"/>
              <w:spacing w:after="0"/>
              <w:rPr>
                <w:sz w:val="20"/>
                <w:szCs w:val="20"/>
                <w:color w:val="auto"/>
              </w:rPr>
            </w:pPr>
            <w:r>
              <w:rPr>
                <w:rFonts w:ascii="Arial" w:cs="Arial" w:eastAsia="Arial" w:hAnsi="Arial"/>
                <w:sz w:val="12"/>
                <w:szCs w:val="12"/>
                <w:color w:val="auto"/>
              </w:rPr>
              <w:t>2024</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S/2,900,000</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2,490,872</w:t>
            </w:r>
          </w:p>
        </w:tc>
        <w:tc>
          <w:tcPr>
            <w:tcW w:w="760" w:type="dxa"/>
            <w:vAlign w:val="bottom"/>
          </w:tcPr>
          <w:p>
            <w:pPr>
              <w:spacing w:after="0"/>
              <w:rPr>
                <w:sz w:val="20"/>
                <w:szCs w:val="20"/>
                <w:color w:val="auto"/>
              </w:rPr>
            </w:pPr>
            <w:r>
              <w:rPr>
                <w:rFonts w:ascii="Arial" w:cs="Arial" w:eastAsia="Arial" w:hAnsi="Arial"/>
                <w:sz w:val="12"/>
                <w:szCs w:val="12"/>
                <w:color w:val="auto"/>
              </w:rPr>
              <w:t>2024</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S/2,900,000</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2,484,121</w:t>
            </w: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Net</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vMerge w:val="restart"/>
          </w:tcPr>
          <w:p>
            <w:pPr>
              <w:spacing w:after="0"/>
              <w:rPr>
                <w:sz w:val="20"/>
                <w:szCs w:val="20"/>
                <w:color w:val="auto"/>
              </w:rPr>
            </w:pPr>
            <w:r>
              <w:rPr>
                <w:rFonts w:ascii="Arial" w:cs="Arial" w:eastAsia="Arial" w:hAnsi="Arial"/>
                <w:sz w:val="12"/>
                <w:szCs w:val="12"/>
                <w:b w:val="1"/>
                <w:bCs w:val="1"/>
                <w:color w:val="auto"/>
              </w:rPr>
              <w:t>Senior notes -</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investment</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gridSpan w:val="2"/>
          </w:tcPr>
          <w:p>
            <w:pPr>
              <w:ind w:left="100"/>
              <w:spacing w:after="0" w:line="115" w:lineRule="exact"/>
              <w:rPr>
                <w:sz w:val="20"/>
                <w:szCs w:val="20"/>
                <w:color w:val="auto"/>
              </w:rPr>
            </w:pPr>
            <w:r>
              <w:rPr>
                <w:rFonts w:ascii="Arial" w:cs="Arial" w:eastAsia="Arial" w:hAnsi="Arial"/>
                <w:sz w:val="12"/>
                <w:szCs w:val="12"/>
                <w:color w:val="auto"/>
                <w:w w:val="99"/>
              </w:rPr>
              <w:t>of a foreign</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Credicorp Ltd. (iv)</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2.75</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Semi-annual</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operation</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US$228,828</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872,750</w:t>
            </w:r>
          </w:p>
        </w:tc>
        <w:tc>
          <w:tcPr>
            <w:tcW w:w="4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June 2025</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US$500,000</w:t>
            </w:r>
          </w:p>
        </w:tc>
        <w:tc>
          <w:tcPr>
            <w:tcW w:w="7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1,827,682</w:t>
            </w:r>
          </w:p>
        </w:tc>
        <w:tc>
          <w:tcPr>
            <w:tcW w:w="760" w:type="dxa"/>
            <w:vAlign w:val="bottom"/>
          </w:tcPr>
          <w:p>
            <w:pPr>
              <w:spacing w:after="0" w:line="130" w:lineRule="exact"/>
              <w:rPr>
                <w:sz w:val="20"/>
                <w:szCs w:val="20"/>
                <w:color w:val="auto"/>
              </w:rPr>
            </w:pPr>
            <w:r>
              <w:rPr>
                <w:rFonts w:ascii="Arial" w:cs="Arial" w:eastAsia="Arial" w:hAnsi="Arial"/>
                <w:sz w:val="12"/>
                <w:szCs w:val="12"/>
                <w:color w:val="auto"/>
              </w:rPr>
              <w:t>June 2025</w:t>
            </w:r>
          </w:p>
        </w:tc>
        <w:tc>
          <w:tcPr>
            <w:tcW w:w="80" w:type="dxa"/>
            <w:vAlign w:val="bottom"/>
          </w:tcPr>
          <w:p>
            <w:pPr>
              <w:spacing w:after="0"/>
              <w:rPr>
                <w:sz w:val="11"/>
                <w:szCs w:val="11"/>
                <w:color w:val="auto"/>
              </w:rPr>
            </w:pPr>
          </w:p>
        </w:tc>
        <w:tc>
          <w:tcPr>
            <w:tcW w:w="8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US$500,000</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1,906,364</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Senior notes - BCP</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(v)</w:t>
            </w:r>
          </w:p>
        </w:tc>
        <w:tc>
          <w:tcPr>
            <w:tcW w:w="60" w:type="dxa"/>
            <w:vAlign w:val="bottom"/>
          </w:tcPr>
          <w:p>
            <w:pPr>
              <w:spacing w:after="0"/>
              <w:rPr>
                <w:sz w:val="11"/>
                <w:szCs w:val="11"/>
                <w:color w:val="auto"/>
              </w:rPr>
            </w:pPr>
          </w:p>
        </w:tc>
        <w:tc>
          <w:tcPr>
            <w:tcW w:w="960" w:type="dxa"/>
            <w:vAlign w:val="bottom"/>
          </w:tcPr>
          <w:p>
            <w:pPr>
              <w:jc w:val="center"/>
              <w:spacing w:after="0" w:line="130" w:lineRule="exact"/>
              <w:rPr>
                <w:sz w:val="20"/>
                <w:szCs w:val="20"/>
                <w:color w:val="auto"/>
              </w:rPr>
            </w:pPr>
            <w:r>
              <w:rPr>
                <w:rFonts w:ascii="Arial" w:cs="Arial" w:eastAsia="Arial" w:hAnsi="Arial"/>
                <w:sz w:val="12"/>
                <w:szCs w:val="12"/>
                <w:color w:val="auto"/>
              </w:rPr>
              <w:t>Libor 3M + 55 pb</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Quarterly</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60" w:type="dxa"/>
            <w:vAlign w:val="bottom"/>
          </w:tcPr>
          <w:p>
            <w:pPr>
              <w:spacing w:after="0" w:line="130" w:lineRule="exact"/>
              <w:rPr>
                <w:sz w:val="20"/>
                <w:szCs w:val="20"/>
                <w:color w:val="auto"/>
              </w:rPr>
            </w:pPr>
            <w:r>
              <w:rPr>
                <w:rFonts w:ascii="Arial" w:cs="Arial" w:eastAsia="Arial" w:hAnsi="Arial"/>
                <w:sz w:val="12"/>
                <w:szCs w:val="12"/>
                <w:color w:val="auto"/>
              </w:rPr>
              <w:t>March 2022</w:t>
            </w:r>
          </w:p>
        </w:tc>
        <w:tc>
          <w:tcPr>
            <w:tcW w:w="80" w:type="dxa"/>
            <w:vAlign w:val="bottom"/>
          </w:tcPr>
          <w:p>
            <w:pPr>
              <w:spacing w:after="0"/>
              <w:rPr>
                <w:sz w:val="11"/>
                <w:szCs w:val="11"/>
                <w:color w:val="auto"/>
              </w:rPr>
            </w:pPr>
          </w:p>
        </w:tc>
        <w:tc>
          <w:tcPr>
            <w:tcW w:w="8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US$30,000</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119,585</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Senior notes - BCP</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December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color w:val="auto"/>
              </w:rPr>
              <w:t>December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(vi)</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0.45</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Semi-annual</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CCS</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¥5,000,000</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145,715</w:t>
            </w:r>
          </w:p>
        </w:tc>
        <w:tc>
          <w:tcPr>
            <w:tcW w:w="4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2023</w:t>
            </w:r>
          </w:p>
        </w:tc>
        <w:tc>
          <w:tcPr>
            <w:tcW w:w="880" w:type="dxa"/>
            <w:vAlign w:val="bottom"/>
            <w:gridSpan w:val="3"/>
          </w:tcPr>
          <w:p>
            <w:pPr>
              <w:jc w:val="right"/>
              <w:ind w:right="80"/>
              <w:spacing w:after="0" w:line="130" w:lineRule="exact"/>
              <w:rPr>
                <w:sz w:val="20"/>
                <w:szCs w:val="20"/>
                <w:color w:val="auto"/>
              </w:rPr>
            </w:pPr>
            <w:r>
              <w:rPr>
                <w:rFonts w:ascii="Arial" w:cs="Arial" w:eastAsia="Arial" w:hAnsi="Arial"/>
                <w:sz w:val="12"/>
                <w:szCs w:val="12"/>
                <w:color w:val="auto"/>
              </w:rPr>
              <w:t>¥5,000,000</w:t>
            </w:r>
          </w:p>
        </w:tc>
        <w:tc>
          <w:tcPr>
            <w:tcW w:w="580" w:type="dxa"/>
            <w:vAlign w:val="bottom"/>
          </w:tcPr>
          <w:p>
            <w:pPr>
              <w:jc w:val="right"/>
              <w:spacing w:after="0" w:line="130" w:lineRule="exact"/>
              <w:rPr>
                <w:sz w:val="20"/>
                <w:szCs w:val="20"/>
                <w:color w:val="auto"/>
              </w:rPr>
            </w:pPr>
            <w:r>
              <w:rPr>
                <w:rFonts w:ascii="Arial" w:cs="Arial" w:eastAsia="Arial" w:hAnsi="Arial"/>
                <w:sz w:val="12"/>
                <w:szCs w:val="12"/>
                <w:color w:val="auto"/>
              </w:rPr>
              <w:t>145,522</w:t>
            </w: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color w:val="auto"/>
              </w:rPr>
              <w:t>2023</w:t>
            </w:r>
          </w:p>
        </w:tc>
        <w:tc>
          <w:tcPr>
            <w:tcW w:w="900" w:type="dxa"/>
            <w:vAlign w:val="bottom"/>
            <w:gridSpan w:val="3"/>
          </w:tcPr>
          <w:p>
            <w:pPr>
              <w:jc w:val="right"/>
              <w:ind w:right="100"/>
              <w:spacing w:after="0" w:line="130" w:lineRule="exact"/>
              <w:rPr>
                <w:sz w:val="20"/>
                <w:szCs w:val="20"/>
                <w:color w:val="auto"/>
              </w:rPr>
            </w:pPr>
            <w:r>
              <w:rPr>
                <w:rFonts w:ascii="Arial" w:cs="Arial" w:eastAsia="Arial" w:hAnsi="Arial"/>
                <w:sz w:val="12"/>
                <w:szCs w:val="12"/>
                <w:color w:val="auto"/>
              </w:rPr>
              <w:t>¥5,000,000</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172,773</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Senior notes - BCP</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(vii)</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5.05</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Semi-annual</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June 2027</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US$30,000</w:t>
            </w:r>
          </w:p>
        </w:tc>
        <w:tc>
          <w:tcPr>
            <w:tcW w:w="580" w:type="dxa"/>
            <w:vAlign w:val="bottom"/>
          </w:tcPr>
          <w:p>
            <w:pPr>
              <w:jc w:val="right"/>
              <w:spacing w:after="0" w:line="130" w:lineRule="exact"/>
              <w:rPr>
                <w:sz w:val="20"/>
                <w:szCs w:val="20"/>
                <w:color w:val="auto"/>
              </w:rPr>
            </w:pPr>
            <w:r>
              <w:rPr>
                <w:rFonts w:ascii="Arial" w:cs="Arial" w:eastAsia="Arial" w:hAnsi="Arial"/>
                <w:sz w:val="12"/>
                <w:szCs w:val="12"/>
                <w:color w:val="auto"/>
              </w:rPr>
              <w:t>114,246</w:t>
            </w: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color w:val="auto"/>
              </w:rPr>
              <w:t>-</w:t>
            </w:r>
          </w:p>
        </w:tc>
        <w:tc>
          <w:tcPr>
            <w:tcW w:w="900" w:type="dxa"/>
            <w:vAlign w:val="bottom"/>
            <w:gridSpan w:val="3"/>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MMT 100 - Secured</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b w:val="1"/>
                <w:bCs w:val="1"/>
                <w:color w:val="auto"/>
              </w:rPr>
              <w:t>notes- CCR Inc.</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20"/>
                <w:szCs w:val="20"/>
                <w:color w:val="auto"/>
              </w:rPr>
            </w:pPr>
            <w:r>
              <w:rPr>
                <w:rFonts w:ascii="Arial" w:cs="Arial" w:eastAsia="Arial" w:hAnsi="Arial"/>
                <w:sz w:val="12"/>
                <w:szCs w:val="12"/>
                <w:b w:val="1"/>
                <w:bCs w:val="1"/>
                <w:color w:val="auto"/>
              </w:rPr>
              <w:t>(viii)</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color w:val="auto"/>
              </w:rPr>
              <w:t>2012 Series C</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color w:val="auto"/>
              </w:rPr>
              <w:t>Floating rate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20"/>
                <w:szCs w:val="20"/>
                <w:color w:val="auto"/>
              </w:rPr>
            </w:pPr>
            <w:r>
              <w:rPr>
                <w:rFonts w:ascii="Arial" w:cs="Arial" w:eastAsia="Arial" w:hAnsi="Arial"/>
                <w:sz w:val="12"/>
                <w:szCs w:val="12"/>
                <w:color w:val="auto"/>
              </w:rPr>
              <w:t>certificates</w:t>
            </w:r>
          </w:p>
        </w:tc>
        <w:tc>
          <w:tcPr>
            <w:tcW w:w="1020" w:type="dxa"/>
            <w:vAlign w:val="bottom"/>
            <w:gridSpan w:val="2"/>
          </w:tcPr>
          <w:p>
            <w:pPr>
              <w:jc w:val="center"/>
              <w:spacing w:after="0"/>
              <w:rPr>
                <w:sz w:val="20"/>
                <w:szCs w:val="20"/>
                <w:color w:val="auto"/>
              </w:rPr>
            </w:pPr>
            <w:r>
              <w:rPr>
                <w:rFonts w:ascii="Arial" w:cs="Arial" w:eastAsia="Arial" w:hAnsi="Arial"/>
                <w:sz w:val="12"/>
                <w:szCs w:val="12"/>
                <w:color w:val="auto"/>
              </w:rPr>
              <w:t>4.75</w:t>
            </w:r>
          </w:p>
        </w:tc>
        <w:tc>
          <w:tcPr>
            <w:tcW w:w="920" w:type="dxa"/>
            <w:vAlign w:val="bottom"/>
            <w:gridSpan w:val="2"/>
          </w:tcPr>
          <w:p>
            <w:pPr>
              <w:ind w:left="80"/>
              <w:spacing w:after="0"/>
              <w:rPr>
                <w:sz w:val="20"/>
                <w:szCs w:val="20"/>
                <w:color w:val="auto"/>
              </w:rPr>
            </w:pPr>
            <w:r>
              <w:rPr>
                <w:rFonts w:ascii="Arial" w:cs="Arial" w:eastAsia="Arial" w:hAnsi="Arial"/>
                <w:sz w:val="12"/>
                <w:szCs w:val="12"/>
                <w:color w:val="auto"/>
              </w:rPr>
              <w:t>Monthly</w:t>
            </w:r>
          </w:p>
        </w:tc>
        <w:tc>
          <w:tcPr>
            <w:tcW w:w="7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20"/>
                <w:szCs w:val="20"/>
                <w:color w:val="auto"/>
              </w:rPr>
            </w:pPr>
            <w:r>
              <w:rPr>
                <w:rFonts w:ascii="Arial" w:cs="Arial" w:eastAsia="Arial" w:hAnsi="Arial"/>
                <w:sz w:val="12"/>
                <w:szCs w:val="12"/>
                <w:color w:val="auto"/>
              </w:rPr>
              <w:t>July 2022</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US$315,000</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104,659</w:t>
            </w: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0"/>
                <w:szCs w:val="20"/>
                <w:color w:val="auto"/>
              </w:rPr>
            </w:pPr>
            <w:r>
              <w:rPr>
                <w:rFonts w:ascii="Arial" w:cs="Arial" w:eastAsia="Arial" w:hAnsi="Arial"/>
                <w:sz w:val="12"/>
                <w:szCs w:val="12"/>
                <w:b w:val="1"/>
                <w:bCs w:val="1"/>
                <w:color w:val="auto"/>
              </w:rPr>
              <w:t>Corporate bonds -</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0"/>
                <w:szCs w:val="20"/>
                <w:color w:val="auto"/>
              </w:rPr>
            </w:pPr>
            <w:r>
              <w:rPr>
                <w:rFonts w:ascii="Arial" w:cs="Arial" w:eastAsia="Arial" w:hAnsi="Arial"/>
                <w:sz w:val="12"/>
                <w:szCs w:val="12"/>
                <w:b w:val="1"/>
                <w:bCs w:val="1"/>
                <w:color w:val="auto"/>
              </w:rPr>
              <w:t>First program</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color w:val="auto"/>
              </w:rPr>
              <w:t>First issuance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color w:val="auto"/>
              </w:rPr>
              <w:t>(Series A) - Mibanco</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80" w:type="dxa"/>
            <w:vAlign w:val="bottom"/>
          </w:tcPr>
          <w:p>
            <w:pPr>
              <w:spacing w:after="0" w:line="115" w:lineRule="exact"/>
              <w:rPr>
                <w:sz w:val="20"/>
                <w:szCs w:val="20"/>
                <w:color w:val="auto"/>
              </w:rPr>
            </w:pPr>
            <w:r>
              <w:rPr>
                <w:rFonts w:ascii="Arial" w:cs="Arial" w:eastAsia="Arial" w:hAnsi="Arial"/>
                <w:sz w:val="12"/>
                <w:szCs w:val="12"/>
                <w:color w:val="auto"/>
              </w:rPr>
              <w:t>Colombia</w:t>
            </w:r>
          </w:p>
        </w:tc>
        <w:tc>
          <w:tcPr>
            <w:tcW w:w="1020" w:type="dxa"/>
            <w:vAlign w:val="bottom"/>
            <w:gridSpan w:val="2"/>
          </w:tcPr>
          <w:p>
            <w:pPr>
              <w:jc w:val="center"/>
              <w:spacing w:after="0" w:line="115" w:lineRule="exact"/>
              <w:rPr>
                <w:sz w:val="20"/>
                <w:szCs w:val="20"/>
                <w:color w:val="auto"/>
              </w:rPr>
            </w:pPr>
            <w:r>
              <w:rPr>
                <w:rFonts w:ascii="Arial" w:cs="Arial" w:eastAsia="Arial" w:hAnsi="Arial"/>
                <w:sz w:val="12"/>
                <w:szCs w:val="12"/>
                <w:color w:val="auto"/>
              </w:rPr>
              <w:t>9.00</w:t>
            </w:r>
          </w:p>
        </w:tc>
        <w:tc>
          <w:tcPr>
            <w:tcW w:w="92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Quarterly</w:t>
            </w:r>
          </w:p>
        </w:tc>
        <w:tc>
          <w:tcPr>
            <w:tcW w:w="720" w:type="dxa"/>
            <w:vAlign w:val="bottom"/>
            <w:gridSpan w:val="2"/>
          </w:tcPr>
          <w:p>
            <w:pPr>
              <w:ind w:left="100"/>
              <w:spacing w:after="0" w:line="115"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1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line="115" w:lineRule="exact"/>
              <w:rPr>
                <w:sz w:val="20"/>
                <w:szCs w:val="20"/>
                <w:color w:val="auto"/>
              </w:rPr>
            </w:pPr>
            <w:r>
              <w:rPr>
                <w:rFonts w:ascii="Arial" w:cs="Arial" w:eastAsia="Arial" w:hAnsi="Arial"/>
                <w:sz w:val="12"/>
                <w:szCs w:val="12"/>
                <w:color w:val="auto"/>
              </w:rPr>
              <w:t>-</w:t>
            </w:r>
          </w:p>
        </w:tc>
        <w:tc>
          <w:tcPr>
            <w:tcW w:w="900" w:type="dxa"/>
            <w:vAlign w:val="bottom"/>
            <w:gridSpan w:val="2"/>
          </w:tcPr>
          <w:p>
            <w:pPr>
              <w:ind w:left="60"/>
              <w:spacing w:after="0" w:line="115" w:lineRule="exact"/>
              <w:rPr>
                <w:sz w:val="20"/>
                <w:szCs w:val="20"/>
                <w:color w:val="auto"/>
              </w:rPr>
            </w:pPr>
            <w:r>
              <w:rPr>
                <w:rFonts w:ascii="Arial" w:cs="Arial" w:eastAsia="Arial" w:hAnsi="Arial"/>
                <w:sz w:val="12"/>
                <w:szCs w:val="12"/>
                <w:color w:val="auto"/>
              </w:rPr>
              <w:t>January 2025</w:t>
            </w:r>
          </w:p>
        </w:tc>
        <w:tc>
          <w:tcPr>
            <w:tcW w:w="880" w:type="dxa"/>
            <w:vAlign w:val="bottom"/>
            <w:gridSpan w:val="3"/>
          </w:tcPr>
          <w:p>
            <w:pPr>
              <w:jc w:val="right"/>
              <w:ind w:right="80"/>
              <w:spacing w:after="0" w:line="115" w:lineRule="exact"/>
              <w:rPr>
                <w:sz w:val="20"/>
                <w:szCs w:val="20"/>
                <w:color w:val="auto"/>
              </w:rPr>
            </w:pPr>
            <w:r>
              <w:rPr>
                <w:rFonts w:ascii="Arial" w:cs="Arial" w:eastAsia="Arial" w:hAnsi="Arial"/>
                <w:sz w:val="12"/>
                <w:szCs w:val="12"/>
                <w:color w:val="auto"/>
              </w:rPr>
              <w:t>$112,500</w:t>
            </w:r>
          </w:p>
        </w:tc>
        <w:tc>
          <w:tcPr>
            <w:tcW w:w="760" w:type="dxa"/>
            <w:vAlign w:val="bottom"/>
            <w:gridSpan w:val="2"/>
          </w:tcPr>
          <w:p>
            <w:pPr>
              <w:jc w:val="right"/>
              <w:ind w:right="180"/>
              <w:spacing w:after="0" w:line="115" w:lineRule="exact"/>
              <w:rPr>
                <w:sz w:val="20"/>
                <w:szCs w:val="20"/>
                <w:color w:val="auto"/>
              </w:rPr>
            </w:pPr>
            <w:r>
              <w:rPr>
                <w:rFonts w:ascii="Arial" w:cs="Arial" w:eastAsia="Arial" w:hAnsi="Arial"/>
                <w:sz w:val="12"/>
                <w:szCs w:val="12"/>
                <w:color w:val="auto"/>
              </w:rPr>
              <w:t>72,118</w:t>
            </w:r>
          </w:p>
        </w:tc>
        <w:tc>
          <w:tcPr>
            <w:tcW w:w="760" w:type="dxa"/>
            <w:vAlign w:val="bottom"/>
          </w:tcPr>
          <w:p>
            <w:pPr>
              <w:spacing w:after="0" w:line="115" w:lineRule="exact"/>
              <w:rPr>
                <w:sz w:val="20"/>
                <w:szCs w:val="20"/>
                <w:color w:val="auto"/>
              </w:rPr>
            </w:pPr>
            <w:r>
              <w:rPr>
                <w:rFonts w:ascii="Arial" w:cs="Arial" w:eastAsia="Arial" w:hAnsi="Arial"/>
                <w:sz w:val="12"/>
                <w:szCs w:val="12"/>
                <w:color w:val="auto"/>
              </w:rPr>
              <w:t>-</w:t>
            </w:r>
          </w:p>
        </w:tc>
        <w:tc>
          <w:tcPr>
            <w:tcW w:w="900" w:type="dxa"/>
            <w:vAlign w:val="bottom"/>
            <w:gridSpan w:val="3"/>
          </w:tcPr>
          <w:p>
            <w:pPr>
              <w:jc w:val="right"/>
              <w:ind w:right="100"/>
              <w:spacing w:after="0" w:line="11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1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180" w:type="dxa"/>
            <w:vAlign w:val="bottom"/>
          </w:tcPr>
          <w:p>
            <w:pPr>
              <w:spacing w:after="0"/>
              <w:rPr>
                <w:sz w:val="20"/>
                <w:szCs w:val="20"/>
                <w:color w:val="auto"/>
              </w:rPr>
            </w:pPr>
            <w:r>
              <w:rPr>
                <w:rFonts w:ascii="Arial" w:cs="Arial" w:eastAsia="Arial" w:hAnsi="Arial"/>
                <w:sz w:val="12"/>
                <w:szCs w:val="12"/>
                <w:b w:val="1"/>
                <w:bCs w:val="1"/>
                <w:color w:val="auto"/>
              </w:rPr>
              <w:t>Fourth program</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color w:val="auto"/>
              </w:rPr>
              <w:t>Tenth issuance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color w:val="auto"/>
              </w:rPr>
              <w:t>October 2022</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color w:val="auto"/>
              </w:rPr>
              <w:t>(Series A, B and C) -</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color w:val="auto"/>
              </w:rPr>
              <w:t>/ November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20"/>
                <w:szCs w:val="20"/>
                <w:color w:val="auto"/>
              </w:rPr>
            </w:pPr>
            <w:r>
              <w:rPr>
                <w:rFonts w:ascii="Arial" w:cs="Arial" w:eastAsia="Arial" w:hAnsi="Arial"/>
                <w:sz w:val="12"/>
                <w:szCs w:val="12"/>
                <w:color w:val="auto"/>
              </w:rPr>
              <w:t>BCP</w:t>
            </w:r>
          </w:p>
        </w:tc>
        <w:tc>
          <w:tcPr>
            <w:tcW w:w="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auto"/>
              </w:rPr>
              <w:t>From 5.31 to 5.50</w:t>
            </w:r>
          </w:p>
        </w:tc>
        <w:tc>
          <w:tcPr>
            <w:tcW w:w="920" w:type="dxa"/>
            <w:vAlign w:val="bottom"/>
            <w:gridSpan w:val="2"/>
          </w:tcPr>
          <w:p>
            <w:pPr>
              <w:ind w:left="80"/>
              <w:spacing w:after="0"/>
              <w:rPr>
                <w:sz w:val="20"/>
                <w:szCs w:val="20"/>
                <w:color w:val="auto"/>
              </w:rPr>
            </w:pPr>
            <w:r>
              <w:rPr>
                <w:rFonts w:ascii="Arial" w:cs="Arial" w:eastAsia="Arial" w:hAnsi="Arial"/>
                <w:sz w:val="12"/>
                <w:szCs w:val="12"/>
                <w:color w:val="auto"/>
              </w:rPr>
              <w:t>Semi-annual</w:t>
            </w:r>
          </w:p>
        </w:tc>
        <w:tc>
          <w:tcPr>
            <w:tcW w:w="7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20"/>
                <w:szCs w:val="20"/>
                <w:color w:val="auto"/>
              </w:rPr>
            </w:pPr>
            <w:r>
              <w:rPr>
                <w:rFonts w:ascii="Arial" w:cs="Arial" w:eastAsia="Arial" w:hAnsi="Arial"/>
                <w:sz w:val="12"/>
                <w:szCs w:val="12"/>
                <w:color w:val="auto"/>
              </w:rPr>
              <w:t>2022</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S/400,000</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399,923</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0"/>
                <w:szCs w:val="20"/>
                <w:color w:val="auto"/>
              </w:rPr>
            </w:pPr>
            <w:r>
              <w:rPr>
                <w:rFonts w:ascii="Arial" w:cs="Arial" w:eastAsia="Arial" w:hAnsi="Arial"/>
                <w:sz w:val="12"/>
                <w:szCs w:val="12"/>
                <w:b w:val="1"/>
                <w:bCs w:val="1"/>
                <w:color w:val="auto"/>
              </w:rPr>
              <w:t>Fifth program</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color w:val="auto"/>
              </w:rPr>
              <w:t>Third issuance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color w:val="auto"/>
              </w:rPr>
              <w:t>(Series C) - BCP</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4.25</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Semi-annual</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60" w:type="dxa"/>
            <w:vAlign w:val="bottom"/>
          </w:tcPr>
          <w:p>
            <w:pPr>
              <w:spacing w:after="0" w:line="130" w:lineRule="exact"/>
              <w:rPr>
                <w:sz w:val="20"/>
                <w:szCs w:val="20"/>
                <w:color w:val="auto"/>
              </w:rPr>
            </w:pPr>
            <w:r>
              <w:rPr>
                <w:rFonts w:ascii="Arial" w:cs="Arial" w:eastAsia="Arial" w:hAnsi="Arial"/>
                <w:sz w:val="12"/>
                <w:szCs w:val="12"/>
                <w:color w:val="auto"/>
              </w:rPr>
              <w:t>July 2022</w:t>
            </w:r>
          </w:p>
        </w:tc>
        <w:tc>
          <w:tcPr>
            <w:tcW w:w="80" w:type="dxa"/>
            <w:vAlign w:val="bottom"/>
          </w:tcPr>
          <w:p>
            <w:pPr>
              <w:spacing w:after="0"/>
              <w:rPr>
                <w:sz w:val="11"/>
                <w:szCs w:val="11"/>
                <w:color w:val="auto"/>
              </w:rPr>
            </w:pPr>
          </w:p>
        </w:tc>
        <w:tc>
          <w:tcPr>
            <w:tcW w:w="8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S/109,310</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109,182</w:t>
            </w:r>
          </w:p>
        </w:tc>
        <w:tc>
          <w:tcPr>
            <w:tcW w:w="0" w:type="dxa"/>
            <w:vAlign w:val="bottom"/>
          </w:tcPr>
          <w:p>
            <w:pPr>
              <w:spacing w:after="0"/>
              <w:rPr>
                <w:sz w:val="1"/>
                <w:szCs w:val="1"/>
                <w:color w:val="auto"/>
              </w:rPr>
            </w:pPr>
          </w:p>
        </w:tc>
      </w:tr>
      <w:tr>
        <w:trPr>
          <w:trHeight w:val="130"/>
        </w:trPr>
        <w:tc>
          <w:tcPr>
            <w:tcW w:w="1180" w:type="dxa"/>
            <w:vAlign w:val="bottom"/>
          </w:tcPr>
          <w:p>
            <w:pPr>
              <w:spacing w:after="0" w:line="130" w:lineRule="exact"/>
              <w:rPr>
                <w:sz w:val="20"/>
                <w:szCs w:val="20"/>
                <w:color w:val="auto"/>
              </w:rPr>
            </w:pPr>
            <w:r>
              <w:rPr>
                <w:rFonts w:ascii="Arial" w:cs="Arial" w:eastAsia="Arial" w:hAnsi="Arial"/>
                <w:sz w:val="12"/>
                <w:szCs w:val="12"/>
                <w:color w:val="auto"/>
              </w:rPr>
              <w:t>Third issuance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20"/>
                <w:szCs w:val="20"/>
                <w:color w:val="auto"/>
              </w:rPr>
            </w:pPr>
            <w:r>
              <w:rPr>
                <w:rFonts w:ascii="Arial" w:cs="Arial" w:eastAsia="Arial" w:hAnsi="Arial"/>
                <w:sz w:val="12"/>
                <w:szCs w:val="12"/>
                <w:color w:val="auto"/>
              </w:rPr>
              <w:t>(Series D) - BCP</w:t>
            </w:r>
          </w:p>
        </w:tc>
        <w:tc>
          <w:tcPr>
            <w:tcW w:w="1020" w:type="dxa"/>
            <w:vAlign w:val="bottom"/>
            <w:gridSpan w:val="2"/>
          </w:tcPr>
          <w:p>
            <w:pPr>
              <w:jc w:val="center"/>
              <w:spacing w:after="0"/>
              <w:rPr>
                <w:sz w:val="20"/>
                <w:szCs w:val="20"/>
                <w:color w:val="auto"/>
              </w:rPr>
            </w:pPr>
            <w:r>
              <w:rPr>
                <w:rFonts w:ascii="Arial" w:cs="Arial" w:eastAsia="Arial" w:hAnsi="Arial"/>
                <w:sz w:val="12"/>
                <w:szCs w:val="12"/>
                <w:color w:val="auto"/>
              </w:rPr>
              <w:t>3.88</w:t>
            </w:r>
          </w:p>
        </w:tc>
        <w:tc>
          <w:tcPr>
            <w:tcW w:w="920" w:type="dxa"/>
            <w:vAlign w:val="bottom"/>
            <w:gridSpan w:val="2"/>
          </w:tcPr>
          <w:p>
            <w:pPr>
              <w:ind w:left="80"/>
              <w:spacing w:after="0"/>
              <w:rPr>
                <w:sz w:val="20"/>
                <w:szCs w:val="20"/>
                <w:color w:val="auto"/>
              </w:rPr>
            </w:pPr>
            <w:r>
              <w:rPr>
                <w:rFonts w:ascii="Arial" w:cs="Arial" w:eastAsia="Arial" w:hAnsi="Arial"/>
                <w:sz w:val="12"/>
                <w:szCs w:val="12"/>
                <w:color w:val="auto"/>
              </w:rPr>
              <w:t>Semi-annual</w:t>
            </w:r>
          </w:p>
        </w:tc>
        <w:tc>
          <w:tcPr>
            <w:tcW w:w="7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20"/>
                <w:szCs w:val="20"/>
                <w:color w:val="auto"/>
              </w:rPr>
            </w:pPr>
            <w:r>
              <w:rPr>
                <w:rFonts w:ascii="Arial" w:cs="Arial" w:eastAsia="Arial" w:hAnsi="Arial"/>
                <w:sz w:val="12"/>
                <w:szCs w:val="12"/>
                <w:color w:val="auto"/>
              </w:rPr>
              <w:t>August 2022</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S/42,660</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42,580</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9,987,796</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10,882,272</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ind w:right="-175"/>
        <w:spacing w:after="0"/>
        <w:rPr>
          <w:sz w:val="20"/>
          <w:szCs w:val="20"/>
          <w:color w:val="auto"/>
        </w:rPr>
      </w:pPr>
      <w:r>
        <w:rPr>
          <w:rFonts w:ascii="Arial" w:cs="Arial" w:eastAsia="Arial" w:hAnsi="Arial"/>
          <w:sz w:val="17"/>
          <w:szCs w:val="17"/>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3803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56"/>
          </w:cols>
          <w:pgMar w:left="324" w:top="118" w:right="5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Annual interest</w:t>
            </w: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Interest</w:t>
            </w:r>
          </w:p>
        </w:tc>
        <w:tc>
          <w:tcPr>
            <w:tcW w:w="80" w:type="dxa"/>
            <w:vAlign w:val="bottom"/>
          </w:tcPr>
          <w:p>
            <w:pPr>
              <w:spacing w:after="0"/>
              <w:rPr>
                <w:sz w:val="12"/>
                <w:szCs w:val="12"/>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Hedge Accounting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ind w:right="20"/>
              <w:spacing w:after="0" w:line="103" w:lineRule="exact"/>
              <w:rPr>
                <w:sz w:val="20"/>
                <w:szCs w:val="20"/>
                <w:color w:val="auto"/>
              </w:rPr>
            </w:pPr>
            <w:r>
              <w:rPr>
                <w:rFonts w:ascii="Arial" w:cs="Arial" w:eastAsia="Arial" w:hAnsi="Arial"/>
                <w:sz w:val="11"/>
                <w:szCs w:val="11"/>
                <w:b w:val="1"/>
                <w:bCs w:val="1"/>
                <w:color w:val="auto"/>
              </w:rPr>
              <w:t>Nominal</w:t>
            </w:r>
          </w:p>
        </w:tc>
        <w:tc>
          <w:tcPr>
            <w:tcW w:w="1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spacing w:after="0" w:line="103" w:lineRule="exact"/>
              <w:rPr>
                <w:sz w:val="20"/>
                <w:szCs w:val="20"/>
                <w:color w:val="auto"/>
              </w:rPr>
            </w:pPr>
            <w:r>
              <w:rPr>
                <w:rFonts w:ascii="Arial" w:cs="Arial" w:eastAsia="Arial" w:hAnsi="Arial"/>
                <w:sz w:val="11"/>
                <w:szCs w:val="11"/>
                <w:b w:val="1"/>
                <w:bCs w:val="1"/>
                <w:color w:val="auto"/>
              </w:rPr>
              <w:t>Issued</w:t>
            </w:r>
          </w:p>
        </w:tc>
        <w:tc>
          <w:tcPr>
            <w:tcW w:w="64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Carrying</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spacing w:after="0" w:line="103" w:lineRule="exact"/>
              <w:rPr>
                <w:sz w:val="20"/>
                <w:szCs w:val="20"/>
                <w:color w:val="auto"/>
              </w:rPr>
            </w:pPr>
            <w:r>
              <w:rPr>
                <w:rFonts w:ascii="Arial" w:cs="Arial" w:eastAsia="Arial" w:hAnsi="Arial"/>
                <w:sz w:val="11"/>
                <w:szCs w:val="11"/>
                <w:b w:val="1"/>
                <w:bCs w:val="1"/>
                <w:color w:val="auto"/>
              </w:rPr>
              <w:t>Issued</w:t>
            </w:r>
          </w:p>
        </w:tc>
        <w:tc>
          <w:tcPr>
            <w:tcW w:w="680" w:type="dxa"/>
            <w:vAlign w:val="bottom"/>
            <w:tcBorders>
              <w:top w:val="single" w:sz="8" w:color="auto"/>
            </w:tcBorders>
            <w:gridSpan w:val="2"/>
          </w:tcPr>
          <w:p>
            <w:pPr>
              <w:spacing w:after="0" w:line="103" w:lineRule="exact"/>
              <w:rPr>
                <w:sz w:val="20"/>
                <w:szCs w:val="20"/>
                <w:color w:val="auto"/>
              </w:rPr>
            </w:pPr>
            <w:r>
              <w:rPr>
                <w:rFonts w:ascii="Arial" w:cs="Arial" w:eastAsia="Arial" w:hAnsi="Arial"/>
                <w:sz w:val="11"/>
                <w:szCs w:val="11"/>
                <w:b w:val="1"/>
                <w:bCs w:val="1"/>
                <w:color w:val="auto"/>
              </w:rPr>
              <w:t>Carrying</w:t>
            </w: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rate</w:t>
            </w:r>
          </w:p>
        </w:tc>
        <w:tc>
          <w:tcPr>
            <w:tcW w:w="840" w:type="dxa"/>
            <w:vAlign w:val="bottom"/>
          </w:tcPr>
          <w:p>
            <w:pPr>
              <w:spacing w:after="0"/>
              <w:rPr>
                <w:sz w:val="20"/>
                <w:szCs w:val="20"/>
                <w:color w:val="auto"/>
              </w:rPr>
            </w:pPr>
            <w:r>
              <w:rPr>
                <w:rFonts w:ascii="Arial" w:cs="Arial" w:eastAsia="Arial" w:hAnsi="Arial"/>
                <w:sz w:val="12"/>
                <w:szCs w:val="12"/>
                <w:b w:val="1"/>
                <w:bCs w:val="1"/>
                <w:color w:val="auto"/>
              </w:rPr>
              <w:t>payment</w:t>
            </w:r>
          </w:p>
        </w:tc>
        <w:tc>
          <w:tcPr>
            <w:tcW w:w="80" w:type="dxa"/>
            <w:vAlign w:val="bottom"/>
          </w:tcPr>
          <w:p>
            <w:pPr>
              <w:spacing w:after="0"/>
              <w:rPr>
                <w:sz w:val="12"/>
                <w:szCs w:val="12"/>
                <w:color w:val="auto"/>
              </w:rPr>
            </w:pP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Type</w:t>
            </w:r>
          </w:p>
        </w:tc>
        <w:tc>
          <w:tcPr>
            <w:tcW w:w="13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Nominal Equivalent</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Maturity</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920" w:type="dxa"/>
            <w:vAlign w:val="bottom"/>
            <w:gridSpan w:val="3"/>
          </w:tcPr>
          <w:p>
            <w:pPr>
              <w:ind w:left="80"/>
              <w:spacing w:after="0"/>
              <w:rPr>
                <w:sz w:val="20"/>
                <w:szCs w:val="20"/>
                <w:color w:val="auto"/>
              </w:rPr>
            </w:pPr>
            <w:r>
              <w:rPr>
                <w:rFonts w:ascii="Arial" w:cs="Arial" w:eastAsia="Arial" w:hAnsi="Arial"/>
                <w:sz w:val="12"/>
                <w:szCs w:val="12"/>
                <w:b w:val="1"/>
                <w:bCs w:val="1"/>
                <w:color w:val="auto"/>
              </w:rPr>
              <w:t>Maturity</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(000)</w:t>
            </w:r>
          </w:p>
        </w:tc>
        <w:tc>
          <w:tcPr>
            <w:tcW w:w="64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96"/>
              </w:rPr>
              <w:t>S/(000)</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(000)</w:t>
            </w:r>
          </w:p>
        </w:tc>
        <w:tc>
          <w:tcPr>
            <w:tcW w:w="8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(000)</w:t>
            </w:r>
          </w:p>
        </w:tc>
        <w:tc>
          <w:tcPr>
            <w:tcW w:w="80" w:type="dxa"/>
            <w:vAlign w:val="bottom"/>
          </w:tcPr>
          <w:p>
            <w:pPr>
              <w:spacing w:after="0"/>
              <w:rPr>
                <w:sz w:val="13"/>
                <w:szCs w:val="13"/>
                <w:color w:val="auto"/>
              </w:rPr>
            </w:pP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2"/>
                <w:szCs w:val="12"/>
                <w:b w:val="1"/>
                <w:bCs w:val="1"/>
                <w:color w:val="auto"/>
              </w:rPr>
              <w:t>Subordinated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20"/>
                <w:szCs w:val="20"/>
                <w:color w:val="auto"/>
              </w:rPr>
            </w:pPr>
            <w:r>
              <w:rPr>
                <w:rFonts w:ascii="Arial" w:cs="Arial" w:eastAsia="Arial" w:hAnsi="Arial"/>
                <w:sz w:val="12"/>
                <w:szCs w:val="12"/>
                <w:b w:val="1"/>
                <w:bCs w:val="1"/>
                <w:color w:val="auto"/>
              </w:rPr>
              <w:t>bonds -</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Arial" w:cs="Arial" w:eastAsia="Arial" w:hAnsi="Arial"/>
                <w:sz w:val="12"/>
                <w:szCs w:val="12"/>
                <w:color w:val="auto"/>
              </w:rPr>
              <w:t>July 2030 /</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2"/>
                <w:szCs w:val="12"/>
                <w:color w:val="auto"/>
              </w:rPr>
              <w:t>April 2027 /</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60" w:type="dxa"/>
            <w:vAlign w:val="bottom"/>
            <w:vMerge w:val="restart"/>
          </w:tcPr>
          <w:p>
            <w:pPr>
              <w:spacing w:after="0"/>
              <w:rPr>
                <w:sz w:val="20"/>
                <w:szCs w:val="20"/>
                <w:color w:val="auto"/>
              </w:rPr>
            </w:pPr>
            <w:r>
              <w:rPr>
                <w:rFonts w:ascii="Arial" w:cs="Arial" w:eastAsia="Arial" w:hAnsi="Arial"/>
                <w:sz w:val="12"/>
                <w:szCs w:val="12"/>
                <w:b w:val="1"/>
                <w:bCs w:val="1"/>
                <w:color w:val="auto"/>
              </w:rPr>
              <w:t>Subordinated</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ind w:right="80"/>
              <w:spacing w:after="0" w:line="115" w:lineRule="exact"/>
              <w:rPr>
                <w:sz w:val="20"/>
                <w:szCs w:val="20"/>
                <w:color w:val="auto"/>
              </w:rPr>
            </w:pPr>
            <w:r>
              <w:rPr>
                <w:rFonts w:ascii="Arial" w:cs="Arial" w:eastAsia="Arial" w:hAnsi="Arial"/>
                <w:sz w:val="12"/>
                <w:szCs w:val="12"/>
                <w:color w:val="auto"/>
                <w:w w:val="99"/>
              </w:rPr>
              <w:t>From 3.13 to</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2"/>
                <w:szCs w:val="12"/>
                <w:color w:val="auto"/>
              </w:rPr>
              <w:t>September</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ind w:left="80"/>
              <w:spacing w:after="0" w:line="115" w:lineRule="exact"/>
              <w:rPr>
                <w:sz w:val="20"/>
                <w:szCs w:val="20"/>
                <w:color w:val="auto"/>
              </w:rPr>
            </w:pPr>
            <w:r>
              <w:rPr>
                <w:rFonts w:ascii="Arial" w:cs="Arial" w:eastAsia="Arial" w:hAnsi="Arial"/>
                <w:sz w:val="12"/>
                <w:szCs w:val="12"/>
                <w:color w:val="auto"/>
              </w:rPr>
              <w:t>September</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20"/>
                <w:szCs w:val="20"/>
                <w:color w:val="auto"/>
              </w:rPr>
            </w:pPr>
            <w:r>
              <w:rPr>
                <w:rFonts w:ascii="Arial" w:cs="Arial" w:eastAsia="Arial" w:hAnsi="Arial"/>
                <w:sz w:val="12"/>
                <w:szCs w:val="12"/>
                <w:b w:val="1"/>
                <w:bCs w:val="1"/>
                <w:color w:val="auto"/>
              </w:rPr>
              <w:t>bonds - BCP (ix)</w:t>
            </w:r>
          </w:p>
        </w:tc>
        <w:tc>
          <w:tcPr>
            <w:tcW w:w="1020" w:type="dxa"/>
            <w:vAlign w:val="bottom"/>
            <w:gridSpan w:val="2"/>
          </w:tcPr>
          <w:p>
            <w:pPr>
              <w:jc w:val="center"/>
              <w:spacing w:after="0"/>
              <w:rPr>
                <w:sz w:val="20"/>
                <w:szCs w:val="20"/>
                <w:color w:val="auto"/>
              </w:rPr>
            </w:pPr>
            <w:r>
              <w:rPr>
                <w:rFonts w:ascii="Arial" w:cs="Arial" w:eastAsia="Arial" w:hAnsi="Arial"/>
                <w:sz w:val="12"/>
                <w:szCs w:val="12"/>
                <w:color w:val="auto"/>
              </w:rPr>
              <w:t>3.25</w:t>
            </w:r>
          </w:p>
        </w:tc>
        <w:tc>
          <w:tcPr>
            <w:tcW w:w="8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Semi-annual</w:t>
            </w:r>
          </w:p>
        </w:tc>
        <w:tc>
          <w:tcPr>
            <w:tcW w:w="6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20"/>
                <w:szCs w:val="20"/>
                <w:color w:val="auto"/>
              </w:rPr>
            </w:pPr>
            <w:r>
              <w:rPr>
                <w:rFonts w:ascii="Arial" w:cs="Arial" w:eastAsia="Arial" w:hAnsi="Arial"/>
                <w:sz w:val="12"/>
                <w:szCs w:val="12"/>
                <w:color w:val="auto"/>
              </w:rPr>
              <w:t>2031</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US$1,350,000</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5,064,963</w:t>
            </w: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2031</w:t>
            </w:r>
          </w:p>
        </w:tc>
        <w:tc>
          <w:tcPr>
            <w:tcW w:w="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US$1,350,000</w:t>
            </w:r>
          </w:p>
        </w:tc>
        <w:tc>
          <w:tcPr>
            <w:tcW w:w="720" w:type="dxa"/>
            <w:vAlign w:val="bottom"/>
            <w:gridSpan w:val="4"/>
          </w:tcPr>
          <w:p>
            <w:pPr>
              <w:jc w:val="right"/>
              <w:ind w:right="40"/>
              <w:spacing w:after="0"/>
              <w:rPr>
                <w:sz w:val="20"/>
                <w:szCs w:val="20"/>
                <w:color w:val="auto"/>
              </w:rPr>
            </w:pPr>
            <w:r>
              <w:rPr>
                <w:rFonts w:ascii="Arial" w:cs="Arial" w:eastAsia="Arial" w:hAnsi="Arial"/>
                <w:sz w:val="12"/>
                <w:szCs w:val="12"/>
                <w:color w:val="auto"/>
              </w:rPr>
              <w:t>5,269,458</w:t>
            </w:r>
          </w:p>
        </w:tc>
        <w:tc>
          <w:tcPr>
            <w:tcW w:w="0" w:type="dxa"/>
            <w:vAlign w:val="bottom"/>
          </w:tcPr>
          <w:p>
            <w:pPr>
              <w:spacing w:after="0"/>
              <w:rPr>
                <w:sz w:val="1"/>
                <w:szCs w:val="1"/>
                <w:color w:val="auto"/>
              </w:rPr>
            </w:pPr>
          </w:p>
        </w:tc>
      </w:tr>
      <w:tr>
        <w:trPr>
          <w:trHeight w:val="502"/>
        </w:trPr>
        <w:tc>
          <w:tcPr>
            <w:tcW w:w="1160" w:type="dxa"/>
            <w:vAlign w:val="bottom"/>
          </w:tcPr>
          <w:p>
            <w:pPr>
              <w:spacing w:after="0"/>
              <w:rPr>
                <w:sz w:val="20"/>
                <w:szCs w:val="20"/>
                <w:color w:val="auto"/>
              </w:rPr>
            </w:pPr>
            <w:r>
              <w:rPr>
                <w:rFonts w:ascii="Arial" w:cs="Arial" w:eastAsia="Arial" w:hAnsi="Arial"/>
                <w:sz w:val="12"/>
                <w:szCs w:val="12"/>
                <w:b w:val="1"/>
                <w:bCs w:val="1"/>
                <w:color w:val="auto"/>
              </w:rPr>
              <w:t>First program</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First issuance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(Series A) - Pacífico</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30" w:lineRule="exact"/>
              <w:rPr>
                <w:sz w:val="20"/>
                <w:szCs w:val="20"/>
                <w:color w:val="auto"/>
              </w:rPr>
            </w:pPr>
            <w:r>
              <w:rPr>
                <w:rFonts w:ascii="Arial" w:cs="Arial" w:eastAsia="Arial" w:hAnsi="Arial"/>
                <w:sz w:val="12"/>
                <w:szCs w:val="12"/>
                <w:color w:val="auto"/>
              </w:rPr>
              <w:t>November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80"/>
              <w:spacing w:after="0" w:line="130" w:lineRule="exact"/>
              <w:rPr>
                <w:sz w:val="20"/>
                <w:szCs w:val="20"/>
                <w:color w:val="auto"/>
              </w:rPr>
            </w:pPr>
            <w:r>
              <w:rPr>
                <w:rFonts w:ascii="Arial" w:cs="Arial" w:eastAsia="Arial" w:hAnsi="Arial"/>
                <w:sz w:val="12"/>
                <w:szCs w:val="12"/>
                <w:color w:val="auto"/>
              </w:rPr>
              <w:t>November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Seguros</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6.97</w:t>
            </w:r>
          </w:p>
        </w:tc>
        <w:tc>
          <w:tcPr>
            <w:tcW w:w="80" w:type="dxa"/>
            <w:vAlign w:val="bottom"/>
          </w:tcPr>
          <w:p>
            <w:pPr>
              <w:spacing w:after="0"/>
              <w:rPr>
                <w:sz w:val="11"/>
                <w:szCs w:val="11"/>
                <w:color w:val="auto"/>
              </w:rPr>
            </w:pPr>
          </w:p>
        </w:tc>
        <w:tc>
          <w:tcPr>
            <w:tcW w:w="840" w:type="dxa"/>
            <w:vAlign w:val="bottom"/>
          </w:tcPr>
          <w:p>
            <w:pPr>
              <w:spacing w:after="0" w:line="130" w:lineRule="exact"/>
              <w:rPr>
                <w:sz w:val="20"/>
                <w:szCs w:val="20"/>
                <w:color w:val="auto"/>
              </w:rPr>
            </w:pPr>
            <w:r>
              <w:rPr>
                <w:rFonts w:ascii="Arial" w:cs="Arial" w:eastAsia="Arial" w:hAnsi="Arial"/>
                <w:sz w:val="12"/>
                <w:szCs w:val="12"/>
                <w:color w:val="auto"/>
              </w:rPr>
              <w:t>Quarterly</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840" w:type="dxa"/>
            <w:vAlign w:val="bottom"/>
          </w:tcPr>
          <w:p>
            <w:pPr>
              <w:spacing w:after="0" w:line="130" w:lineRule="exact"/>
              <w:rPr>
                <w:sz w:val="20"/>
                <w:szCs w:val="20"/>
                <w:color w:val="auto"/>
              </w:rPr>
            </w:pPr>
            <w:r>
              <w:rPr>
                <w:rFonts w:ascii="Arial" w:cs="Arial" w:eastAsia="Arial" w:hAnsi="Arial"/>
                <w:sz w:val="12"/>
                <w:szCs w:val="12"/>
                <w:color w:val="auto"/>
              </w:rPr>
              <w:t>2026</w:t>
            </w:r>
          </w:p>
        </w:tc>
        <w:tc>
          <w:tcPr>
            <w:tcW w:w="100" w:type="dxa"/>
            <w:vAlign w:val="bottom"/>
          </w:tcPr>
          <w:p>
            <w:pPr>
              <w:spacing w:after="0"/>
              <w:rPr>
                <w:sz w:val="11"/>
                <w:szCs w:val="11"/>
                <w:color w:val="auto"/>
              </w:rPr>
            </w:pPr>
          </w:p>
        </w:tc>
        <w:tc>
          <w:tcPr>
            <w:tcW w:w="8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US$60,000</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228,840</w:t>
            </w:r>
          </w:p>
        </w:tc>
        <w:tc>
          <w:tcPr>
            <w:tcW w:w="10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2026</w:t>
            </w:r>
          </w:p>
        </w:tc>
        <w:tc>
          <w:tcPr>
            <w:tcW w:w="8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US$60,000</w:t>
            </w:r>
          </w:p>
        </w:tc>
        <w:tc>
          <w:tcPr>
            <w:tcW w:w="700" w:type="dxa"/>
            <w:vAlign w:val="bottom"/>
            <w:gridSpan w:val="3"/>
          </w:tcPr>
          <w:p>
            <w:pPr>
              <w:jc w:val="right"/>
              <w:ind w:right="20"/>
              <w:spacing w:after="0" w:line="130" w:lineRule="exact"/>
              <w:rPr>
                <w:sz w:val="20"/>
                <w:szCs w:val="20"/>
                <w:color w:val="auto"/>
              </w:rPr>
            </w:pPr>
            <w:r>
              <w:rPr>
                <w:rFonts w:ascii="Arial" w:cs="Arial" w:eastAsia="Arial" w:hAnsi="Arial"/>
                <w:sz w:val="12"/>
                <w:szCs w:val="12"/>
                <w:color w:val="auto"/>
              </w:rPr>
              <w:t>239,220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First issuance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60" w:type="dxa"/>
            <w:vAlign w:val="bottom"/>
          </w:tcPr>
          <w:p>
            <w:pPr>
              <w:spacing w:after="0"/>
              <w:rPr>
                <w:sz w:val="20"/>
                <w:szCs w:val="20"/>
                <w:color w:val="auto"/>
              </w:rPr>
            </w:pPr>
            <w:r>
              <w:rPr>
                <w:rFonts w:ascii="Arial" w:cs="Arial" w:eastAsia="Arial" w:hAnsi="Arial"/>
                <w:sz w:val="12"/>
                <w:szCs w:val="12"/>
                <w:color w:val="auto"/>
              </w:rPr>
              <w:t>(Series A) - BCP</w:t>
            </w:r>
          </w:p>
        </w:tc>
        <w:tc>
          <w:tcPr>
            <w:tcW w:w="1020" w:type="dxa"/>
            <w:vAlign w:val="bottom"/>
            <w:gridSpan w:val="2"/>
          </w:tcPr>
          <w:p>
            <w:pPr>
              <w:jc w:val="center"/>
              <w:spacing w:after="0"/>
              <w:rPr>
                <w:sz w:val="20"/>
                <w:szCs w:val="20"/>
                <w:color w:val="auto"/>
              </w:rPr>
            </w:pPr>
            <w:r>
              <w:rPr>
                <w:rFonts w:ascii="Arial" w:cs="Arial" w:eastAsia="Arial" w:hAnsi="Arial"/>
                <w:sz w:val="12"/>
                <w:szCs w:val="12"/>
                <w:color w:val="auto"/>
              </w:rPr>
              <w:t>6.22</w:t>
            </w:r>
          </w:p>
        </w:tc>
        <w:tc>
          <w:tcPr>
            <w:tcW w:w="8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Semi-annual</w:t>
            </w:r>
          </w:p>
        </w:tc>
        <w:tc>
          <w:tcPr>
            <w:tcW w:w="6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3"/>
          </w:tcPr>
          <w:p>
            <w:pPr>
              <w:ind w:left="80"/>
              <w:spacing w:after="0"/>
              <w:rPr>
                <w:sz w:val="20"/>
                <w:szCs w:val="20"/>
                <w:color w:val="auto"/>
              </w:rPr>
            </w:pPr>
            <w:r>
              <w:rPr>
                <w:rFonts w:ascii="Arial" w:cs="Arial" w:eastAsia="Arial" w:hAnsi="Arial"/>
                <w:sz w:val="12"/>
                <w:szCs w:val="12"/>
                <w:color w:val="auto"/>
              </w:rPr>
              <w:t>May 2027</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S/15,000</w:t>
            </w:r>
          </w:p>
        </w:tc>
        <w:tc>
          <w:tcPr>
            <w:tcW w:w="720" w:type="dxa"/>
            <w:vAlign w:val="bottom"/>
            <w:gridSpan w:val="4"/>
          </w:tcPr>
          <w:p>
            <w:pPr>
              <w:jc w:val="right"/>
              <w:ind w:right="40"/>
              <w:spacing w:after="0"/>
              <w:rPr>
                <w:sz w:val="20"/>
                <w:szCs w:val="20"/>
                <w:color w:val="auto"/>
              </w:rPr>
            </w:pPr>
            <w:r>
              <w:rPr>
                <w:rFonts w:ascii="Arial" w:cs="Arial" w:eastAsia="Arial" w:hAnsi="Arial"/>
                <w:sz w:val="12"/>
                <w:szCs w:val="12"/>
                <w:color w:val="auto"/>
              </w:rPr>
              <w:t>15,000</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0"/>
                <w:szCs w:val="20"/>
                <w:color w:val="auto"/>
              </w:rPr>
            </w:pPr>
            <w:r>
              <w:rPr>
                <w:rFonts w:ascii="Arial" w:cs="Arial" w:eastAsia="Arial" w:hAnsi="Arial"/>
                <w:sz w:val="12"/>
                <w:szCs w:val="12"/>
                <w:b w:val="1"/>
                <w:bCs w:val="1"/>
                <w:color w:val="auto"/>
              </w:rPr>
              <w:t>Second program</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Second issuance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(Series A) - Pacífico</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30" w:lineRule="exact"/>
              <w:rPr>
                <w:sz w:val="20"/>
                <w:szCs w:val="20"/>
                <w:color w:val="auto"/>
              </w:rPr>
            </w:pPr>
            <w:r>
              <w:rPr>
                <w:rFonts w:ascii="Arial" w:cs="Arial" w:eastAsia="Arial" w:hAnsi="Arial"/>
                <w:sz w:val="12"/>
                <w:szCs w:val="12"/>
                <w:color w:val="auto"/>
              </w:rPr>
              <w:t>December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80"/>
              <w:spacing w:after="0" w:line="130" w:lineRule="exact"/>
              <w:rPr>
                <w:sz w:val="20"/>
                <w:szCs w:val="20"/>
                <w:color w:val="auto"/>
              </w:rPr>
            </w:pPr>
            <w:r>
              <w:rPr>
                <w:rFonts w:ascii="Arial" w:cs="Arial" w:eastAsia="Arial" w:hAnsi="Arial"/>
                <w:sz w:val="12"/>
                <w:szCs w:val="12"/>
                <w:color w:val="auto"/>
              </w:rPr>
              <w:t>December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Seguros</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4.41</w:t>
            </w:r>
          </w:p>
        </w:tc>
        <w:tc>
          <w:tcPr>
            <w:tcW w:w="80" w:type="dxa"/>
            <w:vAlign w:val="bottom"/>
          </w:tcPr>
          <w:p>
            <w:pPr>
              <w:spacing w:after="0"/>
              <w:rPr>
                <w:sz w:val="11"/>
                <w:szCs w:val="11"/>
                <w:color w:val="auto"/>
              </w:rPr>
            </w:pPr>
          </w:p>
        </w:tc>
        <w:tc>
          <w:tcPr>
            <w:tcW w:w="840" w:type="dxa"/>
            <w:vAlign w:val="bottom"/>
          </w:tcPr>
          <w:p>
            <w:pPr>
              <w:spacing w:after="0" w:line="130" w:lineRule="exact"/>
              <w:rPr>
                <w:sz w:val="20"/>
                <w:szCs w:val="20"/>
                <w:color w:val="auto"/>
              </w:rPr>
            </w:pPr>
            <w:r>
              <w:rPr>
                <w:rFonts w:ascii="Arial" w:cs="Arial" w:eastAsia="Arial" w:hAnsi="Arial"/>
                <w:sz w:val="12"/>
                <w:szCs w:val="12"/>
                <w:color w:val="auto"/>
              </w:rPr>
              <w:t>Semi-annual</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840" w:type="dxa"/>
            <w:vAlign w:val="bottom"/>
          </w:tcPr>
          <w:p>
            <w:pPr>
              <w:spacing w:after="0" w:line="130" w:lineRule="exact"/>
              <w:rPr>
                <w:sz w:val="20"/>
                <w:szCs w:val="20"/>
                <w:color w:val="auto"/>
              </w:rPr>
            </w:pPr>
            <w:r>
              <w:rPr>
                <w:rFonts w:ascii="Arial" w:cs="Arial" w:eastAsia="Arial" w:hAnsi="Arial"/>
                <w:sz w:val="12"/>
                <w:szCs w:val="12"/>
                <w:color w:val="auto"/>
              </w:rPr>
              <w:t>2030</w:t>
            </w:r>
          </w:p>
        </w:tc>
        <w:tc>
          <w:tcPr>
            <w:tcW w:w="100" w:type="dxa"/>
            <w:vAlign w:val="bottom"/>
          </w:tcPr>
          <w:p>
            <w:pPr>
              <w:spacing w:after="0"/>
              <w:rPr>
                <w:sz w:val="11"/>
                <w:szCs w:val="11"/>
                <w:color w:val="auto"/>
              </w:rPr>
            </w:pPr>
          </w:p>
        </w:tc>
        <w:tc>
          <w:tcPr>
            <w:tcW w:w="8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US$50,000</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173,635</w:t>
            </w:r>
          </w:p>
        </w:tc>
        <w:tc>
          <w:tcPr>
            <w:tcW w:w="10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2030</w:t>
            </w:r>
          </w:p>
        </w:tc>
        <w:tc>
          <w:tcPr>
            <w:tcW w:w="8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US$50,000</w:t>
            </w:r>
          </w:p>
        </w:tc>
        <w:tc>
          <w:tcPr>
            <w:tcW w:w="700" w:type="dxa"/>
            <w:vAlign w:val="bottom"/>
            <w:gridSpan w:val="3"/>
          </w:tcPr>
          <w:p>
            <w:pPr>
              <w:jc w:val="right"/>
              <w:ind w:right="20"/>
              <w:spacing w:after="0" w:line="130" w:lineRule="exact"/>
              <w:rPr>
                <w:sz w:val="20"/>
                <w:szCs w:val="20"/>
                <w:color w:val="auto"/>
              </w:rPr>
            </w:pPr>
            <w:r>
              <w:rPr>
                <w:rFonts w:ascii="Arial" w:cs="Arial" w:eastAsia="Arial" w:hAnsi="Arial"/>
                <w:sz w:val="12"/>
                <w:szCs w:val="12"/>
                <w:color w:val="auto"/>
              </w:rPr>
              <w:t>181,511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First issuance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60" w:type="dxa"/>
            <w:vAlign w:val="bottom"/>
          </w:tcPr>
          <w:p>
            <w:pPr>
              <w:spacing w:after="0"/>
              <w:rPr>
                <w:sz w:val="20"/>
                <w:szCs w:val="20"/>
                <w:color w:val="auto"/>
              </w:rPr>
            </w:pPr>
            <w:r>
              <w:rPr>
                <w:rFonts w:ascii="Arial" w:cs="Arial" w:eastAsia="Arial" w:hAnsi="Arial"/>
                <w:sz w:val="12"/>
                <w:szCs w:val="12"/>
                <w:color w:val="auto"/>
              </w:rPr>
              <w:t>(Series B) - MiBanco</w:t>
            </w:r>
          </w:p>
        </w:tc>
        <w:tc>
          <w:tcPr>
            <w:tcW w:w="1020" w:type="dxa"/>
            <w:vAlign w:val="bottom"/>
            <w:gridSpan w:val="2"/>
          </w:tcPr>
          <w:p>
            <w:pPr>
              <w:jc w:val="center"/>
              <w:spacing w:after="0"/>
              <w:rPr>
                <w:sz w:val="20"/>
                <w:szCs w:val="20"/>
                <w:color w:val="auto"/>
              </w:rPr>
            </w:pPr>
            <w:r>
              <w:rPr>
                <w:rFonts w:ascii="Arial" w:cs="Arial" w:eastAsia="Arial" w:hAnsi="Arial"/>
                <w:sz w:val="12"/>
                <w:szCs w:val="12"/>
                <w:color w:val="auto"/>
              </w:rPr>
              <w:t>7.22</w:t>
            </w:r>
          </w:p>
        </w:tc>
        <w:tc>
          <w:tcPr>
            <w:tcW w:w="8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Semi-annual</w:t>
            </w:r>
          </w:p>
        </w:tc>
        <w:tc>
          <w:tcPr>
            <w:tcW w:w="6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2"/>
          </w:tcPr>
          <w:p>
            <w:pPr>
              <w:spacing w:after="0"/>
              <w:rPr>
                <w:sz w:val="20"/>
                <w:szCs w:val="20"/>
                <w:color w:val="auto"/>
              </w:rPr>
            </w:pPr>
            <w:r>
              <w:rPr>
                <w:rFonts w:ascii="Arial" w:cs="Arial" w:eastAsia="Arial" w:hAnsi="Arial"/>
                <w:sz w:val="12"/>
                <w:szCs w:val="12"/>
                <w:color w:val="auto"/>
              </w:rPr>
              <w:t>June 2027</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S/30,000</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30,000</w:t>
            </w:r>
          </w:p>
        </w:tc>
        <w:tc>
          <w:tcPr>
            <w:tcW w:w="920" w:type="dxa"/>
            <w:vAlign w:val="bottom"/>
            <w:gridSpan w:val="3"/>
          </w:tcPr>
          <w:p>
            <w:pPr>
              <w:ind w:left="80"/>
              <w:spacing w:after="0"/>
              <w:rPr>
                <w:sz w:val="20"/>
                <w:szCs w:val="20"/>
                <w:color w:val="auto"/>
              </w:rPr>
            </w:pPr>
            <w:r>
              <w:rPr>
                <w:rFonts w:ascii="Arial" w:cs="Arial" w:eastAsia="Arial" w:hAnsi="Arial"/>
                <w:sz w:val="12"/>
                <w:szCs w:val="12"/>
                <w:color w:val="auto"/>
              </w:rPr>
              <w:t>June 2027</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S/30,000</w:t>
            </w:r>
          </w:p>
        </w:tc>
        <w:tc>
          <w:tcPr>
            <w:tcW w:w="720" w:type="dxa"/>
            <w:vAlign w:val="bottom"/>
            <w:gridSpan w:val="4"/>
          </w:tcPr>
          <w:p>
            <w:pPr>
              <w:jc w:val="right"/>
              <w:ind w:right="40"/>
              <w:spacing w:after="0"/>
              <w:rPr>
                <w:sz w:val="20"/>
                <w:szCs w:val="20"/>
                <w:color w:val="auto"/>
              </w:rPr>
            </w:pPr>
            <w:r>
              <w:rPr>
                <w:rFonts w:ascii="Arial" w:cs="Arial" w:eastAsia="Arial" w:hAnsi="Arial"/>
                <w:sz w:val="12"/>
                <w:szCs w:val="12"/>
                <w:color w:val="auto"/>
              </w:rPr>
              <w:t>30,000</w:t>
            </w:r>
          </w:p>
        </w:tc>
        <w:tc>
          <w:tcPr>
            <w:tcW w:w="0" w:type="dxa"/>
            <w:vAlign w:val="bottom"/>
          </w:tcPr>
          <w:p>
            <w:pPr>
              <w:spacing w:after="0"/>
              <w:rPr>
                <w:sz w:val="1"/>
                <w:szCs w:val="1"/>
                <w:color w:val="auto"/>
              </w:rPr>
            </w:pPr>
          </w:p>
        </w:tc>
      </w:tr>
      <w:tr>
        <w:trPr>
          <w:trHeight w:val="259"/>
        </w:trPr>
        <w:tc>
          <w:tcPr>
            <w:tcW w:w="1160" w:type="dxa"/>
            <w:vAlign w:val="bottom"/>
            <w:vMerge w:val="restart"/>
          </w:tcPr>
          <w:p>
            <w:pPr>
              <w:spacing w:after="0"/>
              <w:rPr>
                <w:sz w:val="20"/>
                <w:szCs w:val="20"/>
                <w:color w:val="auto"/>
              </w:rPr>
            </w:pPr>
            <w:r>
              <w:rPr>
                <w:rFonts w:ascii="Arial" w:cs="Arial" w:eastAsia="Arial" w:hAnsi="Arial"/>
                <w:sz w:val="12"/>
                <w:szCs w:val="12"/>
                <w:b w:val="1"/>
                <w:bCs w:val="1"/>
                <w:color w:val="auto"/>
              </w:rPr>
              <w:t>Third program</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Issuance II - Banco</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de Crédito de Bolivia</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5.25</w:t>
            </w:r>
          </w:p>
        </w:tc>
        <w:tc>
          <w:tcPr>
            <w:tcW w:w="80" w:type="dxa"/>
            <w:vAlign w:val="bottom"/>
          </w:tcPr>
          <w:p>
            <w:pPr>
              <w:spacing w:after="0"/>
              <w:rPr>
                <w:sz w:val="11"/>
                <w:szCs w:val="11"/>
                <w:color w:val="auto"/>
              </w:rPr>
            </w:pPr>
          </w:p>
        </w:tc>
        <w:tc>
          <w:tcPr>
            <w:tcW w:w="840" w:type="dxa"/>
            <w:vAlign w:val="bottom"/>
          </w:tcPr>
          <w:p>
            <w:pPr>
              <w:spacing w:after="0" w:line="130" w:lineRule="exact"/>
              <w:rPr>
                <w:sz w:val="20"/>
                <w:szCs w:val="20"/>
                <w:color w:val="auto"/>
              </w:rPr>
            </w:pPr>
            <w:r>
              <w:rPr>
                <w:rFonts w:ascii="Arial" w:cs="Arial" w:eastAsia="Arial" w:hAnsi="Arial"/>
                <w:sz w:val="12"/>
                <w:szCs w:val="12"/>
                <w:color w:val="auto"/>
              </w:rPr>
              <w:t>Semi-annual</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840" w:type="dxa"/>
            <w:vAlign w:val="bottom"/>
          </w:tcPr>
          <w:p>
            <w:pPr>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920" w:type="dxa"/>
            <w:vAlign w:val="bottom"/>
            <w:gridSpan w:val="3"/>
          </w:tcPr>
          <w:p>
            <w:pPr>
              <w:ind w:left="80"/>
              <w:spacing w:after="0" w:line="130" w:lineRule="exact"/>
              <w:rPr>
                <w:sz w:val="20"/>
                <w:szCs w:val="20"/>
                <w:color w:val="auto"/>
              </w:rPr>
            </w:pPr>
            <w:r>
              <w:rPr>
                <w:rFonts w:ascii="Arial" w:cs="Arial" w:eastAsia="Arial" w:hAnsi="Arial"/>
                <w:sz w:val="12"/>
                <w:szCs w:val="12"/>
                <w:color w:val="auto"/>
              </w:rPr>
              <w:t>August 2022</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Bs137,200</w:t>
            </w:r>
          </w:p>
        </w:tc>
        <w:tc>
          <w:tcPr>
            <w:tcW w:w="720" w:type="dxa"/>
            <w:vAlign w:val="bottom"/>
            <w:gridSpan w:val="4"/>
          </w:tcPr>
          <w:p>
            <w:pPr>
              <w:jc w:val="right"/>
              <w:ind w:right="40"/>
              <w:spacing w:after="0" w:line="130" w:lineRule="exact"/>
              <w:rPr>
                <w:sz w:val="20"/>
                <w:szCs w:val="20"/>
                <w:color w:val="auto"/>
              </w:rPr>
            </w:pPr>
            <w:r>
              <w:rPr>
                <w:rFonts w:ascii="Arial" w:cs="Arial" w:eastAsia="Arial" w:hAnsi="Arial"/>
                <w:sz w:val="12"/>
                <w:szCs w:val="12"/>
                <w:color w:val="auto"/>
              </w:rPr>
              <w:t>80,453</w:t>
            </w: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Issuance III - Banco</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de Crédito de Bolivia</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6.00</w:t>
            </w:r>
          </w:p>
        </w:tc>
        <w:tc>
          <w:tcPr>
            <w:tcW w:w="80" w:type="dxa"/>
            <w:vAlign w:val="bottom"/>
          </w:tcPr>
          <w:p>
            <w:pPr>
              <w:spacing w:after="0"/>
              <w:rPr>
                <w:sz w:val="11"/>
                <w:szCs w:val="11"/>
                <w:color w:val="auto"/>
              </w:rPr>
            </w:pPr>
          </w:p>
        </w:tc>
        <w:tc>
          <w:tcPr>
            <w:tcW w:w="840" w:type="dxa"/>
            <w:vAlign w:val="bottom"/>
          </w:tcPr>
          <w:p>
            <w:pPr>
              <w:spacing w:after="0" w:line="130" w:lineRule="exact"/>
              <w:rPr>
                <w:sz w:val="20"/>
                <w:szCs w:val="20"/>
                <w:color w:val="auto"/>
              </w:rPr>
            </w:pPr>
            <w:r>
              <w:rPr>
                <w:rFonts w:ascii="Arial" w:cs="Arial" w:eastAsia="Arial" w:hAnsi="Arial"/>
                <w:sz w:val="12"/>
                <w:szCs w:val="12"/>
                <w:color w:val="auto"/>
              </w:rPr>
              <w:t>Semi-annual</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940" w:type="dxa"/>
            <w:vAlign w:val="bottom"/>
            <w:gridSpan w:val="2"/>
          </w:tcPr>
          <w:p>
            <w:pPr>
              <w:spacing w:after="0" w:line="130" w:lineRule="exact"/>
              <w:rPr>
                <w:sz w:val="20"/>
                <w:szCs w:val="20"/>
                <w:color w:val="auto"/>
              </w:rPr>
            </w:pPr>
            <w:r>
              <w:rPr>
                <w:rFonts w:ascii="Arial" w:cs="Arial" w:eastAsia="Arial" w:hAnsi="Arial"/>
                <w:sz w:val="12"/>
                <w:szCs w:val="12"/>
                <w:color w:val="auto"/>
              </w:rPr>
              <w:t>August 2030</w:t>
            </w:r>
          </w:p>
        </w:tc>
        <w:tc>
          <w:tcPr>
            <w:tcW w:w="8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Bs100,000</w:t>
            </w: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55,653</w:t>
            </w:r>
          </w:p>
        </w:tc>
        <w:tc>
          <w:tcPr>
            <w:tcW w:w="920" w:type="dxa"/>
            <w:vAlign w:val="bottom"/>
            <w:gridSpan w:val="3"/>
          </w:tcPr>
          <w:p>
            <w:pPr>
              <w:ind w:left="80"/>
              <w:spacing w:after="0" w:line="130" w:lineRule="exact"/>
              <w:rPr>
                <w:sz w:val="20"/>
                <w:szCs w:val="20"/>
                <w:color w:val="auto"/>
              </w:rPr>
            </w:pPr>
            <w:r>
              <w:rPr>
                <w:rFonts w:ascii="Arial" w:cs="Arial" w:eastAsia="Arial" w:hAnsi="Arial"/>
                <w:sz w:val="12"/>
                <w:szCs w:val="12"/>
                <w:color w:val="auto"/>
              </w:rPr>
              <w:t>August 2030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Bs100,000</w:t>
            </w:r>
          </w:p>
        </w:tc>
        <w:tc>
          <w:tcPr>
            <w:tcW w:w="720" w:type="dxa"/>
            <w:vAlign w:val="bottom"/>
            <w:gridSpan w:val="4"/>
          </w:tcPr>
          <w:p>
            <w:pPr>
              <w:jc w:val="right"/>
              <w:ind w:right="40"/>
              <w:spacing w:after="0" w:line="130" w:lineRule="exact"/>
              <w:rPr>
                <w:sz w:val="20"/>
                <w:szCs w:val="20"/>
                <w:color w:val="auto"/>
              </w:rPr>
            </w:pPr>
            <w:r>
              <w:rPr>
                <w:rFonts w:ascii="Arial" w:cs="Arial" w:eastAsia="Arial" w:hAnsi="Arial"/>
                <w:sz w:val="12"/>
                <w:szCs w:val="12"/>
                <w:color w:val="auto"/>
              </w:rPr>
              <w:t>58,461</w:t>
            </w: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Issuance I - Banco</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60" w:type="dxa"/>
            <w:vAlign w:val="bottom"/>
          </w:tcPr>
          <w:p>
            <w:pPr>
              <w:spacing w:after="0"/>
              <w:rPr>
                <w:sz w:val="20"/>
                <w:szCs w:val="20"/>
                <w:color w:val="auto"/>
              </w:rPr>
            </w:pPr>
            <w:r>
              <w:rPr>
                <w:rFonts w:ascii="Arial" w:cs="Arial" w:eastAsia="Arial" w:hAnsi="Arial"/>
                <w:sz w:val="12"/>
                <w:szCs w:val="12"/>
                <w:color w:val="auto"/>
              </w:rPr>
              <w:t>de Crédito de Bolivia</w:t>
            </w:r>
          </w:p>
        </w:tc>
        <w:tc>
          <w:tcPr>
            <w:tcW w:w="1020" w:type="dxa"/>
            <w:vAlign w:val="bottom"/>
            <w:gridSpan w:val="2"/>
          </w:tcPr>
          <w:p>
            <w:pPr>
              <w:jc w:val="center"/>
              <w:spacing w:after="0"/>
              <w:rPr>
                <w:sz w:val="20"/>
                <w:szCs w:val="20"/>
                <w:color w:val="auto"/>
              </w:rPr>
            </w:pPr>
            <w:r>
              <w:rPr>
                <w:rFonts w:ascii="Arial" w:cs="Arial" w:eastAsia="Arial" w:hAnsi="Arial"/>
                <w:sz w:val="12"/>
                <w:szCs w:val="12"/>
                <w:color w:val="auto"/>
              </w:rPr>
              <w:t>6.25</w:t>
            </w:r>
          </w:p>
        </w:tc>
        <w:tc>
          <w:tcPr>
            <w:tcW w:w="8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Semi-annual</w:t>
            </w:r>
          </w:p>
        </w:tc>
        <w:tc>
          <w:tcPr>
            <w:tcW w:w="6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2"/>
          </w:tcPr>
          <w:p>
            <w:pPr>
              <w:spacing w:after="0"/>
              <w:rPr>
                <w:sz w:val="20"/>
                <w:szCs w:val="20"/>
                <w:color w:val="auto"/>
              </w:rPr>
            </w:pPr>
            <w:r>
              <w:rPr>
                <w:rFonts w:ascii="Arial" w:cs="Arial" w:eastAsia="Arial" w:hAnsi="Arial"/>
                <w:sz w:val="12"/>
                <w:szCs w:val="12"/>
                <w:color w:val="auto"/>
              </w:rPr>
              <w:t>August 2028</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Bs70,000</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39,047</w:t>
            </w:r>
          </w:p>
        </w:tc>
        <w:tc>
          <w:tcPr>
            <w:tcW w:w="920" w:type="dxa"/>
            <w:vAlign w:val="bottom"/>
            <w:gridSpan w:val="3"/>
          </w:tcPr>
          <w:p>
            <w:pPr>
              <w:ind w:left="80"/>
              <w:spacing w:after="0"/>
              <w:rPr>
                <w:sz w:val="20"/>
                <w:szCs w:val="20"/>
                <w:color w:val="auto"/>
              </w:rPr>
            </w:pPr>
            <w:r>
              <w:rPr>
                <w:rFonts w:ascii="Arial" w:cs="Arial" w:eastAsia="Arial" w:hAnsi="Arial"/>
                <w:sz w:val="12"/>
                <w:szCs w:val="12"/>
                <w:color w:val="auto"/>
              </w:rPr>
              <w:t>August 2028</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Bs70,000</w:t>
            </w:r>
          </w:p>
        </w:tc>
        <w:tc>
          <w:tcPr>
            <w:tcW w:w="720" w:type="dxa"/>
            <w:vAlign w:val="bottom"/>
            <w:gridSpan w:val="4"/>
          </w:tcPr>
          <w:p>
            <w:pPr>
              <w:jc w:val="right"/>
              <w:ind w:right="40"/>
              <w:spacing w:after="0"/>
              <w:rPr>
                <w:sz w:val="20"/>
                <w:szCs w:val="20"/>
                <w:color w:val="auto"/>
              </w:rPr>
            </w:pPr>
            <w:r>
              <w:rPr>
                <w:rFonts w:ascii="Arial" w:cs="Arial" w:eastAsia="Arial" w:hAnsi="Arial"/>
                <w:sz w:val="12"/>
                <w:szCs w:val="12"/>
                <w:color w:val="auto"/>
              </w:rPr>
              <w:t>40,922</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0"/>
                <w:szCs w:val="20"/>
                <w:color w:val="auto"/>
              </w:rPr>
            </w:pPr>
            <w:r>
              <w:rPr>
                <w:rFonts w:ascii="Arial" w:cs="Arial" w:eastAsia="Arial" w:hAnsi="Arial"/>
                <w:sz w:val="12"/>
                <w:szCs w:val="12"/>
                <w:b w:val="1"/>
                <w:bCs w:val="1"/>
                <w:color w:val="auto"/>
              </w:rPr>
              <w:t>Fourth program</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First issuance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color w:val="auto"/>
              </w:rPr>
              <w:t>(Series A) - MiBanco</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line="136" w:lineRule="exact"/>
              <w:rPr>
                <w:sz w:val="20"/>
                <w:szCs w:val="20"/>
                <w:color w:val="auto"/>
              </w:rPr>
            </w:pPr>
            <w:r>
              <w:rPr>
                <w:rFonts w:ascii="Arial" w:cs="Arial" w:eastAsia="Arial" w:hAnsi="Arial"/>
                <w:sz w:val="12"/>
                <w:szCs w:val="12"/>
                <w:color w:val="auto"/>
              </w:rPr>
              <w:t>(x)</w:t>
            </w:r>
          </w:p>
        </w:tc>
        <w:tc>
          <w:tcPr>
            <w:tcW w:w="1020" w:type="dxa"/>
            <w:vAlign w:val="bottom"/>
            <w:gridSpan w:val="2"/>
          </w:tcPr>
          <w:p>
            <w:pPr>
              <w:jc w:val="center"/>
              <w:spacing w:after="0" w:line="136" w:lineRule="exact"/>
              <w:rPr>
                <w:sz w:val="20"/>
                <w:szCs w:val="20"/>
                <w:color w:val="auto"/>
              </w:rPr>
            </w:pPr>
            <w:r>
              <w:rPr>
                <w:rFonts w:ascii="Arial" w:cs="Arial" w:eastAsia="Arial" w:hAnsi="Arial"/>
                <w:sz w:val="12"/>
                <w:szCs w:val="12"/>
                <w:color w:val="auto"/>
              </w:rPr>
              <w:t>5.84</w:t>
            </w:r>
          </w:p>
        </w:tc>
        <w:tc>
          <w:tcPr>
            <w:tcW w:w="8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color w:val="auto"/>
              </w:rPr>
              <w:t>Semi-annual</w:t>
            </w:r>
          </w:p>
        </w:tc>
        <w:tc>
          <w:tcPr>
            <w:tcW w:w="62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tcPr>
          <w:p>
            <w:pPr>
              <w:spacing w:after="0" w:line="136" w:lineRule="exact"/>
              <w:rPr>
                <w:sz w:val="20"/>
                <w:szCs w:val="20"/>
                <w:color w:val="auto"/>
              </w:rPr>
            </w:pPr>
            <w:r>
              <w:rPr>
                <w:rFonts w:ascii="Arial" w:cs="Arial" w:eastAsia="Arial" w:hAnsi="Arial"/>
                <w:sz w:val="12"/>
                <w:szCs w:val="12"/>
                <w:color w:val="auto"/>
              </w:rPr>
              <w:t>March 2031</w:t>
            </w:r>
          </w:p>
        </w:tc>
        <w:tc>
          <w:tcPr>
            <w:tcW w:w="8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S/155,000</w:t>
            </w: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146,276</w:t>
            </w:r>
          </w:p>
        </w:tc>
        <w:tc>
          <w:tcPr>
            <w:tcW w:w="100" w:type="dxa"/>
            <w:vAlign w:val="bottom"/>
          </w:tcPr>
          <w:p>
            <w:pPr>
              <w:spacing w:after="0"/>
              <w:rPr>
                <w:sz w:val="11"/>
                <w:szCs w:val="11"/>
                <w:color w:val="auto"/>
              </w:rPr>
            </w:pPr>
          </w:p>
        </w:tc>
        <w:tc>
          <w:tcPr>
            <w:tcW w:w="920" w:type="dxa"/>
            <w:vAlign w:val="bottom"/>
            <w:gridSpan w:val="3"/>
          </w:tcPr>
          <w:p>
            <w:pPr>
              <w:ind w:left="80"/>
              <w:spacing w:after="0" w:line="136" w:lineRule="exact"/>
              <w:rPr>
                <w:sz w:val="20"/>
                <w:szCs w:val="20"/>
                <w:color w:val="auto"/>
              </w:rPr>
            </w:pPr>
            <w:r>
              <w:rPr>
                <w:rFonts w:ascii="Arial" w:cs="Arial" w:eastAsia="Arial" w:hAnsi="Arial"/>
                <w:sz w:val="12"/>
                <w:szCs w:val="12"/>
                <w:color w:val="auto"/>
              </w:rPr>
              <w:t>March 2031</w:t>
            </w: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155,000</w:t>
            </w:r>
          </w:p>
        </w:tc>
        <w:tc>
          <w:tcPr>
            <w:tcW w:w="80" w:type="dxa"/>
            <w:vAlign w:val="bottom"/>
          </w:tcPr>
          <w:p>
            <w:pPr>
              <w:spacing w:after="0"/>
              <w:rPr>
                <w:sz w:val="11"/>
                <w:szCs w:val="11"/>
                <w:color w:val="auto"/>
              </w:rPr>
            </w:pPr>
          </w:p>
        </w:tc>
        <w:tc>
          <w:tcPr>
            <w:tcW w:w="70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146,276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5,738,414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6,061,301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2"/>
                <w:szCs w:val="12"/>
                <w:b w:val="1"/>
                <w:bCs w:val="1"/>
                <w:color w:val="auto"/>
              </w:rPr>
              <w:t>Negotiable</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b w:val="1"/>
                <w:bCs w:val="1"/>
                <w:color w:val="auto"/>
              </w:rPr>
              <w:t>certificate of</w:t>
            </w:r>
          </w:p>
        </w:tc>
        <w:tc>
          <w:tcPr>
            <w:tcW w:w="60" w:type="dxa"/>
            <w:vAlign w:val="bottom"/>
          </w:tcPr>
          <w:p>
            <w:pPr>
              <w:spacing w:after="0"/>
              <w:rPr>
                <w:sz w:val="11"/>
                <w:szCs w:val="11"/>
                <w:color w:val="auto"/>
              </w:rPr>
            </w:pPr>
          </w:p>
        </w:tc>
        <w:tc>
          <w:tcPr>
            <w:tcW w:w="1040" w:type="dxa"/>
            <w:vAlign w:val="bottom"/>
            <w:gridSpan w:val="2"/>
          </w:tcPr>
          <w:p>
            <w:pPr>
              <w:jc w:val="center"/>
              <w:ind w:right="80"/>
              <w:spacing w:after="0" w:line="130" w:lineRule="exact"/>
              <w:rPr>
                <w:sz w:val="20"/>
                <w:szCs w:val="20"/>
                <w:color w:val="auto"/>
              </w:rPr>
            </w:pPr>
            <w:r>
              <w:rPr>
                <w:rFonts w:ascii="Arial" w:cs="Arial" w:eastAsia="Arial" w:hAnsi="Arial"/>
                <w:sz w:val="12"/>
                <w:szCs w:val="12"/>
                <w:color w:val="auto"/>
                <w:w w:val="99"/>
              </w:rPr>
              <w:t>From 3.30 to</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30" w:lineRule="exact"/>
              <w:rPr>
                <w:sz w:val="20"/>
                <w:szCs w:val="20"/>
                <w:color w:val="auto"/>
              </w:rPr>
            </w:pPr>
            <w:r>
              <w:rPr>
                <w:rFonts w:ascii="Arial" w:cs="Arial" w:eastAsia="Arial" w:hAnsi="Arial"/>
                <w:sz w:val="12"/>
                <w:szCs w:val="12"/>
                <w:color w:val="auto"/>
              </w:rPr>
              <w:t>January 2023 /</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80"/>
              <w:spacing w:after="0" w:line="130" w:lineRule="exact"/>
              <w:rPr>
                <w:sz w:val="20"/>
                <w:szCs w:val="20"/>
                <w:color w:val="auto"/>
              </w:rPr>
            </w:pPr>
            <w:r>
              <w:rPr>
                <w:rFonts w:ascii="Arial" w:cs="Arial" w:eastAsia="Arial" w:hAnsi="Arial"/>
                <w:sz w:val="12"/>
                <w:szCs w:val="12"/>
                <w:color w:val="auto"/>
              </w:rPr>
              <w:t>January 2022</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b w:val="1"/>
                <w:bCs w:val="1"/>
                <w:color w:val="auto"/>
              </w:rPr>
              <w:t>deposit - MiBanco</w:t>
            </w:r>
          </w:p>
        </w:tc>
        <w:tc>
          <w:tcPr>
            <w:tcW w:w="1020" w:type="dxa"/>
            <w:vAlign w:val="bottom"/>
            <w:gridSpan w:val="2"/>
          </w:tcPr>
          <w:p>
            <w:pPr>
              <w:jc w:val="center"/>
              <w:spacing w:after="0" w:line="130" w:lineRule="exact"/>
              <w:rPr>
                <w:sz w:val="20"/>
                <w:szCs w:val="20"/>
                <w:color w:val="auto"/>
              </w:rPr>
            </w:pPr>
            <w:r>
              <w:rPr>
                <w:rFonts w:ascii="Arial" w:cs="Arial" w:eastAsia="Arial" w:hAnsi="Arial"/>
                <w:sz w:val="12"/>
                <w:szCs w:val="12"/>
                <w:color w:val="auto"/>
              </w:rPr>
              <w:t>5.35</w:t>
            </w:r>
          </w:p>
        </w:tc>
        <w:tc>
          <w:tcPr>
            <w:tcW w:w="80" w:type="dxa"/>
            <w:vAlign w:val="bottom"/>
          </w:tcPr>
          <w:p>
            <w:pPr>
              <w:spacing w:after="0"/>
              <w:rPr>
                <w:sz w:val="11"/>
                <w:szCs w:val="11"/>
                <w:color w:val="auto"/>
              </w:rPr>
            </w:pPr>
          </w:p>
        </w:tc>
        <w:tc>
          <w:tcPr>
            <w:tcW w:w="840" w:type="dxa"/>
            <w:vAlign w:val="bottom"/>
          </w:tcPr>
          <w:p>
            <w:pPr>
              <w:spacing w:after="0" w:line="130" w:lineRule="exact"/>
              <w:rPr>
                <w:sz w:val="20"/>
                <w:szCs w:val="20"/>
                <w:color w:val="auto"/>
              </w:rPr>
            </w:pPr>
            <w:r>
              <w:rPr>
                <w:rFonts w:ascii="Arial" w:cs="Arial" w:eastAsia="Arial" w:hAnsi="Arial"/>
                <w:sz w:val="12"/>
                <w:szCs w:val="12"/>
                <w:color w:val="auto"/>
              </w:rPr>
              <w:t>Annual</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940" w:type="dxa"/>
            <w:vAlign w:val="bottom"/>
            <w:gridSpan w:val="2"/>
          </w:tcPr>
          <w:p>
            <w:pPr>
              <w:spacing w:after="0" w:line="130" w:lineRule="exact"/>
              <w:rPr>
                <w:sz w:val="20"/>
                <w:szCs w:val="20"/>
                <w:color w:val="auto"/>
              </w:rPr>
            </w:pPr>
            <w:r>
              <w:rPr>
                <w:rFonts w:ascii="Arial" w:cs="Arial" w:eastAsia="Arial" w:hAnsi="Arial"/>
                <w:sz w:val="12"/>
                <w:szCs w:val="12"/>
                <w:color w:val="auto"/>
              </w:rPr>
              <w:t>June 2024</w:t>
            </w:r>
          </w:p>
        </w:tc>
        <w:tc>
          <w:tcPr>
            <w:tcW w:w="8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S/356,547</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356,547</w:t>
            </w:r>
          </w:p>
        </w:tc>
        <w:tc>
          <w:tcPr>
            <w:tcW w:w="100" w:type="dxa"/>
            <w:vAlign w:val="bottom"/>
          </w:tcPr>
          <w:p>
            <w:pPr>
              <w:spacing w:after="0"/>
              <w:rPr>
                <w:sz w:val="11"/>
                <w:szCs w:val="11"/>
                <w:color w:val="auto"/>
              </w:rPr>
            </w:pPr>
          </w:p>
        </w:tc>
        <w:tc>
          <w:tcPr>
            <w:tcW w:w="920" w:type="dxa"/>
            <w:vAlign w:val="bottom"/>
            <w:gridSpan w:val="3"/>
          </w:tcPr>
          <w:p>
            <w:pPr>
              <w:ind w:left="80"/>
              <w:spacing w:after="0" w:line="130" w:lineRule="exact"/>
              <w:rPr>
                <w:sz w:val="20"/>
                <w:szCs w:val="20"/>
                <w:color w:val="auto"/>
              </w:rPr>
            </w:pPr>
            <w:r>
              <w:rPr>
                <w:rFonts w:ascii="Arial" w:cs="Arial" w:eastAsia="Arial" w:hAnsi="Arial"/>
                <w:sz w:val="12"/>
                <w:szCs w:val="12"/>
                <w:color w:val="auto"/>
              </w:rPr>
              <w:t>/ August 2025</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S/939</w:t>
            </w:r>
          </w:p>
        </w:tc>
        <w:tc>
          <w:tcPr>
            <w:tcW w:w="700" w:type="dxa"/>
            <w:vAlign w:val="bottom"/>
            <w:gridSpan w:val="3"/>
          </w:tcPr>
          <w:p>
            <w:pPr>
              <w:jc w:val="right"/>
              <w:ind w:right="20"/>
              <w:spacing w:after="0" w:line="130" w:lineRule="exact"/>
              <w:rPr>
                <w:sz w:val="20"/>
                <w:szCs w:val="20"/>
                <w:color w:val="auto"/>
              </w:rPr>
            </w:pPr>
            <w:r>
              <w:rPr>
                <w:rFonts w:ascii="Arial" w:cs="Arial" w:eastAsia="Arial" w:hAnsi="Arial"/>
                <w:sz w:val="12"/>
                <w:szCs w:val="12"/>
                <w:color w:val="auto"/>
              </w:rPr>
              <w:t>845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b w:val="1"/>
                <w:bCs w:val="1"/>
                <w:color w:val="auto"/>
              </w:rPr>
              <w:t>Negotiable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b w:val="1"/>
                <w:bCs w:val="1"/>
                <w:color w:val="auto"/>
              </w:rPr>
              <w:t>certificate of</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80"/>
              <w:spacing w:after="0" w:line="130" w:lineRule="exact"/>
              <w:rPr>
                <w:sz w:val="20"/>
                <w:szCs w:val="20"/>
                <w:color w:val="auto"/>
              </w:rPr>
            </w:pPr>
            <w:r>
              <w:rPr>
                <w:rFonts w:ascii="Arial" w:cs="Arial" w:eastAsia="Arial" w:hAnsi="Arial"/>
                <w:sz w:val="12"/>
                <w:szCs w:val="12"/>
                <w:color w:val="auto"/>
              </w:rPr>
              <w:t>January 2022</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tcPr>
          <w:p>
            <w:pPr>
              <w:spacing w:after="0" w:line="130" w:lineRule="exact"/>
              <w:rPr>
                <w:sz w:val="20"/>
                <w:szCs w:val="20"/>
                <w:color w:val="auto"/>
              </w:rPr>
            </w:pPr>
            <w:r>
              <w:rPr>
                <w:rFonts w:ascii="Arial" w:cs="Arial" w:eastAsia="Arial" w:hAnsi="Arial"/>
                <w:sz w:val="12"/>
                <w:szCs w:val="12"/>
                <w:b w:val="1"/>
                <w:bCs w:val="1"/>
                <w:color w:val="auto"/>
              </w:rPr>
              <w:t>deposit - MiBanco</w:t>
            </w:r>
          </w:p>
        </w:tc>
        <w:tc>
          <w:tcPr>
            <w:tcW w:w="60" w:type="dxa"/>
            <w:vAlign w:val="bottom"/>
          </w:tcPr>
          <w:p>
            <w:pPr>
              <w:spacing w:after="0"/>
              <w:rPr>
                <w:sz w:val="11"/>
                <w:szCs w:val="11"/>
                <w:color w:val="auto"/>
              </w:rPr>
            </w:pPr>
          </w:p>
        </w:tc>
        <w:tc>
          <w:tcPr>
            <w:tcW w:w="1040" w:type="dxa"/>
            <w:vAlign w:val="bottom"/>
            <w:gridSpan w:val="2"/>
          </w:tcPr>
          <w:p>
            <w:pPr>
              <w:jc w:val="center"/>
              <w:ind w:right="80"/>
              <w:spacing w:after="0" w:line="130" w:lineRule="exact"/>
              <w:rPr>
                <w:sz w:val="20"/>
                <w:szCs w:val="20"/>
                <w:color w:val="auto"/>
              </w:rPr>
            </w:pPr>
            <w:r>
              <w:rPr>
                <w:rFonts w:ascii="Arial" w:cs="Arial" w:eastAsia="Arial" w:hAnsi="Arial"/>
                <w:sz w:val="12"/>
                <w:szCs w:val="12"/>
                <w:color w:val="auto"/>
                <w:w w:val="97"/>
              </w:rPr>
              <w:t>From 1.0 to</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30" w:lineRule="exact"/>
              <w:rPr>
                <w:sz w:val="20"/>
                <w:szCs w:val="20"/>
                <w:color w:val="auto"/>
              </w:rPr>
            </w:pPr>
            <w:r>
              <w:rPr>
                <w:rFonts w:ascii="Arial" w:cs="Arial" w:eastAsia="Arial" w:hAnsi="Arial"/>
                <w:sz w:val="12"/>
                <w:szCs w:val="12"/>
                <w:color w:val="auto"/>
              </w:rPr>
              <w:t>January 2023 /</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80"/>
              <w:spacing w:after="0" w:line="130" w:lineRule="exact"/>
              <w:rPr>
                <w:sz w:val="20"/>
                <w:szCs w:val="20"/>
                <w:color w:val="auto"/>
              </w:rPr>
            </w:pPr>
            <w:r>
              <w:rPr>
                <w:rFonts w:ascii="Arial" w:cs="Arial" w:eastAsia="Arial" w:hAnsi="Arial"/>
                <w:sz w:val="12"/>
                <w:szCs w:val="12"/>
                <w:color w:val="auto"/>
              </w:rPr>
              <w:t>/ December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20"/>
                <w:szCs w:val="20"/>
                <w:color w:val="auto"/>
              </w:rPr>
            </w:pPr>
            <w:r>
              <w:rPr>
                <w:rFonts w:ascii="Arial" w:cs="Arial" w:eastAsia="Arial" w:hAnsi="Arial"/>
                <w:sz w:val="12"/>
                <w:szCs w:val="12"/>
                <w:b w:val="1"/>
                <w:bCs w:val="1"/>
                <w:color w:val="auto"/>
              </w:rPr>
              <w:t>Colombia</w:t>
            </w:r>
          </w:p>
        </w:tc>
        <w:tc>
          <w:tcPr>
            <w:tcW w:w="1020" w:type="dxa"/>
            <w:vAlign w:val="bottom"/>
            <w:gridSpan w:val="2"/>
          </w:tcPr>
          <w:p>
            <w:pPr>
              <w:jc w:val="center"/>
              <w:spacing w:after="0"/>
              <w:rPr>
                <w:sz w:val="20"/>
                <w:szCs w:val="20"/>
                <w:color w:val="auto"/>
              </w:rPr>
            </w:pPr>
            <w:r>
              <w:rPr>
                <w:rFonts w:ascii="Arial" w:cs="Arial" w:eastAsia="Arial" w:hAnsi="Arial"/>
                <w:sz w:val="12"/>
                <w:szCs w:val="12"/>
                <w:color w:val="auto"/>
              </w:rPr>
              <w:t>17.10</w:t>
            </w:r>
          </w:p>
        </w:tc>
        <w:tc>
          <w:tcPr>
            <w:tcW w:w="8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To maturity</w:t>
            </w:r>
          </w:p>
        </w:tc>
        <w:tc>
          <w:tcPr>
            <w:tcW w:w="6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2"/>
          </w:tcPr>
          <w:p>
            <w:pPr>
              <w:spacing w:after="0"/>
              <w:rPr>
                <w:sz w:val="20"/>
                <w:szCs w:val="20"/>
                <w:color w:val="auto"/>
              </w:rPr>
            </w:pPr>
            <w:r>
              <w:rPr>
                <w:rFonts w:ascii="Arial" w:cs="Arial" w:eastAsia="Arial" w:hAnsi="Arial"/>
                <w:sz w:val="12"/>
                <w:szCs w:val="12"/>
                <w:color w:val="auto"/>
              </w:rPr>
              <w:t>January 2027</w:t>
            </w:r>
          </w:p>
        </w:tc>
        <w:tc>
          <w:tcPr>
            <w:tcW w:w="800" w:type="dxa"/>
            <w:vAlign w:val="bottom"/>
          </w:tcPr>
          <w:p>
            <w:pPr>
              <w:jc w:val="right"/>
              <w:spacing w:after="0"/>
              <w:rPr>
                <w:sz w:val="20"/>
                <w:szCs w:val="20"/>
                <w:color w:val="auto"/>
              </w:rPr>
            </w:pPr>
            <w:r>
              <w:rPr>
                <w:rFonts w:ascii="Arial" w:cs="Arial" w:eastAsia="Arial" w:hAnsi="Arial"/>
                <w:sz w:val="12"/>
                <w:szCs w:val="12"/>
                <w:color w:val="auto"/>
              </w:rPr>
              <w:t>$978,455</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769,132</w:t>
            </w:r>
          </w:p>
        </w:tc>
        <w:tc>
          <w:tcPr>
            <w:tcW w:w="1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2024</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$758,886</w:t>
            </w:r>
          </w:p>
        </w:tc>
        <w:tc>
          <w:tcPr>
            <w:tcW w:w="80" w:type="dxa"/>
            <w:vAlign w:val="bottom"/>
          </w:tcPr>
          <w:p>
            <w:pPr>
              <w:spacing w:after="0"/>
              <w:rPr>
                <w:sz w:val="13"/>
                <w:szCs w:val="1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744,317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2"/>
                <w:szCs w:val="12"/>
                <w:color w:val="auto"/>
              </w:rPr>
              <w:t>16,851,889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20"/>
              <w:spacing w:after="0" w:line="117" w:lineRule="exact"/>
              <w:rPr>
                <w:sz w:val="20"/>
                <w:szCs w:val="20"/>
                <w:color w:val="auto"/>
              </w:rPr>
            </w:pPr>
            <w:r>
              <w:rPr>
                <w:rFonts w:ascii="Arial" w:cs="Arial" w:eastAsia="Arial" w:hAnsi="Arial"/>
                <w:sz w:val="12"/>
                <w:szCs w:val="12"/>
                <w:color w:val="auto"/>
              </w:rPr>
              <w:t>17,688,735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line="136" w:lineRule="exact"/>
              <w:rPr>
                <w:sz w:val="20"/>
                <w:szCs w:val="20"/>
                <w:color w:val="auto"/>
              </w:rPr>
            </w:pPr>
            <w:r>
              <w:rPr>
                <w:rFonts w:ascii="Arial" w:cs="Arial" w:eastAsia="Arial" w:hAnsi="Arial"/>
                <w:sz w:val="12"/>
                <w:szCs w:val="12"/>
                <w:color w:val="auto"/>
              </w:rPr>
              <w:t>Interest payable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155,305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134,411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60" w:type="dxa"/>
            <w:vAlign w:val="bottom"/>
          </w:tcPr>
          <w:p>
            <w:pPr>
              <w:spacing w:after="0" w:line="122"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17,007,194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20"/>
              <w:spacing w:after="0" w:line="122" w:lineRule="exact"/>
              <w:rPr>
                <w:sz w:val="20"/>
                <w:szCs w:val="20"/>
                <w:color w:val="auto"/>
              </w:rPr>
            </w:pPr>
            <w:r>
              <w:rPr>
                <w:rFonts w:ascii="Arial" w:cs="Arial" w:eastAsia="Arial" w:hAnsi="Arial"/>
                <w:sz w:val="12"/>
                <w:szCs w:val="12"/>
                <w:color w:val="auto"/>
              </w:rPr>
              <w:t>17,823,146</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20"/>
          </w:cols>
          <w:pgMar w:left="1260" w:top="120" w:right="519" w:bottom="1440" w:gutter="0" w:footer="0" w:header="0"/>
        </w:sectPr>
      </w:pPr>
    </w:p>
    <w:bookmarkStart w:id="109" w:name="page110"/>
    <w:bookmarkEnd w:id="109"/>
    <w:p>
      <w:pPr>
        <w:ind w:left="315" w:right="160"/>
        <w:spacing w:after="0" w:line="254" w:lineRule="auto"/>
        <w:rPr>
          <w:sz w:val="20"/>
          <w:szCs w:val="20"/>
          <w:color w:val="auto"/>
        </w:rPr>
      </w:pPr>
      <w:r>
        <w:rPr>
          <w:rFonts w:ascii="Arial" w:cs="Arial" w:eastAsia="Arial" w:hAnsi="Arial"/>
          <w:sz w:val="17"/>
          <w:szCs w:val="17"/>
          <w:color w:val="auto"/>
        </w:rPr>
        <w:t>International issues maintain certain operating covenants, which, in Management's opinion, the Group has complied with at the dates of the statement of financial position.</w:t>
      </w:r>
    </w:p>
    <w:p>
      <w:pPr>
        <w:spacing w:after="0" w:line="169" w:lineRule="exact"/>
        <w:rPr>
          <w:sz w:val="20"/>
          <w:szCs w:val="20"/>
          <w:color w:val="auto"/>
        </w:rPr>
      </w:pPr>
    </w:p>
    <w:p>
      <w:pPr>
        <w:ind w:left="315" w:right="80" w:hanging="315"/>
        <w:spacing w:after="0" w:line="246" w:lineRule="auto"/>
        <w:tabs>
          <w:tab w:leader="none" w:pos="31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Bank can redeem the total or part of the notes at any time, having as a penalty an interest rate equal to the Treasury of the United States of America’s rate plus 50 basis point. The payment of principal will take place on the due date of the notes or when the Bank redeems these notes.</w:t>
      </w:r>
    </w:p>
    <w:p>
      <w:pPr>
        <w:spacing w:after="0" w:line="175" w:lineRule="exact"/>
        <w:rPr>
          <w:rFonts w:ascii="Arial" w:cs="Arial" w:eastAsia="Arial" w:hAnsi="Arial"/>
          <w:sz w:val="17"/>
          <w:szCs w:val="17"/>
          <w:color w:val="auto"/>
        </w:rPr>
      </w:pPr>
    </w:p>
    <w:p>
      <w:pPr>
        <w:ind w:left="315" w:hanging="315"/>
        <w:spacing w:after="0" w:line="241" w:lineRule="auto"/>
        <w:tabs>
          <w:tab w:leader="none" w:pos="31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Bank issued senior notes under the Medium-Term Program proof approximately US$700.0 million at a semi-annual coupon rate of 2.70 percent maturing in January 2025. The Bank can redeem all or part of the notes at any date, between October 11, 2021 and December 10, 2024, at a redemption price equal to or greater than: (i) 100 percent of the aggregate principal amount of the notes to be redeemed; and (ii) the sum of the present value of each remaining scheduled payment discounted at interest rate equal to the Treasury of the United States of America’s rate plus 20 basis points. From December 11, 2024 onwards, the Bank can redeem the total or part of the notes to a redemption price equal to 100 percent of the aggregate principal amount of the notes to be redeemed. The payment of principal will take place on the due date or when the Bank redeems the notes.</w:t>
      </w:r>
    </w:p>
    <w:p>
      <w:pPr>
        <w:spacing w:after="0" w:line="180" w:lineRule="exact"/>
        <w:rPr>
          <w:rFonts w:ascii="Arial" w:cs="Arial" w:eastAsia="Arial" w:hAnsi="Arial"/>
          <w:sz w:val="17"/>
          <w:szCs w:val="17"/>
          <w:color w:val="auto"/>
        </w:rPr>
      </w:pPr>
    </w:p>
    <w:p>
      <w:pPr>
        <w:ind w:left="315" w:right="60"/>
        <w:spacing w:after="0" w:line="243" w:lineRule="auto"/>
        <w:rPr>
          <w:rFonts w:ascii="Arial" w:cs="Arial" w:eastAsia="Arial" w:hAnsi="Arial"/>
          <w:sz w:val="17"/>
          <w:szCs w:val="17"/>
          <w:color w:val="auto"/>
        </w:rPr>
      </w:pPr>
      <w:r>
        <w:rPr>
          <w:rFonts w:ascii="Arial" w:cs="Arial" w:eastAsia="Arial" w:hAnsi="Arial"/>
          <w:sz w:val="17"/>
          <w:szCs w:val="17"/>
          <w:color w:val="auto"/>
        </w:rPr>
        <w:t>On December 31, 2022, the Bank maintains a CCS which was designated as cash flows hedges of a part of senior notes in U.S. dollar subject to exchange rate risk for a notional amount of US$220.0 million, equivalent to S/839.1 million (US$50.0 million equivalent to S/199.4 million, as of December 31, 2021), see note 13(c). By means of the CCS, the cover part of senior notes was economically converted to soles.</w:t>
      </w:r>
    </w:p>
    <w:p>
      <w:pPr>
        <w:spacing w:after="0" w:line="179" w:lineRule="exact"/>
        <w:rPr>
          <w:rFonts w:ascii="Arial" w:cs="Arial" w:eastAsia="Arial" w:hAnsi="Arial"/>
          <w:sz w:val="17"/>
          <w:szCs w:val="17"/>
          <w:color w:val="auto"/>
        </w:rPr>
      </w:pPr>
    </w:p>
    <w:p>
      <w:pPr>
        <w:ind w:left="315" w:right="100" w:hanging="315"/>
        <w:spacing w:after="0" w:line="241" w:lineRule="auto"/>
        <w:tabs>
          <w:tab w:leader="none" w:pos="31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Bank can redeem the whole or part of the senior notes between October 17, 2021 and August 16, 2024, at a redemption price equal to or greater than: (i) 100 percent of the aggregate principal amount of the notes, and (ii) the sum of the present value of cash flows discounted at interest rate equivalent to sovereign bonds issued by the government of Peru or other comparable titles plus 25 basis points. As of August 17, 2024, the Bank may redeem all or part of the senior notes at a redemption price equal to 100 percent of the aggregate amount of the principal to be redeemed. The payment of principal will take place on the due date or when the Bank redeems the notes.</w:t>
      </w:r>
    </w:p>
    <w:p>
      <w:pPr>
        <w:spacing w:after="0" w:line="182" w:lineRule="exact"/>
        <w:rPr>
          <w:rFonts w:ascii="Arial" w:cs="Arial" w:eastAsia="Arial" w:hAnsi="Arial"/>
          <w:sz w:val="17"/>
          <w:szCs w:val="17"/>
          <w:color w:val="auto"/>
        </w:rPr>
      </w:pPr>
    </w:p>
    <w:p>
      <w:pPr>
        <w:jc w:val="both"/>
        <w:ind w:left="315" w:right="140" w:hanging="315"/>
        <w:spacing w:after="0" w:line="246" w:lineRule="auto"/>
        <w:tabs>
          <w:tab w:leader="none" w:pos="31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June 2020, Credicorp Ltd. issued Senior Notes for approximately US$500.0 million, equivalent to S/1,907.0 million as of December 31, 2022 (US$500.0 million, equivalent to S/1,993.5 million as of December 31, 2021) at fixed interest rate, whose maturity date is on June 17, 2025.</w:t>
      </w:r>
    </w:p>
    <w:p>
      <w:pPr>
        <w:spacing w:after="0" w:line="175" w:lineRule="exact"/>
        <w:rPr>
          <w:rFonts w:ascii="Arial" w:cs="Arial" w:eastAsia="Arial" w:hAnsi="Arial"/>
          <w:sz w:val="17"/>
          <w:szCs w:val="17"/>
          <w:color w:val="auto"/>
        </w:rPr>
      </w:pPr>
    </w:p>
    <w:p>
      <w:pPr>
        <w:jc w:val="both"/>
        <w:ind w:left="315" w:right="260"/>
        <w:spacing w:after="0" w:line="246" w:lineRule="auto"/>
        <w:rPr>
          <w:rFonts w:ascii="Arial" w:cs="Arial" w:eastAsia="Arial" w:hAnsi="Arial"/>
          <w:sz w:val="17"/>
          <w:szCs w:val="17"/>
          <w:color w:val="auto"/>
        </w:rPr>
      </w:pPr>
      <w:r>
        <w:rPr>
          <w:rFonts w:ascii="Arial" w:cs="Arial" w:eastAsia="Arial" w:hAnsi="Arial"/>
          <w:sz w:val="17"/>
          <w:szCs w:val="17"/>
          <w:color w:val="auto"/>
        </w:rPr>
        <w:t>These Senior Notes can redeem the whole or part mainly by the following ways (i) at any time prior to May 17, 2025, make whole or partial call, at Treasury plus 40 basis points, and (ii) at any time on or after May 17, 2025, at par value. The payment of principal will take place on the due date or when Credicorp Ltd. redeems the notes.</w:t>
      </w:r>
    </w:p>
    <w:p>
      <w:pPr>
        <w:spacing w:after="0" w:line="175" w:lineRule="exact"/>
        <w:rPr>
          <w:rFonts w:ascii="Arial" w:cs="Arial" w:eastAsia="Arial" w:hAnsi="Arial"/>
          <w:sz w:val="17"/>
          <w:szCs w:val="17"/>
          <w:color w:val="auto"/>
        </w:rPr>
      </w:pPr>
    </w:p>
    <w:p>
      <w:pPr>
        <w:jc w:val="both"/>
        <w:ind w:left="315"/>
        <w:spacing w:after="0" w:line="241" w:lineRule="auto"/>
        <w:rPr>
          <w:rFonts w:ascii="Arial" w:cs="Arial" w:eastAsia="Arial" w:hAnsi="Arial"/>
          <w:sz w:val="17"/>
          <w:szCs w:val="17"/>
          <w:color w:val="auto"/>
        </w:rPr>
      </w:pPr>
      <w:r>
        <w:rPr>
          <w:rFonts w:ascii="Arial" w:cs="Arial" w:eastAsia="Arial" w:hAnsi="Arial"/>
          <w:sz w:val="17"/>
          <w:szCs w:val="17"/>
          <w:color w:val="auto"/>
        </w:rPr>
        <w:t>As of December 31, 2022, the Group has designated as a hedge of a net investment of a foreign operation a portion of these bonds issued for approximately US$228.8 million, equivalent to S/872.8 million (US$228.8 million, equivalent to S/912.2 million, as of December 31, 2021), which hedges by the same amount the exposure of the net investment in the subsidiary Atlantic Security Holding Corporation (ASHC), established in Cayman Islands and whose functional currency is the US dollar, see note 34.2(b)(ii). This hedge covers the fluctuation in the exchange rate risk associated with the conversion of the net investment held in ASHC to the Group's functional currency (soles).</w:t>
      </w:r>
    </w:p>
    <w:p>
      <w:pPr>
        <w:spacing w:after="0" w:line="182" w:lineRule="exact"/>
        <w:rPr>
          <w:rFonts w:ascii="Arial" w:cs="Arial" w:eastAsia="Arial" w:hAnsi="Arial"/>
          <w:sz w:val="17"/>
          <w:szCs w:val="17"/>
          <w:color w:val="auto"/>
        </w:rPr>
      </w:pPr>
    </w:p>
    <w:p>
      <w:pPr>
        <w:ind w:left="315" w:right="120" w:hanging="315"/>
        <w:spacing w:after="0" w:line="246" w:lineRule="auto"/>
        <w:tabs>
          <w:tab w:leader="none" w:pos="31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On December 31, 2022, The interest rate swap (IRS) matured for a nominal amount of US$30.0 million (US$30.0 million equivalent to S/119.6 million, as of December 31, 2021), see note 13(c), which was designated as cash flows hedge of a corporate bond issued in US dollar at a variable rate. By means of the IRS, this bond was economically converted to a fixed interest rate.</w:t>
      </w:r>
    </w:p>
    <w:p>
      <w:pPr>
        <w:spacing w:after="0" w:line="344" w:lineRule="exact"/>
        <w:rPr>
          <w:rFonts w:ascii="Arial" w:cs="Arial" w:eastAsia="Arial" w:hAnsi="Arial"/>
          <w:sz w:val="17"/>
          <w:szCs w:val="17"/>
          <w:color w:val="auto"/>
        </w:rPr>
      </w:pPr>
    </w:p>
    <w:p>
      <w:pPr>
        <w:ind w:left="4835" w:hanging="107"/>
        <w:spacing w:after="0"/>
        <w:tabs>
          <w:tab w:leader="none" w:pos="483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333" w:right="339" w:bottom="1440" w:gutter="0" w:footer="0" w:header="0"/>
        </w:sectPr>
      </w:pPr>
    </w:p>
    <w:bookmarkStart w:id="110" w:name="page111"/>
    <w:bookmarkEnd w:id="110"/>
    <w:p>
      <w:pPr>
        <w:ind w:left="315" w:right="160" w:hanging="315"/>
        <w:spacing w:after="0" w:line="253" w:lineRule="auto"/>
        <w:tabs>
          <w:tab w:leader="none" w:pos="31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November of 2021, the Bank issued Senior Notes for approximately ¥5,000.0 million, equivalent to S/173.2 million as of December 31, 2021 at fixed interest rate of 0.45 percent, which matures on December 31, 2023.</w:t>
      </w:r>
    </w:p>
    <w:p>
      <w:pPr>
        <w:spacing w:after="0" w:line="169" w:lineRule="exact"/>
        <w:rPr>
          <w:rFonts w:ascii="Arial" w:cs="Arial" w:eastAsia="Arial" w:hAnsi="Arial"/>
          <w:sz w:val="17"/>
          <w:szCs w:val="17"/>
          <w:color w:val="auto"/>
        </w:rPr>
      </w:pPr>
    </w:p>
    <w:p>
      <w:pPr>
        <w:ind w:left="315"/>
        <w:spacing w:after="0" w:line="243" w:lineRule="auto"/>
        <w:rPr>
          <w:rFonts w:ascii="Arial" w:cs="Arial" w:eastAsia="Arial" w:hAnsi="Arial"/>
          <w:sz w:val="17"/>
          <w:szCs w:val="17"/>
          <w:color w:val="auto"/>
        </w:rPr>
      </w:pPr>
      <w:r>
        <w:rPr>
          <w:rFonts w:ascii="Arial" w:cs="Arial" w:eastAsia="Arial" w:hAnsi="Arial"/>
          <w:sz w:val="17"/>
          <w:szCs w:val="17"/>
          <w:color w:val="auto"/>
        </w:rPr>
        <w:t>As of December 31, 2022, the Bank maintains a currency swap (CCS) for a nominal amount of ¥5,000.0 million, equivalent to S/145.7 million (¥5,000.0 million, equivalent to S/173.2 million, as of December 31, 2021), see note 13(c), which was broken down by risk variables into two cross-currency swaps (CCS) with the purpose of being designated as a cash flow hedge of a bond issued in yen at a fixed rate, which was converted to soles through this swap and as a hedge of cash flow from loans.</w:t>
      </w:r>
    </w:p>
    <w:p>
      <w:pPr>
        <w:spacing w:after="0" w:line="179" w:lineRule="exact"/>
        <w:rPr>
          <w:rFonts w:ascii="Arial" w:cs="Arial" w:eastAsia="Arial" w:hAnsi="Arial"/>
          <w:sz w:val="17"/>
          <w:szCs w:val="17"/>
          <w:color w:val="auto"/>
        </w:rPr>
      </w:pPr>
    </w:p>
    <w:p>
      <w:pPr>
        <w:ind w:left="355" w:right="80" w:hanging="355"/>
        <w:spacing w:after="0" w:line="242" w:lineRule="auto"/>
        <w:tabs>
          <w:tab w:leader="none" w:pos="3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June 21, 2022, the Bank issued Senior Notes under the Medium-Term Bond Program amounting to US$30.0 million at a semi-annual rate of 5.05 percent maturing in June 2027. An amount equivalent to the net proceeds from the offering will be used to finance or refinance, in whole or in part, new or existing green Eligible Projects, as per BCP’s Sustainability Financing Framework dated January 2022. The Bank may redeem all or part of the notes at a redemption price equal to 100 percent of the aggregate amount of the principal of the notes to be redeemed.</w:t>
      </w:r>
    </w:p>
    <w:p>
      <w:pPr>
        <w:spacing w:after="0" w:line="180" w:lineRule="exact"/>
        <w:rPr>
          <w:rFonts w:ascii="Arial" w:cs="Arial" w:eastAsia="Arial" w:hAnsi="Arial"/>
          <w:sz w:val="17"/>
          <w:szCs w:val="17"/>
          <w:color w:val="auto"/>
        </w:rPr>
      </w:pPr>
    </w:p>
    <w:p>
      <w:pPr>
        <w:ind w:left="355" w:right="60" w:hanging="355"/>
        <w:spacing w:after="0" w:line="246" w:lineRule="auto"/>
        <w:tabs>
          <w:tab w:leader="none" w:pos="3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July 2022, this issue was guaranteed by the future collection of electronic payment orders sent to BCP (including foreign branches) through the Society Worldwide Interbank Financial Telecommunications, through which the correspondent bank uses the network to places orders of payment to the beneficiary that is not a financial institution</w:t>
      </w:r>
    </w:p>
    <w:p>
      <w:pPr>
        <w:spacing w:after="0" w:line="175" w:lineRule="exact"/>
        <w:rPr>
          <w:rFonts w:ascii="Arial" w:cs="Arial" w:eastAsia="Arial" w:hAnsi="Arial"/>
          <w:sz w:val="17"/>
          <w:szCs w:val="17"/>
          <w:color w:val="auto"/>
        </w:rPr>
      </w:pPr>
    </w:p>
    <w:p>
      <w:pPr>
        <w:ind w:left="355" w:hanging="355"/>
        <w:spacing w:after="0"/>
        <w:tabs>
          <w:tab w:leader="none" w:pos="3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July 1, 2020, the Bank issued Subordinated Notes under the Medium-Term Bond Program amounting to US$850.0 million at a semiannual rate of 3.125 percent maturing in July 2030 called “3.125% Fixed Rate Subordinated Notes Due 2030 (Callable 2025).” As of July 1, 2025, It will be paid a fixed interest rate equal to States of U.S. Treasury interest rate, comparable to 5 years, plus 300.0 basic points. On July 1, 2025, the Bank may redeem all or part of the notes at a redemption price that is equal to 100 percent of the aggregate principal amount of the notes to be redeemed. Thereafter, the Bank may redeem all or part of the notes at a redemption price equal to the higher of (i) 100 percent of the principal amount of the notes and (ii) the sum of the remaining flows discounted to a rate equivalent to the United States Treasury interest rate plus 45 basis points. The payment of the principal will take place on the expiration date of the notes or when the Bank redeems them.</w:t>
      </w:r>
    </w:p>
    <w:p>
      <w:pPr>
        <w:spacing w:after="0" w:line="183" w:lineRule="exact"/>
        <w:rPr>
          <w:rFonts w:ascii="Arial" w:cs="Arial" w:eastAsia="Arial" w:hAnsi="Arial"/>
          <w:sz w:val="17"/>
          <w:szCs w:val="17"/>
          <w:color w:val="auto"/>
        </w:rPr>
      </w:pPr>
    </w:p>
    <w:p>
      <w:pPr>
        <w:ind w:left="355" w:hanging="355"/>
        <w:spacing w:after="0"/>
        <w:tabs>
          <w:tab w:leader="none" w:pos="3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the other hand, effective March 30, 2021, the Bank issued Subordinated Notes under the Medium-Term Bond Program for</w:t>
      </w:r>
    </w:p>
    <w:p>
      <w:pPr>
        <w:ind w:left="355" w:right="40"/>
        <w:spacing w:after="0"/>
        <w:rPr>
          <w:rFonts w:ascii="Arial" w:cs="Arial" w:eastAsia="Arial" w:hAnsi="Arial"/>
          <w:sz w:val="17"/>
          <w:szCs w:val="17"/>
          <w:color w:val="auto"/>
        </w:rPr>
      </w:pPr>
      <w:r>
        <w:rPr>
          <w:rFonts w:ascii="Arial" w:cs="Arial" w:eastAsia="Arial" w:hAnsi="Arial"/>
          <w:sz w:val="17"/>
          <w:szCs w:val="17"/>
          <w:color w:val="auto"/>
        </w:rPr>
        <w:t>US$500.0 million at a semi-annual coupon rate of 3.25 percent maturing in September 2031. called “Subordinated Bonds at a Fixed Interest Rate at 3.250% maturing in 2031 (Callable in 2026)”. As of September 30, 2026, a fixed interest rate will be paid equal to the United States Treasury interest rate, comparable to 5 years, plus 245.0 basis points. On September 30, 2026, the Bank may redeem all or part of the subordinated notes at a redemption price that is equal to 100 percent of the aggregate principal amount of the subordinated notes to be redeemed. Thereafter, the Bank may redeem all or part of the subordinated notes at a redemption price that is equal to the greater of (i) 100 percent of the principal amount of the subordinated notes and (ii) the sum of the cash flows remaining discounted at a rate equivalent to the United States Treasury interest rate plus 40 basis points. Principal payment will take place on the maturity date of the subordinated notes or when the Bank redeems them.</w:t>
      </w:r>
    </w:p>
    <w:p>
      <w:pPr>
        <w:spacing w:after="0" w:line="184" w:lineRule="exact"/>
        <w:rPr>
          <w:rFonts w:ascii="Arial" w:cs="Arial" w:eastAsia="Arial" w:hAnsi="Arial"/>
          <w:sz w:val="17"/>
          <w:szCs w:val="17"/>
          <w:color w:val="auto"/>
        </w:rPr>
      </w:pPr>
    </w:p>
    <w:p>
      <w:pPr>
        <w:ind w:left="355" w:right="360" w:hanging="355"/>
        <w:spacing w:after="0" w:line="254" w:lineRule="auto"/>
        <w:tabs>
          <w:tab w:leader="none" w:pos="3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payment of the principal will take place on the maturity date, or when Mibanco redeems them, only after a minimum term of 5 years since issuance date.</w:t>
      </w:r>
    </w:p>
    <w:p>
      <w:pPr>
        <w:spacing w:after="0" w:line="337" w:lineRule="exact"/>
        <w:rPr>
          <w:rFonts w:ascii="Arial" w:cs="Arial" w:eastAsia="Arial" w:hAnsi="Arial"/>
          <w:sz w:val="17"/>
          <w:szCs w:val="17"/>
          <w:color w:val="auto"/>
        </w:rPr>
      </w:pPr>
    </w:p>
    <w:p>
      <w:pPr>
        <w:ind w:left="4835" w:hanging="107"/>
        <w:spacing w:after="0"/>
        <w:tabs>
          <w:tab w:leader="none" w:pos="4835" w:val="left"/>
        </w:tabs>
        <w:numPr>
          <w:ilvl w:val="1"/>
          <w:numId w:val="123"/>
        </w:numPr>
        <w:rPr>
          <w:rFonts w:ascii="Arial" w:cs="Arial" w:eastAsia="Arial" w:hAnsi="Arial"/>
          <w:sz w:val="17"/>
          <w:szCs w:val="17"/>
          <w:color w:val="auto"/>
        </w:rPr>
      </w:pPr>
      <w:r>
        <w:rPr>
          <w:rFonts w:ascii="Arial" w:cs="Arial" w:eastAsia="Arial" w:hAnsi="Arial"/>
          <w:sz w:val="17"/>
          <w:szCs w:val="17"/>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95"/>
          </w:cols>
          <w:pgMar w:left="945" w:top="140" w:right="359" w:bottom="1440" w:gutter="0" w:footer="0" w:header="0"/>
        </w:sectPr>
      </w:pPr>
    </w:p>
    <w:bookmarkStart w:id="111" w:name="page112"/>
    <w:bookmarkEnd w:id="111"/>
    <w:p>
      <w:pPr>
        <w:ind w:left="620"/>
        <w:spacing w:after="0"/>
        <w:tabs>
          <w:tab w:leader="none" w:pos="920" w:val="left"/>
        </w:tabs>
        <w:rPr>
          <w:sz w:val="20"/>
          <w:szCs w:val="20"/>
          <w:color w:val="auto"/>
        </w:rPr>
      </w:pPr>
      <w:r>
        <w:rPr>
          <w:rFonts w:ascii="Arial" w:cs="Arial" w:eastAsia="Arial" w:hAnsi="Arial"/>
          <w:sz w:val="17"/>
          <w:szCs w:val="17"/>
          <w:color w:val="auto"/>
        </w:rPr>
        <w:t>b)</w:t>
        <w:tab/>
        <w:t>The table below shows the bonds and notes issued, classified by maturity, without accrued interests: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Pr>
          <w:p>
            <w:pPr>
              <w:spacing w:after="0"/>
              <w:rPr>
                <w:sz w:val="18"/>
                <w:szCs w:val="18"/>
                <w:color w:val="auto"/>
              </w:rPr>
            </w:pPr>
          </w:p>
        </w:tc>
        <w:tc>
          <w:tcPr>
            <w:tcW w:w="5540" w:type="dxa"/>
            <w:vAlign w:val="bottom"/>
            <w:gridSpan w:val="2"/>
          </w:tcPr>
          <w:p>
            <w:pPr>
              <w:ind w:left="4380"/>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8"/>
                <w:szCs w:val="18"/>
                <w:color w:val="auto"/>
              </w:rPr>
            </w:pPr>
          </w:p>
        </w:tc>
      </w:tr>
      <w:tr>
        <w:trPr>
          <w:trHeight w:val="223"/>
        </w:trPr>
        <w:tc>
          <w:tcPr>
            <w:tcW w:w="41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2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4120" w:type="dxa"/>
            <w:vAlign w:val="bottom"/>
          </w:tcPr>
          <w:p>
            <w:pPr>
              <w:ind w:left="980"/>
              <w:spacing w:after="0"/>
              <w:rPr>
                <w:sz w:val="20"/>
                <w:szCs w:val="20"/>
                <w:color w:val="auto"/>
              </w:rPr>
            </w:pPr>
            <w:r>
              <w:rPr>
                <w:rFonts w:ascii="Arial" w:cs="Arial" w:eastAsia="Arial" w:hAnsi="Arial"/>
                <w:sz w:val="17"/>
                <w:szCs w:val="17"/>
                <w:color w:val="auto"/>
              </w:rPr>
              <w:t>Up to 3 months</w:t>
            </w:r>
          </w:p>
        </w:tc>
        <w:tc>
          <w:tcPr>
            <w:tcW w:w="5540" w:type="dxa"/>
            <w:vAlign w:val="bottom"/>
            <w:gridSpan w:val="2"/>
          </w:tcPr>
          <w:p>
            <w:pPr>
              <w:jc w:val="right"/>
              <w:spacing w:after="0"/>
              <w:rPr>
                <w:sz w:val="20"/>
                <w:szCs w:val="20"/>
                <w:color w:val="auto"/>
              </w:rPr>
            </w:pPr>
            <w:r>
              <w:rPr>
                <w:rFonts w:ascii="Arial" w:cs="Arial" w:eastAsia="Arial" w:hAnsi="Arial"/>
                <w:sz w:val="17"/>
                <w:szCs w:val="17"/>
                <w:color w:val="auto"/>
              </w:rPr>
              <w:t>128,442</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245,367</w:t>
            </w:r>
          </w:p>
        </w:tc>
        <w:tc>
          <w:tcPr>
            <w:tcW w:w="180" w:type="dxa"/>
            <w:vAlign w:val="bottom"/>
          </w:tcPr>
          <w:p>
            <w:pPr>
              <w:spacing w:after="0"/>
              <w:rPr>
                <w:sz w:val="24"/>
                <w:szCs w:val="24"/>
                <w:color w:val="auto"/>
              </w:rPr>
            </w:pPr>
          </w:p>
        </w:tc>
      </w:tr>
      <w:tr>
        <w:trPr>
          <w:trHeight w:val="194"/>
        </w:trPr>
        <w:tc>
          <w:tcPr>
            <w:tcW w:w="4120" w:type="dxa"/>
            <w:vAlign w:val="bottom"/>
          </w:tcPr>
          <w:p>
            <w:pPr>
              <w:ind w:left="980"/>
              <w:spacing w:after="0" w:line="194" w:lineRule="exact"/>
              <w:rPr>
                <w:sz w:val="20"/>
                <w:szCs w:val="20"/>
                <w:color w:val="auto"/>
              </w:rPr>
            </w:pPr>
            <w:r>
              <w:rPr>
                <w:rFonts w:ascii="Arial" w:cs="Arial" w:eastAsia="Arial" w:hAnsi="Arial"/>
                <w:sz w:val="17"/>
                <w:szCs w:val="17"/>
                <w:color w:val="auto"/>
              </w:rPr>
              <w:t>From 3 months to 1 year</w:t>
            </w:r>
          </w:p>
        </w:tc>
        <w:tc>
          <w:tcPr>
            <w:tcW w:w="55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3,671,142</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1,212,193</w:t>
            </w:r>
          </w:p>
        </w:tc>
        <w:tc>
          <w:tcPr>
            <w:tcW w:w="180" w:type="dxa"/>
            <w:vAlign w:val="bottom"/>
          </w:tcPr>
          <w:p>
            <w:pPr>
              <w:spacing w:after="0"/>
              <w:rPr>
                <w:sz w:val="16"/>
                <w:szCs w:val="16"/>
                <w:color w:val="auto"/>
              </w:rPr>
            </w:pPr>
          </w:p>
        </w:tc>
      </w:tr>
      <w:tr>
        <w:trPr>
          <w:trHeight w:val="194"/>
        </w:trPr>
        <w:tc>
          <w:tcPr>
            <w:tcW w:w="4120" w:type="dxa"/>
            <w:vAlign w:val="bottom"/>
          </w:tcPr>
          <w:p>
            <w:pPr>
              <w:ind w:left="980"/>
              <w:spacing w:after="0" w:line="194" w:lineRule="exact"/>
              <w:rPr>
                <w:sz w:val="20"/>
                <w:szCs w:val="20"/>
                <w:color w:val="auto"/>
              </w:rPr>
            </w:pPr>
            <w:r>
              <w:rPr>
                <w:rFonts w:ascii="Arial" w:cs="Arial" w:eastAsia="Arial" w:hAnsi="Arial"/>
                <w:sz w:val="17"/>
                <w:szCs w:val="17"/>
                <w:color w:val="auto"/>
              </w:rPr>
              <w:t>From 1 to 3 years</w:t>
            </w:r>
          </w:p>
        </w:tc>
        <w:tc>
          <w:tcPr>
            <w:tcW w:w="55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7,184,334</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5,604,911</w:t>
            </w:r>
          </w:p>
        </w:tc>
        <w:tc>
          <w:tcPr>
            <w:tcW w:w="180" w:type="dxa"/>
            <w:vAlign w:val="bottom"/>
          </w:tcPr>
          <w:p>
            <w:pPr>
              <w:spacing w:after="0"/>
              <w:rPr>
                <w:sz w:val="16"/>
                <w:szCs w:val="16"/>
                <w:color w:val="auto"/>
              </w:rPr>
            </w:pPr>
          </w:p>
        </w:tc>
      </w:tr>
      <w:tr>
        <w:trPr>
          <w:trHeight w:val="194"/>
        </w:trPr>
        <w:tc>
          <w:tcPr>
            <w:tcW w:w="4120" w:type="dxa"/>
            <w:vAlign w:val="bottom"/>
          </w:tcPr>
          <w:p>
            <w:pPr>
              <w:ind w:left="980"/>
              <w:spacing w:after="0" w:line="194" w:lineRule="exact"/>
              <w:rPr>
                <w:sz w:val="20"/>
                <w:szCs w:val="20"/>
                <w:color w:val="auto"/>
              </w:rPr>
            </w:pPr>
            <w:r>
              <w:rPr>
                <w:rFonts w:ascii="Arial" w:cs="Arial" w:eastAsia="Arial" w:hAnsi="Arial"/>
                <w:sz w:val="17"/>
                <w:szCs w:val="17"/>
                <w:color w:val="auto"/>
              </w:rPr>
              <w:t>From 3 to 5 years</w:t>
            </w:r>
          </w:p>
        </w:tc>
        <w:tc>
          <w:tcPr>
            <w:tcW w:w="55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388,396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4,645,415</w:t>
            </w:r>
          </w:p>
        </w:tc>
        <w:tc>
          <w:tcPr>
            <w:tcW w:w="180" w:type="dxa"/>
            <w:vAlign w:val="bottom"/>
          </w:tcPr>
          <w:p>
            <w:pPr>
              <w:spacing w:after="0"/>
              <w:rPr>
                <w:sz w:val="16"/>
                <w:szCs w:val="16"/>
                <w:color w:val="auto"/>
              </w:rPr>
            </w:pPr>
          </w:p>
        </w:tc>
      </w:tr>
      <w:tr>
        <w:trPr>
          <w:trHeight w:val="195"/>
        </w:trPr>
        <w:tc>
          <w:tcPr>
            <w:tcW w:w="4120" w:type="dxa"/>
            <w:vAlign w:val="bottom"/>
          </w:tcPr>
          <w:p>
            <w:pPr>
              <w:ind w:left="980"/>
              <w:spacing w:after="0"/>
              <w:rPr>
                <w:sz w:val="20"/>
                <w:szCs w:val="20"/>
                <w:color w:val="auto"/>
              </w:rPr>
            </w:pPr>
            <w:r>
              <w:rPr>
                <w:rFonts w:ascii="Arial" w:cs="Arial" w:eastAsia="Arial" w:hAnsi="Arial"/>
                <w:sz w:val="17"/>
                <w:szCs w:val="17"/>
                <w:color w:val="auto"/>
              </w:rPr>
              <w:t>More than 5 years</w:t>
            </w:r>
          </w:p>
        </w:tc>
        <w:tc>
          <w:tcPr>
            <w:tcW w:w="5540" w:type="dxa"/>
            <w:vAlign w:val="bottom"/>
            <w:gridSpan w:val="2"/>
          </w:tcPr>
          <w:p>
            <w:pPr>
              <w:jc w:val="right"/>
              <w:spacing w:after="0"/>
              <w:rPr>
                <w:sz w:val="20"/>
                <w:szCs w:val="20"/>
                <w:color w:val="auto"/>
              </w:rPr>
            </w:pPr>
            <w:r>
              <w:rPr>
                <w:rFonts w:ascii="Arial" w:cs="Arial" w:eastAsia="Arial" w:hAnsi="Arial"/>
                <w:sz w:val="17"/>
                <w:szCs w:val="17"/>
                <w:color w:val="auto"/>
              </w:rPr>
              <w:t>5,479,575</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5,980,849</w:t>
            </w:r>
          </w:p>
        </w:tc>
        <w:tc>
          <w:tcPr>
            <w:tcW w:w="180" w:type="dxa"/>
            <w:vAlign w:val="bottom"/>
          </w:tcPr>
          <w:p>
            <w:pPr>
              <w:spacing w:after="0"/>
              <w:rPr>
                <w:sz w:val="16"/>
                <w:szCs w:val="16"/>
                <w:color w:val="auto"/>
              </w:rPr>
            </w:pPr>
          </w:p>
        </w:tc>
      </w:tr>
      <w:tr>
        <w:trPr>
          <w:trHeight w:val="193"/>
        </w:trPr>
        <w:tc>
          <w:tcPr>
            <w:tcW w:w="4120" w:type="dxa"/>
            <w:vAlign w:val="bottom"/>
          </w:tcPr>
          <w:p>
            <w:pPr>
              <w:ind w:left="980"/>
              <w:spacing w:after="0" w:line="187" w:lineRule="exact"/>
              <w:rPr>
                <w:sz w:val="20"/>
                <w:szCs w:val="20"/>
                <w:color w:val="auto"/>
              </w:rPr>
            </w:pPr>
            <w:r>
              <w:rPr>
                <w:rFonts w:ascii="Arial" w:cs="Arial" w:eastAsia="Arial" w:hAnsi="Arial"/>
                <w:sz w:val="17"/>
                <w:szCs w:val="17"/>
                <w:color w:val="auto"/>
              </w:rPr>
              <w:t>Total</w:t>
            </w:r>
          </w:p>
        </w:tc>
        <w:tc>
          <w:tcPr>
            <w:tcW w:w="432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16,851,889</w:t>
            </w:r>
          </w:p>
        </w:tc>
        <w:tc>
          <w:tcPr>
            <w:tcW w:w="1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17,688,735</w:t>
            </w:r>
          </w:p>
        </w:tc>
        <w:tc>
          <w:tcPr>
            <w:tcW w:w="180" w:type="dxa"/>
            <w:vAlign w:val="bottom"/>
          </w:tcPr>
          <w:p>
            <w:pPr>
              <w:spacing w:after="0"/>
              <w:rPr>
                <w:sz w:val="16"/>
                <w:szCs w:val="16"/>
                <w:color w:val="auto"/>
              </w:rPr>
            </w:pPr>
          </w:p>
        </w:tc>
      </w:tr>
      <w:tr>
        <w:trPr>
          <w:trHeight w:val="570"/>
        </w:trPr>
        <w:tc>
          <w:tcPr>
            <w:tcW w:w="4120" w:type="dxa"/>
            <w:vAlign w:val="bottom"/>
          </w:tcPr>
          <w:p>
            <w:pPr>
              <w:spacing w:after="0"/>
              <w:rPr>
                <w:sz w:val="24"/>
                <w:szCs w:val="24"/>
                <w:color w:val="auto"/>
              </w:rPr>
            </w:pPr>
          </w:p>
        </w:tc>
        <w:tc>
          <w:tcPr>
            <w:tcW w:w="4320" w:type="dxa"/>
            <w:vAlign w:val="bottom"/>
          </w:tcPr>
          <w:p>
            <w:pPr>
              <w:jc w:val="right"/>
              <w:ind w:right="2494"/>
              <w:spacing w:after="0"/>
              <w:rPr>
                <w:sz w:val="20"/>
                <w:szCs w:val="20"/>
                <w:color w:val="auto"/>
              </w:rPr>
            </w:pPr>
            <w:r>
              <w:rPr>
                <w:rFonts w:ascii="Arial" w:cs="Arial" w:eastAsia="Arial" w:hAnsi="Arial"/>
                <w:sz w:val="17"/>
                <w:szCs w:val="17"/>
                <w:color w:val="auto"/>
              </w:rPr>
              <w:t>- 107 -</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8"/>
        </w:trPr>
        <w:tc>
          <w:tcPr>
            <w:tcW w:w="412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40" w:right="339" w:bottom="1440" w:gutter="0" w:footer="0" w:header="0"/>
        </w:sectPr>
      </w:pPr>
    </w:p>
    <w:bookmarkStart w:id="112" w:name="page113"/>
    <w:bookmarkEnd w:id="112"/>
    <w:p>
      <w:pPr>
        <w:ind w:left="620" w:hanging="616"/>
        <w:spacing w:after="0"/>
        <w:tabs>
          <w:tab w:leader="none" w:pos="62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EQUITY, NET</w:t>
      </w:r>
    </w:p>
    <w:p>
      <w:pPr>
        <w:spacing w:after="0" w:line="214" w:lineRule="exact"/>
        <w:rPr>
          <w:rFonts w:ascii="Arial" w:cs="Arial" w:eastAsia="Arial" w:hAnsi="Arial"/>
          <w:sz w:val="17"/>
          <w:szCs w:val="17"/>
          <w:b w:val="1"/>
          <w:bCs w:val="1"/>
          <w:color w:val="auto"/>
        </w:rPr>
      </w:pPr>
    </w:p>
    <w:p>
      <w:pPr>
        <w:ind w:left="940" w:hanging="315"/>
        <w:spacing w:after="0"/>
        <w:tabs>
          <w:tab w:leader="none" w:pos="9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Share Capital -</w:t>
      </w:r>
    </w:p>
    <w:p>
      <w:pPr>
        <w:spacing w:after="0" w:line="193" w:lineRule="exact"/>
        <w:rPr>
          <w:rFonts w:ascii="Arial" w:cs="Arial" w:eastAsia="Arial" w:hAnsi="Arial"/>
          <w:sz w:val="17"/>
          <w:szCs w:val="17"/>
          <w:color w:val="auto"/>
        </w:rPr>
      </w:pPr>
    </w:p>
    <w:p>
      <w:pPr>
        <w:ind w:left="940"/>
        <w:spacing w:after="0"/>
        <w:rPr>
          <w:rFonts w:ascii="Arial" w:cs="Arial" w:eastAsia="Arial" w:hAnsi="Arial"/>
          <w:sz w:val="17"/>
          <w:szCs w:val="17"/>
          <w:color w:val="auto"/>
        </w:rPr>
      </w:pPr>
      <w:r>
        <w:rPr>
          <w:rFonts w:ascii="Arial" w:cs="Arial" w:eastAsia="Arial" w:hAnsi="Arial"/>
          <w:sz w:val="17"/>
          <w:szCs w:val="17"/>
          <w:color w:val="auto"/>
        </w:rPr>
        <w:t>As of December 31, 2022, 2021 and 2020 a total of 94,382,317 shares have been issued at US$5 per share.</w:t>
      </w:r>
    </w:p>
    <w:p>
      <w:pPr>
        <w:spacing w:after="0" w:line="193" w:lineRule="exact"/>
        <w:rPr>
          <w:rFonts w:ascii="Arial" w:cs="Arial" w:eastAsia="Arial" w:hAnsi="Arial"/>
          <w:sz w:val="17"/>
          <w:szCs w:val="17"/>
          <w:color w:val="auto"/>
        </w:rPr>
      </w:pPr>
    </w:p>
    <w:p>
      <w:pPr>
        <w:ind w:left="940" w:hanging="315"/>
        <w:spacing w:after="0"/>
        <w:tabs>
          <w:tab w:leader="none" w:pos="9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Treasury shares -</w:t>
      </w:r>
    </w:p>
    <w:p>
      <w:pPr>
        <w:spacing w:after="0" w:line="193" w:lineRule="exact"/>
        <w:rPr>
          <w:rFonts w:ascii="Arial" w:cs="Arial" w:eastAsia="Arial" w:hAnsi="Arial"/>
          <w:sz w:val="17"/>
          <w:szCs w:val="17"/>
          <w:color w:val="auto"/>
        </w:rPr>
      </w:pPr>
    </w:p>
    <w:p>
      <w:pPr>
        <w:ind w:left="940"/>
        <w:spacing w:after="0"/>
        <w:rPr>
          <w:rFonts w:ascii="Arial" w:cs="Arial" w:eastAsia="Arial" w:hAnsi="Arial"/>
          <w:sz w:val="17"/>
          <w:szCs w:val="17"/>
          <w:color w:val="auto"/>
        </w:rPr>
      </w:pPr>
      <w:r>
        <w:rPr>
          <w:rFonts w:ascii="Arial" w:cs="Arial" w:eastAsia="Arial" w:hAnsi="Arial"/>
          <w:sz w:val="17"/>
          <w:szCs w:val="17"/>
          <w:color w:val="auto"/>
        </w:rPr>
        <w:t>We present below the shares of Credicorp Ltd., that the entities of the Group maintain as of December 31, 2022, 2021 and 2020:</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6020" w:type="dxa"/>
            <w:vAlign w:val="bottom"/>
          </w:tcPr>
          <w:p>
            <w:pPr>
              <w:spacing w:after="0"/>
              <w:rPr>
                <w:sz w:val="18"/>
                <w:szCs w:val="18"/>
                <w:color w:val="auto"/>
              </w:rPr>
            </w:pPr>
          </w:p>
        </w:tc>
        <w:tc>
          <w:tcPr>
            <w:tcW w:w="28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rPr>
              <w:t>Number of shares</w:t>
            </w:r>
          </w:p>
        </w:tc>
        <w:tc>
          <w:tcPr>
            <w:tcW w:w="1220" w:type="dxa"/>
            <w:vAlign w:val="bottom"/>
            <w:tcBorders>
              <w:bottom w:val="single" w:sz="8" w:color="auto"/>
            </w:tcBorders>
          </w:tcPr>
          <w:p>
            <w:pPr>
              <w:spacing w:after="0"/>
              <w:rPr>
                <w:sz w:val="18"/>
                <w:szCs w:val="18"/>
                <w:color w:val="auto"/>
              </w:rPr>
            </w:pPr>
          </w:p>
        </w:tc>
      </w:tr>
      <w:tr>
        <w:trPr>
          <w:trHeight w:val="164"/>
        </w:trPr>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40"/>
              <w:spacing w:after="0" w:line="164" w:lineRule="exact"/>
              <w:rPr>
                <w:sz w:val="20"/>
                <w:szCs w:val="20"/>
                <w:color w:val="auto"/>
              </w:rPr>
            </w:pPr>
            <w:r>
              <w:rPr>
                <w:rFonts w:ascii="Arial" w:cs="Arial" w:eastAsia="Arial" w:hAnsi="Arial"/>
                <w:sz w:val="17"/>
                <w:szCs w:val="17"/>
                <w:b w:val="1"/>
                <w:bCs w:val="1"/>
                <w:color w:val="auto"/>
              </w:rPr>
              <w:t>Shared-based</w:t>
            </w:r>
          </w:p>
        </w:tc>
        <w:tc>
          <w:tcPr>
            <w:tcW w:w="1220" w:type="dxa"/>
            <w:vAlign w:val="bottom"/>
          </w:tcPr>
          <w:p>
            <w:pPr>
              <w:spacing w:after="0"/>
              <w:rPr>
                <w:sz w:val="14"/>
                <w:szCs w:val="14"/>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7"/>
                <w:szCs w:val="17"/>
                <w:b w:val="1"/>
                <w:bCs w:val="1"/>
                <w:color w:val="auto"/>
              </w:rPr>
              <w:t>As of December 31, 2022</w:t>
            </w: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Treasury</w:t>
            </w:r>
          </w:p>
        </w:tc>
        <w:tc>
          <w:tcPr>
            <w:tcW w:w="220" w:type="dxa"/>
            <w:vAlign w:val="bottom"/>
          </w:tcPr>
          <w:p>
            <w:pPr>
              <w:spacing w:after="0"/>
              <w:rPr>
                <w:sz w:val="18"/>
                <w:szCs w:val="18"/>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payment (*)</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Total</w:t>
            </w:r>
          </w:p>
        </w:tc>
      </w:tr>
      <w:tr>
        <w:trPr>
          <w:trHeight w:val="381"/>
        </w:trPr>
        <w:tc>
          <w:tcPr>
            <w:tcW w:w="6020" w:type="dxa"/>
            <w:vAlign w:val="bottom"/>
          </w:tcPr>
          <w:p>
            <w:pPr>
              <w:spacing w:after="0"/>
              <w:rPr>
                <w:sz w:val="20"/>
                <w:szCs w:val="20"/>
                <w:color w:val="auto"/>
              </w:rPr>
            </w:pPr>
            <w:r>
              <w:rPr>
                <w:rFonts w:ascii="Arial" w:cs="Arial" w:eastAsia="Arial" w:hAnsi="Arial"/>
                <w:sz w:val="17"/>
                <w:szCs w:val="17"/>
                <w:color w:val="auto"/>
              </w:rPr>
              <w:t>Atlantic Security Holding Corporation</w:t>
            </w:r>
          </w:p>
        </w:tc>
        <w:tc>
          <w:tcPr>
            <w:tcW w:w="1220" w:type="dxa"/>
            <w:vAlign w:val="bottom"/>
          </w:tcPr>
          <w:p>
            <w:pPr>
              <w:jc w:val="right"/>
              <w:spacing w:after="0"/>
              <w:rPr>
                <w:sz w:val="20"/>
                <w:szCs w:val="20"/>
                <w:color w:val="auto"/>
              </w:rPr>
            </w:pPr>
            <w:r>
              <w:rPr>
                <w:rFonts w:ascii="Arial" w:cs="Arial" w:eastAsia="Arial" w:hAnsi="Arial"/>
                <w:sz w:val="17"/>
                <w:szCs w:val="17"/>
                <w:color w:val="auto"/>
              </w:rPr>
              <w:t>14,620,846</w:t>
            </w:r>
          </w:p>
        </w:tc>
        <w:tc>
          <w:tcPr>
            <w:tcW w:w="2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14,620,846</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BCP</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120,505</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120,505</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Grupo Crédito</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23,214</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23,214</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Pacífico Seguros</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20,606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20,606</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Credicorp Capital Servicios Financieros</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15,007</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15,007</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MiBanco</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14,260</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14,260</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ASB Bank Corp.</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11,791</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11,791</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Prima AFP</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5,406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5,406</w:t>
            </w:r>
          </w:p>
        </w:tc>
      </w:tr>
      <w:tr>
        <w:trPr>
          <w:trHeight w:val="195"/>
        </w:trPr>
        <w:tc>
          <w:tcPr>
            <w:tcW w:w="6020" w:type="dxa"/>
            <w:vAlign w:val="bottom"/>
          </w:tcPr>
          <w:p>
            <w:pPr>
              <w:spacing w:after="0"/>
              <w:rPr>
                <w:sz w:val="20"/>
                <w:szCs w:val="20"/>
                <w:color w:val="auto"/>
              </w:rPr>
            </w:pPr>
            <w:r>
              <w:rPr>
                <w:rFonts w:ascii="Arial" w:cs="Arial" w:eastAsia="Arial" w:hAnsi="Arial"/>
                <w:sz w:val="17"/>
                <w:szCs w:val="17"/>
                <w:color w:val="auto"/>
              </w:rPr>
              <w:t>Other minors</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17,588</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17,588</w:t>
            </w:r>
          </w:p>
        </w:tc>
      </w:tr>
      <w:tr>
        <w:trPr>
          <w:trHeight w:val="193"/>
        </w:trPr>
        <w:tc>
          <w:tcPr>
            <w:tcW w:w="602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14,620,846</w:t>
            </w:r>
          </w:p>
        </w:tc>
        <w:tc>
          <w:tcPr>
            <w:tcW w:w="22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228,377</w:t>
            </w:r>
          </w:p>
        </w:tc>
        <w:tc>
          <w:tcPr>
            <w:tcW w:w="1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14,849,223</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rPr>
              <w:t>Number of shares</w:t>
            </w:r>
          </w:p>
        </w:tc>
        <w:tc>
          <w:tcPr>
            <w:tcW w:w="1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64"/>
        </w:trPr>
        <w:tc>
          <w:tcPr>
            <w:tcW w:w="4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40"/>
              <w:spacing w:after="0" w:line="164" w:lineRule="exact"/>
              <w:rPr>
                <w:sz w:val="20"/>
                <w:szCs w:val="20"/>
                <w:color w:val="auto"/>
              </w:rPr>
            </w:pPr>
            <w:r>
              <w:rPr>
                <w:rFonts w:ascii="Arial" w:cs="Arial" w:eastAsia="Arial" w:hAnsi="Arial"/>
                <w:sz w:val="17"/>
                <w:szCs w:val="17"/>
                <w:b w:val="1"/>
                <w:bCs w:val="1"/>
                <w:color w:val="auto"/>
              </w:rPr>
              <w:t>Shared-based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7"/>
        </w:trPr>
        <w:tc>
          <w:tcPr>
            <w:tcW w:w="4720" w:type="dxa"/>
            <w:vAlign w:val="bottom"/>
          </w:tcPr>
          <w:p>
            <w:pPr>
              <w:ind w:left="980"/>
              <w:spacing w:after="0"/>
              <w:rPr>
                <w:sz w:val="20"/>
                <w:szCs w:val="20"/>
                <w:color w:val="auto"/>
              </w:rPr>
            </w:pPr>
            <w:r>
              <w:rPr>
                <w:rFonts w:ascii="Arial" w:cs="Arial" w:eastAsia="Arial" w:hAnsi="Arial"/>
                <w:sz w:val="17"/>
                <w:szCs w:val="17"/>
                <w:b w:val="1"/>
                <w:bCs w:val="1"/>
                <w:color w:val="auto"/>
              </w:rPr>
              <w:t>As of December 31, 2021</w:t>
            </w:r>
          </w:p>
        </w:tc>
        <w:tc>
          <w:tcPr>
            <w:tcW w:w="2280" w:type="dxa"/>
            <w:vAlign w:val="bottom"/>
          </w:tcPr>
          <w:p>
            <w:pPr>
              <w:spacing w:after="0"/>
              <w:rPr>
                <w:sz w:val="18"/>
                <w:szCs w:val="18"/>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Treasury</w:t>
            </w:r>
          </w:p>
        </w:tc>
        <w:tc>
          <w:tcPr>
            <w:tcW w:w="220" w:type="dxa"/>
            <w:vAlign w:val="bottom"/>
          </w:tcPr>
          <w:p>
            <w:pPr>
              <w:spacing w:after="0"/>
              <w:rPr>
                <w:sz w:val="18"/>
                <w:szCs w:val="18"/>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payment (*)</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spacing w:after="0"/>
              <w:rPr>
                <w:sz w:val="18"/>
                <w:szCs w:val="18"/>
                <w:color w:val="auto"/>
              </w:rPr>
            </w:pPr>
          </w:p>
        </w:tc>
      </w:tr>
      <w:tr>
        <w:trPr>
          <w:trHeight w:val="381"/>
        </w:trPr>
        <w:tc>
          <w:tcPr>
            <w:tcW w:w="4720" w:type="dxa"/>
            <w:vAlign w:val="bottom"/>
          </w:tcPr>
          <w:p>
            <w:pPr>
              <w:ind w:left="980"/>
              <w:spacing w:after="0"/>
              <w:rPr>
                <w:sz w:val="20"/>
                <w:szCs w:val="20"/>
                <w:color w:val="auto"/>
              </w:rPr>
            </w:pPr>
            <w:r>
              <w:rPr>
                <w:rFonts w:ascii="Arial" w:cs="Arial" w:eastAsia="Arial" w:hAnsi="Arial"/>
                <w:sz w:val="17"/>
                <w:szCs w:val="17"/>
                <w:color w:val="auto"/>
              </w:rPr>
              <w:t>Atlantic Security Holding Corporation</w:t>
            </w:r>
          </w:p>
        </w:tc>
        <w:tc>
          <w:tcPr>
            <w:tcW w:w="3500" w:type="dxa"/>
            <w:vAlign w:val="bottom"/>
            <w:gridSpan w:val="2"/>
          </w:tcPr>
          <w:p>
            <w:pPr>
              <w:jc w:val="right"/>
              <w:spacing w:after="0"/>
              <w:rPr>
                <w:sz w:val="20"/>
                <w:szCs w:val="20"/>
                <w:color w:val="auto"/>
              </w:rPr>
            </w:pPr>
            <w:r>
              <w:rPr>
                <w:rFonts w:ascii="Arial" w:cs="Arial" w:eastAsia="Arial" w:hAnsi="Arial"/>
                <w:sz w:val="17"/>
                <w:szCs w:val="17"/>
                <w:color w:val="auto"/>
              </w:rPr>
              <w:t>14,620,846</w:t>
            </w:r>
          </w:p>
        </w:tc>
        <w:tc>
          <w:tcPr>
            <w:tcW w:w="2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14,620,846</w:t>
            </w:r>
          </w:p>
        </w:tc>
        <w:tc>
          <w:tcPr>
            <w:tcW w:w="180" w:type="dxa"/>
            <w:vAlign w:val="bottom"/>
          </w:tcPr>
          <w:p>
            <w:pPr>
              <w:spacing w:after="0"/>
              <w:rPr>
                <w:sz w:val="24"/>
                <w:szCs w:val="24"/>
                <w:color w:val="auto"/>
              </w:rPr>
            </w:pPr>
          </w:p>
        </w:tc>
      </w:tr>
      <w:tr>
        <w:trPr>
          <w:trHeight w:val="194"/>
        </w:trPr>
        <w:tc>
          <w:tcPr>
            <w:tcW w:w="4720" w:type="dxa"/>
            <w:vAlign w:val="bottom"/>
          </w:tcPr>
          <w:p>
            <w:pPr>
              <w:ind w:left="980"/>
              <w:spacing w:after="0" w:line="194" w:lineRule="exact"/>
              <w:rPr>
                <w:sz w:val="20"/>
                <w:szCs w:val="20"/>
                <w:color w:val="auto"/>
              </w:rPr>
            </w:pPr>
            <w:r>
              <w:rPr>
                <w:rFonts w:ascii="Arial" w:cs="Arial" w:eastAsia="Arial" w:hAnsi="Arial"/>
                <w:sz w:val="17"/>
                <w:szCs w:val="17"/>
                <w:color w:val="auto"/>
              </w:rPr>
              <w:t>BCP</w:t>
            </w:r>
          </w:p>
        </w:tc>
        <w:tc>
          <w:tcPr>
            <w:tcW w:w="2280" w:type="dxa"/>
            <w:vAlign w:val="bottom"/>
          </w:tcPr>
          <w:p>
            <w:pPr>
              <w:spacing w:after="0"/>
              <w:rPr>
                <w:sz w:val="16"/>
                <w:szCs w:val="16"/>
                <w:color w:val="auto"/>
              </w:rPr>
            </w:pP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134,133</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134,133</w:t>
            </w:r>
          </w:p>
        </w:tc>
        <w:tc>
          <w:tcPr>
            <w:tcW w:w="180" w:type="dxa"/>
            <w:vAlign w:val="bottom"/>
          </w:tcPr>
          <w:p>
            <w:pPr>
              <w:spacing w:after="0"/>
              <w:rPr>
                <w:sz w:val="16"/>
                <w:szCs w:val="16"/>
                <w:color w:val="auto"/>
              </w:rPr>
            </w:pPr>
          </w:p>
        </w:tc>
      </w:tr>
      <w:tr>
        <w:trPr>
          <w:trHeight w:val="194"/>
        </w:trPr>
        <w:tc>
          <w:tcPr>
            <w:tcW w:w="4720" w:type="dxa"/>
            <w:vAlign w:val="bottom"/>
          </w:tcPr>
          <w:p>
            <w:pPr>
              <w:ind w:left="980"/>
              <w:spacing w:after="0" w:line="194" w:lineRule="exact"/>
              <w:rPr>
                <w:sz w:val="20"/>
                <w:szCs w:val="20"/>
                <w:color w:val="auto"/>
              </w:rPr>
            </w:pPr>
            <w:r>
              <w:rPr>
                <w:rFonts w:ascii="Arial" w:cs="Arial" w:eastAsia="Arial" w:hAnsi="Arial"/>
                <w:sz w:val="17"/>
                <w:szCs w:val="17"/>
                <w:color w:val="auto"/>
              </w:rPr>
              <w:t>Pacífico Seguros</w:t>
            </w:r>
          </w:p>
        </w:tc>
        <w:tc>
          <w:tcPr>
            <w:tcW w:w="2280" w:type="dxa"/>
            <w:vAlign w:val="bottom"/>
          </w:tcPr>
          <w:p>
            <w:pPr>
              <w:spacing w:after="0"/>
              <w:rPr>
                <w:sz w:val="16"/>
                <w:szCs w:val="16"/>
                <w:color w:val="auto"/>
              </w:rPr>
            </w:pP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22,966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22,966</w:t>
            </w:r>
          </w:p>
        </w:tc>
        <w:tc>
          <w:tcPr>
            <w:tcW w:w="180" w:type="dxa"/>
            <w:vAlign w:val="bottom"/>
          </w:tcPr>
          <w:p>
            <w:pPr>
              <w:spacing w:after="0"/>
              <w:rPr>
                <w:sz w:val="16"/>
                <w:szCs w:val="16"/>
                <w:color w:val="auto"/>
              </w:rPr>
            </w:pPr>
          </w:p>
        </w:tc>
      </w:tr>
      <w:tr>
        <w:trPr>
          <w:trHeight w:val="194"/>
        </w:trPr>
        <w:tc>
          <w:tcPr>
            <w:tcW w:w="4720" w:type="dxa"/>
            <w:vAlign w:val="bottom"/>
          </w:tcPr>
          <w:p>
            <w:pPr>
              <w:ind w:left="980"/>
              <w:spacing w:after="0" w:line="194" w:lineRule="exact"/>
              <w:rPr>
                <w:sz w:val="20"/>
                <w:szCs w:val="20"/>
                <w:color w:val="auto"/>
              </w:rPr>
            </w:pPr>
            <w:r>
              <w:rPr>
                <w:rFonts w:ascii="Arial" w:cs="Arial" w:eastAsia="Arial" w:hAnsi="Arial"/>
                <w:sz w:val="17"/>
                <w:szCs w:val="17"/>
                <w:color w:val="auto"/>
              </w:rPr>
              <w:t>Credicorp Capital Servicios Financieros</w:t>
            </w:r>
          </w:p>
        </w:tc>
        <w:tc>
          <w:tcPr>
            <w:tcW w:w="2280" w:type="dxa"/>
            <w:vAlign w:val="bottom"/>
          </w:tcPr>
          <w:p>
            <w:pPr>
              <w:spacing w:after="0"/>
              <w:rPr>
                <w:sz w:val="16"/>
                <w:szCs w:val="16"/>
                <w:color w:val="auto"/>
              </w:rPr>
            </w:pP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15,561</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15,561</w:t>
            </w:r>
          </w:p>
        </w:tc>
        <w:tc>
          <w:tcPr>
            <w:tcW w:w="180" w:type="dxa"/>
            <w:vAlign w:val="bottom"/>
          </w:tcPr>
          <w:p>
            <w:pPr>
              <w:spacing w:after="0"/>
              <w:rPr>
                <w:sz w:val="16"/>
                <w:szCs w:val="16"/>
                <w:color w:val="auto"/>
              </w:rPr>
            </w:pPr>
          </w:p>
        </w:tc>
      </w:tr>
      <w:tr>
        <w:trPr>
          <w:trHeight w:val="194"/>
        </w:trPr>
        <w:tc>
          <w:tcPr>
            <w:tcW w:w="4720" w:type="dxa"/>
            <w:vAlign w:val="bottom"/>
          </w:tcPr>
          <w:p>
            <w:pPr>
              <w:ind w:left="980"/>
              <w:spacing w:after="0" w:line="194" w:lineRule="exact"/>
              <w:rPr>
                <w:sz w:val="20"/>
                <w:szCs w:val="20"/>
                <w:color w:val="auto"/>
              </w:rPr>
            </w:pPr>
            <w:r>
              <w:rPr>
                <w:rFonts w:ascii="Arial" w:cs="Arial" w:eastAsia="Arial" w:hAnsi="Arial"/>
                <w:sz w:val="17"/>
                <w:szCs w:val="17"/>
                <w:color w:val="auto"/>
              </w:rPr>
              <w:t>MiBanco</w:t>
            </w:r>
          </w:p>
        </w:tc>
        <w:tc>
          <w:tcPr>
            <w:tcW w:w="2280" w:type="dxa"/>
            <w:vAlign w:val="bottom"/>
          </w:tcPr>
          <w:p>
            <w:pPr>
              <w:spacing w:after="0"/>
              <w:rPr>
                <w:sz w:val="16"/>
                <w:szCs w:val="16"/>
                <w:color w:val="auto"/>
              </w:rPr>
            </w:pP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14,418</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14,418</w:t>
            </w:r>
          </w:p>
        </w:tc>
        <w:tc>
          <w:tcPr>
            <w:tcW w:w="180" w:type="dxa"/>
            <w:vAlign w:val="bottom"/>
          </w:tcPr>
          <w:p>
            <w:pPr>
              <w:spacing w:after="0"/>
              <w:rPr>
                <w:sz w:val="16"/>
                <w:szCs w:val="16"/>
                <w:color w:val="auto"/>
              </w:rPr>
            </w:pPr>
          </w:p>
        </w:tc>
      </w:tr>
      <w:tr>
        <w:trPr>
          <w:trHeight w:val="194"/>
        </w:trPr>
        <w:tc>
          <w:tcPr>
            <w:tcW w:w="4720" w:type="dxa"/>
            <w:vAlign w:val="bottom"/>
          </w:tcPr>
          <w:p>
            <w:pPr>
              <w:ind w:left="980"/>
              <w:spacing w:after="0" w:line="194" w:lineRule="exact"/>
              <w:rPr>
                <w:sz w:val="20"/>
                <w:szCs w:val="20"/>
                <w:color w:val="auto"/>
              </w:rPr>
            </w:pPr>
            <w:r>
              <w:rPr>
                <w:rFonts w:ascii="Arial" w:cs="Arial" w:eastAsia="Arial" w:hAnsi="Arial"/>
                <w:sz w:val="17"/>
                <w:szCs w:val="17"/>
                <w:color w:val="auto"/>
              </w:rPr>
              <w:t>ASB Bank Corp. (Atlantic Security Bank)</w:t>
            </w:r>
          </w:p>
        </w:tc>
        <w:tc>
          <w:tcPr>
            <w:tcW w:w="2280" w:type="dxa"/>
            <w:vAlign w:val="bottom"/>
          </w:tcPr>
          <w:p>
            <w:pPr>
              <w:spacing w:after="0"/>
              <w:rPr>
                <w:sz w:val="16"/>
                <w:szCs w:val="16"/>
                <w:color w:val="auto"/>
              </w:rPr>
            </w:pP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11,193</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11,193</w:t>
            </w:r>
          </w:p>
        </w:tc>
        <w:tc>
          <w:tcPr>
            <w:tcW w:w="180" w:type="dxa"/>
            <w:vAlign w:val="bottom"/>
          </w:tcPr>
          <w:p>
            <w:pPr>
              <w:spacing w:after="0"/>
              <w:rPr>
                <w:sz w:val="16"/>
                <w:szCs w:val="16"/>
                <w:color w:val="auto"/>
              </w:rPr>
            </w:pPr>
          </w:p>
        </w:tc>
      </w:tr>
      <w:tr>
        <w:trPr>
          <w:trHeight w:val="194"/>
        </w:trPr>
        <w:tc>
          <w:tcPr>
            <w:tcW w:w="4720" w:type="dxa"/>
            <w:vAlign w:val="bottom"/>
          </w:tcPr>
          <w:p>
            <w:pPr>
              <w:ind w:left="980"/>
              <w:spacing w:after="0" w:line="194" w:lineRule="exact"/>
              <w:rPr>
                <w:sz w:val="20"/>
                <w:szCs w:val="20"/>
                <w:color w:val="auto"/>
              </w:rPr>
            </w:pPr>
            <w:r>
              <w:rPr>
                <w:rFonts w:ascii="Arial" w:cs="Arial" w:eastAsia="Arial" w:hAnsi="Arial"/>
                <w:sz w:val="17"/>
                <w:szCs w:val="17"/>
                <w:color w:val="auto"/>
              </w:rPr>
              <w:t>Grupo Crédito</w:t>
            </w:r>
          </w:p>
        </w:tc>
        <w:tc>
          <w:tcPr>
            <w:tcW w:w="2280" w:type="dxa"/>
            <w:vAlign w:val="bottom"/>
          </w:tcPr>
          <w:p>
            <w:pPr>
              <w:spacing w:after="0"/>
              <w:rPr>
                <w:sz w:val="16"/>
                <w:szCs w:val="16"/>
                <w:color w:val="auto"/>
              </w:rPr>
            </w:pP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7,871</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7,871</w:t>
            </w:r>
          </w:p>
        </w:tc>
        <w:tc>
          <w:tcPr>
            <w:tcW w:w="180" w:type="dxa"/>
            <w:vAlign w:val="bottom"/>
          </w:tcPr>
          <w:p>
            <w:pPr>
              <w:spacing w:after="0"/>
              <w:rPr>
                <w:sz w:val="16"/>
                <w:szCs w:val="16"/>
                <w:color w:val="auto"/>
              </w:rPr>
            </w:pPr>
          </w:p>
        </w:tc>
      </w:tr>
      <w:tr>
        <w:trPr>
          <w:trHeight w:val="194"/>
        </w:trPr>
        <w:tc>
          <w:tcPr>
            <w:tcW w:w="4720" w:type="dxa"/>
            <w:vAlign w:val="bottom"/>
          </w:tcPr>
          <w:p>
            <w:pPr>
              <w:ind w:left="980"/>
              <w:spacing w:after="0" w:line="194" w:lineRule="exact"/>
              <w:rPr>
                <w:sz w:val="20"/>
                <w:szCs w:val="20"/>
                <w:color w:val="auto"/>
              </w:rPr>
            </w:pPr>
            <w:r>
              <w:rPr>
                <w:rFonts w:ascii="Arial" w:cs="Arial" w:eastAsia="Arial" w:hAnsi="Arial"/>
                <w:sz w:val="17"/>
                <w:szCs w:val="17"/>
                <w:color w:val="auto"/>
              </w:rPr>
              <w:t>Prima AFP</w:t>
            </w:r>
          </w:p>
        </w:tc>
        <w:tc>
          <w:tcPr>
            <w:tcW w:w="2280" w:type="dxa"/>
            <w:vAlign w:val="bottom"/>
          </w:tcPr>
          <w:p>
            <w:pPr>
              <w:spacing w:after="0"/>
              <w:rPr>
                <w:sz w:val="16"/>
                <w:szCs w:val="16"/>
                <w:color w:val="auto"/>
              </w:rPr>
            </w:pP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6,406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6,406</w:t>
            </w:r>
          </w:p>
        </w:tc>
        <w:tc>
          <w:tcPr>
            <w:tcW w:w="180" w:type="dxa"/>
            <w:vAlign w:val="bottom"/>
          </w:tcPr>
          <w:p>
            <w:pPr>
              <w:spacing w:after="0"/>
              <w:rPr>
                <w:sz w:val="16"/>
                <w:szCs w:val="16"/>
                <w:color w:val="auto"/>
              </w:rPr>
            </w:pPr>
          </w:p>
        </w:tc>
      </w:tr>
      <w:tr>
        <w:trPr>
          <w:trHeight w:val="195"/>
        </w:trPr>
        <w:tc>
          <w:tcPr>
            <w:tcW w:w="4720" w:type="dxa"/>
            <w:vAlign w:val="bottom"/>
          </w:tcPr>
          <w:p>
            <w:pPr>
              <w:ind w:left="980"/>
              <w:spacing w:after="0"/>
              <w:rPr>
                <w:sz w:val="20"/>
                <w:szCs w:val="20"/>
                <w:color w:val="auto"/>
              </w:rPr>
            </w:pPr>
            <w:r>
              <w:rPr>
                <w:rFonts w:ascii="Arial" w:cs="Arial" w:eastAsia="Arial" w:hAnsi="Arial"/>
                <w:sz w:val="17"/>
                <w:szCs w:val="17"/>
                <w:color w:val="auto"/>
              </w:rPr>
              <w:t>Other minors</w:t>
            </w:r>
          </w:p>
        </w:tc>
        <w:tc>
          <w:tcPr>
            <w:tcW w:w="228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16,975</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16,975</w:t>
            </w:r>
          </w:p>
        </w:tc>
        <w:tc>
          <w:tcPr>
            <w:tcW w:w="18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14,620,846</w:t>
            </w:r>
          </w:p>
        </w:tc>
        <w:tc>
          <w:tcPr>
            <w:tcW w:w="22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229,523</w:t>
            </w:r>
          </w:p>
        </w:tc>
        <w:tc>
          <w:tcPr>
            <w:tcW w:w="1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14,850,369</w:t>
            </w:r>
          </w:p>
        </w:tc>
        <w:tc>
          <w:tcPr>
            <w:tcW w:w="180" w:type="dxa"/>
            <w:vAlign w:val="bottom"/>
          </w:tcPr>
          <w:p>
            <w:pPr>
              <w:spacing w:after="0"/>
              <w:rPr>
                <w:sz w:val="16"/>
                <w:szCs w:val="16"/>
                <w:color w:val="auto"/>
              </w:rPr>
            </w:pPr>
          </w:p>
        </w:tc>
      </w:tr>
      <w:tr>
        <w:trPr>
          <w:trHeight w:val="570"/>
        </w:trPr>
        <w:tc>
          <w:tcPr>
            <w:tcW w:w="4720" w:type="dxa"/>
            <w:vAlign w:val="bottom"/>
          </w:tcPr>
          <w:p>
            <w:pPr>
              <w:spacing w:after="0"/>
              <w:rPr>
                <w:sz w:val="24"/>
                <w:szCs w:val="24"/>
                <w:color w:val="auto"/>
              </w:rPr>
            </w:pPr>
          </w:p>
        </w:tc>
        <w:tc>
          <w:tcPr>
            <w:tcW w:w="2280" w:type="dxa"/>
            <w:vAlign w:val="bottom"/>
          </w:tcPr>
          <w:p>
            <w:pPr>
              <w:jc w:val="right"/>
              <w:ind w:right="1054"/>
              <w:spacing w:after="0"/>
              <w:rPr>
                <w:sz w:val="20"/>
                <w:szCs w:val="20"/>
                <w:color w:val="auto"/>
              </w:rPr>
            </w:pPr>
            <w:r>
              <w:rPr>
                <w:rFonts w:ascii="Arial" w:cs="Arial" w:eastAsia="Arial" w:hAnsi="Arial"/>
                <w:sz w:val="17"/>
                <w:szCs w:val="17"/>
                <w:color w:val="auto"/>
              </w:rPr>
              <w:t>- 108 -</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8"/>
        </w:trPr>
        <w:tc>
          <w:tcPr>
            <w:tcW w:w="47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8" w:right="339" w:bottom="1440" w:gutter="0" w:footer="0" w:header="0"/>
        </w:sectPr>
      </w:pPr>
    </w:p>
    <w:bookmarkStart w:id="113" w:name="page114"/>
    <w:bookmarkEnd w:id="113"/>
    <w:p>
      <w:pPr>
        <w:spacing w:after="0" w:line="1" w:lineRule="exact"/>
        <w:rPr>
          <w:sz w:val="20"/>
          <w:szCs w:val="20"/>
          <w:color w:val="auto"/>
        </w:rPr>
      </w:pPr>
    </w:p>
    <w:tbl>
      <w:tblPr>
        <w:tblLayout w:type="fixed"/>
        <w:tblInd w:w="44" w:type="dxa"/>
        <w:tblCellMar>
          <w:top w:w="0" w:type="dxa"/>
          <w:left w:w="0" w:type="dxa"/>
          <w:bottom w:w="0" w:type="dxa"/>
          <w:right w:w="0" w:type="dxa"/>
        </w:tblCellMar>
      </w:tblPr>
      <w:tr>
        <w:trPr>
          <w:trHeight w:val="217"/>
        </w:trPr>
        <w:tc>
          <w:tcPr>
            <w:tcW w:w="6020" w:type="dxa"/>
            <w:vAlign w:val="bottom"/>
          </w:tcPr>
          <w:p>
            <w:pPr>
              <w:spacing w:after="0"/>
              <w:rPr>
                <w:sz w:val="18"/>
                <w:szCs w:val="18"/>
                <w:color w:val="auto"/>
              </w:rPr>
            </w:pPr>
          </w:p>
        </w:tc>
        <w:tc>
          <w:tcPr>
            <w:tcW w:w="28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rPr>
              <w:t>Number of shares</w:t>
            </w:r>
          </w:p>
        </w:tc>
        <w:tc>
          <w:tcPr>
            <w:tcW w:w="1220" w:type="dxa"/>
            <w:vAlign w:val="bottom"/>
            <w:tcBorders>
              <w:bottom w:val="single" w:sz="8" w:color="auto"/>
            </w:tcBorders>
          </w:tcPr>
          <w:p>
            <w:pPr>
              <w:spacing w:after="0"/>
              <w:rPr>
                <w:sz w:val="18"/>
                <w:szCs w:val="18"/>
                <w:color w:val="auto"/>
              </w:rPr>
            </w:pPr>
          </w:p>
        </w:tc>
      </w:tr>
      <w:tr>
        <w:trPr>
          <w:trHeight w:val="164"/>
        </w:trPr>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40"/>
              <w:spacing w:after="0" w:line="164" w:lineRule="exact"/>
              <w:rPr>
                <w:sz w:val="20"/>
                <w:szCs w:val="20"/>
                <w:color w:val="auto"/>
              </w:rPr>
            </w:pPr>
            <w:r>
              <w:rPr>
                <w:rFonts w:ascii="Arial" w:cs="Arial" w:eastAsia="Arial" w:hAnsi="Arial"/>
                <w:sz w:val="17"/>
                <w:szCs w:val="17"/>
                <w:b w:val="1"/>
                <w:bCs w:val="1"/>
                <w:color w:val="auto"/>
              </w:rPr>
              <w:t>Shared-based</w:t>
            </w:r>
          </w:p>
        </w:tc>
        <w:tc>
          <w:tcPr>
            <w:tcW w:w="1220" w:type="dxa"/>
            <w:vAlign w:val="bottom"/>
          </w:tcPr>
          <w:p>
            <w:pPr>
              <w:spacing w:after="0"/>
              <w:rPr>
                <w:sz w:val="14"/>
                <w:szCs w:val="14"/>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7"/>
                <w:szCs w:val="17"/>
                <w:b w:val="1"/>
                <w:bCs w:val="1"/>
                <w:color w:val="auto"/>
              </w:rPr>
              <w:t>As of December 31, 2020</w:t>
            </w: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Treasury</w:t>
            </w:r>
          </w:p>
        </w:tc>
        <w:tc>
          <w:tcPr>
            <w:tcW w:w="220" w:type="dxa"/>
            <w:vAlign w:val="bottom"/>
          </w:tcPr>
          <w:p>
            <w:pPr>
              <w:spacing w:after="0"/>
              <w:rPr>
                <w:sz w:val="18"/>
                <w:szCs w:val="18"/>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payment (*)</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Total</w:t>
            </w:r>
          </w:p>
        </w:tc>
      </w:tr>
      <w:tr>
        <w:trPr>
          <w:trHeight w:val="381"/>
        </w:trPr>
        <w:tc>
          <w:tcPr>
            <w:tcW w:w="6020" w:type="dxa"/>
            <w:vAlign w:val="bottom"/>
          </w:tcPr>
          <w:p>
            <w:pPr>
              <w:spacing w:after="0"/>
              <w:rPr>
                <w:sz w:val="20"/>
                <w:szCs w:val="20"/>
                <w:color w:val="auto"/>
              </w:rPr>
            </w:pPr>
            <w:r>
              <w:rPr>
                <w:rFonts w:ascii="Arial" w:cs="Arial" w:eastAsia="Arial" w:hAnsi="Arial"/>
                <w:sz w:val="17"/>
                <w:szCs w:val="17"/>
                <w:color w:val="auto"/>
              </w:rPr>
              <w:t>Atlantic Security Holding Corporation</w:t>
            </w:r>
          </w:p>
        </w:tc>
        <w:tc>
          <w:tcPr>
            <w:tcW w:w="1220" w:type="dxa"/>
            <w:vAlign w:val="bottom"/>
          </w:tcPr>
          <w:p>
            <w:pPr>
              <w:jc w:val="right"/>
              <w:spacing w:after="0"/>
              <w:rPr>
                <w:sz w:val="20"/>
                <w:szCs w:val="20"/>
                <w:color w:val="auto"/>
              </w:rPr>
            </w:pPr>
            <w:r>
              <w:rPr>
                <w:rFonts w:ascii="Arial" w:cs="Arial" w:eastAsia="Arial" w:hAnsi="Arial"/>
                <w:sz w:val="17"/>
                <w:szCs w:val="17"/>
                <w:color w:val="auto"/>
              </w:rPr>
              <w:t>14,620,846</w:t>
            </w:r>
          </w:p>
        </w:tc>
        <w:tc>
          <w:tcPr>
            <w:tcW w:w="2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14,620,846</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BCP</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159,339</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159,339</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Grupo Crédito</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32,512</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32,512</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Pacífico Seguros</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29,845</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29,845</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Credicorp Capital Servicios Financieros</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17,598</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17,598</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MiBanco</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14,872</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14,872</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ASB Bank Corp. (Atlantic Security Bank)</w:t>
            </w:r>
          </w:p>
        </w:tc>
        <w:tc>
          <w:tcPr>
            <w:tcW w:w="14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11,434</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11,434</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Prima AFP</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7,664</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7,664</w:t>
            </w:r>
          </w:p>
        </w:tc>
      </w:tr>
      <w:tr>
        <w:trPr>
          <w:trHeight w:val="195"/>
        </w:trPr>
        <w:tc>
          <w:tcPr>
            <w:tcW w:w="6020" w:type="dxa"/>
            <w:vAlign w:val="bottom"/>
          </w:tcPr>
          <w:p>
            <w:pPr>
              <w:spacing w:after="0"/>
              <w:rPr>
                <w:sz w:val="20"/>
                <w:szCs w:val="20"/>
                <w:color w:val="auto"/>
              </w:rPr>
            </w:pPr>
            <w:r>
              <w:rPr>
                <w:rFonts w:ascii="Arial" w:cs="Arial" w:eastAsia="Arial" w:hAnsi="Arial"/>
                <w:sz w:val="17"/>
                <w:szCs w:val="17"/>
                <w:color w:val="auto"/>
              </w:rPr>
              <w:t>Other minors</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20,342</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20,342</w:t>
            </w:r>
          </w:p>
        </w:tc>
      </w:tr>
      <w:tr>
        <w:trPr>
          <w:trHeight w:val="193"/>
        </w:trPr>
        <w:tc>
          <w:tcPr>
            <w:tcW w:w="602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14,620,846</w:t>
            </w:r>
          </w:p>
        </w:tc>
        <w:tc>
          <w:tcPr>
            <w:tcW w:w="22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293,606</w:t>
            </w:r>
          </w:p>
        </w:tc>
        <w:tc>
          <w:tcPr>
            <w:tcW w:w="1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14,914,452</w:t>
            </w:r>
          </w:p>
        </w:tc>
      </w:tr>
    </w:tbl>
    <w:p>
      <w:pPr>
        <w:spacing w:after="0" w:line="206" w:lineRule="exact"/>
        <w:rPr>
          <w:sz w:val="20"/>
          <w:szCs w:val="20"/>
          <w:color w:val="auto"/>
        </w:rPr>
      </w:pPr>
    </w:p>
    <w:p>
      <w:pPr>
        <w:ind w:left="304" w:hanging="304"/>
        <w:spacing w:after="0" w:line="254" w:lineRule="auto"/>
        <w:tabs>
          <w:tab w:leader="none" w:pos="30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It comprises treasury shares that were granted to employees and senior management, for which they have the right to vote. These shares are not vested at said dates, see note 20.</w:t>
      </w:r>
    </w:p>
    <w:p>
      <w:pPr>
        <w:spacing w:after="0" w:line="169" w:lineRule="exact"/>
        <w:rPr>
          <w:sz w:val="20"/>
          <w:szCs w:val="20"/>
          <w:color w:val="auto"/>
        </w:rPr>
      </w:pPr>
    </w:p>
    <w:p>
      <w:pPr>
        <w:ind w:left="4" w:right="140"/>
        <w:spacing w:after="0" w:line="246" w:lineRule="auto"/>
        <w:rPr>
          <w:sz w:val="20"/>
          <w:szCs w:val="20"/>
          <w:color w:val="auto"/>
        </w:rPr>
      </w:pPr>
      <w:r>
        <w:rPr>
          <w:rFonts w:ascii="Arial" w:cs="Arial" w:eastAsia="Arial" w:hAnsi="Arial"/>
          <w:sz w:val="17"/>
          <w:szCs w:val="17"/>
          <w:color w:val="auto"/>
        </w:rPr>
        <w:t>During 2022, 2021 and 2020, the Group purchased 137,604, 97,951 and 240,151 shares of Credicorp Ltd., respectively, for a total of US$22.5 million (equivalent to S/83.6 million), US$16.1 million (equivalent to S/58.9 million) and US$44.4 million (equivalent to a S/151.9 million), respectively.</w:t>
      </w:r>
    </w:p>
    <w:p>
      <w:pPr>
        <w:spacing w:after="0" w:line="344" w:lineRule="exact"/>
        <w:rPr>
          <w:sz w:val="20"/>
          <w:szCs w:val="20"/>
          <w:color w:val="auto"/>
        </w:rPr>
      </w:pPr>
    </w:p>
    <w:p>
      <w:pPr>
        <w:ind w:left="4424"/>
        <w:spacing w:after="0"/>
        <w:rPr>
          <w:sz w:val="20"/>
          <w:szCs w:val="20"/>
          <w:color w:val="auto"/>
        </w:rPr>
      </w:pPr>
      <w:r>
        <w:rPr>
          <w:rFonts w:ascii="Arial" w:cs="Arial" w:eastAsia="Arial" w:hAnsi="Arial"/>
          <w:sz w:val="17"/>
          <w:szCs w:val="17"/>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40640</wp:posOffset>
            </wp:positionV>
            <wp:extent cx="713803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244"/>
          </w:cols>
          <w:pgMar w:left="1256" w:top="324" w:right="399" w:bottom="1440" w:gutter="0" w:footer="0" w:header="0"/>
        </w:sectPr>
      </w:pPr>
    </w:p>
    <w:bookmarkStart w:id="114" w:name="page115"/>
    <w:bookmarkEnd w:id="114"/>
    <w:p>
      <w:pPr>
        <w:ind w:left="315" w:hanging="315"/>
        <w:spacing w:after="0"/>
        <w:tabs>
          <w:tab w:leader="none" w:pos="31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Reserves -</w:t>
      </w:r>
    </w:p>
    <w:p>
      <w:pPr>
        <w:spacing w:after="0" w:line="192" w:lineRule="exact"/>
        <w:rPr>
          <w:rFonts w:ascii="Arial" w:cs="Arial" w:eastAsia="Arial" w:hAnsi="Arial"/>
          <w:sz w:val="17"/>
          <w:szCs w:val="17"/>
          <w:color w:val="auto"/>
        </w:rPr>
      </w:pPr>
    </w:p>
    <w:p>
      <w:pPr>
        <w:ind w:left="315" w:right="20"/>
        <w:spacing w:after="0" w:line="243" w:lineRule="auto"/>
        <w:rPr>
          <w:rFonts w:ascii="Arial" w:cs="Arial" w:eastAsia="Arial" w:hAnsi="Arial"/>
          <w:sz w:val="17"/>
          <w:szCs w:val="17"/>
          <w:color w:val="auto"/>
        </w:rPr>
      </w:pPr>
      <w:r>
        <w:rPr>
          <w:rFonts w:ascii="Arial" w:cs="Arial" w:eastAsia="Arial" w:hAnsi="Arial"/>
          <w:sz w:val="17"/>
          <w:szCs w:val="17"/>
          <w:color w:val="auto"/>
        </w:rPr>
        <w:t>Certain Group’s subsidiaries are required to keep a reserve that equals a percentage of paid-in capital (20, 30 or 50 percent, depending on its activities and the country in which production takes place); this reserve must be constituted with annual transfers of not less than 10 percent of net profits. As of December 31, 2022, 2021 and 2020, the balance of this reserves amounts approximately to S/7,783.3 million, S/7,088.6 million and S/6,990.1 million, respectively.</w:t>
      </w:r>
    </w:p>
    <w:p>
      <w:pPr>
        <w:spacing w:after="0" w:line="179" w:lineRule="exact"/>
        <w:rPr>
          <w:rFonts w:ascii="Arial" w:cs="Arial" w:eastAsia="Arial" w:hAnsi="Arial"/>
          <w:sz w:val="17"/>
          <w:szCs w:val="17"/>
          <w:color w:val="auto"/>
        </w:rPr>
      </w:pPr>
    </w:p>
    <w:p>
      <w:pPr>
        <w:ind w:left="315" w:right="400"/>
        <w:spacing w:after="0" w:line="254" w:lineRule="auto"/>
        <w:rPr>
          <w:rFonts w:ascii="Arial" w:cs="Arial" w:eastAsia="Arial" w:hAnsi="Arial"/>
          <w:sz w:val="17"/>
          <w:szCs w:val="17"/>
          <w:color w:val="auto"/>
        </w:rPr>
      </w:pPr>
      <w:r>
        <w:rPr>
          <w:rFonts w:ascii="Arial" w:cs="Arial" w:eastAsia="Arial" w:hAnsi="Arial"/>
          <w:sz w:val="17"/>
          <w:szCs w:val="17"/>
          <w:color w:val="auto"/>
        </w:rPr>
        <w:t>At the Board meetings held on April 28, 2022, February 25, 2021 and February 27, 2020, the decision was made to transfer from “Retained earnings” to “Reserves” S/2,354.9 million, S/347.0 million and S/1,977.1 million, respectively.</w:t>
      </w:r>
    </w:p>
    <w:p>
      <w:pPr>
        <w:spacing w:after="0" w:line="169" w:lineRule="exact"/>
        <w:rPr>
          <w:sz w:val="20"/>
          <w:szCs w:val="20"/>
          <w:color w:val="auto"/>
        </w:rPr>
      </w:pPr>
    </w:p>
    <w:p>
      <w:pPr>
        <w:ind w:left="315"/>
        <w:spacing w:after="0" w:line="254" w:lineRule="auto"/>
        <w:rPr>
          <w:sz w:val="20"/>
          <w:szCs w:val="20"/>
          <w:color w:val="auto"/>
        </w:rPr>
      </w:pPr>
      <w:r>
        <w:rPr>
          <w:rFonts w:ascii="Arial" w:cs="Arial" w:eastAsia="Arial" w:hAnsi="Arial"/>
          <w:sz w:val="17"/>
          <w:szCs w:val="17"/>
          <w:color w:val="auto"/>
        </w:rPr>
        <w:t>“Other reserves” include unrealized gains (losses) on fair value of investments through other comprehensive income and on cash flow hedges derivative instruments, net of deferred income tax and non-controlling interest. Movement was as follows:</w:t>
      </w:r>
    </w:p>
    <w:p>
      <w:pPr>
        <w:spacing w:after="0" w:line="158" w:lineRule="exact"/>
        <w:rPr>
          <w:sz w:val="20"/>
          <w:szCs w:val="20"/>
          <w:color w:val="auto"/>
        </w:rPr>
      </w:pPr>
    </w:p>
    <w:tbl>
      <w:tblPr>
        <w:tblLayout w:type="fixed"/>
        <w:tblInd w:w="355" w:type="dxa"/>
        <w:tblCellMar>
          <w:top w:w="0" w:type="dxa"/>
          <w:left w:w="0" w:type="dxa"/>
          <w:bottom w:w="0" w:type="dxa"/>
          <w:right w:w="0" w:type="dxa"/>
        </w:tblCellMar>
      </w:tblPr>
      <w:tr>
        <w:trPr>
          <w:trHeight w:val="167"/>
        </w:trPr>
        <w:tc>
          <w:tcPr>
            <w:tcW w:w="4520" w:type="dxa"/>
            <w:vAlign w:val="bottom"/>
          </w:tcPr>
          <w:p>
            <w:pPr>
              <w:spacing w:after="0"/>
              <w:rPr>
                <w:sz w:val="14"/>
                <w:szCs w:val="14"/>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Other reserves:</w:t>
            </w: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66"/>
        </w:trPr>
        <w:tc>
          <w:tcPr>
            <w:tcW w:w="4520" w:type="dxa"/>
            <w:vAlign w:val="bottom"/>
          </w:tcPr>
          <w:p>
            <w:pPr>
              <w:spacing w:after="0"/>
              <w:rPr>
                <w:sz w:val="23"/>
                <w:szCs w:val="23"/>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97"/>
              </w:rPr>
              <w:t>Instruments</w:t>
            </w: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55"/>
        </w:trPr>
        <w:tc>
          <w:tcPr>
            <w:tcW w:w="4520" w:type="dxa"/>
            <w:vAlign w:val="bottom"/>
          </w:tcPr>
          <w:p>
            <w:pPr>
              <w:spacing w:after="0"/>
              <w:rPr>
                <w:sz w:val="13"/>
                <w:szCs w:val="13"/>
                <w:color w:val="auto"/>
              </w:rPr>
            </w:pPr>
          </w:p>
        </w:tc>
        <w:tc>
          <w:tcPr>
            <w:tcW w:w="800" w:type="dxa"/>
            <w:vAlign w:val="bottom"/>
          </w:tcPr>
          <w:p>
            <w:pPr>
              <w:spacing w:after="0" w:line="155" w:lineRule="exact"/>
              <w:rPr>
                <w:sz w:val="20"/>
                <w:szCs w:val="20"/>
                <w:color w:val="auto"/>
              </w:rPr>
            </w:pPr>
            <w:r>
              <w:rPr>
                <w:rFonts w:ascii="Arial" w:cs="Arial" w:eastAsia="Arial" w:hAnsi="Arial"/>
                <w:sz w:val="14"/>
                <w:szCs w:val="14"/>
                <w:b w:val="1"/>
                <w:bCs w:val="1"/>
                <w:color w:val="auto"/>
              </w:rPr>
              <w:t>that will not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5"/>
        </w:trPr>
        <w:tc>
          <w:tcPr>
            <w:tcW w:w="4520" w:type="dxa"/>
            <w:vAlign w:val="bottom"/>
          </w:tcPr>
          <w:p>
            <w:pPr>
              <w:spacing w:after="0"/>
              <w:rPr>
                <w:sz w:val="13"/>
                <w:szCs w:val="13"/>
                <w:color w:val="auto"/>
              </w:rPr>
            </w:pPr>
          </w:p>
        </w:tc>
        <w:tc>
          <w:tcPr>
            <w:tcW w:w="800" w:type="dxa"/>
            <w:vAlign w:val="bottom"/>
          </w:tcPr>
          <w:p>
            <w:pPr>
              <w:spacing w:after="0" w:line="155" w:lineRule="exact"/>
              <w:rPr>
                <w:sz w:val="20"/>
                <w:szCs w:val="20"/>
                <w:color w:val="auto"/>
              </w:rPr>
            </w:pPr>
            <w:r>
              <w:rPr>
                <w:rFonts w:ascii="Arial" w:cs="Arial" w:eastAsia="Arial" w:hAnsi="Arial"/>
                <w:sz w:val="14"/>
                <w:szCs w:val="14"/>
                <w:b w:val="1"/>
                <w:bCs w:val="1"/>
                <w:color w:val="auto"/>
              </w:rPr>
              <w:t>be</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5"/>
        </w:trPr>
        <w:tc>
          <w:tcPr>
            <w:tcW w:w="4520" w:type="dxa"/>
            <w:vAlign w:val="bottom"/>
          </w:tcPr>
          <w:p>
            <w:pPr>
              <w:spacing w:after="0"/>
              <w:rPr>
                <w:sz w:val="13"/>
                <w:szCs w:val="13"/>
                <w:color w:val="auto"/>
              </w:rPr>
            </w:pPr>
          </w:p>
        </w:tc>
        <w:tc>
          <w:tcPr>
            <w:tcW w:w="800" w:type="dxa"/>
            <w:vAlign w:val="bottom"/>
          </w:tcPr>
          <w:p>
            <w:pPr>
              <w:spacing w:after="0" w:line="155" w:lineRule="exact"/>
              <w:rPr>
                <w:sz w:val="20"/>
                <w:szCs w:val="20"/>
                <w:color w:val="auto"/>
              </w:rPr>
            </w:pPr>
            <w:r>
              <w:rPr>
                <w:rFonts w:ascii="Arial" w:cs="Arial" w:eastAsia="Arial" w:hAnsi="Arial"/>
                <w:sz w:val="14"/>
                <w:szCs w:val="14"/>
                <w:b w:val="1"/>
                <w:bCs w:val="1"/>
                <w:color w:val="auto"/>
              </w:rPr>
              <w:t>reclassifed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5"/>
        </w:trPr>
        <w:tc>
          <w:tcPr>
            <w:tcW w:w="4520" w:type="dxa"/>
            <w:vAlign w:val="bottom"/>
          </w:tcPr>
          <w:p>
            <w:pPr>
              <w:spacing w:after="0"/>
              <w:rPr>
                <w:sz w:val="13"/>
                <w:szCs w:val="13"/>
                <w:color w:val="auto"/>
              </w:rPr>
            </w:pPr>
          </w:p>
        </w:tc>
        <w:tc>
          <w:tcPr>
            <w:tcW w:w="800" w:type="dxa"/>
            <w:vAlign w:val="bottom"/>
          </w:tcPr>
          <w:p>
            <w:pPr>
              <w:spacing w:after="0" w:line="155" w:lineRule="exact"/>
              <w:rPr>
                <w:sz w:val="20"/>
                <w:szCs w:val="20"/>
                <w:color w:val="auto"/>
              </w:rPr>
            </w:pPr>
            <w:r>
              <w:rPr>
                <w:rFonts w:ascii="Arial" w:cs="Arial" w:eastAsia="Arial" w:hAnsi="Arial"/>
                <w:sz w:val="14"/>
                <w:szCs w:val="14"/>
                <w:b w:val="1"/>
                <w:bCs w:val="1"/>
                <w:color w:val="auto"/>
              </w:rPr>
              <w:t>to profit or</w:t>
            </w:r>
          </w:p>
        </w:tc>
        <w:tc>
          <w:tcPr>
            <w:tcW w:w="4760" w:type="dxa"/>
            <w:vAlign w:val="bottom"/>
            <w:gridSpan w:val="10"/>
          </w:tcPr>
          <w:p>
            <w:pPr>
              <w:ind w:left="140"/>
              <w:spacing w:after="0" w:line="155" w:lineRule="exact"/>
              <w:rPr>
                <w:sz w:val="20"/>
                <w:szCs w:val="20"/>
                <w:color w:val="auto"/>
              </w:rPr>
            </w:pPr>
            <w:r>
              <w:rPr>
                <w:rFonts w:ascii="Arial" w:cs="Arial" w:eastAsia="Arial" w:hAnsi="Arial"/>
                <w:sz w:val="14"/>
                <w:szCs w:val="14"/>
                <w:b w:val="1"/>
                <w:bCs w:val="1"/>
                <w:color w:val="auto"/>
              </w:rPr>
              <w:t>Instruments that will be reclassified to consolidated statement of</w:t>
            </w:r>
          </w:p>
        </w:tc>
      </w:tr>
      <w:tr>
        <w:trPr>
          <w:trHeight w:val="167"/>
        </w:trPr>
        <w:tc>
          <w:tcPr>
            <w:tcW w:w="45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loss</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income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66"/>
        </w:trPr>
        <w:tc>
          <w:tcPr>
            <w:tcW w:w="452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Foreign</w:t>
            </w:r>
          </w:p>
        </w:tc>
        <w:tc>
          <w:tcPr>
            <w:tcW w:w="1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r>
      <w:tr>
        <w:trPr>
          <w:trHeight w:val="155"/>
        </w:trPr>
        <w:tc>
          <w:tcPr>
            <w:tcW w:w="4520" w:type="dxa"/>
            <w:vAlign w:val="bottom"/>
          </w:tcPr>
          <w:p>
            <w:pPr>
              <w:spacing w:after="0"/>
              <w:rPr>
                <w:sz w:val="13"/>
                <w:szCs w:val="13"/>
                <w:color w:val="auto"/>
              </w:rPr>
            </w:pPr>
          </w:p>
        </w:tc>
        <w:tc>
          <w:tcPr>
            <w:tcW w:w="800" w:type="dxa"/>
            <w:vAlign w:val="bottom"/>
          </w:tcPr>
          <w:p>
            <w:pPr>
              <w:spacing w:after="0" w:line="155" w:lineRule="exact"/>
              <w:rPr>
                <w:sz w:val="20"/>
                <w:szCs w:val="20"/>
                <w:color w:val="auto"/>
              </w:rPr>
            </w:pPr>
            <w:r>
              <w:rPr>
                <w:rFonts w:ascii="Arial" w:cs="Arial" w:eastAsia="Arial" w:hAnsi="Arial"/>
                <w:sz w:val="14"/>
                <w:szCs w:val="14"/>
                <w:b w:val="1"/>
                <w:bCs w:val="1"/>
                <w:color w:val="auto"/>
              </w:rPr>
              <w:t>Equity</w:t>
            </w:r>
          </w:p>
        </w:tc>
        <w:tc>
          <w:tcPr>
            <w:tcW w:w="110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Debt</w:t>
            </w:r>
          </w:p>
        </w:tc>
        <w:tc>
          <w:tcPr>
            <w:tcW w:w="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Reserve for</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line="155" w:lineRule="exact"/>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5"/>
        </w:trPr>
        <w:tc>
          <w:tcPr>
            <w:tcW w:w="4520" w:type="dxa"/>
            <w:vAlign w:val="bottom"/>
          </w:tcPr>
          <w:p>
            <w:pPr>
              <w:spacing w:after="0"/>
              <w:rPr>
                <w:sz w:val="13"/>
                <w:szCs w:val="13"/>
                <w:color w:val="auto"/>
              </w:rPr>
            </w:pPr>
          </w:p>
        </w:tc>
        <w:tc>
          <w:tcPr>
            <w:tcW w:w="800" w:type="dxa"/>
            <w:vAlign w:val="bottom"/>
          </w:tcPr>
          <w:p>
            <w:pPr>
              <w:spacing w:after="0" w:line="155" w:lineRule="exact"/>
              <w:rPr>
                <w:sz w:val="20"/>
                <w:szCs w:val="20"/>
                <w:color w:val="auto"/>
              </w:rPr>
            </w:pPr>
            <w:r>
              <w:rPr>
                <w:rFonts w:ascii="Arial" w:cs="Arial" w:eastAsia="Arial" w:hAnsi="Arial"/>
                <w:sz w:val="14"/>
                <w:szCs w:val="14"/>
                <w:b w:val="1"/>
                <w:bCs w:val="1"/>
                <w:color w:val="auto"/>
                <w:w w:val="97"/>
              </w:rPr>
              <w:t>instruments</w:t>
            </w:r>
          </w:p>
        </w:tc>
        <w:tc>
          <w:tcPr>
            <w:tcW w:w="110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instruments</w:t>
            </w:r>
          </w:p>
        </w:tc>
        <w:tc>
          <w:tcPr>
            <w:tcW w:w="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w:t>
            </w:r>
          </w:p>
        </w:tc>
        <w:tc>
          <w:tcPr>
            <w:tcW w:w="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820" w:type="dxa"/>
            <w:vAlign w:val="bottom"/>
          </w:tcPr>
          <w:p>
            <w:pPr>
              <w:spacing w:after="0" w:line="155" w:lineRule="exact"/>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7"/>
        </w:trPr>
        <w:tc>
          <w:tcPr>
            <w:tcW w:w="45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at fair value</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at fair value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hedges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reserves</w:t>
            </w:r>
          </w:p>
        </w:tc>
        <w:tc>
          <w:tcPr>
            <w:tcW w:w="820" w:type="dxa"/>
            <w:vAlign w:val="bottom"/>
          </w:tcPr>
          <w:p>
            <w:pPr>
              <w:spacing w:after="0"/>
              <w:rPr>
                <w:sz w:val="20"/>
                <w:szCs w:val="20"/>
                <w:color w:val="auto"/>
              </w:rPr>
            </w:pPr>
            <w:r>
              <w:rPr>
                <w:rFonts w:ascii="Arial" w:cs="Arial" w:eastAsia="Arial" w:hAnsi="Arial"/>
                <w:sz w:val="14"/>
                <w:szCs w:val="14"/>
                <w:b w:val="1"/>
                <w:bCs w:val="1"/>
                <w:color w:val="auto"/>
              </w:rPr>
              <w:t>reserve</w:t>
            </w:r>
          </w:p>
        </w:tc>
        <w:tc>
          <w:tcPr>
            <w:tcW w:w="960" w:type="dxa"/>
            <w:vAlign w:val="bottom"/>
            <w:gridSpan w:val="2"/>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174"/>
        </w:trPr>
        <w:tc>
          <w:tcPr>
            <w:tcW w:w="4520" w:type="dxa"/>
            <w:vAlign w:val="bottom"/>
          </w:tcPr>
          <w:p>
            <w:pPr>
              <w:spacing w:after="0"/>
              <w:rPr>
                <w:sz w:val="15"/>
                <w:szCs w:val="15"/>
                <w:color w:val="auto"/>
              </w:rPr>
            </w:pPr>
          </w:p>
        </w:tc>
        <w:tc>
          <w:tcPr>
            <w:tcW w:w="80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80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80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S/(000)</w:t>
            </w:r>
          </w:p>
        </w:tc>
      </w:tr>
      <w:tr>
        <w:trPr>
          <w:trHeight w:val="290"/>
        </w:trPr>
        <w:tc>
          <w:tcPr>
            <w:tcW w:w="4520" w:type="dxa"/>
            <w:vAlign w:val="bottom"/>
          </w:tcPr>
          <w:p>
            <w:pPr>
              <w:spacing w:after="0"/>
              <w:rPr>
                <w:sz w:val="20"/>
                <w:szCs w:val="20"/>
                <w:color w:val="auto"/>
              </w:rPr>
            </w:pPr>
            <w:r>
              <w:rPr>
                <w:rFonts w:ascii="Arial" w:cs="Arial" w:eastAsia="Arial" w:hAnsi="Arial"/>
                <w:sz w:val="14"/>
                <w:szCs w:val="14"/>
                <w:b w:val="1"/>
                <w:bCs w:val="1"/>
                <w:color w:val="auto"/>
              </w:rPr>
              <w:t>Balance as of January 1, 2020</w:t>
            </w:r>
          </w:p>
        </w:tc>
        <w:tc>
          <w:tcPr>
            <w:tcW w:w="800" w:type="dxa"/>
            <w:vAlign w:val="bottom"/>
          </w:tcPr>
          <w:p>
            <w:pPr>
              <w:jc w:val="right"/>
              <w:spacing w:after="0"/>
              <w:rPr>
                <w:sz w:val="20"/>
                <w:szCs w:val="20"/>
                <w:color w:val="auto"/>
              </w:rPr>
            </w:pPr>
            <w:r>
              <w:rPr>
                <w:rFonts w:ascii="Arial" w:cs="Arial" w:eastAsia="Arial" w:hAnsi="Arial"/>
                <w:sz w:val="14"/>
                <w:szCs w:val="14"/>
                <w:color w:val="auto"/>
              </w:rPr>
              <w:t>394,209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1,411,844</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(30,104)</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(658,491)</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(29,269)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1,088,189</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Decrease (increase) in net unrealized gains on investments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(79,007)</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352,008</w:t>
            </w:r>
          </w:p>
        </w:tc>
        <w:tc>
          <w:tcPr>
            <w:tcW w:w="14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273,001</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Transfer to results of the net realized loss of investments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440,416</w:t>
            </w:r>
          </w:p>
        </w:tc>
        <w:tc>
          <w:tcPr>
            <w:tcW w:w="14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440,416</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Transfer of recovery of credit loss of investments to profit or loss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52,263</w:t>
            </w:r>
          </w:p>
        </w:tc>
        <w:tc>
          <w:tcPr>
            <w:tcW w:w="14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52,263</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Change in net unrealized loss on cash flow hedges derivatives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(66,782)</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(66,782)</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Transfer of net realized losses on cash flow hedges derivatives to</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profit or loss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55,784</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55,784</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Other reserves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(234,107)</w:t>
            </w: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(234,107)</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Foreign exchange translation</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258,353</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258,353</w:t>
            </w:r>
          </w:p>
        </w:tc>
      </w:tr>
      <w:tr>
        <w:trPr>
          <w:trHeight w:val="151"/>
        </w:trPr>
        <w:tc>
          <w:tcPr>
            <w:tcW w:w="4520" w:type="dxa"/>
            <w:vAlign w:val="bottom"/>
          </w:tcPr>
          <w:p>
            <w:pPr>
              <w:spacing w:after="0" w:line="151" w:lineRule="exact"/>
              <w:rPr>
                <w:sz w:val="20"/>
                <w:szCs w:val="20"/>
                <w:color w:val="auto"/>
              </w:rPr>
            </w:pPr>
            <w:r>
              <w:rPr>
                <w:rFonts w:ascii="Arial" w:cs="Arial" w:eastAsia="Arial" w:hAnsi="Arial"/>
                <w:sz w:val="14"/>
                <w:szCs w:val="14"/>
                <w:color w:val="auto"/>
              </w:rPr>
              <w:t>Net movement in hedges of net investments in foreign businesses</w:t>
            </w: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(1,219)</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(1,219)</w:t>
            </w:r>
          </w:p>
        </w:tc>
      </w:tr>
      <w:tr>
        <w:trPr>
          <w:trHeight w:val="153"/>
        </w:trPr>
        <w:tc>
          <w:tcPr>
            <w:tcW w:w="4520" w:type="dxa"/>
            <w:vAlign w:val="bottom"/>
          </w:tcPr>
          <w:p>
            <w:pPr>
              <w:spacing w:after="0" w:line="153" w:lineRule="exact"/>
              <w:rPr>
                <w:sz w:val="20"/>
                <w:szCs w:val="20"/>
                <w:color w:val="auto"/>
              </w:rPr>
            </w:pPr>
            <w:r>
              <w:rPr>
                <w:rFonts w:ascii="Arial" w:cs="Arial" w:eastAsia="Arial" w:hAnsi="Arial"/>
                <w:sz w:val="14"/>
                <w:szCs w:val="14"/>
                <w:b w:val="1"/>
                <w:bCs w:val="1"/>
                <w:color w:val="auto"/>
              </w:rPr>
              <w:t>Balance as of December 31, 2020</w:t>
            </w: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315,202</w:t>
            </w:r>
          </w:p>
        </w:tc>
        <w:tc>
          <w:tcPr>
            <w:tcW w:w="9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2,256,531</w:t>
            </w:r>
          </w:p>
        </w:tc>
        <w:tc>
          <w:tcPr>
            <w:tcW w:w="14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(41,102)</w:t>
            </w:r>
          </w:p>
        </w:tc>
        <w:tc>
          <w:tcPr>
            <w:tcW w:w="14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(892,598)</w:t>
            </w:r>
          </w:p>
        </w:tc>
        <w:tc>
          <w:tcPr>
            <w:tcW w:w="14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Arial" w:cs="Arial" w:eastAsia="Arial" w:hAnsi="Arial"/>
                <w:sz w:val="14"/>
                <w:szCs w:val="14"/>
                <w:color w:val="auto"/>
              </w:rPr>
              <w:t>227,865</w:t>
            </w:r>
          </w:p>
        </w:tc>
        <w:tc>
          <w:tcPr>
            <w:tcW w:w="9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1,865,898</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Decrease in net unrealized gains on investments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(108,317)</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(2,411,900)</w:t>
            </w:r>
          </w:p>
        </w:tc>
        <w:tc>
          <w:tcPr>
            <w:tcW w:w="14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(2,520,217)</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Transfer to results of the net realized loss of investments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3,848</w:t>
            </w:r>
          </w:p>
        </w:tc>
        <w:tc>
          <w:tcPr>
            <w:tcW w:w="14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3,848</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Transfer of recovery of credit loss of investments to profit or loss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8,121</w:t>
            </w:r>
          </w:p>
        </w:tc>
        <w:tc>
          <w:tcPr>
            <w:tcW w:w="14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8,121</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Change in net unrealized gain on cash flow hedges derivatives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97,251</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97,251</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Transfer of net realized gain on cash flow hedges derivatives to profit</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or loss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(56,422)</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(56,422)</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Other reserves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733,932</w:t>
            </w: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733,932</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Foreign exchange translation</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160,810</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160,810</w:t>
            </w:r>
          </w:p>
        </w:tc>
      </w:tr>
      <w:tr>
        <w:trPr>
          <w:trHeight w:val="151"/>
        </w:trPr>
        <w:tc>
          <w:tcPr>
            <w:tcW w:w="4520" w:type="dxa"/>
            <w:vAlign w:val="bottom"/>
          </w:tcPr>
          <w:p>
            <w:pPr>
              <w:spacing w:after="0" w:line="151" w:lineRule="exact"/>
              <w:rPr>
                <w:sz w:val="20"/>
                <w:szCs w:val="20"/>
                <w:color w:val="auto"/>
              </w:rPr>
            </w:pPr>
            <w:r>
              <w:rPr>
                <w:rFonts w:ascii="Arial" w:cs="Arial" w:eastAsia="Arial" w:hAnsi="Arial"/>
                <w:sz w:val="14"/>
                <w:szCs w:val="14"/>
                <w:color w:val="auto"/>
              </w:rPr>
              <w:t>Net movement in hedges of net investments in foreign businesses</w:t>
            </w: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(57,319)</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(57,319)</w:t>
            </w:r>
          </w:p>
        </w:tc>
      </w:tr>
      <w:tr>
        <w:trPr>
          <w:trHeight w:val="153"/>
        </w:trPr>
        <w:tc>
          <w:tcPr>
            <w:tcW w:w="4520" w:type="dxa"/>
            <w:vAlign w:val="bottom"/>
          </w:tcPr>
          <w:p>
            <w:pPr>
              <w:spacing w:after="0" w:line="153" w:lineRule="exact"/>
              <w:rPr>
                <w:sz w:val="20"/>
                <w:szCs w:val="20"/>
                <w:color w:val="auto"/>
              </w:rPr>
            </w:pPr>
            <w:r>
              <w:rPr>
                <w:rFonts w:ascii="Arial" w:cs="Arial" w:eastAsia="Arial" w:hAnsi="Arial"/>
                <w:sz w:val="14"/>
                <w:szCs w:val="14"/>
                <w:b w:val="1"/>
                <w:bCs w:val="1"/>
                <w:color w:val="auto"/>
              </w:rPr>
              <w:t>Balance as of December 31, 2021</w:t>
            </w: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206,885</w:t>
            </w:r>
          </w:p>
        </w:tc>
        <w:tc>
          <w:tcPr>
            <w:tcW w:w="9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(143,400)</w:t>
            </w:r>
          </w:p>
        </w:tc>
        <w:tc>
          <w:tcPr>
            <w:tcW w:w="14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(273)</w:t>
            </w:r>
          </w:p>
        </w:tc>
        <w:tc>
          <w:tcPr>
            <w:tcW w:w="14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(158,666)</w:t>
            </w:r>
          </w:p>
        </w:tc>
        <w:tc>
          <w:tcPr>
            <w:tcW w:w="14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Arial" w:cs="Arial" w:eastAsia="Arial" w:hAnsi="Arial"/>
                <w:sz w:val="14"/>
                <w:szCs w:val="14"/>
                <w:color w:val="auto"/>
              </w:rPr>
              <w:t>331,356</w:t>
            </w:r>
          </w:p>
        </w:tc>
        <w:tc>
          <w:tcPr>
            <w:tcW w:w="9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235,902</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Decrease in net unrealized gains on investments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(33,298)</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(1,637,875)</w:t>
            </w:r>
          </w:p>
        </w:tc>
        <w:tc>
          <w:tcPr>
            <w:tcW w:w="14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(1,671,173)</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Transfer to results of the net realized loss of investments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49,754</w:t>
            </w:r>
          </w:p>
        </w:tc>
        <w:tc>
          <w:tcPr>
            <w:tcW w:w="14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49,754</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Transfer of recovery of credit loss of investments to profit or loss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63,203</w:t>
            </w:r>
          </w:p>
        </w:tc>
        <w:tc>
          <w:tcPr>
            <w:tcW w:w="14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63,203</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Change in net unrealized gain on cash flow hedges derivatives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29,109</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29,109</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Transfer of net realized gain on cash flow hedges derivatives to profit</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or loss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(28,048)</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(28,048)</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Other reserves</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927,838</w:t>
            </w: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927,838</w:t>
            </w: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Foreign exchange translation</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(296,288)</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(296,288)</w:t>
            </w:r>
          </w:p>
        </w:tc>
      </w:tr>
      <w:tr>
        <w:trPr>
          <w:trHeight w:val="151"/>
        </w:trPr>
        <w:tc>
          <w:tcPr>
            <w:tcW w:w="4520" w:type="dxa"/>
            <w:vAlign w:val="bottom"/>
          </w:tcPr>
          <w:p>
            <w:pPr>
              <w:spacing w:after="0" w:line="151" w:lineRule="exact"/>
              <w:rPr>
                <w:sz w:val="20"/>
                <w:szCs w:val="20"/>
                <w:color w:val="auto"/>
              </w:rPr>
            </w:pPr>
            <w:r>
              <w:rPr>
                <w:rFonts w:ascii="Arial" w:cs="Arial" w:eastAsia="Arial" w:hAnsi="Arial"/>
                <w:sz w:val="14"/>
                <w:szCs w:val="14"/>
                <w:color w:val="auto"/>
              </w:rPr>
              <w:t>Net movement in hedges of net investments in foreign businesses</w:t>
            </w: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39,587</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39,587</w:t>
            </w:r>
          </w:p>
        </w:tc>
      </w:tr>
      <w:tr>
        <w:trPr>
          <w:trHeight w:val="154"/>
        </w:trPr>
        <w:tc>
          <w:tcPr>
            <w:tcW w:w="452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as of December 31, 2022</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173,587</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(1,668,318)</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788</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769,172</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74,655</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(650,116)</w:t>
            </w:r>
          </w:p>
        </w:tc>
      </w:tr>
    </w:tbl>
    <w:p>
      <w:pPr>
        <w:spacing w:after="0" w:line="362" w:lineRule="exact"/>
        <w:rPr>
          <w:sz w:val="20"/>
          <w:szCs w:val="20"/>
          <w:color w:val="auto"/>
        </w:rPr>
      </w:pPr>
    </w:p>
    <w:p>
      <w:pPr>
        <w:ind w:left="4735"/>
        <w:spacing w:after="0"/>
        <w:rPr>
          <w:sz w:val="20"/>
          <w:szCs w:val="20"/>
          <w:color w:val="auto"/>
        </w:rPr>
      </w:pPr>
      <w:r>
        <w:rPr>
          <w:rFonts w:ascii="Arial" w:cs="Arial" w:eastAsia="Arial" w:hAnsi="Arial"/>
          <w:sz w:val="17"/>
          <w:szCs w:val="17"/>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15"/>
          </w:cols>
          <w:pgMar w:left="945" w:top="140" w:right="4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7640" w:type="dxa"/>
            <w:vAlign w:val="bottom"/>
          </w:tcPr>
          <w:p>
            <w:pPr>
              <w:ind w:left="620"/>
              <w:spacing w:after="0"/>
              <w:rPr>
                <w:sz w:val="20"/>
                <w:szCs w:val="20"/>
                <w:color w:val="auto"/>
              </w:rPr>
            </w:pPr>
            <w:r>
              <w:rPr>
                <w:rFonts w:ascii="Arial" w:cs="Arial" w:eastAsia="Arial" w:hAnsi="Arial"/>
                <w:sz w:val="17"/>
                <w:szCs w:val="17"/>
                <w:color w:val="auto"/>
              </w:rPr>
              <w:t>d)  Components of other comprehensive income -</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7640" w:type="dxa"/>
            <w:vAlign w:val="bottom"/>
          </w:tcPr>
          <w:p>
            <w:pPr>
              <w:ind w:left="940"/>
              <w:spacing w:after="0"/>
              <w:rPr>
                <w:sz w:val="20"/>
                <w:szCs w:val="20"/>
                <w:color w:val="auto"/>
              </w:rPr>
            </w:pPr>
            <w:r>
              <w:rPr>
                <w:rFonts w:ascii="Arial" w:cs="Arial" w:eastAsia="Arial" w:hAnsi="Arial"/>
                <w:sz w:val="17"/>
                <w:szCs w:val="17"/>
                <w:color w:val="auto"/>
              </w:rPr>
              <w:t>The movement of the item is as follows: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640" w:type="dxa"/>
            <w:vAlign w:val="bottom"/>
          </w:tcPr>
          <w:p>
            <w:pPr>
              <w:spacing w:after="0"/>
              <w:rPr>
                <w:sz w:val="24"/>
                <w:szCs w:val="2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24"/>
                <w:szCs w:val="2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vMerge w:val="restart"/>
          </w:tcPr>
          <w:p>
            <w:pPr>
              <w:ind w:left="980"/>
              <w:spacing w:after="0"/>
              <w:rPr>
                <w:sz w:val="20"/>
                <w:szCs w:val="20"/>
                <w:color w:val="auto"/>
              </w:rPr>
            </w:pPr>
            <w:r>
              <w:rPr>
                <w:rFonts w:ascii="Arial" w:cs="Arial" w:eastAsia="Arial" w:hAnsi="Arial"/>
                <w:sz w:val="17"/>
                <w:szCs w:val="17"/>
                <w:b w:val="1"/>
                <w:bCs w:val="1"/>
                <w:color w:val="auto"/>
              </w:rPr>
              <w:t>To be reclassified to the consolidated statement of income in later periods</w:t>
            </w:r>
          </w:p>
        </w:tc>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6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1"/>
        </w:trPr>
        <w:tc>
          <w:tcPr>
            <w:tcW w:w="7640" w:type="dxa"/>
            <w:vAlign w:val="bottom"/>
          </w:tcPr>
          <w:p>
            <w:pPr>
              <w:ind w:left="980"/>
              <w:spacing w:after="0"/>
              <w:rPr>
                <w:sz w:val="20"/>
                <w:szCs w:val="20"/>
                <w:color w:val="auto"/>
              </w:rPr>
            </w:pPr>
            <w:r>
              <w:rPr>
                <w:rFonts w:ascii="Arial" w:cs="Arial" w:eastAsia="Arial" w:hAnsi="Arial"/>
                <w:sz w:val="17"/>
                <w:szCs w:val="17"/>
                <w:b w:val="1"/>
                <w:bCs w:val="1"/>
                <w:color w:val="auto"/>
              </w:rPr>
              <w:t>Debt instruments at fair value through other comprehensive income</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640" w:type="dxa"/>
            <w:vAlign w:val="bottom"/>
          </w:tcPr>
          <w:p>
            <w:pPr>
              <w:ind w:left="980"/>
              <w:spacing w:after="0"/>
              <w:rPr>
                <w:sz w:val="20"/>
                <w:szCs w:val="20"/>
                <w:color w:val="auto"/>
              </w:rPr>
            </w:pPr>
            <w:r>
              <w:rPr>
                <w:rFonts w:ascii="Arial" w:cs="Arial" w:eastAsia="Arial" w:hAnsi="Arial"/>
                <w:sz w:val="17"/>
                <w:szCs w:val="17"/>
                <w:color w:val="auto"/>
              </w:rPr>
              <w:t>Net unrealized (loss) gain</w:t>
            </w:r>
          </w:p>
        </w:tc>
        <w:tc>
          <w:tcPr>
            <w:tcW w:w="1000" w:type="dxa"/>
            <w:vAlign w:val="bottom"/>
          </w:tcPr>
          <w:p>
            <w:pPr>
              <w:jc w:val="right"/>
              <w:spacing w:after="0"/>
              <w:rPr>
                <w:sz w:val="20"/>
                <w:szCs w:val="20"/>
                <w:color w:val="auto"/>
              </w:rPr>
            </w:pPr>
            <w:r>
              <w:rPr>
                <w:rFonts w:ascii="Arial" w:cs="Arial" w:eastAsia="Arial" w:hAnsi="Arial"/>
                <w:sz w:val="17"/>
                <w:szCs w:val="17"/>
                <w:color w:val="auto"/>
              </w:rPr>
              <w:t>(1,637,875)</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(2,411,900)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352,008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640" w:type="dxa"/>
            <w:vAlign w:val="bottom"/>
          </w:tcPr>
          <w:p>
            <w:pPr>
              <w:ind w:left="980"/>
              <w:spacing w:after="0" w:line="194" w:lineRule="exact"/>
              <w:rPr>
                <w:sz w:val="20"/>
                <w:szCs w:val="20"/>
                <w:color w:val="auto"/>
              </w:rPr>
            </w:pPr>
            <w:r>
              <w:rPr>
                <w:rFonts w:ascii="Arial" w:cs="Arial" w:eastAsia="Arial" w:hAnsi="Arial"/>
                <w:sz w:val="17"/>
                <w:szCs w:val="17"/>
                <w:color w:val="auto"/>
              </w:rPr>
              <w:t>Transfer to results of net realized loss</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49,754</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3,848</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440,416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980"/>
              <w:spacing w:after="0"/>
              <w:rPr>
                <w:sz w:val="20"/>
                <w:szCs w:val="20"/>
                <w:color w:val="auto"/>
              </w:rPr>
            </w:pPr>
            <w:r>
              <w:rPr>
                <w:rFonts w:ascii="Arial" w:cs="Arial" w:eastAsia="Arial" w:hAnsi="Arial"/>
                <w:sz w:val="17"/>
                <w:szCs w:val="17"/>
                <w:color w:val="auto"/>
              </w:rPr>
              <w:t>Transfer of recovery (provision) of credit loss to profit or 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63,203</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8,121</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52,263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40" w:type="dxa"/>
            <w:vAlign w:val="bottom"/>
          </w:tcPr>
          <w:p>
            <w:pPr>
              <w:ind w:left="980"/>
              <w:spacing w:after="0" w:line="186" w:lineRule="exact"/>
              <w:rPr>
                <w:sz w:val="20"/>
                <w:szCs w:val="20"/>
                <w:color w:val="auto"/>
              </w:rPr>
            </w:pPr>
            <w:r>
              <w:rPr>
                <w:rFonts w:ascii="Arial" w:cs="Arial" w:eastAsia="Arial" w:hAnsi="Arial"/>
                <w:sz w:val="17"/>
                <w:szCs w:val="17"/>
                <w:b w:val="1"/>
                <w:bCs w:val="1"/>
                <w:color w:val="auto"/>
              </w:rPr>
              <w:t>Sub total</w:t>
            </w:r>
          </w:p>
        </w:tc>
        <w:tc>
          <w:tcPr>
            <w:tcW w:w="1000" w:type="dxa"/>
            <w:vAlign w:val="bottom"/>
          </w:tcPr>
          <w:p>
            <w:pPr>
              <w:jc w:val="right"/>
              <w:spacing w:after="0" w:line="186" w:lineRule="exact"/>
              <w:rPr>
                <w:sz w:val="20"/>
                <w:szCs w:val="20"/>
                <w:color w:val="auto"/>
              </w:rPr>
            </w:pPr>
            <w:r>
              <w:rPr>
                <w:rFonts w:ascii="Arial" w:cs="Arial" w:eastAsia="Arial" w:hAnsi="Arial"/>
                <w:sz w:val="17"/>
                <w:szCs w:val="17"/>
                <w:color w:val="auto"/>
              </w:rPr>
              <w:t>(1,524,918)</w:t>
            </w:r>
          </w:p>
        </w:tc>
        <w:tc>
          <w:tcPr>
            <w:tcW w:w="200" w:type="dxa"/>
            <w:vAlign w:val="bottom"/>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Arial" w:cs="Arial" w:eastAsia="Arial" w:hAnsi="Arial"/>
                <w:sz w:val="17"/>
                <w:szCs w:val="17"/>
                <w:color w:val="auto"/>
              </w:rPr>
              <w:t>(2,399,931)</w:t>
            </w:r>
          </w:p>
        </w:tc>
        <w:tc>
          <w:tcPr>
            <w:tcW w:w="200" w:type="dxa"/>
            <w:vAlign w:val="bottom"/>
          </w:tcPr>
          <w:p>
            <w:pPr>
              <w:spacing w:after="0"/>
              <w:rPr>
                <w:sz w:val="16"/>
                <w:szCs w:val="16"/>
                <w:color w:val="auto"/>
              </w:rPr>
            </w:pPr>
          </w:p>
        </w:tc>
        <w:tc>
          <w:tcPr>
            <w:tcW w:w="1020" w:type="dxa"/>
            <w:vAlign w:val="bottom"/>
          </w:tcPr>
          <w:p>
            <w:pPr>
              <w:jc w:val="right"/>
              <w:spacing w:after="0" w:line="186" w:lineRule="exact"/>
              <w:rPr>
                <w:sz w:val="20"/>
                <w:szCs w:val="20"/>
                <w:color w:val="auto"/>
              </w:rPr>
            </w:pPr>
            <w:r>
              <w:rPr>
                <w:rFonts w:ascii="Arial" w:cs="Arial" w:eastAsia="Arial" w:hAnsi="Arial"/>
                <w:sz w:val="17"/>
                <w:szCs w:val="17"/>
                <w:color w:val="auto"/>
              </w:rPr>
              <w:t>844,687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40" w:type="dxa"/>
            <w:vAlign w:val="bottom"/>
          </w:tcPr>
          <w:p>
            <w:pPr>
              <w:ind w:left="980"/>
              <w:spacing w:after="0" w:line="194" w:lineRule="exact"/>
              <w:rPr>
                <w:sz w:val="20"/>
                <w:szCs w:val="20"/>
                <w:color w:val="auto"/>
              </w:rPr>
            </w:pPr>
            <w:r>
              <w:rPr>
                <w:rFonts w:ascii="Arial" w:cs="Arial" w:eastAsia="Arial" w:hAnsi="Arial"/>
                <w:sz w:val="17"/>
                <w:szCs w:val="17"/>
                <w:color w:val="auto"/>
              </w:rPr>
              <w:t>Non-controlling interest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(15,535)</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(39,890)</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13,814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980"/>
              <w:spacing w:after="0"/>
              <w:rPr>
                <w:sz w:val="20"/>
                <w:szCs w:val="20"/>
                <w:color w:val="auto"/>
              </w:rPr>
            </w:pPr>
            <w:r>
              <w:rPr>
                <w:rFonts w:ascii="Arial" w:cs="Arial" w:eastAsia="Arial" w:hAnsi="Arial"/>
                <w:sz w:val="17"/>
                <w:szCs w:val="17"/>
                <w:color w:val="auto"/>
              </w:rPr>
              <w:t>Income tax</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(82,459)</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(52,086)</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(1,622,912)</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(2,491,907)</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870,218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7640" w:type="dxa"/>
            <w:vAlign w:val="bottom"/>
          </w:tcPr>
          <w:p>
            <w:pPr>
              <w:ind w:left="980"/>
              <w:spacing w:after="0"/>
              <w:rPr>
                <w:sz w:val="20"/>
                <w:szCs w:val="20"/>
                <w:color w:val="auto"/>
              </w:rPr>
            </w:pPr>
            <w:r>
              <w:rPr>
                <w:rFonts w:ascii="Arial" w:cs="Arial" w:eastAsia="Arial" w:hAnsi="Arial"/>
                <w:sz w:val="17"/>
                <w:szCs w:val="17"/>
                <w:b w:val="1"/>
                <w:bCs w:val="1"/>
                <w:color w:val="auto"/>
              </w:rPr>
              <w:t>Cash flow hedge reserves: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640" w:type="dxa"/>
            <w:vAlign w:val="bottom"/>
          </w:tcPr>
          <w:p>
            <w:pPr>
              <w:ind w:left="980"/>
              <w:spacing w:after="0"/>
              <w:rPr>
                <w:sz w:val="20"/>
                <w:szCs w:val="20"/>
                <w:color w:val="auto"/>
              </w:rPr>
            </w:pPr>
            <w:r>
              <w:rPr>
                <w:rFonts w:ascii="Arial" w:cs="Arial" w:eastAsia="Arial" w:hAnsi="Arial"/>
                <w:sz w:val="17"/>
                <w:szCs w:val="17"/>
                <w:color w:val="auto"/>
              </w:rPr>
              <w:t>Net gain (loss) on cash flow hedges</w:t>
            </w:r>
          </w:p>
        </w:tc>
        <w:tc>
          <w:tcPr>
            <w:tcW w:w="1000" w:type="dxa"/>
            <w:vAlign w:val="bottom"/>
          </w:tcPr>
          <w:p>
            <w:pPr>
              <w:jc w:val="right"/>
              <w:spacing w:after="0"/>
              <w:rPr>
                <w:sz w:val="20"/>
                <w:szCs w:val="20"/>
                <w:color w:val="auto"/>
              </w:rPr>
            </w:pPr>
            <w:r>
              <w:rPr>
                <w:rFonts w:ascii="Arial" w:cs="Arial" w:eastAsia="Arial" w:hAnsi="Arial"/>
                <w:sz w:val="17"/>
                <w:szCs w:val="17"/>
                <w:color w:val="auto"/>
              </w:rPr>
              <w:t>29,109</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97,251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(66,782)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640" w:type="dxa"/>
            <w:vAlign w:val="bottom"/>
          </w:tcPr>
          <w:p>
            <w:pPr>
              <w:ind w:left="980"/>
              <w:spacing w:after="0"/>
              <w:rPr>
                <w:sz w:val="20"/>
                <w:szCs w:val="20"/>
                <w:color w:val="auto"/>
              </w:rPr>
            </w:pPr>
            <w:r>
              <w:rPr>
                <w:rFonts w:ascii="Arial" w:cs="Arial" w:eastAsia="Arial" w:hAnsi="Arial"/>
                <w:sz w:val="17"/>
                <w:szCs w:val="17"/>
                <w:color w:val="auto"/>
              </w:rPr>
              <w:t>Transfer of net realized (gains) losses on cash flow hedges derivatives to profit or</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980"/>
              <w:spacing w:after="0"/>
              <w:rPr>
                <w:sz w:val="20"/>
                <w:szCs w:val="20"/>
                <w:color w:val="auto"/>
              </w:rPr>
            </w:pPr>
            <w:r>
              <w:rPr>
                <w:rFonts w:ascii="Arial" w:cs="Arial" w:eastAsia="Arial" w:hAnsi="Arial"/>
                <w:sz w:val="17"/>
                <w:szCs w:val="17"/>
                <w:color w:val="auto"/>
              </w:rPr>
              <w:t>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(28,048)</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(56,422)</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55,784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40" w:type="dxa"/>
            <w:vAlign w:val="bottom"/>
          </w:tcPr>
          <w:p>
            <w:pPr>
              <w:ind w:left="980"/>
              <w:spacing w:after="0" w:line="186" w:lineRule="exact"/>
              <w:rPr>
                <w:sz w:val="20"/>
                <w:szCs w:val="20"/>
                <w:color w:val="auto"/>
              </w:rPr>
            </w:pPr>
            <w:r>
              <w:rPr>
                <w:rFonts w:ascii="Arial" w:cs="Arial" w:eastAsia="Arial" w:hAnsi="Arial"/>
                <w:sz w:val="17"/>
                <w:szCs w:val="17"/>
                <w:b w:val="1"/>
                <w:bCs w:val="1"/>
                <w:color w:val="auto"/>
              </w:rPr>
              <w:t>Sub total</w:t>
            </w:r>
          </w:p>
        </w:tc>
        <w:tc>
          <w:tcPr>
            <w:tcW w:w="1000" w:type="dxa"/>
            <w:vAlign w:val="bottom"/>
          </w:tcPr>
          <w:p>
            <w:pPr>
              <w:jc w:val="right"/>
              <w:spacing w:after="0" w:line="186" w:lineRule="exact"/>
              <w:rPr>
                <w:sz w:val="20"/>
                <w:szCs w:val="20"/>
                <w:color w:val="auto"/>
              </w:rPr>
            </w:pPr>
            <w:r>
              <w:rPr>
                <w:rFonts w:ascii="Arial" w:cs="Arial" w:eastAsia="Arial" w:hAnsi="Arial"/>
                <w:sz w:val="17"/>
                <w:szCs w:val="17"/>
                <w:color w:val="auto"/>
              </w:rPr>
              <w:t>1,061</w:t>
            </w:r>
          </w:p>
        </w:tc>
        <w:tc>
          <w:tcPr>
            <w:tcW w:w="200" w:type="dxa"/>
            <w:vAlign w:val="bottom"/>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Arial" w:cs="Arial" w:eastAsia="Arial" w:hAnsi="Arial"/>
                <w:sz w:val="17"/>
                <w:szCs w:val="17"/>
                <w:color w:val="auto"/>
              </w:rPr>
              <w:t>40,829</w:t>
            </w:r>
          </w:p>
        </w:tc>
        <w:tc>
          <w:tcPr>
            <w:tcW w:w="200" w:type="dxa"/>
            <w:vAlign w:val="bottom"/>
          </w:tcPr>
          <w:p>
            <w:pPr>
              <w:spacing w:after="0"/>
              <w:rPr>
                <w:sz w:val="16"/>
                <w:szCs w:val="16"/>
                <w:color w:val="auto"/>
              </w:rPr>
            </w:pPr>
          </w:p>
        </w:tc>
        <w:tc>
          <w:tcPr>
            <w:tcW w:w="1020" w:type="dxa"/>
            <w:vAlign w:val="bottom"/>
          </w:tcPr>
          <w:p>
            <w:pPr>
              <w:jc w:val="right"/>
              <w:spacing w:after="0" w:line="186" w:lineRule="exact"/>
              <w:rPr>
                <w:sz w:val="20"/>
                <w:szCs w:val="20"/>
                <w:color w:val="auto"/>
              </w:rPr>
            </w:pPr>
            <w:r>
              <w:rPr>
                <w:rFonts w:ascii="Arial" w:cs="Arial" w:eastAsia="Arial" w:hAnsi="Arial"/>
                <w:sz w:val="17"/>
                <w:szCs w:val="17"/>
                <w:color w:val="auto"/>
              </w:rPr>
              <w:t>(10,998)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40" w:type="dxa"/>
            <w:vAlign w:val="bottom"/>
          </w:tcPr>
          <w:p>
            <w:pPr>
              <w:ind w:left="980"/>
              <w:spacing w:after="0" w:line="194" w:lineRule="exact"/>
              <w:rPr>
                <w:sz w:val="20"/>
                <w:szCs w:val="20"/>
                <w:color w:val="auto"/>
              </w:rPr>
            </w:pPr>
            <w:r>
              <w:rPr>
                <w:rFonts w:ascii="Arial" w:cs="Arial" w:eastAsia="Arial" w:hAnsi="Arial"/>
                <w:sz w:val="17"/>
                <w:szCs w:val="17"/>
                <w:color w:val="auto"/>
              </w:rPr>
              <w:t>Non-controlling interest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27</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923</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(252)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980"/>
              <w:spacing w:after="0"/>
              <w:rPr>
                <w:sz w:val="20"/>
                <w:szCs w:val="20"/>
                <w:color w:val="auto"/>
              </w:rPr>
            </w:pPr>
            <w:r>
              <w:rPr>
                <w:rFonts w:ascii="Arial" w:cs="Arial" w:eastAsia="Arial" w:hAnsi="Arial"/>
                <w:sz w:val="17"/>
                <w:szCs w:val="17"/>
                <w:color w:val="auto"/>
              </w:rPr>
              <w:t>Income tax</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16,834</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4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1,246</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58,586</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(15,183)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7640" w:type="dxa"/>
            <w:vAlign w:val="bottom"/>
          </w:tcPr>
          <w:p>
            <w:pPr>
              <w:ind w:left="980"/>
              <w:spacing w:after="0"/>
              <w:rPr>
                <w:sz w:val="20"/>
                <w:szCs w:val="20"/>
                <w:color w:val="auto"/>
              </w:rPr>
            </w:pPr>
            <w:r>
              <w:rPr>
                <w:rFonts w:ascii="Arial" w:cs="Arial" w:eastAsia="Arial" w:hAnsi="Arial"/>
                <w:sz w:val="17"/>
                <w:szCs w:val="17"/>
                <w:b w:val="1"/>
                <w:bCs w:val="1"/>
                <w:color w:val="auto"/>
              </w:rPr>
              <w:t>Other reserves: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640" w:type="dxa"/>
            <w:vAlign w:val="bottom"/>
          </w:tcPr>
          <w:p>
            <w:pPr>
              <w:ind w:left="980"/>
              <w:spacing w:after="0" w:line="194" w:lineRule="exact"/>
              <w:rPr>
                <w:sz w:val="20"/>
                <w:szCs w:val="20"/>
                <w:color w:val="auto"/>
              </w:rPr>
            </w:pPr>
            <w:r>
              <w:rPr>
                <w:rFonts w:ascii="Arial" w:cs="Arial" w:eastAsia="Arial" w:hAnsi="Arial"/>
                <w:sz w:val="17"/>
                <w:szCs w:val="17"/>
                <w:color w:val="auto"/>
              </w:rPr>
              <w:t>Insurances reserves</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927,838</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733,932</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(234,107)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40" w:type="dxa"/>
            <w:vAlign w:val="bottom"/>
          </w:tcPr>
          <w:p>
            <w:pPr>
              <w:ind w:left="980"/>
              <w:spacing w:after="0" w:line="194" w:lineRule="exact"/>
              <w:rPr>
                <w:sz w:val="20"/>
                <w:szCs w:val="20"/>
                <w:color w:val="auto"/>
              </w:rPr>
            </w:pPr>
            <w:r>
              <w:rPr>
                <w:rFonts w:ascii="Arial" w:cs="Arial" w:eastAsia="Arial" w:hAnsi="Arial"/>
                <w:sz w:val="17"/>
                <w:szCs w:val="17"/>
                <w:color w:val="auto"/>
              </w:rPr>
              <w:t>Non-controlling interest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10,604</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8,513</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(2,867)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980"/>
              <w:spacing w:after="0"/>
              <w:rPr>
                <w:sz w:val="20"/>
                <w:szCs w:val="20"/>
                <w:color w:val="auto"/>
              </w:rPr>
            </w:pPr>
            <w:r>
              <w:rPr>
                <w:rFonts w:ascii="Arial" w:cs="Arial" w:eastAsia="Arial" w:hAnsi="Arial"/>
                <w:sz w:val="17"/>
                <w:szCs w:val="17"/>
                <w:color w:val="auto"/>
              </w:rPr>
              <w:t>Income tax</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26,846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(26,846)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4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938,442</w:t>
            </w:r>
          </w:p>
        </w:tc>
        <w:tc>
          <w:tcPr>
            <w:tcW w:w="2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769,291</w:t>
            </w:r>
          </w:p>
        </w:tc>
        <w:tc>
          <w:tcPr>
            <w:tcW w:w="2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(263,820)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7640" w:type="dxa"/>
            <w:vAlign w:val="bottom"/>
          </w:tcPr>
          <w:p>
            <w:pPr>
              <w:ind w:left="980"/>
              <w:spacing w:after="0"/>
              <w:rPr>
                <w:sz w:val="20"/>
                <w:szCs w:val="20"/>
                <w:color w:val="auto"/>
              </w:rPr>
            </w:pPr>
            <w:r>
              <w:rPr>
                <w:rFonts w:ascii="Arial" w:cs="Arial" w:eastAsia="Arial" w:hAnsi="Arial"/>
                <w:sz w:val="17"/>
                <w:szCs w:val="17"/>
                <w:b w:val="1"/>
                <w:bCs w:val="1"/>
                <w:color w:val="auto"/>
              </w:rPr>
              <w:t>Foreign exchange traslation:</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640" w:type="dxa"/>
            <w:vAlign w:val="bottom"/>
          </w:tcPr>
          <w:p>
            <w:pPr>
              <w:ind w:left="980"/>
              <w:spacing w:after="0" w:line="194" w:lineRule="exact"/>
              <w:rPr>
                <w:sz w:val="20"/>
                <w:szCs w:val="20"/>
                <w:color w:val="auto"/>
              </w:rPr>
            </w:pPr>
            <w:r>
              <w:rPr>
                <w:rFonts w:ascii="Arial" w:cs="Arial" w:eastAsia="Arial" w:hAnsi="Arial"/>
                <w:sz w:val="17"/>
                <w:szCs w:val="17"/>
                <w:color w:val="auto"/>
              </w:rPr>
              <w:t>Exchange difference on translation of foreign currency</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980"/>
              <w:spacing w:after="0"/>
              <w:rPr>
                <w:sz w:val="20"/>
                <w:szCs w:val="20"/>
                <w:color w:val="auto"/>
              </w:rPr>
            </w:pPr>
            <w:r>
              <w:rPr>
                <w:rFonts w:ascii="Arial" w:cs="Arial" w:eastAsia="Arial" w:hAnsi="Arial"/>
                <w:sz w:val="17"/>
                <w:szCs w:val="17"/>
                <w:color w:val="auto"/>
              </w:rPr>
              <w:t>transactions</w:t>
            </w:r>
          </w:p>
        </w:tc>
        <w:tc>
          <w:tcPr>
            <w:tcW w:w="1000" w:type="dxa"/>
            <w:vAlign w:val="bottom"/>
          </w:tcPr>
          <w:p>
            <w:pPr>
              <w:jc w:val="right"/>
              <w:spacing w:after="0"/>
              <w:rPr>
                <w:sz w:val="20"/>
                <w:szCs w:val="20"/>
                <w:color w:val="auto"/>
              </w:rPr>
            </w:pPr>
            <w:r>
              <w:rPr>
                <w:rFonts w:ascii="Arial" w:cs="Arial" w:eastAsia="Arial" w:hAnsi="Arial"/>
                <w:sz w:val="17"/>
                <w:szCs w:val="17"/>
                <w:color w:val="auto"/>
              </w:rPr>
              <w:t>(296,288)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160,810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258,353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7640" w:type="dxa"/>
            <w:vAlign w:val="bottom"/>
          </w:tcPr>
          <w:p>
            <w:pPr>
              <w:ind w:left="980"/>
              <w:spacing w:after="0"/>
              <w:rPr>
                <w:sz w:val="20"/>
                <w:szCs w:val="20"/>
                <w:color w:val="auto"/>
              </w:rPr>
            </w:pPr>
            <w:r>
              <w:rPr>
                <w:rFonts w:ascii="Arial" w:cs="Arial" w:eastAsia="Arial" w:hAnsi="Arial"/>
                <w:sz w:val="17"/>
                <w:szCs w:val="17"/>
                <w:color w:val="auto"/>
              </w:rPr>
              <w:t>Net movement in hedges of net investments in foreign businesses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39,587</w:t>
            </w:r>
          </w:p>
        </w:tc>
        <w:tc>
          <w:tcPr>
            <w:tcW w:w="2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(57,319)</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640" w:type="dxa"/>
            <w:vAlign w:val="bottom"/>
          </w:tcPr>
          <w:p>
            <w:pPr>
              <w:ind w:left="980"/>
              <w:spacing w:after="0" w:line="186" w:lineRule="exact"/>
              <w:rPr>
                <w:sz w:val="20"/>
                <w:szCs w:val="20"/>
                <w:color w:val="auto"/>
              </w:rPr>
            </w:pPr>
            <w:r>
              <w:rPr>
                <w:rFonts w:ascii="Arial" w:cs="Arial" w:eastAsia="Arial" w:hAnsi="Arial"/>
                <w:sz w:val="17"/>
                <w:szCs w:val="17"/>
                <w:b w:val="1"/>
                <w:bCs w:val="1"/>
                <w:color w:val="auto"/>
              </w:rPr>
              <w:t>Sub total</w:t>
            </w:r>
          </w:p>
        </w:tc>
        <w:tc>
          <w:tcPr>
            <w:tcW w:w="1000" w:type="dxa"/>
            <w:vAlign w:val="bottom"/>
          </w:tcPr>
          <w:p>
            <w:pPr>
              <w:jc w:val="right"/>
              <w:spacing w:after="0" w:line="186" w:lineRule="exact"/>
              <w:rPr>
                <w:sz w:val="20"/>
                <w:szCs w:val="20"/>
                <w:color w:val="auto"/>
              </w:rPr>
            </w:pPr>
            <w:r>
              <w:rPr>
                <w:rFonts w:ascii="Arial" w:cs="Arial" w:eastAsia="Arial" w:hAnsi="Arial"/>
                <w:sz w:val="17"/>
                <w:szCs w:val="17"/>
                <w:color w:val="auto"/>
              </w:rPr>
              <w:t>(256,701)</w:t>
            </w:r>
          </w:p>
        </w:tc>
        <w:tc>
          <w:tcPr>
            <w:tcW w:w="200" w:type="dxa"/>
            <w:vAlign w:val="bottom"/>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Arial" w:cs="Arial" w:eastAsia="Arial" w:hAnsi="Arial"/>
                <w:sz w:val="17"/>
                <w:szCs w:val="17"/>
                <w:color w:val="auto"/>
              </w:rPr>
              <w:t>103,491</w:t>
            </w:r>
          </w:p>
        </w:tc>
        <w:tc>
          <w:tcPr>
            <w:tcW w:w="200" w:type="dxa"/>
            <w:vAlign w:val="bottom"/>
          </w:tcPr>
          <w:p>
            <w:pPr>
              <w:spacing w:after="0"/>
              <w:rPr>
                <w:sz w:val="16"/>
                <w:szCs w:val="16"/>
                <w:color w:val="auto"/>
              </w:rPr>
            </w:pPr>
          </w:p>
        </w:tc>
        <w:tc>
          <w:tcPr>
            <w:tcW w:w="1020" w:type="dxa"/>
            <w:vAlign w:val="bottom"/>
          </w:tcPr>
          <w:p>
            <w:pPr>
              <w:jc w:val="right"/>
              <w:spacing w:after="0" w:line="186" w:lineRule="exact"/>
              <w:rPr>
                <w:sz w:val="20"/>
                <w:szCs w:val="20"/>
                <w:color w:val="auto"/>
              </w:rPr>
            </w:pPr>
            <w:r>
              <w:rPr>
                <w:rFonts w:ascii="Arial" w:cs="Arial" w:eastAsia="Arial" w:hAnsi="Arial"/>
                <w:sz w:val="17"/>
                <w:szCs w:val="17"/>
                <w:color w:val="auto"/>
              </w:rPr>
              <w:t>257,134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980"/>
              <w:spacing w:after="0"/>
              <w:rPr>
                <w:sz w:val="20"/>
                <w:szCs w:val="20"/>
                <w:color w:val="auto"/>
              </w:rPr>
            </w:pPr>
            <w:r>
              <w:rPr>
                <w:rFonts w:ascii="Arial" w:cs="Arial" w:eastAsia="Arial" w:hAnsi="Arial"/>
                <w:sz w:val="17"/>
                <w:szCs w:val="17"/>
                <w:color w:val="auto"/>
              </w:rPr>
              <w:t>Non-controlling interest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4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(256,815)</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103,849</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255,833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0"/>
        </w:trPr>
        <w:tc>
          <w:tcPr>
            <w:tcW w:w="7640" w:type="dxa"/>
            <w:vAlign w:val="bottom"/>
          </w:tcPr>
          <w:p>
            <w:pPr>
              <w:ind w:left="5360"/>
              <w:spacing w:after="0"/>
              <w:rPr>
                <w:sz w:val="20"/>
                <w:szCs w:val="20"/>
                <w:color w:val="auto"/>
              </w:rPr>
            </w:pPr>
            <w:r>
              <w:rPr>
                <w:rFonts w:ascii="Arial" w:cs="Arial" w:eastAsia="Arial" w:hAnsi="Arial"/>
                <w:sz w:val="17"/>
                <w:szCs w:val="17"/>
                <w:color w:val="auto"/>
              </w:rPr>
              <w:t>- 111 -</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76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16" w:name="page117"/>
    <w:bookmarkEnd w:id="116"/>
    <w:p>
      <w:pPr>
        <w:ind w:left="355" w:right="4540"/>
        <w:spacing w:after="0" w:line="281" w:lineRule="auto"/>
        <w:rPr>
          <w:sz w:val="20"/>
          <w:szCs w:val="20"/>
          <w:color w:val="auto"/>
        </w:rPr>
      </w:pPr>
      <w:r>
        <w:rPr>
          <w:rFonts w:ascii="Arial" w:cs="Arial" w:eastAsia="Arial" w:hAnsi="Arial"/>
          <w:sz w:val="17"/>
          <w:szCs w:val="17"/>
          <w:b w:val="1"/>
          <w:bCs w:val="1"/>
          <w:color w:val="auto"/>
        </w:rPr>
        <w:t>Not to be reclassified to the consolidated statement of income in later periods:</w:t>
      </w:r>
    </w:p>
    <w:p>
      <w:pPr>
        <w:spacing w:after="0" w:line="138" w:lineRule="exact"/>
        <w:rPr>
          <w:sz w:val="20"/>
          <w:szCs w:val="20"/>
          <w:color w:val="auto"/>
        </w:rPr>
      </w:pPr>
    </w:p>
    <w:tbl>
      <w:tblPr>
        <w:tblLayout w:type="fixed"/>
        <w:tblInd w:w="355" w:type="dxa"/>
        <w:tblCellMar>
          <w:top w:w="0" w:type="dxa"/>
          <w:left w:w="0" w:type="dxa"/>
          <w:bottom w:w="0" w:type="dxa"/>
          <w:right w:w="0" w:type="dxa"/>
        </w:tblCellMar>
      </w:tblPr>
      <w:tr>
        <w:trPr>
          <w:trHeight w:val="216"/>
        </w:trPr>
        <w:tc>
          <w:tcPr>
            <w:tcW w:w="6660" w:type="dxa"/>
            <w:vAlign w:val="bottom"/>
          </w:tcPr>
          <w:p>
            <w:pPr>
              <w:spacing w:after="0"/>
              <w:rPr>
                <w:sz w:val="20"/>
                <w:szCs w:val="20"/>
                <w:color w:val="auto"/>
              </w:rPr>
            </w:pPr>
            <w:r>
              <w:rPr>
                <w:rFonts w:ascii="Arial" w:cs="Arial" w:eastAsia="Arial" w:hAnsi="Arial"/>
                <w:sz w:val="17"/>
                <w:szCs w:val="17"/>
                <w:b w:val="1"/>
                <w:bCs w:val="1"/>
                <w:color w:val="auto"/>
              </w:rPr>
              <w:t>Equity instruments at fair value through other comprehensive income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60" w:type="dxa"/>
            <w:vAlign w:val="bottom"/>
          </w:tcPr>
          <w:p>
            <w:pPr>
              <w:spacing w:after="0" w:line="194" w:lineRule="exact"/>
              <w:rPr>
                <w:sz w:val="20"/>
                <w:szCs w:val="20"/>
                <w:color w:val="auto"/>
              </w:rPr>
            </w:pPr>
            <w:r>
              <w:rPr>
                <w:rFonts w:ascii="Arial" w:cs="Arial" w:eastAsia="Arial" w:hAnsi="Arial"/>
                <w:sz w:val="17"/>
                <w:szCs w:val="17"/>
                <w:color w:val="auto"/>
              </w:rPr>
              <w:t>Net unrealized loss</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(33,298)</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(108,317)</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(79,007)</w:t>
            </w:r>
          </w:p>
        </w:tc>
        <w:tc>
          <w:tcPr>
            <w:tcW w:w="0" w:type="dxa"/>
            <w:vAlign w:val="bottom"/>
          </w:tcPr>
          <w:p>
            <w:pPr>
              <w:spacing w:after="0"/>
              <w:rPr>
                <w:sz w:val="1"/>
                <w:szCs w:val="1"/>
                <w:color w:val="auto"/>
              </w:rPr>
            </w:pPr>
          </w:p>
        </w:tc>
      </w:tr>
      <w:tr>
        <w:trPr>
          <w:trHeight w:val="194"/>
        </w:trPr>
        <w:tc>
          <w:tcPr>
            <w:tcW w:w="6660" w:type="dxa"/>
            <w:vAlign w:val="bottom"/>
          </w:tcPr>
          <w:p>
            <w:pPr>
              <w:spacing w:after="0" w:line="194" w:lineRule="exact"/>
              <w:rPr>
                <w:sz w:val="20"/>
                <w:szCs w:val="20"/>
                <w:color w:val="auto"/>
              </w:rPr>
            </w:pPr>
            <w:r>
              <w:rPr>
                <w:rFonts w:ascii="Arial" w:cs="Arial" w:eastAsia="Arial" w:hAnsi="Arial"/>
                <w:sz w:val="17"/>
                <w:szCs w:val="17"/>
                <w:color w:val="auto"/>
              </w:rPr>
              <w:t>Non-controlling interest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23</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33</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195"/>
        </w:trPr>
        <w:tc>
          <w:tcPr>
            <w:tcW w:w="6660" w:type="dxa"/>
            <w:vAlign w:val="bottom"/>
          </w:tcPr>
          <w:p>
            <w:pPr>
              <w:spacing w:after="0"/>
              <w:rPr>
                <w:sz w:val="20"/>
                <w:szCs w:val="20"/>
                <w:color w:val="auto"/>
              </w:rPr>
            </w:pPr>
            <w:r>
              <w:rPr>
                <w:rFonts w:ascii="Arial" w:cs="Arial" w:eastAsia="Arial" w:hAnsi="Arial"/>
                <w:sz w:val="17"/>
                <w:szCs w:val="17"/>
                <w:color w:val="auto"/>
              </w:rPr>
              <w:t>Income tax</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(5,402)</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(3,414)</w:t>
            </w:r>
          </w:p>
        </w:tc>
        <w:tc>
          <w:tcPr>
            <w:tcW w:w="0" w:type="dxa"/>
            <w:vAlign w:val="bottom"/>
          </w:tcPr>
          <w:p>
            <w:pPr>
              <w:spacing w:after="0"/>
              <w:rPr>
                <w:sz w:val="1"/>
                <w:szCs w:val="1"/>
                <w:color w:val="auto"/>
              </w:rPr>
            </w:pPr>
          </w:p>
        </w:tc>
      </w:tr>
      <w:tr>
        <w:trPr>
          <w:trHeight w:val="193"/>
        </w:trPr>
        <w:tc>
          <w:tcPr>
            <w:tcW w:w="6660" w:type="dxa"/>
            <w:vAlign w:val="bottom"/>
            <w:vMerge w:val="restart"/>
          </w:tcPr>
          <w:p>
            <w:pPr>
              <w:spacing w:after="0"/>
              <w:rPr>
                <w:sz w:val="20"/>
                <w:szCs w:val="20"/>
                <w:color w:val="auto"/>
              </w:rPr>
            </w:pPr>
            <w:r>
              <w:rPr>
                <w:rFonts w:ascii="Arial" w:cs="Arial" w:eastAsia="Arial" w:hAnsi="Arial"/>
                <w:sz w:val="17"/>
                <w:szCs w:val="17"/>
                <w:b w:val="1"/>
                <w:bCs w:val="1"/>
                <w:color w:val="auto"/>
              </w:rPr>
              <w:t>Attributable to:</w:t>
            </w: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(35,384)</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(113,686)</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(82,586)</w:t>
            </w:r>
          </w:p>
        </w:tc>
        <w:tc>
          <w:tcPr>
            <w:tcW w:w="0" w:type="dxa"/>
            <w:vAlign w:val="bottom"/>
          </w:tcPr>
          <w:p>
            <w:pPr>
              <w:spacing w:after="0"/>
              <w:rPr>
                <w:sz w:val="1"/>
                <w:szCs w:val="1"/>
                <w:color w:val="auto"/>
              </w:rPr>
            </w:pPr>
          </w:p>
        </w:tc>
      </w:tr>
      <w:tr>
        <w:trPr>
          <w:trHeight w:val="193"/>
        </w:trPr>
        <w:tc>
          <w:tcPr>
            <w:tcW w:w="66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60" w:type="dxa"/>
            <w:vAlign w:val="bottom"/>
          </w:tcPr>
          <w:p>
            <w:pPr>
              <w:spacing w:after="0" w:line="194" w:lineRule="exact"/>
              <w:rPr>
                <w:sz w:val="20"/>
                <w:szCs w:val="20"/>
                <w:color w:val="auto"/>
              </w:rPr>
            </w:pPr>
            <w:r>
              <w:rPr>
                <w:rFonts w:ascii="Arial" w:cs="Arial" w:eastAsia="Arial" w:hAnsi="Arial"/>
                <w:sz w:val="17"/>
                <w:szCs w:val="17"/>
                <w:color w:val="auto"/>
              </w:rPr>
              <w:t>Credicorp's shareholders</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(886,018)</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(1,629,996)</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777,709</w:t>
            </w:r>
          </w:p>
        </w:tc>
        <w:tc>
          <w:tcPr>
            <w:tcW w:w="0" w:type="dxa"/>
            <w:vAlign w:val="bottom"/>
          </w:tcPr>
          <w:p>
            <w:pPr>
              <w:spacing w:after="0"/>
              <w:rPr>
                <w:sz w:val="1"/>
                <w:szCs w:val="1"/>
                <w:color w:val="auto"/>
              </w:rPr>
            </w:pPr>
          </w:p>
        </w:tc>
      </w:tr>
      <w:tr>
        <w:trPr>
          <w:trHeight w:val="195"/>
        </w:trPr>
        <w:tc>
          <w:tcPr>
            <w:tcW w:w="666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(4,995)</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(30,063)</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9,229</w:t>
            </w:r>
          </w:p>
        </w:tc>
        <w:tc>
          <w:tcPr>
            <w:tcW w:w="0" w:type="dxa"/>
            <w:vAlign w:val="bottom"/>
          </w:tcPr>
          <w:p>
            <w:pPr>
              <w:spacing w:after="0"/>
              <w:rPr>
                <w:sz w:val="1"/>
                <w:szCs w:val="1"/>
                <w:color w:val="auto"/>
              </w:rPr>
            </w:pPr>
          </w:p>
        </w:tc>
      </w:tr>
      <w:tr>
        <w:trPr>
          <w:trHeight w:val="193"/>
        </w:trPr>
        <w:tc>
          <w:tcPr>
            <w:tcW w:w="666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(891,013)</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(1,660,059)</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786,938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15" w:hanging="315"/>
        <w:spacing w:after="0"/>
        <w:tabs>
          <w:tab w:leader="none" w:pos="31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Dividend distribution -</w:t>
      </w:r>
    </w:p>
    <w:p>
      <w:pPr>
        <w:spacing w:after="0" w:line="193"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The chart below shows the distribution of dividends agreed by the Board of Directors:</w:t>
      </w:r>
    </w:p>
    <w:p>
      <w:pPr>
        <w:spacing w:after="0" w:line="171" w:lineRule="exact"/>
        <w:rPr>
          <w:sz w:val="20"/>
          <w:szCs w:val="20"/>
          <w:color w:val="auto"/>
        </w:rPr>
      </w:pPr>
    </w:p>
    <w:tbl>
      <w:tblPr>
        <w:tblLayout w:type="fixed"/>
        <w:tblInd w:w="355" w:type="dxa"/>
        <w:tblCellMar>
          <w:top w:w="0" w:type="dxa"/>
          <w:left w:w="0" w:type="dxa"/>
          <w:bottom w:w="0" w:type="dxa"/>
          <w:right w:w="0" w:type="dxa"/>
        </w:tblCellMar>
      </w:tblPr>
      <w:tr>
        <w:trPr>
          <w:trHeight w:val="217"/>
        </w:trPr>
        <w:tc>
          <w:tcPr>
            <w:tcW w:w="6640" w:type="dxa"/>
            <w:vAlign w:val="bottom"/>
          </w:tcPr>
          <w:p>
            <w:pPr>
              <w:spacing w:after="0"/>
              <w:rPr>
                <w:sz w:val="18"/>
                <w:szCs w:val="18"/>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r>
      <w:tr>
        <w:trPr>
          <w:trHeight w:val="381"/>
        </w:trPr>
        <w:tc>
          <w:tcPr>
            <w:tcW w:w="6640" w:type="dxa"/>
            <w:vAlign w:val="bottom"/>
          </w:tcPr>
          <w:p>
            <w:pPr>
              <w:spacing w:after="0"/>
              <w:rPr>
                <w:sz w:val="20"/>
                <w:szCs w:val="20"/>
                <w:color w:val="auto"/>
              </w:rPr>
            </w:pPr>
            <w:r>
              <w:rPr>
                <w:rFonts w:ascii="Arial" w:cs="Arial" w:eastAsia="Arial" w:hAnsi="Arial"/>
                <w:sz w:val="17"/>
                <w:szCs w:val="17"/>
                <w:color w:val="auto"/>
              </w:rPr>
              <w:t>Date of Meeting - Board of Directors</w:t>
            </w:r>
          </w:p>
        </w:tc>
        <w:tc>
          <w:tcPr>
            <w:tcW w:w="1020" w:type="dxa"/>
            <w:vAlign w:val="bottom"/>
          </w:tcPr>
          <w:p>
            <w:pPr>
              <w:jc w:val="right"/>
              <w:spacing w:after="0"/>
              <w:rPr>
                <w:sz w:val="20"/>
                <w:szCs w:val="20"/>
                <w:color w:val="auto"/>
              </w:rPr>
            </w:pPr>
            <w:r>
              <w:rPr>
                <w:rFonts w:ascii="Arial" w:cs="Arial" w:eastAsia="Arial" w:hAnsi="Arial"/>
                <w:sz w:val="17"/>
                <w:szCs w:val="17"/>
                <w:color w:val="auto"/>
              </w:rPr>
              <w:t>28.04.2022</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26.08.2021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27.02.2020</w:t>
            </w:r>
          </w:p>
        </w:tc>
      </w:tr>
      <w:tr>
        <w:trPr>
          <w:trHeight w:val="194"/>
        </w:trPr>
        <w:tc>
          <w:tcPr>
            <w:tcW w:w="6640" w:type="dxa"/>
            <w:vAlign w:val="bottom"/>
          </w:tcPr>
          <w:p>
            <w:pPr>
              <w:spacing w:after="0" w:line="194" w:lineRule="exact"/>
              <w:rPr>
                <w:sz w:val="20"/>
                <w:szCs w:val="20"/>
                <w:color w:val="auto"/>
              </w:rPr>
            </w:pPr>
            <w:r>
              <w:rPr>
                <w:rFonts w:ascii="Arial" w:cs="Arial" w:eastAsia="Arial" w:hAnsi="Arial"/>
                <w:sz w:val="17"/>
                <w:szCs w:val="17"/>
                <w:color w:val="auto"/>
              </w:rPr>
              <w:t>Dividends distribution, net of treasury shares effect (in thousands of soles)</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1,196,422</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398,808</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2,392,844</w:t>
            </w:r>
          </w:p>
        </w:tc>
      </w:tr>
      <w:tr>
        <w:trPr>
          <w:trHeight w:val="194"/>
        </w:trPr>
        <w:tc>
          <w:tcPr>
            <w:tcW w:w="6640" w:type="dxa"/>
            <w:vAlign w:val="bottom"/>
          </w:tcPr>
          <w:p>
            <w:pPr>
              <w:spacing w:after="0" w:line="194" w:lineRule="exact"/>
              <w:rPr>
                <w:sz w:val="20"/>
                <w:szCs w:val="20"/>
                <w:color w:val="auto"/>
              </w:rPr>
            </w:pPr>
            <w:r>
              <w:rPr>
                <w:rFonts w:ascii="Arial" w:cs="Arial" w:eastAsia="Arial" w:hAnsi="Arial"/>
                <w:sz w:val="17"/>
                <w:szCs w:val="17"/>
                <w:color w:val="auto"/>
              </w:rPr>
              <w:t>Payment of dividends per share (in soles)</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15.0</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5.0</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30.0</w:t>
            </w:r>
          </w:p>
        </w:tc>
      </w:tr>
      <w:tr>
        <w:trPr>
          <w:trHeight w:val="194"/>
        </w:trPr>
        <w:tc>
          <w:tcPr>
            <w:tcW w:w="6640" w:type="dxa"/>
            <w:vAlign w:val="bottom"/>
          </w:tcPr>
          <w:p>
            <w:pPr>
              <w:spacing w:after="0" w:line="194" w:lineRule="exact"/>
              <w:rPr>
                <w:sz w:val="20"/>
                <w:szCs w:val="20"/>
                <w:color w:val="auto"/>
              </w:rPr>
            </w:pPr>
            <w:r>
              <w:rPr>
                <w:rFonts w:ascii="Arial" w:cs="Arial" w:eastAsia="Arial" w:hAnsi="Arial"/>
                <w:sz w:val="17"/>
                <w:szCs w:val="17"/>
                <w:color w:val="auto"/>
              </w:rPr>
              <w:t>Date of dividends payout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10.06.2022</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07.10.2021</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08.05.2020</w:t>
            </w:r>
          </w:p>
        </w:tc>
      </w:tr>
      <w:tr>
        <w:trPr>
          <w:trHeight w:val="194"/>
        </w:trPr>
        <w:tc>
          <w:tcPr>
            <w:tcW w:w="6640" w:type="dxa"/>
            <w:vAlign w:val="bottom"/>
          </w:tcPr>
          <w:p>
            <w:pPr>
              <w:spacing w:after="0" w:line="194" w:lineRule="exact"/>
              <w:rPr>
                <w:sz w:val="20"/>
                <w:szCs w:val="20"/>
                <w:color w:val="auto"/>
              </w:rPr>
            </w:pPr>
            <w:r>
              <w:rPr>
                <w:rFonts w:ascii="Arial" w:cs="Arial" w:eastAsia="Arial" w:hAnsi="Arial"/>
                <w:sz w:val="17"/>
                <w:szCs w:val="17"/>
                <w:color w:val="auto"/>
              </w:rPr>
              <w:t>Exchange rate published by the SBS</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3.7560</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4.1310</w:t>
            </w:r>
          </w:p>
        </w:tc>
        <w:tc>
          <w:tcPr>
            <w:tcW w:w="2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3.4081</w:t>
            </w:r>
          </w:p>
        </w:tc>
      </w:tr>
      <w:tr>
        <w:trPr>
          <w:trHeight w:val="208"/>
        </w:trPr>
        <w:tc>
          <w:tcPr>
            <w:tcW w:w="6640" w:type="dxa"/>
            <w:vAlign w:val="bottom"/>
          </w:tcPr>
          <w:p>
            <w:pPr>
              <w:spacing w:after="0"/>
              <w:rPr>
                <w:sz w:val="20"/>
                <w:szCs w:val="20"/>
                <w:color w:val="auto"/>
              </w:rPr>
            </w:pPr>
            <w:r>
              <w:rPr>
                <w:rFonts w:ascii="Arial" w:cs="Arial" w:eastAsia="Arial" w:hAnsi="Arial"/>
                <w:sz w:val="17"/>
                <w:szCs w:val="17"/>
                <w:color w:val="auto"/>
              </w:rPr>
              <w:t>Dividends payout (equivalent in thousands of US$)</w:t>
            </w:r>
          </w:p>
        </w:tc>
        <w:tc>
          <w:tcPr>
            <w:tcW w:w="1020" w:type="dxa"/>
            <w:vAlign w:val="bottom"/>
          </w:tcPr>
          <w:p>
            <w:pPr>
              <w:jc w:val="right"/>
              <w:spacing w:after="0"/>
              <w:rPr>
                <w:sz w:val="20"/>
                <w:szCs w:val="20"/>
                <w:color w:val="auto"/>
              </w:rPr>
            </w:pPr>
            <w:r>
              <w:rPr>
                <w:rFonts w:ascii="Arial" w:cs="Arial" w:eastAsia="Arial" w:hAnsi="Arial"/>
                <w:sz w:val="17"/>
                <w:szCs w:val="17"/>
                <w:color w:val="auto"/>
              </w:rPr>
              <w:t>318,536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96,540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702,105</w:t>
            </w:r>
          </w:p>
        </w:tc>
      </w:tr>
    </w:tbl>
    <w:p>
      <w:pPr>
        <w:spacing w:after="0" w:line="180" w:lineRule="exact"/>
        <w:rPr>
          <w:sz w:val="20"/>
          <w:szCs w:val="20"/>
          <w:color w:val="auto"/>
        </w:rPr>
      </w:pPr>
    </w:p>
    <w:p>
      <w:pPr>
        <w:ind w:left="315" w:right="40"/>
        <w:spacing w:after="0" w:line="246" w:lineRule="auto"/>
        <w:rPr>
          <w:sz w:val="20"/>
          <w:szCs w:val="20"/>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As of December 31, 2022, 2021 and 2020 dividends paid by the Peruvian subsidiaries to Credicorp are subject to a 5.0 percent withholding tax.</w:t>
      </w:r>
    </w:p>
    <w:p>
      <w:pPr>
        <w:spacing w:after="0" w:line="176" w:lineRule="exact"/>
        <w:rPr>
          <w:sz w:val="20"/>
          <w:szCs w:val="20"/>
          <w:color w:val="auto"/>
        </w:rPr>
      </w:pPr>
    </w:p>
    <w:p>
      <w:pPr>
        <w:ind w:left="315" w:hanging="315"/>
        <w:spacing w:after="0"/>
        <w:tabs>
          <w:tab w:leader="none" w:pos="31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Regulatory capital -</w:t>
      </w:r>
    </w:p>
    <w:p>
      <w:pPr>
        <w:spacing w:after="0" w:line="193" w:lineRule="exact"/>
        <w:rPr>
          <w:rFonts w:ascii="Arial" w:cs="Arial" w:eastAsia="Arial" w:hAnsi="Arial"/>
          <w:sz w:val="17"/>
          <w:szCs w:val="17"/>
          <w:color w:val="auto"/>
        </w:rPr>
      </w:pPr>
    </w:p>
    <w:p>
      <w:pPr>
        <w:ind w:left="315"/>
        <w:spacing w:after="0" w:line="242" w:lineRule="auto"/>
        <w:rPr>
          <w:rFonts w:ascii="Arial" w:cs="Arial" w:eastAsia="Arial" w:hAnsi="Arial"/>
          <w:sz w:val="17"/>
          <w:szCs w:val="17"/>
          <w:color w:val="auto"/>
        </w:rPr>
      </w:pPr>
      <w:r>
        <w:rPr>
          <w:rFonts w:ascii="Arial" w:cs="Arial" w:eastAsia="Arial" w:hAnsi="Arial"/>
          <w:sz w:val="17"/>
          <w:szCs w:val="17"/>
          <w:color w:val="auto"/>
        </w:rPr>
        <w:t>As of December 31, 2022 and 2021, the regulatory capital requirement (“patrimonio efectivo” in Peru) applicable to Credicorp subsidiaries engaged in financial services and insurance activities in Peru, determined under the provisions of the Peruvian banking and insurance regulator, SBS, totals approximately S/31,754.6 million and S/29,741.6 million, respectively. At those dates, the Group’s regulatory requirement exceeds by approximately S/8,157.0 million and S/10,294.3 million, respectively, the minimum regulatory capital required by the SBS.</w:t>
      </w:r>
    </w:p>
    <w:p>
      <w:pPr>
        <w:spacing w:after="0" w:line="348" w:lineRule="exact"/>
        <w:rPr>
          <w:rFonts w:ascii="Arial" w:cs="Arial" w:eastAsia="Arial" w:hAnsi="Arial"/>
          <w:sz w:val="17"/>
          <w:szCs w:val="17"/>
          <w:color w:val="auto"/>
        </w:rPr>
      </w:pPr>
    </w:p>
    <w:p>
      <w:pPr>
        <w:ind w:left="4835" w:hanging="107"/>
        <w:spacing w:after="0"/>
        <w:tabs>
          <w:tab w:leader="none" w:pos="4835" w:val="left"/>
        </w:tabs>
        <w:numPr>
          <w:ilvl w:val="1"/>
          <w:numId w:val="128"/>
        </w:numPr>
        <w:rPr>
          <w:rFonts w:ascii="Arial" w:cs="Arial" w:eastAsia="Arial" w:hAnsi="Arial"/>
          <w:sz w:val="17"/>
          <w:szCs w:val="17"/>
          <w:color w:val="auto"/>
        </w:rPr>
      </w:pPr>
      <w:r>
        <w:rPr>
          <w:rFonts w:ascii="Arial" w:cs="Arial" w:eastAsia="Arial" w:hAnsi="Arial"/>
          <w:sz w:val="17"/>
          <w:szCs w:val="17"/>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311" w:right="339" w:bottom="1440" w:gutter="0" w:footer="0" w:header="0"/>
        </w:sectPr>
      </w:pPr>
    </w:p>
    <w:bookmarkStart w:id="117" w:name="page118"/>
    <w:bookmarkEnd w:id="117"/>
    <w:p>
      <w:pPr>
        <w:ind w:left="620" w:hanging="616"/>
        <w:spacing w:after="0"/>
        <w:tabs>
          <w:tab w:leader="none" w:pos="62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TAX SITUATION</w:t>
      </w:r>
    </w:p>
    <w:p>
      <w:pPr>
        <w:spacing w:after="0" w:line="214" w:lineRule="exact"/>
        <w:rPr>
          <w:rFonts w:ascii="Arial" w:cs="Arial" w:eastAsia="Arial" w:hAnsi="Arial"/>
          <w:sz w:val="17"/>
          <w:szCs w:val="17"/>
          <w:b w:val="1"/>
          <w:bCs w:val="1"/>
          <w:color w:val="auto"/>
        </w:rPr>
      </w:pPr>
    </w:p>
    <w:p>
      <w:pPr>
        <w:ind w:left="940" w:right="280" w:hanging="315"/>
        <w:spacing w:after="0" w:line="254" w:lineRule="auto"/>
        <w:tabs>
          <w:tab w:leader="none" w:pos="9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Credicorp is not subject to income tax or any taxes on capital gains, equity or property in Bermuda. Credicorp Peruvian subsidiaries are subject to the Peruvian tax regime.</w:t>
      </w:r>
    </w:p>
    <w:p>
      <w:pPr>
        <w:spacing w:after="0" w:line="169" w:lineRule="exact"/>
        <w:rPr>
          <w:rFonts w:ascii="Arial" w:cs="Arial" w:eastAsia="Arial" w:hAnsi="Arial"/>
          <w:sz w:val="17"/>
          <w:szCs w:val="17"/>
          <w:color w:val="auto"/>
        </w:rPr>
      </w:pPr>
    </w:p>
    <w:p>
      <w:pPr>
        <w:ind w:left="940" w:right="360"/>
        <w:spacing w:after="0" w:line="254" w:lineRule="auto"/>
        <w:rPr>
          <w:rFonts w:ascii="Arial" w:cs="Arial" w:eastAsia="Arial" w:hAnsi="Arial"/>
          <w:sz w:val="17"/>
          <w:szCs w:val="17"/>
          <w:color w:val="auto"/>
        </w:rPr>
      </w:pPr>
      <w:r>
        <w:rPr>
          <w:rFonts w:ascii="Arial" w:cs="Arial" w:eastAsia="Arial" w:hAnsi="Arial"/>
          <w:sz w:val="17"/>
          <w:szCs w:val="17"/>
          <w:color w:val="auto"/>
        </w:rPr>
        <w:t>The income tax rate in Peru as of December 31, 2022, 2021 and 2020 was 29.5 percent of the taxable income after calculating the profit sharing, which is determined using a rate of 5.0 percent.</w:t>
      </w:r>
    </w:p>
    <w:p>
      <w:pPr>
        <w:spacing w:after="0" w:line="169" w:lineRule="exact"/>
        <w:rPr>
          <w:rFonts w:ascii="Arial" w:cs="Arial" w:eastAsia="Arial" w:hAnsi="Arial"/>
          <w:sz w:val="17"/>
          <w:szCs w:val="17"/>
          <w:color w:val="auto"/>
        </w:rPr>
      </w:pPr>
    </w:p>
    <w:p>
      <w:pPr>
        <w:ind w:left="940" w:right="140"/>
        <w:spacing w:after="0" w:line="243" w:lineRule="auto"/>
        <w:rPr>
          <w:rFonts w:ascii="Arial" w:cs="Arial" w:eastAsia="Arial" w:hAnsi="Arial"/>
          <w:sz w:val="17"/>
          <w:szCs w:val="17"/>
          <w:color w:val="auto"/>
        </w:rPr>
      </w:pPr>
      <w:r>
        <w:rPr>
          <w:rFonts w:ascii="Arial" w:cs="Arial" w:eastAsia="Arial" w:hAnsi="Arial"/>
          <w:sz w:val="17"/>
          <w:szCs w:val="17"/>
          <w:color w:val="auto"/>
        </w:rPr>
        <w:t>The income tax rate in Bolivia is 25.0 percent as of December 31, 2022 and December 31, 2021. Financial entities have an additional rate if the ROE exceeds 6.0 percent; in that case, they must consider an additional 25.0 percent, with which the rate would be 50.0 percent. Situation that as of the 2021 administration, was also established for brokerage firms, investment fund management companies and insurance entities.</w:t>
      </w:r>
    </w:p>
    <w:p>
      <w:pPr>
        <w:spacing w:after="0" w:line="179" w:lineRule="exact"/>
        <w:rPr>
          <w:rFonts w:ascii="Arial" w:cs="Arial" w:eastAsia="Arial" w:hAnsi="Arial"/>
          <w:sz w:val="17"/>
          <w:szCs w:val="17"/>
          <w:color w:val="auto"/>
        </w:rPr>
      </w:pPr>
    </w:p>
    <w:p>
      <w:pPr>
        <w:ind w:left="940" w:right="200"/>
        <w:spacing w:after="0" w:line="246" w:lineRule="auto"/>
        <w:rPr>
          <w:rFonts w:ascii="Arial" w:cs="Arial" w:eastAsia="Arial" w:hAnsi="Arial"/>
          <w:sz w:val="17"/>
          <w:szCs w:val="17"/>
          <w:color w:val="auto"/>
        </w:rPr>
      </w:pPr>
      <w:r>
        <w:rPr>
          <w:rFonts w:ascii="Arial" w:cs="Arial" w:eastAsia="Arial" w:hAnsi="Arial"/>
          <w:sz w:val="17"/>
          <w:szCs w:val="17"/>
          <w:color w:val="auto"/>
        </w:rPr>
        <w:t>With the change in Chile's tax legislation in 2020, two new regimes currently in force are established: the general regime and the Pro SME regime, for smaller companies. Credicorp Capital Holding Chile, like all its subsidiaries, is taxed under the general tax regime, whose first category income tax rate for domiciled legal entities remains at 27.0 percent as of December 31, 2022.</w:t>
      </w:r>
    </w:p>
    <w:p>
      <w:pPr>
        <w:spacing w:after="0" w:line="175" w:lineRule="exact"/>
        <w:rPr>
          <w:rFonts w:ascii="Arial" w:cs="Arial" w:eastAsia="Arial" w:hAnsi="Arial"/>
          <w:sz w:val="17"/>
          <w:szCs w:val="17"/>
          <w:color w:val="auto"/>
        </w:rPr>
      </w:pPr>
    </w:p>
    <w:p>
      <w:pPr>
        <w:ind w:left="940" w:right="160"/>
        <w:spacing w:after="0" w:line="243" w:lineRule="auto"/>
        <w:rPr>
          <w:rFonts w:ascii="Arial" w:cs="Arial" w:eastAsia="Arial" w:hAnsi="Arial"/>
          <w:sz w:val="17"/>
          <w:szCs w:val="17"/>
          <w:color w:val="auto"/>
        </w:rPr>
      </w:pPr>
      <w:r>
        <w:rPr>
          <w:rFonts w:ascii="Arial" w:cs="Arial" w:eastAsia="Arial" w:hAnsi="Arial"/>
          <w:sz w:val="17"/>
          <w:szCs w:val="17"/>
          <w:color w:val="auto"/>
        </w:rPr>
        <w:t>On the other hand, natural or legal persons not domiciled in Chile will be subject to a tax called "Additional income tax" whose rates range between 4.0 percent and 35.0 percent, depending on the nature of the rent. Additionally, Chile has signed agreements to avoid double taxation with different countries, so that certain income could be released from withholding taxes or for the use of reduced rates.</w:t>
      </w:r>
    </w:p>
    <w:p>
      <w:pPr>
        <w:spacing w:after="0" w:line="179" w:lineRule="exact"/>
        <w:rPr>
          <w:rFonts w:ascii="Arial" w:cs="Arial" w:eastAsia="Arial" w:hAnsi="Arial"/>
          <w:sz w:val="17"/>
          <w:szCs w:val="17"/>
          <w:color w:val="auto"/>
        </w:rPr>
      </w:pPr>
    </w:p>
    <w:p>
      <w:pPr>
        <w:ind w:left="940" w:right="200"/>
        <w:spacing w:after="0" w:line="246" w:lineRule="auto"/>
        <w:rPr>
          <w:rFonts w:ascii="Arial" w:cs="Arial" w:eastAsia="Arial" w:hAnsi="Arial"/>
          <w:sz w:val="17"/>
          <w:szCs w:val="17"/>
          <w:color w:val="auto"/>
        </w:rPr>
      </w:pPr>
      <w:r>
        <w:rPr>
          <w:rFonts w:ascii="Arial" w:cs="Arial" w:eastAsia="Arial" w:hAnsi="Arial"/>
          <w:sz w:val="17"/>
          <w:szCs w:val="17"/>
          <w:color w:val="auto"/>
        </w:rPr>
        <w:t>In the case of Colombia, according to Law No.2155 of 2021 issued on September 14, 2021, the income tax rate for the year 2022 is 35.0 percent of taxable income. Financial institutions must pay an additional 3.0 percent over the general tax rate; therefore, they will pay 38.0 percent from 2022 to 2024.</w:t>
      </w:r>
    </w:p>
    <w:p>
      <w:pPr>
        <w:spacing w:after="0" w:line="175" w:lineRule="exact"/>
        <w:rPr>
          <w:rFonts w:ascii="Arial" w:cs="Arial" w:eastAsia="Arial" w:hAnsi="Arial"/>
          <w:sz w:val="17"/>
          <w:szCs w:val="17"/>
          <w:color w:val="auto"/>
        </w:rPr>
      </w:pPr>
    </w:p>
    <w:p>
      <w:pPr>
        <w:ind w:left="940" w:right="220"/>
        <w:spacing w:after="0" w:line="243" w:lineRule="auto"/>
        <w:rPr>
          <w:rFonts w:ascii="Arial" w:cs="Arial" w:eastAsia="Arial" w:hAnsi="Arial"/>
          <w:sz w:val="17"/>
          <w:szCs w:val="17"/>
          <w:color w:val="auto"/>
        </w:rPr>
      </w:pPr>
      <w:r>
        <w:rPr>
          <w:rFonts w:ascii="Arial" w:cs="Arial" w:eastAsia="Arial" w:hAnsi="Arial"/>
          <w:sz w:val="17"/>
          <w:szCs w:val="17"/>
          <w:color w:val="auto"/>
        </w:rPr>
        <w:t>Additionally, the additional rate will be applicable only to colombian financial institutions that in the corresponding tax year have a taxable income equal to or greater than 120,000 Tax Value Unit ("UVT"), which as of December 31, 2022 is equivalent to a total of S/3.6 million and S/4.7 million as of December 31, 2021. In this sense, Credicorp Capital Colombia, Credicorp Capital Fiduciaria and MiBanco Colombia must pay income tax taking into consideration the above.</w:t>
      </w:r>
    </w:p>
    <w:p>
      <w:pPr>
        <w:spacing w:after="0" w:line="179" w:lineRule="exact"/>
        <w:rPr>
          <w:rFonts w:ascii="Arial" w:cs="Arial" w:eastAsia="Arial" w:hAnsi="Arial"/>
          <w:sz w:val="17"/>
          <w:szCs w:val="17"/>
          <w:color w:val="auto"/>
        </w:rPr>
      </w:pPr>
    </w:p>
    <w:p>
      <w:pPr>
        <w:ind w:left="940" w:right="160"/>
        <w:spacing w:after="0" w:line="246" w:lineRule="auto"/>
        <w:rPr>
          <w:rFonts w:ascii="Arial" w:cs="Arial" w:eastAsia="Arial" w:hAnsi="Arial"/>
          <w:sz w:val="17"/>
          <w:szCs w:val="17"/>
          <w:color w:val="auto"/>
        </w:rPr>
      </w:pPr>
      <w:r>
        <w:rPr>
          <w:rFonts w:ascii="Arial" w:cs="Arial" w:eastAsia="Arial" w:hAnsi="Arial"/>
          <w:sz w:val="17"/>
          <w:szCs w:val="17"/>
          <w:color w:val="auto"/>
        </w:rPr>
        <w:t>In the event that the company receives occasional profits, quoted and established by the National Government in the Tax Statute and that are not subject to income tax, the company must apply a differential rate of 10.0 percent on net profit and expenses. associated respectively.</w:t>
      </w:r>
    </w:p>
    <w:p>
      <w:pPr>
        <w:spacing w:after="0" w:line="175" w:lineRule="exact"/>
        <w:rPr>
          <w:rFonts w:ascii="Arial" w:cs="Arial" w:eastAsia="Arial" w:hAnsi="Arial"/>
          <w:sz w:val="17"/>
          <w:szCs w:val="17"/>
          <w:color w:val="auto"/>
        </w:rPr>
      </w:pPr>
    </w:p>
    <w:p>
      <w:pPr>
        <w:ind w:left="940" w:right="260"/>
        <w:spacing w:after="0" w:line="246" w:lineRule="auto"/>
        <w:rPr>
          <w:rFonts w:ascii="Arial" w:cs="Arial" w:eastAsia="Arial" w:hAnsi="Arial"/>
          <w:sz w:val="17"/>
          <w:szCs w:val="17"/>
          <w:color w:val="auto"/>
        </w:rPr>
      </w:pPr>
      <w:r>
        <w:rPr>
          <w:rFonts w:ascii="Arial" w:cs="Arial" w:eastAsia="Arial" w:hAnsi="Arial"/>
          <w:sz w:val="17"/>
          <w:szCs w:val="17"/>
          <w:color w:val="auto"/>
        </w:rPr>
        <w:t>The Colombian Tax Reform Law No.2155 of 2021 repeals paragraph 1 of article 115 of the Tax Statute, which would allow from the year 2022 to take 100.0 percent of the industry and commerce tax as a discount for income tax, notices and boards. Therefore, only 50.0 percent of the industry and commerce tax, notices and boards can be taken as a tax discount.</w:t>
      </w:r>
    </w:p>
    <w:p>
      <w:pPr>
        <w:spacing w:after="0" w:line="175" w:lineRule="exact"/>
        <w:rPr>
          <w:rFonts w:ascii="Arial" w:cs="Arial" w:eastAsia="Arial" w:hAnsi="Arial"/>
          <w:sz w:val="17"/>
          <w:szCs w:val="17"/>
          <w:color w:val="auto"/>
        </w:rPr>
      </w:pPr>
    </w:p>
    <w:p>
      <w:pPr>
        <w:ind w:left="940" w:right="40"/>
        <w:spacing w:after="0" w:line="254" w:lineRule="auto"/>
        <w:rPr>
          <w:rFonts w:ascii="Arial" w:cs="Arial" w:eastAsia="Arial" w:hAnsi="Arial"/>
          <w:sz w:val="17"/>
          <w:szCs w:val="17"/>
          <w:color w:val="auto"/>
        </w:rPr>
      </w:pPr>
      <w:r>
        <w:rPr>
          <w:rFonts w:ascii="Arial" w:cs="Arial" w:eastAsia="Arial" w:hAnsi="Arial"/>
          <w:sz w:val="17"/>
          <w:szCs w:val="17"/>
          <w:color w:val="auto"/>
        </w:rPr>
        <w:t>In addition to the Tax Reform Law No.2155 of 2021, the possibility of reducing the time available for inspection of the income tax return and complementary for the taxable periods 2022 and 2023 is established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40" w:type="dxa"/>
            <w:vAlign w:val="bottom"/>
            <w:tcBorders>
              <w:right w:val="single" w:sz="8" w:color="auto"/>
            </w:tcBorders>
          </w:tcPr>
          <w:p>
            <w:pPr>
              <w:spacing w:after="0"/>
              <w:rPr>
                <w:sz w:val="17"/>
                <w:szCs w:val="17"/>
                <w:color w:val="auto"/>
              </w:rPr>
            </w:pPr>
          </w:p>
        </w:tc>
        <w:tc>
          <w:tcPr>
            <w:tcW w:w="3360" w:type="dxa"/>
            <w:vAlign w:val="bottom"/>
            <w:tcBorders>
              <w:top w:val="single" w:sz="8" w:color="auto"/>
              <w:right w:val="single" w:sz="8" w:color="auto"/>
            </w:tcBorders>
          </w:tcPr>
          <w:p>
            <w:pPr>
              <w:jc w:val="right"/>
              <w:ind w:right="634"/>
              <w:spacing w:after="0"/>
              <w:rPr>
                <w:sz w:val="20"/>
                <w:szCs w:val="20"/>
                <w:color w:val="auto"/>
              </w:rPr>
            </w:pPr>
            <w:r>
              <w:rPr>
                <w:rFonts w:ascii="Arial" w:cs="Arial" w:eastAsia="Arial" w:hAnsi="Arial"/>
                <w:sz w:val="17"/>
                <w:szCs w:val="17"/>
                <w:color w:val="auto"/>
              </w:rPr>
              <w:t>Increase in net income tax</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Available time of</w:t>
            </w:r>
          </w:p>
        </w:tc>
        <w:tc>
          <w:tcPr>
            <w:tcW w:w="2800" w:type="dxa"/>
            <w:vAlign w:val="bottom"/>
          </w:tcPr>
          <w:p>
            <w:pPr>
              <w:spacing w:after="0"/>
              <w:rPr>
                <w:sz w:val="17"/>
                <w:szCs w:val="17"/>
                <w:color w:val="auto"/>
              </w:rPr>
            </w:pPr>
          </w:p>
        </w:tc>
      </w:tr>
      <w:tr>
        <w:trPr>
          <w:trHeight w:val="195"/>
        </w:trPr>
        <w:tc>
          <w:tcPr>
            <w:tcW w:w="2840" w:type="dxa"/>
            <w:vAlign w:val="bottom"/>
            <w:tcBorders>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compared to the previous year</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inspection</w:t>
            </w:r>
          </w:p>
        </w:tc>
        <w:tc>
          <w:tcPr>
            <w:tcW w:w="2800" w:type="dxa"/>
            <w:vAlign w:val="bottom"/>
          </w:tcPr>
          <w:p>
            <w:pPr>
              <w:spacing w:after="0"/>
              <w:rPr>
                <w:sz w:val="16"/>
                <w:szCs w:val="16"/>
                <w:color w:val="auto"/>
              </w:rPr>
            </w:pPr>
          </w:p>
        </w:tc>
      </w:tr>
      <w:tr>
        <w:trPr>
          <w:trHeight w:val="187"/>
        </w:trPr>
        <w:tc>
          <w:tcPr>
            <w:tcW w:w="2840" w:type="dxa"/>
            <w:vAlign w:val="bottom"/>
            <w:tcBorders>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7"/>
                <w:szCs w:val="17"/>
                <w:color w:val="auto"/>
              </w:rPr>
              <w:t>35 percent</w:t>
            </w:r>
          </w:p>
        </w:tc>
        <w:tc>
          <w:tcPr>
            <w:tcW w:w="2240" w:type="dxa"/>
            <w:vAlign w:val="bottom"/>
            <w:tcBorders>
              <w:bottom w:val="single" w:sz="8" w:color="auto"/>
              <w:right w:val="single" w:sz="8" w:color="auto"/>
            </w:tcBorders>
          </w:tcPr>
          <w:p>
            <w:pPr>
              <w:ind w:left="760"/>
              <w:spacing w:after="0" w:line="187" w:lineRule="exact"/>
              <w:rPr>
                <w:sz w:val="20"/>
                <w:szCs w:val="20"/>
                <w:color w:val="auto"/>
              </w:rPr>
            </w:pPr>
            <w:r>
              <w:rPr>
                <w:rFonts w:ascii="Arial" w:cs="Arial" w:eastAsia="Arial" w:hAnsi="Arial"/>
                <w:sz w:val="17"/>
                <w:szCs w:val="17"/>
                <w:color w:val="auto"/>
              </w:rPr>
              <w:t>6 months</w:t>
            </w:r>
          </w:p>
        </w:tc>
        <w:tc>
          <w:tcPr>
            <w:tcW w:w="2800" w:type="dxa"/>
            <w:vAlign w:val="bottom"/>
          </w:tcPr>
          <w:p>
            <w:pPr>
              <w:spacing w:after="0"/>
              <w:rPr>
                <w:sz w:val="16"/>
                <w:szCs w:val="16"/>
                <w:color w:val="auto"/>
              </w:rPr>
            </w:pPr>
          </w:p>
        </w:tc>
      </w:tr>
      <w:tr>
        <w:trPr>
          <w:trHeight w:val="187"/>
        </w:trPr>
        <w:tc>
          <w:tcPr>
            <w:tcW w:w="2840" w:type="dxa"/>
            <w:vAlign w:val="bottom"/>
            <w:tcBorders>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7"/>
                <w:szCs w:val="17"/>
                <w:color w:val="auto"/>
              </w:rPr>
              <w:t>25 percent</w:t>
            </w:r>
          </w:p>
        </w:tc>
        <w:tc>
          <w:tcPr>
            <w:tcW w:w="224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7"/>
                <w:szCs w:val="17"/>
                <w:color w:val="auto"/>
              </w:rPr>
              <w:t>12 months</w:t>
            </w:r>
          </w:p>
        </w:tc>
        <w:tc>
          <w:tcPr>
            <w:tcW w:w="2800" w:type="dxa"/>
            <w:vAlign w:val="bottom"/>
          </w:tcPr>
          <w:p>
            <w:pPr>
              <w:spacing w:after="0"/>
              <w:rPr>
                <w:sz w:val="16"/>
                <w:szCs w:val="16"/>
                <w:color w:val="auto"/>
              </w:rPr>
            </w:pPr>
          </w:p>
        </w:tc>
      </w:tr>
      <w:tr>
        <w:trPr>
          <w:trHeight w:val="576"/>
        </w:trPr>
        <w:tc>
          <w:tcPr>
            <w:tcW w:w="2840" w:type="dxa"/>
            <w:vAlign w:val="bottom"/>
          </w:tcPr>
          <w:p>
            <w:pPr>
              <w:spacing w:after="0"/>
              <w:rPr>
                <w:sz w:val="24"/>
                <w:szCs w:val="24"/>
                <w:color w:val="auto"/>
              </w:rPr>
            </w:pPr>
          </w:p>
        </w:tc>
        <w:tc>
          <w:tcPr>
            <w:tcW w:w="3360" w:type="dxa"/>
            <w:vAlign w:val="bottom"/>
          </w:tcPr>
          <w:p>
            <w:pPr>
              <w:jc w:val="right"/>
              <w:ind w:right="254"/>
              <w:spacing w:after="0"/>
              <w:rPr>
                <w:sz w:val="20"/>
                <w:szCs w:val="20"/>
                <w:color w:val="auto"/>
              </w:rPr>
            </w:pPr>
            <w:r>
              <w:rPr>
                <w:rFonts w:ascii="Arial" w:cs="Arial" w:eastAsia="Arial" w:hAnsi="Arial"/>
                <w:sz w:val="17"/>
                <w:szCs w:val="17"/>
                <w:color w:val="auto"/>
              </w:rPr>
              <w:t>- 113 -</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58"/>
        </w:trPr>
        <w:tc>
          <w:tcPr>
            <w:tcW w:w="28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8" w:right="339" w:bottom="1440" w:gutter="0" w:footer="0" w:header="0"/>
        </w:sectPr>
      </w:pPr>
    </w:p>
    <w:bookmarkStart w:id="118" w:name="page119"/>
    <w:bookmarkEnd w:id="118"/>
    <w:p>
      <w:pPr>
        <w:ind w:left="940"/>
        <w:spacing w:after="0"/>
        <w:rPr>
          <w:sz w:val="20"/>
          <w:szCs w:val="20"/>
          <w:color w:val="auto"/>
        </w:rPr>
      </w:pPr>
      <w:r>
        <w:rPr>
          <w:rFonts w:ascii="Arial" w:cs="Arial" w:eastAsia="Arial" w:hAnsi="Arial"/>
          <w:sz w:val="17"/>
          <w:szCs w:val="17"/>
          <w:color w:val="auto"/>
        </w:rPr>
        <w:t>The reconciliation of the statutory income tax rate to the effective tax rate for the Group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16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 millions</w:t>
            </w:r>
          </w:p>
        </w:tc>
        <w:tc>
          <w:tcPr>
            <w:tcW w:w="700" w:type="dxa"/>
            <w:vAlign w:val="bottom"/>
            <w:tcBorders>
              <w:top w:val="single" w:sz="8" w:color="auto"/>
            </w:tcBorders>
            <w:gridSpan w:val="2"/>
          </w:tcPr>
          <w:p>
            <w:pPr>
              <w:jc w:val="right"/>
              <w:ind w:right="37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In millions</w:t>
            </w:r>
          </w:p>
        </w:tc>
        <w:tc>
          <w:tcPr>
            <w:tcW w:w="620" w:type="dxa"/>
            <w:vAlign w:val="bottom"/>
            <w:tcBorders>
              <w:top w:val="single" w:sz="8" w:color="auto"/>
            </w:tcBorders>
          </w:tcPr>
          <w:p>
            <w:pPr>
              <w:jc w:val="right"/>
              <w:ind w:right="374"/>
              <w:spacing w:after="0"/>
              <w:rPr>
                <w:sz w:val="20"/>
                <w:szCs w:val="20"/>
                <w:color w:val="auto"/>
              </w:rPr>
            </w:pPr>
            <w:r>
              <w:rPr>
                <w:rFonts w:ascii="Arial" w:cs="Arial" w:eastAsia="Arial" w:hAnsi="Arial"/>
                <w:sz w:val="17"/>
                <w:szCs w:val="17"/>
                <w:b w:val="1"/>
                <w:bCs w:val="1"/>
                <w:color w:val="auto"/>
                <w:w w:val="92"/>
              </w:rPr>
              <w:t>%</w:t>
            </w:r>
          </w:p>
        </w:tc>
        <w:tc>
          <w:tcPr>
            <w:tcW w:w="80" w:type="dxa"/>
            <w:vAlign w:val="bottom"/>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In millions</w:t>
            </w:r>
          </w:p>
        </w:tc>
        <w:tc>
          <w:tcPr>
            <w:tcW w:w="700" w:type="dxa"/>
            <w:vAlign w:val="bottom"/>
            <w:tcBorders>
              <w:top w:val="single" w:sz="8" w:color="auto"/>
            </w:tcBorders>
            <w:gridSpan w:val="2"/>
          </w:tcPr>
          <w:p>
            <w:pPr>
              <w:jc w:val="right"/>
              <w:ind w:right="374"/>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r>
      <w:tr>
        <w:trPr>
          <w:trHeight w:val="330"/>
        </w:trPr>
        <w:tc>
          <w:tcPr>
            <w:tcW w:w="5160" w:type="dxa"/>
            <w:vAlign w:val="bottom"/>
          </w:tcPr>
          <w:p>
            <w:pPr>
              <w:ind w:left="980"/>
              <w:spacing w:after="0"/>
              <w:rPr>
                <w:sz w:val="20"/>
                <w:szCs w:val="20"/>
                <w:color w:val="auto"/>
              </w:rPr>
            </w:pPr>
            <w:r>
              <w:rPr>
                <w:rFonts w:ascii="Arial" w:cs="Arial" w:eastAsia="Arial" w:hAnsi="Arial"/>
                <w:sz w:val="17"/>
                <w:szCs w:val="17"/>
                <w:color w:val="auto"/>
              </w:rPr>
              <w:t>Theoretical tax and income tax rate in Peru</w:t>
            </w:r>
          </w:p>
        </w:tc>
        <w:tc>
          <w:tcPr>
            <w:tcW w:w="1200" w:type="dxa"/>
            <w:vAlign w:val="bottom"/>
          </w:tcPr>
          <w:p>
            <w:pPr>
              <w:jc w:val="right"/>
              <w:spacing w:after="0"/>
              <w:rPr>
                <w:sz w:val="20"/>
                <w:szCs w:val="20"/>
                <w:color w:val="auto"/>
              </w:rPr>
            </w:pPr>
            <w:r>
              <w:rPr>
                <w:rFonts w:ascii="Arial" w:cs="Arial" w:eastAsia="Arial" w:hAnsi="Arial"/>
                <w:sz w:val="17"/>
                <w:szCs w:val="17"/>
                <w:color w:val="auto"/>
              </w:rPr>
              <w:t>(2,022.5)</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(29.50)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(1,573.2)</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(29.50)</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(66.1)</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(29.50)</w:t>
            </w:r>
          </w:p>
        </w:tc>
        <w:tc>
          <w:tcPr>
            <w:tcW w:w="180" w:type="dxa"/>
            <w:vAlign w:val="bottom"/>
          </w:tcPr>
          <w:p>
            <w:pPr>
              <w:spacing w:after="0"/>
              <w:rPr>
                <w:sz w:val="24"/>
                <w:szCs w:val="24"/>
                <w:color w:val="auto"/>
              </w:rPr>
            </w:pPr>
          </w:p>
        </w:tc>
      </w:tr>
      <w:tr>
        <w:trPr>
          <w:trHeight w:val="194"/>
        </w:trPr>
        <w:tc>
          <w:tcPr>
            <w:tcW w:w="5160" w:type="dxa"/>
            <w:vAlign w:val="bottom"/>
          </w:tcPr>
          <w:p>
            <w:pPr>
              <w:ind w:left="980"/>
              <w:spacing w:after="0" w:line="194" w:lineRule="exact"/>
              <w:rPr>
                <w:sz w:val="20"/>
                <w:szCs w:val="20"/>
                <w:color w:val="auto"/>
              </w:rPr>
            </w:pPr>
            <w:r>
              <w:rPr>
                <w:rFonts w:ascii="Arial" w:cs="Arial" w:eastAsia="Arial" w:hAnsi="Arial"/>
                <w:sz w:val="17"/>
                <w:szCs w:val="17"/>
                <w:b w:val="1"/>
                <w:bCs w:val="1"/>
                <w:color w:val="auto"/>
              </w:rPr>
              <w:t>Decrease (Increase) in the statutory tax rate due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5160" w:type="dxa"/>
            <w:vAlign w:val="bottom"/>
          </w:tcPr>
          <w:p>
            <w:pPr>
              <w:ind w:left="980"/>
              <w:spacing w:after="0"/>
              <w:rPr>
                <w:sz w:val="20"/>
                <w:szCs w:val="20"/>
                <w:color w:val="auto"/>
              </w:rPr>
            </w:pPr>
            <w:r>
              <w:rPr>
                <w:rFonts w:ascii="Arial" w:cs="Arial" w:eastAsia="Arial" w:hAnsi="Arial"/>
                <w:sz w:val="17"/>
                <w:szCs w:val="17"/>
                <w:b w:val="1"/>
                <w:bCs w:val="1"/>
                <w:color w:val="auto"/>
              </w:rPr>
              <w:t>to:</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5160" w:type="dxa"/>
            <w:vAlign w:val="bottom"/>
          </w:tcPr>
          <w:p>
            <w:pPr>
              <w:ind w:left="980"/>
              <w:spacing w:after="0" w:line="194" w:lineRule="exact"/>
              <w:rPr>
                <w:sz w:val="20"/>
                <w:szCs w:val="20"/>
                <w:color w:val="auto"/>
              </w:rPr>
            </w:pPr>
            <w:r>
              <w:rPr>
                <w:rFonts w:ascii="Arial" w:cs="Arial" w:eastAsia="Arial" w:hAnsi="Arial"/>
                <w:sz w:val="17"/>
                <w:szCs w:val="17"/>
                <w:color w:val="auto"/>
              </w:rPr>
              <w:t>(i) Decrease (Increase) due to the profit of</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5160" w:type="dxa"/>
            <w:vAlign w:val="bottom"/>
          </w:tcPr>
          <w:p>
            <w:pPr>
              <w:ind w:left="980"/>
              <w:spacing w:after="0" w:line="194" w:lineRule="exact"/>
              <w:rPr>
                <w:sz w:val="20"/>
                <w:szCs w:val="20"/>
                <w:color w:val="auto"/>
              </w:rPr>
            </w:pPr>
            <w:r>
              <w:rPr>
                <w:rFonts w:ascii="Arial" w:cs="Arial" w:eastAsia="Arial" w:hAnsi="Arial"/>
                <w:sz w:val="17"/>
                <w:szCs w:val="17"/>
                <w:color w:val="auto"/>
              </w:rPr>
              <w:t>subsidiaries not domiciled in Peru</w:t>
            </w: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(75.8)</w:t>
            </w: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(1.11)</w:t>
            </w:r>
          </w:p>
        </w:tc>
        <w:tc>
          <w:tcPr>
            <w:tcW w:w="1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(12.8)</w:t>
            </w:r>
          </w:p>
        </w:tc>
        <w:tc>
          <w:tcPr>
            <w:tcW w:w="8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(0.24)</w:t>
            </w:r>
          </w:p>
        </w:tc>
        <w:tc>
          <w:tcPr>
            <w:tcW w:w="130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50.1</w:t>
            </w: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22.36</w:t>
            </w:r>
          </w:p>
        </w:tc>
        <w:tc>
          <w:tcPr>
            <w:tcW w:w="180" w:type="dxa"/>
            <w:vAlign w:val="bottom"/>
          </w:tcPr>
          <w:p>
            <w:pPr>
              <w:spacing w:after="0"/>
              <w:rPr>
                <w:sz w:val="16"/>
                <w:szCs w:val="16"/>
                <w:color w:val="auto"/>
              </w:rPr>
            </w:pPr>
          </w:p>
        </w:tc>
      </w:tr>
      <w:tr>
        <w:trPr>
          <w:trHeight w:val="194"/>
        </w:trPr>
        <w:tc>
          <w:tcPr>
            <w:tcW w:w="5160" w:type="dxa"/>
            <w:vAlign w:val="bottom"/>
          </w:tcPr>
          <w:p>
            <w:pPr>
              <w:ind w:left="980"/>
              <w:spacing w:after="0" w:line="194" w:lineRule="exact"/>
              <w:rPr>
                <w:sz w:val="20"/>
                <w:szCs w:val="20"/>
                <w:color w:val="auto"/>
              </w:rPr>
            </w:pPr>
            <w:r>
              <w:rPr>
                <w:rFonts w:ascii="Arial" w:cs="Arial" w:eastAsia="Arial" w:hAnsi="Arial"/>
                <w:sz w:val="17"/>
                <w:szCs w:val="17"/>
                <w:color w:val="auto"/>
              </w:rPr>
              <w:t>(ii) Provision tax on dividends from subsidiaries</w:t>
            </w: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(168.4)</w:t>
            </w: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(2.46)</w:t>
            </w:r>
          </w:p>
        </w:tc>
        <w:tc>
          <w:tcPr>
            <w:tcW w:w="1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(78.6)</w:t>
            </w:r>
          </w:p>
        </w:tc>
        <w:tc>
          <w:tcPr>
            <w:tcW w:w="8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(1.47)</w:t>
            </w:r>
          </w:p>
        </w:tc>
        <w:tc>
          <w:tcPr>
            <w:tcW w:w="130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(44.6)</w:t>
            </w: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(19.91)</w:t>
            </w:r>
          </w:p>
        </w:tc>
        <w:tc>
          <w:tcPr>
            <w:tcW w:w="180" w:type="dxa"/>
            <w:vAlign w:val="bottom"/>
          </w:tcPr>
          <w:p>
            <w:pPr>
              <w:spacing w:after="0"/>
              <w:rPr>
                <w:sz w:val="16"/>
                <w:szCs w:val="16"/>
                <w:color w:val="auto"/>
              </w:rPr>
            </w:pPr>
          </w:p>
        </w:tc>
      </w:tr>
      <w:tr>
        <w:trPr>
          <w:trHeight w:val="194"/>
        </w:trPr>
        <w:tc>
          <w:tcPr>
            <w:tcW w:w="5160" w:type="dxa"/>
            <w:vAlign w:val="bottom"/>
          </w:tcPr>
          <w:p>
            <w:pPr>
              <w:ind w:left="980"/>
              <w:spacing w:after="0" w:line="194" w:lineRule="exact"/>
              <w:rPr>
                <w:sz w:val="20"/>
                <w:szCs w:val="20"/>
                <w:color w:val="auto"/>
              </w:rPr>
            </w:pPr>
            <w:r>
              <w:rPr>
                <w:rFonts w:ascii="Arial" w:cs="Arial" w:eastAsia="Arial" w:hAnsi="Arial"/>
                <w:sz w:val="17"/>
                <w:szCs w:val="17"/>
                <w:color w:val="auto"/>
              </w:rPr>
              <w:t>(iii) Non-taxable income, net</w:t>
            </w: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156.2</w:t>
            </w: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2.73</w:t>
            </w:r>
          </w:p>
        </w:tc>
        <w:tc>
          <w:tcPr>
            <w:tcW w:w="1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3.5</w:t>
            </w:r>
          </w:p>
        </w:tc>
        <w:tc>
          <w:tcPr>
            <w:tcW w:w="8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0.06</w:t>
            </w:r>
          </w:p>
        </w:tc>
        <w:tc>
          <w:tcPr>
            <w:tcW w:w="130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117.3</w:t>
            </w: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52.32</w:t>
            </w:r>
          </w:p>
        </w:tc>
        <w:tc>
          <w:tcPr>
            <w:tcW w:w="180" w:type="dxa"/>
            <w:vAlign w:val="bottom"/>
          </w:tcPr>
          <w:p>
            <w:pPr>
              <w:spacing w:after="0"/>
              <w:rPr>
                <w:sz w:val="16"/>
                <w:szCs w:val="16"/>
                <w:color w:val="auto"/>
              </w:rPr>
            </w:pPr>
          </w:p>
        </w:tc>
      </w:tr>
      <w:tr>
        <w:trPr>
          <w:trHeight w:val="194"/>
        </w:trPr>
        <w:tc>
          <w:tcPr>
            <w:tcW w:w="5160" w:type="dxa"/>
            <w:vAlign w:val="bottom"/>
          </w:tcPr>
          <w:p>
            <w:pPr>
              <w:ind w:left="980"/>
              <w:spacing w:after="0" w:line="194" w:lineRule="exact"/>
              <w:rPr>
                <w:sz w:val="20"/>
                <w:szCs w:val="20"/>
                <w:color w:val="auto"/>
              </w:rPr>
            </w:pPr>
            <w:r>
              <w:rPr>
                <w:rFonts w:ascii="Arial" w:cs="Arial" w:eastAsia="Arial" w:hAnsi="Arial"/>
                <w:sz w:val="17"/>
                <w:szCs w:val="17"/>
                <w:color w:val="auto"/>
              </w:rPr>
              <w:t>(iv) Change in estimate of deferred tax rate, net</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5160" w:type="dxa"/>
            <w:vAlign w:val="bottom"/>
          </w:tcPr>
          <w:p>
            <w:pPr>
              <w:ind w:left="980"/>
              <w:spacing w:after="0"/>
              <w:rPr>
                <w:sz w:val="20"/>
                <w:szCs w:val="20"/>
                <w:color w:val="auto"/>
              </w:rPr>
            </w:pPr>
            <w:r>
              <w:rPr>
                <w:rFonts w:ascii="Arial" w:cs="Arial" w:eastAsia="Arial" w:hAnsi="Arial"/>
                <w:sz w:val="17"/>
                <w:szCs w:val="17"/>
                <w:color w:val="auto"/>
              </w:rPr>
              <w:t>(Banco de Crédito de Bolivia)</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53.3</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23.80</w:t>
            </w:r>
          </w:p>
        </w:tc>
        <w:tc>
          <w:tcPr>
            <w:tcW w:w="180" w:type="dxa"/>
            <w:vAlign w:val="bottom"/>
          </w:tcPr>
          <w:p>
            <w:pPr>
              <w:spacing w:after="0"/>
              <w:rPr>
                <w:sz w:val="16"/>
                <w:szCs w:val="16"/>
                <w:color w:val="auto"/>
              </w:rPr>
            </w:pPr>
          </w:p>
        </w:tc>
      </w:tr>
      <w:tr>
        <w:trPr>
          <w:trHeight w:val="193"/>
        </w:trPr>
        <w:tc>
          <w:tcPr>
            <w:tcW w:w="5160" w:type="dxa"/>
            <w:vAlign w:val="bottom"/>
          </w:tcPr>
          <w:p>
            <w:pPr>
              <w:ind w:left="980"/>
              <w:spacing w:after="0" w:line="187" w:lineRule="exact"/>
              <w:rPr>
                <w:sz w:val="20"/>
                <w:szCs w:val="20"/>
                <w:color w:val="auto"/>
              </w:rPr>
            </w:pPr>
            <w:r>
              <w:rPr>
                <w:rFonts w:ascii="Arial" w:cs="Arial" w:eastAsia="Arial" w:hAnsi="Arial"/>
                <w:sz w:val="17"/>
                <w:szCs w:val="17"/>
                <w:b w:val="1"/>
                <w:bCs w:val="1"/>
                <w:color w:val="auto"/>
              </w:rPr>
              <w:t>Income tax and effective income tax rate</w:t>
            </w:r>
          </w:p>
        </w:tc>
        <w:tc>
          <w:tcPr>
            <w:tcW w:w="12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(2,110.5)</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96"/>
              </w:rPr>
              <w:t>(30.</w:t>
            </w:r>
            <w:r>
              <w:rPr>
                <w:rFonts w:ascii="Arial" w:cs="Arial" w:eastAsia="Arial" w:hAnsi="Arial"/>
                <w:sz w:val="17"/>
                <w:szCs w:val="17"/>
                <w:u w:val="single" w:color="auto"/>
                <w:color w:val="auto"/>
                <w:w w:val="96"/>
              </w:rPr>
              <w:t>34)</w:t>
            </w:r>
          </w:p>
        </w:tc>
        <w:tc>
          <w:tcPr>
            <w:tcW w:w="10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(1,661.1)</w:t>
            </w:r>
          </w:p>
        </w:tc>
        <w:tc>
          <w:tcPr>
            <w:tcW w:w="8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(31.15)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110.0</w:t>
            </w:r>
          </w:p>
        </w:tc>
        <w:tc>
          <w:tcPr>
            <w:tcW w:w="8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49.07</w:t>
            </w:r>
          </w:p>
        </w:tc>
        <w:tc>
          <w:tcPr>
            <w:tcW w:w="180" w:type="dxa"/>
            <w:vAlign w:val="bottom"/>
          </w:tcPr>
          <w:p>
            <w:pPr>
              <w:spacing w:after="0"/>
              <w:rPr>
                <w:sz w:val="16"/>
                <w:szCs w:val="16"/>
                <w:color w:val="auto"/>
              </w:rPr>
            </w:pPr>
          </w:p>
        </w:tc>
      </w:tr>
      <w:tr>
        <w:trPr>
          <w:trHeight w:val="777"/>
        </w:trPr>
        <w:tc>
          <w:tcPr>
            <w:tcW w:w="5160" w:type="dxa"/>
            <w:vAlign w:val="bottom"/>
          </w:tcPr>
          <w:p>
            <w:pPr>
              <w:spacing w:after="0"/>
              <w:rPr>
                <w:sz w:val="24"/>
                <w:szCs w:val="24"/>
                <w:color w:val="auto"/>
              </w:rPr>
            </w:pPr>
          </w:p>
        </w:tc>
        <w:tc>
          <w:tcPr>
            <w:tcW w:w="1200" w:type="dxa"/>
            <w:vAlign w:val="bottom"/>
          </w:tcPr>
          <w:p>
            <w:pPr>
              <w:jc w:val="right"/>
              <w:ind w:right="414"/>
              <w:spacing w:after="0"/>
              <w:rPr>
                <w:sz w:val="20"/>
                <w:szCs w:val="20"/>
                <w:color w:val="auto"/>
              </w:rPr>
            </w:pPr>
            <w:r>
              <w:rPr>
                <w:rFonts w:ascii="Arial" w:cs="Arial" w:eastAsia="Arial" w:hAnsi="Arial"/>
                <w:sz w:val="17"/>
                <w:szCs w:val="17"/>
                <w:color w:val="auto"/>
              </w:rPr>
              <w:t>- 114 -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8"/>
        </w:trPr>
        <w:tc>
          <w:tcPr>
            <w:tcW w:w="5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40" w:right="339" w:bottom="1440" w:gutter="0" w:footer="0" w:header="0"/>
        </w:sectPr>
      </w:pPr>
    </w:p>
    <w:bookmarkStart w:id="119" w:name="page120"/>
    <w:bookmarkEnd w:id="119"/>
    <w:p>
      <w:pPr>
        <w:spacing w:after="0"/>
        <w:tabs>
          <w:tab w:leader="none" w:pos="300" w:val="left"/>
        </w:tabs>
        <w:rPr>
          <w:sz w:val="20"/>
          <w:szCs w:val="20"/>
          <w:color w:val="auto"/>
        </w:rPr>
      </w:pPr>
      <w:r>
        <w:rPr>
          <w:rFonts w:ascii="Arial" w:cs="Arial" w:eastAsia="Arial" w:hAnsi="Arial"/>
          <w:sz w:val="17"/>
          <w:szCs w:val="17"/>
          <w:color w:val="auto"/>
        </w:rPr>
        <w:t>b)</w:t>
        <w:tab/>
        <w:t>Income tax expense for the years ended December 31, 2022, 2021 and 2020 comprises:</w:t>
      </w:r>
    </w:p>
    <w:p>
      <w:pPr>
        <w:spacing w:after="0" w:line="200" w:lineRule="exact"/>
        <w:rPr>
          <w:sz w:val="20"/>
          <w:szCs w:val="20"/>
          <w:color w:val="auto"/>
        </w:rPr>
      </w:pPr>
    </w:p>
    <w:p>
      <w:pPr>
        <w:spacing w:after="0" w:line="360"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5840" w:type="dxa"/>
            <w:vAlign w:val="bottom"/>
          </w:tcPr>
          <w:p>
            <w:pPr>
              <w:spacing w:after="0"/>
              <w:rPr>
                <w:sz w:val="18"/>
                <w:szCs w:val="18"/>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3"/>
        </w:trPr>
        <w:tc>
          <w:tcPr>
            <w:tcW w:w="5840" w:type="dxa"/>
            <w:vAlign w:val="bottom"/>
            <w:vMerge w:val="restart"/>
          </w:tcPr>
          <w:p>
            <w:pPr>
              <w:spacing w:after="0"/>
              <w:rPr>
                <w:sz w:val="20"/>
                <w:szCs w:val="20"/>
                <w:color w:val="auto"/>
              </w:rPr>
            </w:pPr>
            <w:r>
              <w:rPr>
                <w:rFonts w:ascii="Arial" w:cs="Arial" w:eastAsia="Arial" w:hAnsi="Arial"/>
                <w:sz w:val="17"/>
                <w:szCs w:val="17"/>
                <w:b w:val="1"/>
                <w:bCs w:val="1"/>
                <w:color w:val="auto"/>
              </w:rPr>
              <w:t>Current -</w:t>
            </w:r>
          </w:p>
        </w:tc>
        <w:tc>
          <w:tcPr>
            <w:tcW w:w="122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57"/>
        </w:trPr>
        <w:tc>
          <w:tcPr>
            <w:tcW w:w="58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840" w:type="dxa"/>
            <w:vAlign w:val="bottom"/>
          </w:tcPr>
          <w:p>
            <w:pPr>
              <w:spacing w:after="0" w:line="194" w:lineRule="exact"/>
              <w:rPr>
                <w:sz w:val="20"/>
                <w:szCs w:val="20"/>
                <w:color w:val="auto"/>
              </w:rPr>
            </w:pPr>
            <w:r>
              <w:rPr>
                <w:rFonts w:ascii="Arial" w:cs="Arial" w:eastAsia="Arial" w:hAnsi="Arial"/>
                <w:sz w:val="17"/>
                <w:szCs w:val="17"/>
                <w:color w:val="auto"/>
              </w:rPr>
              <w:t>In Peru</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1,799,467</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945,937</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926,361</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20"/>
                <w:szCs w:val="20"/>
                <w:color w:val="auto"/>
              </w:rPr>
            </w:pPr>
            <w:r>
              <w:rPr>
                <w:rFonts w:ascii="Arial" w:cs="Arial" w:eastAsia="Arial" w:hAnsi="Arial"/>
                <w:sz w:val="17"/>
                <w:szCs w:val="17"/>
                <w:color w:val="auto"/>
              </w:rPr>
              <w:t>In other countries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197,971</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167,657</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110,973</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1,997,438</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1,113,594</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1,037,334</w:t>
            </w:r>
          </w:p>
        </w:tc>
        <w:tc>
          <w:tcPr>
            <w:tcW w:w="0" w:type="dxa"/>
            <w:vAlign w:val="bottom"/>
          </w:tcPr>
          <w:p>
            <w:pPr>
              <w:spacing w:after="0"/>
              <w:rPr>
                <w:sz w:val="1"/>
                <w:szCs w:val="1"/>
                <w:color w:val="auto"/>
              </w:rPr>
            </w:pPr>
          </w:p>
        </w:tc>
      </w:tr>
      <w:tr>
        <w:trPr>
          <w:trHeight w:val="381"/>
        </w:trPr>
        <w:tc>
          <w:tcPr>
            <w:tcW w:w="5840" w:type="dxa"/>
            <w:vAlign w:val="bottom"/>
          </w:tcPr>
          <w:p>
            <w:pPr>
              <w:spacing w:after="0"/>
              <w:rPr>
                <w:sz w:val="20"/>
                <w:szCs w:val="20"/>
                <w:color w:val="auto"/>
              </w:rPr>
            </w:pPr>
            <w:r>
              <w:rPr>
                <w:rFonts w:ascii="Arial" w:cs="Arial" w:eastAsia="Arial" w:hAnsi="Arial"/>
                <w:sz w:val="17"/>
                <w:szCs w:val="17"/>
                <w:b w:val="1"/>
                <w:bCs w:val="1"/>
                <w:color w:val="auto"/>
              </w:rPr>
              <w:t>Deferred -</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40" w:type="dxa"/>
            <w:vAlign w:val="bottom"/>
          </w:tcPr>
          <w:p>
            <w:pPr>
              <w:spacing w:after="0" w:line="194" w:lineRule="exact"/>
              <w:rPr>
                <w:sz w:val="20"/>
                <w:szCs w:val="20"/>
                <w:color w:val="auto"/>
              </w:rPr>
            </w:pPr>
            <w:r>
              <w:rPr>
                <w:rFonts w:ascii="Arial" w:cs="Arial" w:eastAsia="Arial" w:hAnsi="Arial"/>
                <w:sz w:val="17"/>
                <w:szCs w:val="17"/>
                <w:color w:val="auto"/>
              </w:rPr>
              <w:t>In Peru</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37,447</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548,920</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(927,130)</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20"/>
                <w:szCs w:val="20"/>
                <w:color w:val="auto"/>
              </w:rPr>
            </w:pPr>
            <w:r>
              <w:rPr>
                <w:rFonts w:ascii="Arial" w:cs="Arial" w:eastAsia="Arial" w:hAnsi="Arial"/>
                <w:sz w:val="17"/>
                <w:szCs w:val="17"/>
                <w:color w:val="auto"/>
              </w:rPr>
              <w:t>In other countries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75,616</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(1,527)</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(220,181)</w:t>
            </w:r>
          </w:p>
        </w:tc>
        <w:tc>
          <w:tcPr>
            <w:tcW w:w="0" w:type="dxa"/>
            <w:vAlign w:val="bottom"/>
          </w:tcPr>
          <w:p>
            <w:pPr>
              <w:spacing w:after="0"/>
              <w:rPr>
                <w:sz w:val="1"/>
                <w:szCs w:val="1"/>
                <w:color w:val="auto"/>
              </w:rPr>
            </w:pPr>
          </w:p>
        </w:tc>
      </w:tr>
      <w:tr>
        <w:trPr>
          <w:trHeight w:val="187"/>
        </w:trPr>
        <w:tc>
          <w:tcPr>
            <w:tcW w:w="584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113,063</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547,393</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(1,147,311)</w:t>
            </w:r>
          </w:p>
        </w:tc>
        <w:tc>
          <w:tcPr>
            <w:tcW w:w="0" w:type="dxa"/>
            <w:vAlign w:val="bottom"/>
          </w:tcPr>
          <w:p>
            <w:pPr>
              <w:spacing w:after="0"/>
              <w:rPr>
                <w:sz w:val="1"/>
                <w:szCs w:val="1"/>
                <w:color w:val="auto"/>
              </w:rPr>
            </w:pPr>
          </w:p>
        </w:tc>
      </w:tr>
      <w:tr>
        <w:trPr>
          <w:trHeight w:val="193"/>
        </w:trPr>
        <w:tc>
          <w:tcPr>
            <w:tcW w:w="5840" w:type="dxa"/>
            <w:vAlign w:val="bottom"/>
            <w:vMerge w:val="continue"/>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2,110,501</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1,660,987</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(109,977)</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right="500"/>
        <w:spacing w:after="0" w:line="254" w:lineRule="auto"/>
        <w:rPr>
          <w:sz w:val="20"/>
          <w:szCs w:val="20"/>
          <w:color w:val="auto"/>
        </w:rPr>
      </w:pPr>
      <w:r>
        <w:rPr>
          <w:rFonts w:ascii="Arial" w:cs="Arial" w:eastAsia="Arial" w:hAnsi="Arial"/>
          <w:sz w:val="17"/>
          <w:szCs w:val="17"/>
          <w:color w:val="auto"/>
        </w:rPr>
        <w:t>The deferred income tax has been calculated on all temporary differences, considering the income tax rates effective where Credicorp’s subsidiaries are located.</w:t>
      </w:r>
    </w:p>
    <w:p>
      <w:pPr>
        <w:spacing w:after="0" w:line="337"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40640</wp:posOffset>
            </wp:positionV>
            <wp:extent cx="713803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240"/>
          </w:cols>
          <w:pgMar w:left="940" w:top="346" w:right="7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8440" w:type="dxa"/>
            <w:vAlign w:val="bottom"/>
          </w:tcPr>
          <w:p>
            <w:pPr>
              <w:ind w:left="620"/>
              <w:spacing w:after="0"/>
              <w:rPr>
                <w:sz w:val="20"/>
                <w:szCs w:val="20"/>
                <w:color w:val="auto"/>
              </w:rPr>
            </w:pPr>
            <w:r>
              <w:rPr>
                <w:rFonts w:ascii="Arial" w:cs="Arial" w:eastAsia="Arial" w:hAnsi="Arial"/>
                <w:sz w:val="17"/>
                <w:szCs w:val="17"/>
                <w:color w:val="auto"/>
              </w:rPr>
              <w:t>c)  The following table presents a summary of the Group’s deferred income tax:</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0"/>
        </w:trPr>
        <w:tc>
          <w:tcPr>
            <w:tcW w:w="8440" w:type="dxa"/>
            <w:vAlign w:val="bottom"/>
          </w:tcPr>
          <w:p>
            <w:pPr>
              <w:spacing w:after="0"/>
              <w:rPr>
                <w:sz w:val="24"/>
                <w:szCs w:val="24"/>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24"/>
                <w:szCs w:val="24"/>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40" w:type="dxa"/>
            <w:vAlign w:val="bottom"/>
            <w:vMerge w:val="restart"/>
          </w:tcPr>
          <w:p>
            <w:pPr>
              <w:ind w:left="980"/>
              <w:spacing w:after="0"/>
              <w:rPr>
                <w:sz w:val="20"/>
                <w:szCs w:val="20"/>
                <w:color w:val="auto"/>
              </w:rPr>
            </w:pPr>
            <w:r>
              <w:rPr>
                <w:rFonts w:ascii="Arial" w:cs="Arial" w:eastAsia="Arial" w:hAnsi="Arial"/>
                <w:sz w:val="17"/>
                <w:szCs w:val="17"/>
                <w:b w:val="1"/>
                <w:bCs w:val="1"/>
                <w:color w:val="auto"/>
              </w:rPr>
              <w:t>Deferred income tax asset, net</w:t>
            </w:r>
          </w:p>
        </w:tc>
        <w:tc>
          <w:tcPr>
            <w:tcW w:w="122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844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980"/>
              <w:spacing w:after="0"/>
              <w:rPr>
                <w:sz w:val="20"/>
                <w:szCs w:val="20"/>
                <w:color w:val="auto"/>
              </w:rPr>
            </w:pPr>
            <w:r>
              <w:rPr>
                <w:rFonts w:ascii="Arial" w:cs="Arial" w:eastAsia="Arial" w:hAnsi="Arial"/>
                <w:sz w:val="17"/>
                <w:szCs w:val="17"/>
                <w:b w:val="1"/>
                <w:bCs w:val="1"/>
                <w:color w:val="auto"/>
              </w:rPr>
              <w:t>Deferred asset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Provision for loan losses for loan portfolio</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1,108,687</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1,266,336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Provision for profit sharing</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73,402</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84,625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Provision for sundry expenses and risks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35,393</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62,029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Carry forward tax losses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50,675</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35,243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Provision for pending vacations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31,724</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28,287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Depreciation of improvements for leased premises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23,762</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28,177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Unrealized losses due to valuation of investments at fair value through other comprehensive</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income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5,160</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23,744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Provision of Stock awards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45,510</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14,641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Unrealized losses due to valuation of investments at fair value through other comprehensive</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income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71,214</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7,372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440" w:type="dxa"/>
            <w:vAlign w:val="bottom"/>
          </w:tcPr>
          <w:p>
            <w:pPr>
              <w:ind w:left="980"/>
              <w:spacing w:after="0"/>
              <w:rPr>
                <w:sz w:val="20"/>
                <w:szCs w:val="20"/>
                <w:color w:val="auto"/>
              </w:rPr>
            </w:pPr>
            <w:r>
              <w:rPr>
                <w:rFonts w:ascii="Arial" w:cs="Arial" w:eastAsia="Arial" w:hAnsi="Arial"/>
                <w:sz w:val="17"/>
                <w:szCs w:val="17"/>
                <w:color w:val="auto"/>
              </w:rPr>
              <w:t>Others</w:t>
            </w:r>
          </w:p>
        </w:tc>
        <w:tc>
          <w:tcPr>
            <w:tcW w:w="1220" w:type="dxa"/>
            <w:vAlign w:val="bottom"/>
          </w:tcPr>
          <w:p>
            <w:pPr>
              <w:jc w:val="right"/>
              <w:spacing w:after="0"/>
              <w:rPr>
                <w:sz w:val="20"/>
                <w:szCs w:val="20"/>
                <w:color w:val="auto"/>
              </w:rPr>
            </w:pPr>
            <w:r>
              <w:rPr>
                <w:rFonts w:ascii="Arial" w:cs="Arial" w:eastAsia="Arial" w:hAnsi="Arial"/>
                <w:sz w:val="17"/>
                <w:szCs w:val="17"/>
                <w:color w:val="auto"/>
              </w:rPr>
              <w:t>120,239</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97,732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8440" w:type="dxa"/>
            <w:vAlign w:val="bottom"/>
          </w:tcPr>
          <w:p>
            <w:pPr>
              <w:ind w:left="980"/>
              <w:spacing w:after="0"/>
              <w:rPr>
                <w:sz w:val="20"/>
                <w:szCs w:val="20"/>
                <w:color w:val="auto"/>
              </w:rPr>
            </w:pPr>
            <w:r>
              <w:rPr>
                <w:rFonts w:ascii="Arial" w:cs="Arial" w:eastAsia="Arial" w:hAnsi="Arial"/>
                <w:sz w:val="17"/>
                <w:szCs w:val="17"/>
                <w:b w:val="1"/>
                <w:bCs w:val="1"/>
                <w:color w:val="auto"/>
              </w:rPr>
              <w:t>Deferred liability</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Intangibles, net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(253,696)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(242,521)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Adjustment for difference in exchange of Superintendencia Nacional de Aduanas y de</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Administración Tributaria (SUNAT) and SBS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(61,858)</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(119,246)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Buildings depreciation</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(64,462)</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(59,029)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Deferred acquisitions costs - DAC</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(16,537)</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(15,900)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Unrealized gain due to valuation of investments at fair value through other comprehensive</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income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(1,099)</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(10,966)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Unrealized gain from valuation of fair value hedging derivatives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8,246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(8,800)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Buildings revaluation</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(3,113)</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(3,642)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980"/>
              <w:spacing w:after="0" w:line="194" w:lineRule="exact"/>
              <w:rPr>
                <w:sz w:val="20"/>
                <w:szCs w:val="20"/>
                <w:color w:val="auto"/>
              </w:rPr>
            </w:pPr>
            <w:r>
              <w:rPr>
                <w:rFonts w:ascii="Arial" w:cs="Arial" w:eastAsia="Arial" w:hAnsi="Arial"/>
                <w:sz w:val="17"/>
                <w:szCs w:val="17"/>
                <w:color w:val="auto"/>
              </w:rPr>
              <w:t>Unrealized gain in valuation on cash flow hedge derivatives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(5,262)</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(3,407)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980"/>
              <w:spacing w:after="0"/>
              <w:rPr>
                <w:sz w:val="20"/>
                <w:szCs w:val="20"/>
                <w:color w:val="auto"/>
              </w:rPr>
            </w:pPr>
            <w:r>
              <w:rPr>
                <w:rFonts w:ascii="Arial" w:cs="Arial" w:eastAsia="Arial" w:hAnsi="Arial"/>
                <w:sz w:val="17"/>
                <w:szCs w:val="17"/>
                <w:color w:val="auto"/>
              </w:rPr>
              <w:t>Others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(36,420)</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40" w:type="dxa"/>
            <w:vAlign w:val="bottom"/>
          </w:tcPr>
          <w:p>
            <w:pPr>
              <w:ind w:left="980"/>
              <w:spacing w:after="0" w:line="187" w:lineRule="exact"/>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1,131,565</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1,177,359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0"/>
        </w:trPr>
        <w:tc>
          <w:tcPr>
            <w:tcW w:w="8440" w:type="dxa"/>
            <w:vAlign w:val="bottom"/>
          </w:tcPr>
          <w:p>
            <w:pPr>
              <w:ind w:left="5360"/>
              <w:spacing w:after="0"/>
              <w:rPr>
                <w:sz w:val="20"/>
                <w:szCs w:val="20"/>
                <w:color w:val="auto"/>
              </w:rPr>
            </w:pPr>
            <w:r>
              <w:rPr>
                <w:rFonts w:ascii="Arial" w:cs="Arial" w:eastAsia="Arial" w:hAnsi="Arial"/>
                <w:sz w:val="17"/>
                <w:szCs w:val="17"/>
                <w:color w:val="auto"/>
              </w:rPr>
              <w:t>- 116 -</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4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21" w:name="page122"/>
    <w:bookmarkEnd w:id="121"/>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7500" w:type="dxa"/>
            <w:vAlign w:val="bottom"/>
          </w:tcPr>
          <w:p>
            <w:pPr>
              <w:spacing w:after="0"/>
              <w:rPr>
                <w:sz w:val="18"/>
                <w:szCs w:val="18"/>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18"/>
                <w:szCs w:val="18"/>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3"/>
        </w:trPr>
        <w:tc>
          <w:tcPr>
            <w:tcW w:w="7500" w:type="dxa"/>
            <w:vAlign w:val="bottom"/>
            <w:vMerge w:val="restart"/>
          </w:tcPr>
          <w:p>
            <w:pPr>
              <w:spacing w:after="0"/>
              <w:rPr>
                <w:sz w:val="20"/>
                <w:szCs w:val="20"/>
                <w:color w:val="auto"/>
              </w:rPr>
            </w:pPr>
            <w:r>
              <w:rPr>
                <w:rFonts w:ascii="Arial" w:cs="Arial" w:eastAsia="Arial" w:hAnsi="Arial"/>
                <w:sz w:val="17"/>
                <w:szCs w:val="17"/>
                <w:b w:val="1"/>
                <w:bCs w:val="1"/>
                <w:color w:val="auto"/>
              </w:rPr>
              <w:t>Deferred income tax liability, net</w:t>
            </w:r>
          </w:p>
        </w:tc>
        <w:tc>
          <w:tcPr>
            <w:tcW w:w="122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35"/>
        </w:trPr>
        <w:tc>
          <w:tcPr>
            <w:tcW w:w="750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7"/>
                <w:szCs w:val="17"/>
                <w:b w:val="1"/>
                <w:bCs w:val="1"/>
                <w:color w:val="auto"/>
              </w:rPr>
              <w:t>Deferred asset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Provision for sundry expenses and risks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21,192</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20,710</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Carry forward tax losses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19,757</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19,757</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Unrealized losses due to valuation of investments at fair value through other comprehensive</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500" w:type="dxa"/>
            <w:vAlign w:val="bottom"/>
          </w:tcPr>
          <w:p>
            <w:pPr>
              <w:ind w:left="160"/>
              <w:spacing w:after="0" w:line="194" w:lineRule="exact"/>
              <w:rPr>
                <w:sz w:val="20"/>
                <w:szCs w:val="20"/>
                <w:color w:val="auto"/>
              </w:rPr>
            </w:pPr>
            <w:r>
              <w:rPr>
                <w:rFonts w:ascii="Arial" w:cs="Arial" w:eastAsia="Arial" w:hAnsi="Arial"/>
                <w:sz w:val="17"/>
                <w:szCs w:val="17"/>
                <w:color w:val="auto"/>
              </w:rPr>
              <w:t>income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41,146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16,636</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Provision for profit sharing</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12,911</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7,850</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Deferred income from commissions on remuneration</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4,992</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6,193</w:t>
            </w:r>
          </w:p>
        </w:tc>
        <w:tc>
          <w:tcPr>
            <w:tcW w:w="0" w:type="dxa"/>
            <w:vAlign w:val="bottom"/>
          </w:tcPr>
          <w:p>
            <w:pPr>
              <w:spacing w:after="0"/>
              <w:rPr>
                <w:sz w:val="1"/>
                <w:szCs w:val="1"/>
                <w:color w:val="auto"/>
              </w:rPr>
            </w:pPr>
          </w:p>
        </w:tc>
      </w:tr>
      <w:tr>
        <w:trPr>
          <w:trHeight w:val="208"/>
        </w:trPr>
        <w:tc>
          <w:tcPr>
            <w:tcW w:w="7500" w:type="dxa"/>
            <w:vAlign w:val="bottom"/>
          </w:tcPr>
          <w:p>
            <w:pPr>
              <w:spacing w:after="0"/>
              <w:rPr>
                <w:sz w:val="20"/>
                <w:szCs w:val="20"/>
                <w:color w:val="auto"/>
              </w:rPr>
            </w:pPr>
            <w:r>
              <w:rPr>
                <w:rFonts w:ascii="Arial" w:cs="Arial" w:eastAsia="Arial" w:hAnsi="Arial"/>
                <w:sz w:val="17"/>
                <w:szCs w:val="17"/>
                <w:color w:val="auto"/>
              </w:rPr>
              <w:t>Others</w:t>
            </w:r>
          </w:p>
        </w:tc>
        <w:tc>
          <w:tcPr>
            <w:tcW w:w="1220" w:type="dxa"/>
            <w:vAlign w:val="bottom"/>
          </w:tcPr>
          <w:p>
            <w:pPr>
              <w:jc w:val="right"/>
              <w:spacing w:after="0"/>
              <w:rPr>
                <w:sz w:val="20"/>
                <w:szCs w:val="20"/>
                <w:color w:val="auto"/>
              </w:rPr>
            </w:pPr>
            <w:r>
              <w:rPr>
                <w:rFonts w:ascii="Arial" w:cs="Arial" w:eastAsia="Arial" w:hAnsi="Arial"/>
                <w:sz w:val="17"/>
                <w:szCs w:val="17"/>
                <w:color w:val="auto"/>
              </w:rPr>
              <w:t>10,270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16,519</w:t>
            </w:r>
          </w:p>
        </w:tc>
        <w:tc>
          <w:tcPr>
            <w:tcW w:w="0" w:type="dxa"/>
            <w:vAlign w:val="bottom"/>
          </w:tcPr>
          <w:p>
            <w:pPr>
              <w:spacing w:after="0"/>
              <w:rPr>
                <w:sz w:val="1"/>
                <w:szCs w:val="1"/>
                <w:color w:val="auto"/>
              </w:rPr>
            </w:pPr>
          </w:p>
        </w:tc>
      </w:tr>
      <w:tr>
        <w:trPr>
          <w:trHeight w:val="387"/>
        </w:trPr>
        <w:tc>
          <w:tcPr>
            <w:tcW w:w="7500" w:type="dxa"/>
            <w:vAlign w:val="bottom"/>
          </w:tcPr>
          <w:p>
            <w:pPr>
              <w:spacing w:after="0"/>
              <w:rPr>
                <w:sz w:val="20"/>
                <w:szCs w:val="20"/>
                <w:color w:val="auto"/>
              </w:rPr>
            </w:pPr>
            <w:r>
              <w:rPr>
                <w:rFonts w:ascii="Arial" w:cs="Arial" w:eastAsia="Arial" w:hAnsi="Arial"/>
                <w:sz w:val="17"/>
                <w:szCs w:val="17"/>
                <w:b w:val="1"/>
                <w:bCs w:val="1"/>
                <w:color w:val="auto"/>
              </w:rPr>
              <w:t>Deferred liability</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Intangibles, net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(37,315)</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(41,179)</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Gain generated in the reorganization of Pacífico EPS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(39,515)</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(39,515)</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Deferred acquisitions costs - DAC</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(22,991)</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(23,160)</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Unrealized gain due to valuation of investments at fair value through other comprehensive</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500" w:type="dxa"/>
            <w:vAlign w:val="bottom"/>
          </w:tcPr>
          <w:p>
            <w:pPr>
              <w:ind w:left="160"/>
              <w:spacing w:after="0" w:line="194" w:lineRule="exact"/>
              <w:rPr>
                <w:sz w:val="20"/>
                <w:szCs w:val="20"/>
                <w:color w:val="auto"/>
              </w:rPr>
            </w:pPr>
            <w:r>
              <w:rPr>
                <w:rFonts w:ascii="Arial" w:cs="Arial" w:eastAsia="Arial" w:hAnsi="Arial"/>
                <w:sz w:val="17"/>
                <w:szCs w:val="17"/>
                <w:color w:val="auto"/>
              </w:rPr>
              <w:t>income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(10,716)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(22,839)</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Reserve for reinstatement premium costs and deductibles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(11,251)</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(11,762)</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Leasing operations related to loans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(3,224)</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(3,409)</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Buildings revaluation</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(3,296)</w:t>
            </w:r>
          </w:p>
        </w:tc>
        <w:tc>
          <w:tcPr>
            <w:tcW w:w="18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(3,296)</w:t>
            </w:r>
          </w:p>
        </w:tc>
        <w:tc>
          <w:tcPr>
            <w:tcW w:w="0" w:type="dxa"/>
            <w:vAlign w:val="bottom"/>
          </w:tcPr>
          <w:p>
            <w:pPr>
              <w:spacing w:after="0"/>
              <w:rPr>
                <w:sz w:val="1"/>
                <w:szCs w:val="1"/>
                <w:color w:val="auto"/>
              </w:rPr>
            </w:pPr>
          </w:p>
        </w:tc>
      </w:tr>
      <w:tr>
        <w:trPr>
          <w:trHeight w:val="195"/>
        </w:trPr>
        <w:tc>
          <w:tcPr>
            <w:tcW w:w="7500" w:type="dxa"/>
            <w:vAlign w:val="bottom"/>
          </w:tcPr>
          <w:p>
            <w:pPr>
              <w:spacing w:after="0"/>
              <w:rPr>
                <w:sz w:val="20"/>
                <w:szCs w:val="20"/>
                <w:color w:val="auto"/>
              </w:rPr>
            </w:pPr>
            <w:r>
              <w:rPr>
                <w:rFonts w:ascii="Arial" w:cs="Arial" w:eastAsia="Arial" w:hAnsi="Arial"/>
                <w:sz w:val="17"/>
                <w:szCs w:val="17"/>
                <w:color w:val="auto"/>
              </w:rPr>
              <w:t>Others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(53,784)</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(47,563)</w:t>
            </w:r>
          </w:p>
        </w:tc>
        <w:tc>
          <w:tcPr>
            <w:tcW w:w="0" w:type="dxa"/>
            <w:vAlign w:val="bottom"/>
          </w:tcPr>
          <w:p>
            <w:pPr>
              <w:spacing w:after="0"/>
              <w:rPr>
                <w:sz w:val="1"/>
                <w:szCs w:val="1"/>
                <w:color w:val="auto"/>
              </w:rPr>
            </w:pPr>
          </w:p>
        </w:tc>
      </w:tr>
      <w:tr>
        <w:trPr>
          <w:trHeight w:val="193"/>
        </w:trPr>
        <w:tc>
          <w:tcPr>
            <w:tcW w:w="750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(71,824)</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(105,058)</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20" w:right="460"/>
        <w:spacing w:after="0" w:line="246" w:lineRule="auto"/>
        <w:rPr>
          <w:sz w:val="20"/>
          <w:szCs w:val="20"/>
          <w:color w:val="auto"/>
        </w:rPr>
      </w:pPr>
      <w:r>
        <w:rPr>
          <w:rFonts w:ascii="Arial" w:cs="Arial" w:eastAsia="Arial" w:hAnsi="Arial"/>
          <w:sz w:val="17"/>
          <w:szCs w:val="17"/>
          <w:color w:val="auto"/>
        </w:rPr>
        <w:t>As of December 31, 2022, the Group has recorded a deferred liability of deferred income tax of S/114 million for both periods corresponding to unrealized gains and losses generated by investments at fair value through other comprehensive income and cash flow hedges derivatives.</w:t>
      </w:r>
    </w:p>
    <w:p>
      <w:pPr>
        <w:spacing w:after="0" w:line="176" w:lineRule="exact"/>
        <w:rPr>
          <w:sz w:val="20"/>
          <w:szCs w:val="20"/>
          <w:color w:val="auto"/>
        </w:rPr>
      </w:pPr>
    </w:p>
    <w:p>
      <w:pPr>
        <w:ind w:left="320" w:right="460"/>
        <w:spacing w:after="0" w:line="246" w:lineRule="auto"/>
        <w:rPr>
          <w:sz w:val="20"/>
          <w:szCs w:val="20"/>
          <w:color w:val="auto"/>
        </w:rPr>
      </w:pPr>
      <w:r>
        <w:rPr>
          <w:rFonts w:ascii="Arial" w:cs="Arial" w:eastAsia="Arial" w:hAnsi="Arial"/>
          <w:sz w:val="17"/>
          <w:szCs w:val="17"/>
          <w:color w:val="auto"/>
        </w:rPr>
        <w:t>As of December 31, 2021, the Group has recorded a deferred liability of income tax of S/5.1 million for both periods corresponding to unrealized gains and losses generated by investments at fair value through other comprehensive income and cash flow hedges derivatives.</w:t>
      </w:r>
    </w:p>
    <w:p>
      <w:pPr>
        <w:spacing w:after="0" w:line="176" w:lineRule="exact"/>
        <w:rPr>
          <w:sz w:val="20"/>
          <w:szCs w:val="20"/>
          <w:color w:val="auto"/>
        </w:rPr>
      </w:pPr>
    </w:p>
    <w:p>
      <w:pPr>
        <w:ind w:left="320" w:right="500" w:hanging="315"/>
        <w:spacing w:after="0" w:line="246" w:lineRule="auto"/>
        <w:tabs>
          <w:tab w:leader="none" w:pos="3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Peruvian Tax Authority has the right to review and, if necessary, amend the annual income tax returns filed by Peruvian subsidiaries up to four years after their filing date. Income tax returns of the major subsidiaries open for examination by the tax authority are as follows:</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5920" w:type="dxa"/>
            <w:vAlign w:val="bottom"/>
          </w:tcPr>
          <w:p>
            <w:pPr>
              <w:spacing w:after="0"/>
              <w:rPr>
                <w:sz w:val="20"/>
                <w:szCs w:val="20"/>
                <w:color w:val="auto"/>
              </w:rPr>
            </w:pPr>
            <w:r>
              <w:rPr>
                <w:rFonts w:ascii="Arial" w:cs="Arial" w:eastAsia="Arial" w:hAnsi="Arial"/>
                <w:sz w:val="17"/>
                <w:szCs w:val="17"/>
                <w:color w:val="auto"/>
              </w:rPr>
              <w:t>Banco de Crédito del Perú</w:t>
            </w:r>
          </w:p>
        </w:tc>
        <w:tc>
          <w:tcPr>
            <w:tcW w:w="3440" w:type="dxa"/>
            <w:vAlign w:val="bottom"/>
          </w:tcPr>
          <w:p>
            <w:pPr>
              <w:ind w:left="2420"/>
              <w:spacing w:after="0"/>
              <w:rPr>
                <w:sz w:val="20"/>
                <w:szCs w:val="20"/>
                <w:color w:val="auto"/>
              </w:rPr>
            </w:pPr>
            <w:r>
              <w:rPr>
                <w:rFonts w:ascii="Arial" w:cs="Arial" w:eastAsia="Arial" w:hAnsi="Arial"/>
                <w:sz w:val="17"/>
                <w:szCs w:val="17"/>
                <w:color w:val="auto"/>
              </w:rPr>
              <w:t>2016 to 2021</w:t>
            </w:r>
          </w:p>
        </w:tc>
      </w:tr>
      <w:tr>
        <w:trPr>
          <w:trHeight w:val="194"/>
        </w:trPr>
        <w:tc>
          <w:tcPr>
            <w:tcW w:w="5920" w:type="dxa"/>
            <w:vAlign w:val="bottom"/>
          </w:tcPr>
          <w:p>
            <w:pPr>
              <w:spacing w:after="0" w:line="194" w:lineRule="exact"/>
              <w:rPr>
                <w:sz w:val="20"/>
                <w:szCs w:val="20"/>
                <w:color w:val="auto"/>
              </w:rPr>
            </w:pPr>
            <w:r>
              <w:rPr>
                <w:rFonts w:ascii="Arial" w:cs="Arial" w:eastAsia="Arial" w:hAnsi="Arial"/>
                <w:sz w:val="17"/>
                <w:szCs w:val="17"/>
                <w:color w:val="auto"/>
              </w:rPr>
              <w:t>MiBanco, Banco de la Microempresa</w:t>
            </w:r>
          </w:p>
        </w:tc>
        <w:tc>
          <w:tcPr>
            <w:tcW w:w="3440" w:type="dxa"/>
            <w:vAlign w:val="bottom"/>
          </w:tcPr>
          <w:p>
            <w:pPr>
              <w:ind w:left="2420"/>
              <w:spacing w:after="0" w:line="194" w:lineRule="exact"/>
              <w:rPr>
                <w:sz w:val="20"/>
                <w:szCs w:val="20"/>
                <w:color w:val="auto"/>
              </w:rPr>
            </w:pPr>
            <w:r>
              <w:rPr>
                <w:rFonts w:ascii="Arial" w:cs="Arial" w:eastAsia="Arial" w:hAnsi="Arial"/>
                <w:sz w:val="17"/>
                <w:szCs w:val="17"/>
                <w:color w:val="auto"/>
              </w:rPr>
              <w:t>2017 to 2021</w:t>
            </w:r>
          </w:p>
        </w:tc>
      </w:tr>
      <w:tr>
        <w:trPr>
          <w:trHeight w:val="194"/>
        </w:trPr>
        <w:tc>
          <w:tcPr>
            <w:tcW w:w="5920" w:type="dxa"/>
            <w:vAlign w:val="bottom"/>
          </w:tcPr>
          <w:p>
            <w:pPr>
              <w:spacing w:after="0" w:line="194" w:lineRule="exact"/>
              <w:rPr>
                <w:sz w:val="20"/>
                <w:szCs w:val="20"/>
                <w:color w:val="auto"/>
              </w:rPr>
            </w:pPr>
            <w:r>
              <w:rPr>
                <w:rFonts w:ascii="Arial" w:cs="Arial" w:eastAsia="Arial" w:hAnsi="Arial"/>
                <w:sz w:val="17"/>
                <w:szCs w:val="17"/>
                <w:color w:val="auto"/>
              </w:rPr>
              <w:t>Pacífico Compañía de Seguros y Reaseguros</w:t>
            </w:r>
          </w:p>
        </w:tc>
        <w:tc>
          <w:tcPr>
            <w:tcW w:w="3440" w:type="dxa"/>
            <w:vAlign w:val="bottom"/>
          </w:tcPr>
          <w:p>
            <w:pPr>
              <w:ind w:left="2420"/>
              <w:spacing w:after="0" w:line="194" w:lineRule="exact"/>
              <w:rPr>
                <w:sz w:val="20"/>
                <w:szCs w:val="20"/>
                <w:color w:val="auto"/>
              </w:rPr>
            </w:pPr>
            <w:r>
              <w:rPr>
                <w:rFonts w:ascii="Arial" w:cs="Arial" w:eastAsia="Arial" w:hAnsi="Arial"/>
                <w:sz w:val="17"/>
                <w:szCs w:val="17"/>
                <w:color w:val="auto"/>
              </w:rPr>
              <w:t>2018 to 2021</w:t>
            </w:r>
          </w:p>
        </w:tc>
      </w:tr>
      <w:tr>
        <w:trPr>
          <w:trHeight w:val="194"/>
        </w:trPr>
        <w:tc>
          <w:tcPr>
            <w:tcW w:w="5920" w:type="dxa"/>
            <w:vAlign w:val="bottom"/>
          </w:tcPr>
          <w:p>
            <w:pPr>
              <w:spacing w:after="0" w:line="194" w:lineRule="exact"/>
              <w:rPr>
                <w:sz w:val="20"/>
                <w:szCs w:val="20"/>
                <w:color w:val="auto"/>
              </w:rPr>
            </w:pPr>
            <w:r>
              <w:rPr>
                <w:rFonts w:ascii="Arial" w:cs="Arial" w:eastAsia="Arial" w:hAnsi="Arial"/>
                <w:sz w:val="17"/>
                <w:szCs w:val="17"/>
                <w:color w:val="auto"/>
              </w:rPr>
              <w:t>Credicorp Capital Servicios Financieros</w:t>
            </w:r>
          </w:p>
        </w:tc>
        <w:tc>
          <w:tcPr>
            <w:tcW w:w="3440" w:type="dxa"/>
            <w:vAlign w:val="bottom"/>
          </w:tcPr>
          <w:p>
            <w:pPr>
              <w:ind w:left="2420"/>
              <w:spacing w:after="0" w:line="194" w:lineRule="exact"/>
              <w:rPr>
                <w:sz w:val="20"/>
                <w:szCs w:val="20"/>
                <w:color w:val="auto"/>
              </w:rPr>
            </w:pPr>
            <w:r>
              <w:rPr>
                <w:rFonts w:ascii="Arial" w:cs="Arial" w:eastAsia="Arial" w:hAnsi="Arial"/>
                <w:sz w:val="17"/>
                <w:szCs w:val="17"/>
                <w:color w:val="auto"/>
              </w:rPr>
              <w:t>2018 to 2021</w:t>
            </w:r>
          </w:p>
        </w:tc>
      </w:tr>
      <w:tr>
        <w:trPr>
          <w:trHeight w:val="194"/>
        </w:trPr>
        <w:tc>
          <w:tcPr>
            <w:tcW w:w="5920" w:type="dxa"/>
            <w:vAlign w:val="bottom"/>
          </w:tcPr>
          <w:p>
            <w:pPr>
              <w:spacing w:after="0" w:line="194" w:lineRule="exact"/>
              <w:rPr>
                <w:sz w:val="20"/>
                <w:szCs w:val="20"/>
                <w:color w:val="auto"/>
              </w:rPr>
            </w:pPr>
            <w:r>
              <w:rPr>
                <w:rFonts w:ascii="Arial" w:cs="Arial" w:eastAsia="Arial" w:hAnsi="Arial"/>
                <w:sz w:val="17"/>
                <w:szCs w:val="17"/>
                <w:color w:val="auto"/>
              </w:rPr>
              <w:t>Credicorp Capital Perú</w:t>
            </w:r>
          </w:p>
        </w:tc>
        <w:tc>
          <w:tcPr>
            <w:tcW w:w="3440" w:type="dxa"/>
            <w:vAlign w:val="bottom"/>
          </w:tcPr>
          <w:p>
            <w:pPr>
              <w:ind w:left="2420"/>
              <w:spacing w:after="0" w:line="194" w:lineRule="exact"/>
              <w:rPr>
                <w:sz w:val="20"/>
                <w:szCs w:val="20"/>
                <w:color w:val="auto"/>
              </w:rPr>
            </w:pPr>
            <w:r>
              <w:rPr>
                <w:rFonts w:ascii="Arial" w:cs="Arial" w:eastAsia="Arial" w:hAnsi="Arial"/>
                <w:sz w:val="17"/>
                <w:szCs w:val="17"/>
                <w:color w:val="auto"/>
              </w:rPr>
              <w:t>2018 to 2021</w:t>
            </w:r>
          </w:p>
        </w:tc>
      </w:tr>
      <w:tr>
        <w:trPr>
          <w:trHeight w:val="208"/>
        </w:trPr>
        <w:tc>
          <w:tcPr>
            <w:tcW w:w="5920" w:type="dxa"/>
            <w:vAlign w:val="bottom"/>
          </w:tcPr>
          <w:p>
            <w:pPr>
              <w:spacing w:after="0"/>
              <w:rPr>
                <w:sz w:val="20"/>
                <w:szCs w:val="20"/>
                <w:color w:val="auto"/>
              </w:rPr>
            </w:pPr>
            <w:r>
              <w:rPr>
                <w:rFonts w:ascii="Arial" w:cs="Arial" w:eastAsia="Arial" w:hAnsi="Arial"/>
                <w:sz w:val="17"/>
                <w:szCs w:val="17"/>
                <w:color w:val="auto"/>
              </w:rPr>
              <w:t>Credicorp Capital Holding Perú</w:t>
            </w:r>
          </w:p>
        </w:tc>
        <w:tc>
          <w:tcPr>
            <w:tcW w:w="3440" w:type="dxa"/>
            <w:vAlign w:val="bottom"/>
          </w:tcPr>
          <w:p>
            <w:pPr>
              <w:ind w:left="2420"/>
              <w:spacing w:after="0"/>
              <w:rPr>
                <w:sz w:val="20"/>
                <w:szCs w:val="20"/>
                <w:color w:val="auto"/>
              </w:rPr>
            </w:pPr>
            <w:r>
              <w:rPr>
                <w:rFonts w:ascii="Arial" w:cs="Arial" w:eastAsia="Arial" w:hAnsi="Arial"/>
                <w:sz w:val="17"/>
                <w:szCs w:val="17"/>
                <w:color w:val="auto"/>
              </w:rPr>
              <w:t>2018 to 2021</w:t>
            </w:r>
          </w:p>
        </w:tc>
      </w:tr>
    </w:tbl>
    <w:p>
      <w:pPr>
        <w:spacing w:after="0" w:line="180" w:lineRule="exact"/>
        <w:rPr>
          <w:sz w:val="20"/>
          <w:szCs w:val="20"/>
          <w:color w:val="auto"/>
        </w:rPr>
      </w:pPr>
    </w:p>
    <w:p>
      <w:pPr>
        <w:ind w:left="320" w:right="540"/>
        <w:spacing w:after="0" w:line="246" w:lineRule="auto"/>
        <w:rPr>
          <w:sz w:val="20"/>
          <w:szCs w:val="20"/>
          <w:color w:val="auto"/>
        </w:rPr>
      </w:pPr>
      <w:r>
        <w:rPr>
          <w:rFonts w:ascii="Arial" w:cs="Arial" w:eastAsia="Arial" w:hAnsi="Arial"/>
          <w:sz w:val="17"/>
          <w:szCs w:val="17"/>
          <w:color w:val="auto"/>
        </w:rPr>
        <w:t>It is important to mention that the Peruvian Tax Authority is auditing the Income Tax declaration of 2018 of Banco de Crédito del Perú. Additionally, Mibanco has a claim process to the Tax authority for 2014 period, it implies S/4.8 million, in the present, this process is starting.</w:t>
      </w:r>
    </w:p>
    <w:p>
      <w:pPr>
        <w:spacing w:after="0" w:line="34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40640</wp:posOffset>
            </wp:positionV>
            <wp:extent cx="713803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440"/>
          </w:cols>
          <w:pgMar w:left="940" w:top="518" w:right="519" w:bottom="1440" w:gutter="0" w:footer="0" w:header="0"/>
        </w:sectPr>
      </w:pPr>
    </w:p>
    <w:bookmarkStart w:id="122" w:name="page123"/>
    <w:bookmarkEnd w:id="122"/>
    <w:p>
      <w:pPr>
        <w:jc w:val="both"/>
        <w:ind w:left="940" w:right="600"/>
        <w:spacing w:after="0" w:line="242" w:lineRule="auto"/>
        <w:rPr>
          <w:sz w:val="20"/>
          <w:szCs w:val="20"/>
          <w:color w:val="auto"/>
        </w:rPr>
      </w:pPr>
      <w:r>
        <w:rPr>
          <w:rFonts w:ascii="Arial" w:cs="Arial" w:eastAsia="Arial" w:hAnsi="Arial"/>
          <w:sz w:val="17"/>
          <w:szCs w:val="17"/>
          <w:color w:val="auto"/>
        </w:rPr>
        <w:t>The Bolivian, Chilean and Colombian Tax Authorities have the power to review and, if applicable, make a new determination for the income tax the subsidiaries to Credicorp located in said countries, upon presentation of their Income Tax declarations. Additionally, in the case of Colombia, a period of 6 years was established for the taxpayers obliged to apply Transfer Prices or taxpayers who report tax losses. The annual income tax declarations pending examination by the overseas tax authorities are the following:</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95"/>
        </w:trPr>
        <w:tc>
          <w:tcPr>
            <w:tcW w:w="5380" w:type="dxa"/>
            <w:vAlign w:val="bottom"/>
          </w:tcPr>
          <w:p>
            <w:pPr>
              <w:spacing w:after="0"/>
              <w:rPr>
                <w:sz w:val="20"/>
                <w:szCs w:val="20"/>
                <w:color w:val="auto"/>
              </w:rPr>
            </w:pPr>
            <w:r>
              <w:rPr>
                <w:rFonts w:ascii="Arial" w:cs="Arial" w:eastAsia="Arial" w:hAnsi="Arial"/>
                <w:sz w:val="17"/>
                <w:szCs w:val="17"/>
                <w:color w:val="auto"/>
              </w:rPr>
              <w:t>Banco de Crédito de Bolivia</w:t>
            </w:r>
          </w:p>
        </w:tc>
        <w:tc>
          <w:tcPr>
            <w:tcW w:w="3980" w:type="dxa"/>
            <w:vAlign w:val="bottom"/>
          </w:tcPr>
          <w:p>
            <w:pPr>
              <w:ind w:left="2960"/>
              <w:spacing w:after="0"/>
              <w:rPr>
                <w:sz w:val="20"/>
                <w:szCs w:val="20"/>
                <w:color w:val="auto"/>
              </w:rPr>
            </w:pPr>
            <w:r>
              <w:rPr>
                <w:rFonts w:ascii="Arial" w:cs="Arial" w:eastAsia="Arial" w:hAnsi="Arial"/>
                <w:sz w:val="17"/>
                <w:szCs w:val="17"/>
                <w:color w:val="auto"/>
              </w:rPr>
              <w:t>2014 to 2021</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MiBanco Colombia</w:t>
            </w:r>
          </w:p>
        </w:tc>
        <w:tc>
          <w:tcPr>
            <w:tcW w:w="3980" w:type="dxa"/>
            <w:vAlign w:val="bottom"/>
          </w:tcPr>
          <w:p>
            <w:pPr>
              <w:ind w:left="2960"/>
              <w:spacing w:after="0" w:line="194" w:lineRule="exact"/>
              <w:rPr>
                <w:sz w:val="20"/>
                <w:szCs w:val="20"/>
                <w:color w:val="auto"/>
              </w:rPr>
            </w:pPr>
            <w:r>
              <w:rPr>
                <w:rFonts w:ascii="Arial" w:cs="Arial" w:eastAsia="Arial" w:hAnsi="Arial"/>
                <w:sz w:val="17"/>
                <w:szCs w:val="17"/>
                <w:color w:val="auto"/>
              </w:rPr>
              <w:t>2019 to 2021</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Credicorp Capital Colombia</w:t>
            </w:r>
          </w:p>
        </w:tc>
        <w:tc>
          <w:tcPr>
            <w:tcW w:w="3980" w:type="dxa"/>
            <w:vAlign w:val="bottom"/>
          </w:tcPr>
          <w:p>
            <w:pPr>
              <w:ind w:left="2960"/>
              <w:spacing w:after="0" w:line="194" w:lineRule="exact"/>
              <w:rPr>
                <w:sz w:val="20"/>
                <w:szCs w:val="20"/>
                <w:color w:val="auto"/>
              </w:rPr>
            </w:pPr>
            <w:r>
              <w:rPr>
                <w:rFonts w:ascii="Arial" w:cs="Arial" w:eastAsia="Arial" w:hAnsi="Arial"/>
                <w:sz w:val="17"/>
                <w:szCs w:val="17"/>
                <w:color w:val="auto"/>
              </w:rPr>
              <w:t>2016 to 2021</w:t>
            </w:r>
          </w:p>
        </w:tc>
      </w:tr>
      <w:tr>
        <w:trPr>
          <w:trHeight w:val="208"/>
        </w:trPr>
        <w:tc>
          <w:tcPr>
            <w:tcW w:w="5380" w:type="dxa"/>
            <w:vAlign w:val="bottom"/>
          </w:tcPr>
          <w:p>
            <w:pPr>
              <w:spacing w:after="0"/>
              <w:rPr>
                <w:sz w:val="20"/>
                <w:szCs w:val="20"/>
                <w:color w:val="auto"/>
              </w:rPr>
            </w:pPr>
            <w:r>
              <w:rPr>
                <w:rFonts w:ascii="Arial" w:cs="Arial" w:eastAsia="Arial" w:hAnsi="Arial"/>
                <w:sz w:val="17"/>
                <w:szCs w:val="17"/>
                <w:color w:val="auto"/>
              </w:rPr>
              <w:t>Credicorp Capital Holding Chile</w:t>
            </w:r>
          </w:p>
        </w:tc>
        <w:tc>
          <w:tcPr>
            <w:tcW w:w="3980" w:type="dxa"/>
            <w:vAlign w:val="bottom"/>
          </w:tcPr>
          <w:p>
            <w:pPr>
              <w:ind w:left="2960"/>
              <w:spacing w:after="0"/>
              <w:rPr>
                <w:sz w:val="20"/>
                <w:szCs w:val="20"/>
                <w:color w:val="auto"/>
              </w:rPr>
            </w:pPr>
            <w:r>
              <w:rPr>
                <w:rFonts w:ascii="Arial" w:cs="Arial" w:eastAsia="Arial" w:hAnsi="Arial"/>
                <w:sz w:val="17"/>
                <w:szCs w:val="17"/>
                <w:color w:val="auto"/>
              </w:rPr>
              <w:t>2020 to 2021</w:t>
            </w:r>
          </w:p>
        </w:tc>
      </w:tr>
    </w:tbl>
    <w:p>
      <w:pPr>
        <w:spacing w:after="0" w:line="180" w:lineRule="exact"/>
        <w:rPr>
          <w:sz w:val="20"/>
          <w:szCs w:val="20"/>
          <w:color w:val="auto"/>
        </w:rPr>
      </w:pPr>
    </w:p>
    <w:p>
      <w:pPr>
        <w:jc w:val="both"/>
        <w:ind w:left="940" w:right="600"/>
        <w:spacing w:after="0" w:line="241" w:lineRule="auto"/>
        <w:rPr>
          <w:sz w:val="20"/>
          <w:szCs w:val="20"/>
          <w:color w:val="auto"/>
        </w:rPr>
      </w:pPr>
      <w:r>
        <w:rPr>
          <w:rFonts w:ascii="Arial" w:cs="Arial" w:eastAsia="Arial" w:hAnsi="Arial"/>
          <w:sz w:val="17"/>
          <w:szCs w:val="17"/>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2022 and 2021.</w:t>
      </w:r>
    </w:p>
    <w:p>
      <w:pPr>
        <w:spacing w:after="0" w:line="160" w:lineRule="exact"/>
        <w:rPr>
          <w:sz w:val="20"/>
          <w:szCs w:val="20"/>
          <w:color w:val="auto"/>
        </w:rPr>
      </w:pPr>
    </w:p>
    <w:p>
      <w:pPr>
        <w:ind w:left="620" w:hanging="616"/>
        <w:spacing w:after="0"/>
        <w:tabs>
          <w:tab w:leader="none" w:pos="62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PLANS</w:t>
      </w:r>
    </w:p>
    <w:p>
      <w:pPr>
        <w:spacing w:after="0" w:line="215" w:lineRule="exact"/>
        <w:rPr>
          <w:rFonts w:ascii="Arial" w:cs="Arial" w:eastAsia="Arial" w:hAnsi="Arial"/>
          <w:sz w:val="17"/>
          <w:szCs w:val="17"/>
          <w:b w:val="1"/>
          <w:bCs w:val="1"/>
          <w:color w:val="auto"/>
        </w:rPr>
      </w:pPr>
    </w:p>
    <w:p>
      <w:pPr>
        <w:ind w:left="620" w:right="120"/>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As indicated in Note 3(x), in March of each year, the Group grants its own shares to certain key employees. The awarded shares are liberated in the three following years for up to 33.3 percent of the shares granted in each of the three previous years. The Group assumes the payment of the related income tax on behalf of its employees, which is 30 percent of the profit.</w:t>
      </w:r>
    </w:p>
    <w:p>
      <w:pPr>
        <w:spacing w:after="0" w:line="175" w:lineRule="exact"/>
        <w:rPr>
          <w:rFonts w:ascii="Arial" w:cs="Arial" w:eastAsia="Arial" w:hAnsi="Arial"/>
          <w:sz w:val="17"/>
          <w:szCs w:val="17"/>
          <w:b w:val="1"/>
          <w:bCs w:val="1"/>
          <w:color w:val="auto"/>
        </w:rPr>
      </w:pPr>
    </w:p>
    <w:p>
      <w:pPr>
        <w:ind w:left="620" w:right="40"/>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As of December 31, 2022, 2021 and 2020, the Group has granted 116,626, 88,507 and 175,930 Credicorp shares, of which 228,377, 229,523 and 293,606 shares not vested as of December 31, 2022, 2021 and 2020, respectively. During those years, the recorded expense amounted to approximately S/ 88.7 million, S/ 74.0 million and S/ 104.5 million, respectively, see Note 27.</w:t>
      </w:r>
    </w:p>
    <w:p>
      <w:pPr>
        <w:spacing w:after="0" w:line="153" w:lineRule="exact"/>
        <w:rPr>
          <w:rFonts w:ascii="Arial" w:cs="Arial" w:eastAsia="Arial" w:hAnsi="Arial"/>
          <w:sz w:val="17"/>
          <w:szCs w:val="17"/>
          <w:b w:val="1"/>
          <w:bCs w:val="1"/>
          <w:color w:val="auto"/>
        </w:rPr>
      </w:pPr>
    </w:p>
    <w:p>
      <w:pPr>
        <w:ind w:left="620" w:hanging="616"/>
        <w:spacing w:after="0"/>
        <w:tabs>
          <w:tab w:leader="none" w:pos="62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CONTINGENT RISKS AND COMMITMENTS</w:t>
      </w:r>
    </w:p>
    <w:p>
      <w:pPr>
        <w:spacing w:after="0" w:line="215" w:lineRule="exact"/>
        <w:rPr>
          <w:rFonts w:ascii="Arial" w:cs="Arial" w:eastAsia="Arial" w:hAnsi="Arial"/>
          <w:sz w:val="17"/>
          <w:szCs w:val="17"/>
          <w:b w:val="1"/>
          <w:bCs w:val="1"/>
          <w:color w:val="auto"/>
        </w:rPr>
      </w:pPr>
    </w:p>
    <w:p>
      <w:pPr>
        <w:ind w:left="940" w:hanging="315"/>
        <w:spacing w:after="0"/>
        <w:tabs>
          <w:tab w:leader="none" w:pos="94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This item consists of the following:</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r>
      <w:tr>
        <w:trPr>
          <w:trHeight w:val="223"/>
        </w:trPr>
        <w:tc>
          <w:tcPr>
            <w:tcW w:w="7240" w:type="dxa"/>
            <w:vAlign w:val="bottom"/>
          </w:tcPr>
          <w:p>
            <w:pPr>
              <w:spacing w:after="0"/>
              <w:rPr>
                <w:sz w:val="19"/>
                <w:szCs w:val="19"/>
                <w:color w:val="auto"/>
              </w:rPr>
            </w:pP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7240" w:type="dxa"/>
            <w:vAlign w:val="bottom"/>
          </w:tcPr>
          <w:p>
            <w:pPr>
              <w:spacing w:after="0"/>
              <w:rPr>
                <w:sz w:val="20"/>
                <w:szCs w:val="20"/>
                <w:color w:val="auto"/>
              </w:rPr>
            </w:pPr>
            <w:r>
              <w:rPr>
                <w:rFonts w:ascii="Arial" w:cs="Arial" w:eastAsia="Arial" w:hAnsi="Arial"/>
                <w:sz w:val="17"/>
                <w:szCs w:val="17"/>
                <w:b w:val="1"/>
                <w:bCs w:val="1"/>
                <w:color w:val="auto"/>
              </w:rPr>
              <w:t>Contingent credits - indirect loans (b)</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4"/>
        </w:trPr>
        <w:tc>
          <w:tcPr>
            <w:tcW w:w="7240" w:type="dxa"/>
            <w:vAlign w:val="bottom"/>
          </w:tcPr>
          <w:p>
            <w:pPr>
              <w:spacing w:after="0" w:line="194" w:lineRule="exact"/>
              <w:rPr>
                <w:sz w:val="20"/>
                <w:szCs w:val="20"/>
                <w:color w:val="auto"/>
              </w:rPr>
            </w:pPr>
            <w:r>
              <w:rPr>
                <w:rFonts w:ascii="Arial" w:cs="Arial" w:eastAsia="Arial" w:hAnsi="Arial"/>
                <w:sz w:val="17"/>
                <w:szCs w:val="17"/>
                <w:color w:val="auto"/>
              </w:rPr>
              <w:t>Guarantees and performance bonds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18,244,865</w:t>
            </w:r>
          </w:p>
        </w:tc>
        <w:tc>
          <w:tcPr>
            <w:tcW w:w="22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20,455,238</w:t>
            </w:r>
          </w:p>
        </w:tc>
      </w:tr>
      <w:tr>
        <w:trPr>
          <w:trHeight w:val="195"/>
        </w:trPr>
        <w:tc>
          <w:tcPr>
            <w:tcW w:w="7240" w:type="dxa"/>
            <w:vAlign w:val="bottom"/>
          </w:tcPr>
          <w:p>
            <w:pPr>
              <w:spacing w:after="0"/>
              <w:rPr>
                <w:sz w:val="20"/>
                <w:szCs w:val="20"/>
                <w:color w:val="auto"/>
              </w:rPr>
            </w:pPr>
            <w:r>
              <w:rPr>
                <w:rFonts w:ascii="Arial" w:cs="Arial" w:eastAsia="Arial" w:hAnsi="Arial"/>
                <w:sz w:val="17"/>
                <w:szCs w:val="17"/>
                <w:color w:val="auto"/>
              </w:rPr>
              <w:t>Import and export letters of credit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2,683,190</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2,459,105</w:t>
            </w:r>
          </w:p>
        </w:tc>
      </w:tr>
      <w:tr>
        <w:trPr>
          <w:trHeight w:val="201"/>
        </w:trPr>
        <w:tc>
          <w:tcPr>
            <w:tcW w:w="7240" w:type="dxa"/>
            <w:vAlign w:val="bottom"/>
          </w:tcPr>
          <w:p>
            <w:pPr>
              <w:spacing w:after="0"/>
              <w:rPr>
                <w:sz w:val="20"/>
                <w:szCs w:val="20"/>
                <w:color w:val="auto"/>
              </w:rPr>
            </w:pPr>
            <w:r>
              <w:rPr>
                <w:rFonts w:ascii="Arial" w:cs="Arial" w:eastAsia="Arial" w:hAnsi="Arial"/>
                <w:sz w:val="17"/>
                <w:szCs w:val="17"/>
                <w:color w:val="auto"/>
              </w:rPr>
              <w:t>Sub-total, Note 7(b)</w:t>
            </w:r>
          </w:p>
        </w:tc>
        <w:tc>
          <w:tcPr>
            <w:tcW w:w="1220" w:type="dxa"/>
            <w:vAlign w:val="bottom"/>
          </w:tcPr>
          <w:p>
            <w:pPr>
              <w:jc w:val="right"/>
              <w:spacing w:after="0"/>
              <w:rPr>
                <w:sz w:val="20"/>
                <w:szCs w:val="20"/>
                <w:color w:val="auto"/>
              </w:rPr>
            </w:pPr>
            <w:r>
              <w:rPr>
                <w:rFonts w:ascii="Arial" w:cs="Arial" w:eastAsia="Arial" w:hAnsi="Arial"/>
                <w:sz w:val="17"/>
                <w:szCs w:val="17"/>
                <w:color w:val="auto"/>
              </w:rPr>
              <w:t>20,928,055</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22,914,343</w:t>
            </w:r>
          </w:p>
        </w:tc>
      </w:tr>
      <w:tr>
        <w:trPr>
          <w:trHeight w:val="375"/>
        </w:trPr>
        <w:tc>
          <w:tcPr>
            <w:tcW w:w="7240" w:type="dxa"/>
            <w:vAlign w:val="bottom"/>
          </w:tcPr>
          <w:p>
            <w:pPr>
              <w:spacing w:after="0"/>
              <w:rPr>
                <w:sz w:val="20"/>
                <w:szCs w:val="20"/>
                <w:color w:val="auto"/>
              </w:rPr>
            </w:pPr>
            <w:r>
              <w:rPr>
                <w:rFonts w:ascii="Arial" w:cs="Arial" w:eastAsia="Arial" w:hAnsi="Arial"/>
                <w:sz w:val="17"/>
                <w:szCs w:val="17"/>
                <w:color w:val="auto"/>
              </w:rPr>
              <w:t>Responsibilities under credit line agreements (c)</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86,597,041</w:t>
            </w:r>
          </w:p>
        </w:tc>
        <w:tc>
          <w:tcPr>
            <w:tcW w:w="22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88,382,322</w:t>
            </w:r>
          </w:p>
        </w:tc>
      </w:tr>
      <w:tr>
        <w:trPr>
          <w:trHeight w:val="193"/>
        </w:trPr>
        <w:tc>
          <w:tcPr>
            <w:tcW w:w="724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107,525,096</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111,296,665</w:t>
            </w:r>
          </w:p>
        </w:tc>
      </w:tr>
    </w:tbl>
    <w:p>
      <w:pPr>
        <w:spacing w:after="0" w:line="193" w:lineRule="exact"/>
        <w:rPr>
          <w:sz w:val="20"/>
          <w:szCs w:val="20"/>
          <w:color w:val="auto"/>
        </w:rPr>
      </w:pPr>
    </w:p>
    <w:p>
      <w:pPr>
        <w:ind w:left="940"/>
        <w:spacing w:after="0" w:line="254" w:lineRule="auto"/>
        <w:rPr>
          <w:sz w:val="20"/>
          <w:szCs w:val="20"/>
          <w:color w:val="auto"/>
        </w:rPr>
      </w:pPr>
      <w:r>
        <w:rPr>
          <w:rFonts w:ascii="Arial" w:cs="Arial" w:eastAsia="Arial" w:hAnsi="Arial"/>
          <w:sz w:val="17"/>
          <w:szCs w:val="17"/>
          <w:color w:val="auto"/>
        </w:rPr>
        <w:t>Reference values of operations with derivatives are recorded in off-balance sheet accounts in the committed currency, as shown in note 13(c).</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ind w:left="940" w:right="320" w:hanging="315"/>
        <w:spacing w:after="0" w:line="253" w:lineRule="auto"/>
        <w:tabs>
          <w:tab w:leader="none" w:pos="9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 the normal course of their business, the Group’s banking subsidiaries are party to transactions with off-balance sheet risk. These transactions expose them to credit risk in addition to the amounts recognized in the consolidated statement of financial position.</w:t>
      </w:r>
    </w:p>
    <w:p>
      <w:pPr>
        <w:spacing w:after="0" w:line="169" w:lineRule="exact"/>
        <w:rPr>
          <w:rFonts w:ascii="Arial" w:cs="Arial" w:eastAsia="Arial" w:hAnsi="Arial"/>
          <w:sz w:val="17"/>
          <w:szCs w:val="17"/>
          <w:color w:val="auto"/>
        </w:rPr>
      </w:pPr>
    </w:p>
    <w:p>
      <w:pPr>
        <w:ind w:left="940"/>
        <w:spacing w:after="0" w:line="243" w:lineRule="auto"/>
        <w:rPr>
          <w:rFonts w:ascii="Arial" w:cs="Arial" w:eastAsia="Arial" w:hAnsi="Arial"/>
          <w:sz w:val="17"/>
          <w:szCs w:val="17"/>
          <w:color w:val="auto"/>
        </w:rPr>
      </w:pPr>
      <w:r>
        <w:rPr>
          <w:rFonts w:ascii="Arial" w:cs="Arial" w:eastAsia="Arial" w:hAnsi="Arial"/>
          <w:sz w:val="17"/>
          <w:szCs w:val="17"/>
          <w:color w:val="auto"/>
        </w:rPr>
        <w:t>Credit risk for contingent credits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contingent commitments and other obligations as it does for on-balance sheet instruments (Note 7(a)), including the requirement to obtain collateral when it is deemed necessary.</w:t>
      </w:r>
    </w:p>
    <w:p>
      <w:pPr>
        <w:spacing w:after="0" w:line="179" w:lineRule="exact"/>
        <w:rPr>
          <w:rFonts w:ascii="Arial" w:cs="Arial" w:eastAsia="Arial" w:hAnsi="Arial"/>
          <w:sz w:val="17"/>
          <w:szCs w:val="17"/>
          <w:color w:val="auto"/>
        </w:rPr>
      </w:pPr>
    </w:p>
    <w:p>
      <w:pPr>
        <w:ind w:left="940" w:right="140"/>
        <w:spacing w:after="0" w:line="246" w:lineRule="auto"/>
        <w:rPr>
          <w:rFonts w:ascii="Arial" w:cs="Arial" w:eastAsia="Arial" w:hAnsi="Arial"/>
          <w:sz w:val="17"/>
          <w:szCs w:val="17"/>
          <w:color w:val="auto"/>
        </w:rPr>
      </w:pPr>
      <w:r>
        <w:rPr>
          <w:rFonts w:ascii="Arial" w:cs="Arial" w:eastAsia="Arial" w:hAnsi="Arial"/>
          <w:sz w:val="17"/>
          <w:szCs w:val="17"/>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75" w:lineRule="exact"/>
        <w:rPr>
          <w:rFonts w:ascii="Arial" w:cs="Arial" w:eastAsia="Arial" w:hAnsi="Arial"/>
          <w:sz w:val="17"/>
          <w:szCs w:val="17"/>
          <w:color w:val="auto"/>
        </w:rPr>
      </w:pPr>
    </w:p>
    <w:p>
      <w:pPr>
        <w:ind w:left="940" w:right="560" w:hanging="315"/>
        <w:spacing w:after="0" w:line="254" w:lineRule="auto"/>
        <w:tabs>
          <w:tab w:leader="none" w:pos="9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Lines of credit include consumer loans and other consumer loan facilities (credit card receivables) granted to customers and are cancelable upon related notice to the customer.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134"/>
              <w:spacing w:after="0"/>
              <w:rPr>
                <w:sz w:val="20"/>
                <w:szCs w:val="20"/>
                <w:color w:val="auto"/>
              </w:rPr>
            </w:pPr>
            <w:r>
              <w:rPr>
                <w:rFonts w:ascii="Arial" w:cs="Arial" w:eastAsia="Arial" w:hAnsi="Arial"/>
                <w:sz w:val="17"/>
                <w:szCs w:val="17"/>
                <w:b w:val="1"/>
                <w:bCs w:val="1"/>
                <w:color w:val="auto"/>
                <w:w w:val="94"/>
              </w:rPr>
              <w:t>22</w:t>
            </w:r>
          </w:p>
        </w:tc>
        <w:tc>
          <w:tcPr>
            <w:tcW w:w="6880" w:type="dxa"/>
            <w:vAlign w:val="bottom"/>
          </w:tcPr>
          <w:p>
            <w:pPr>
              <w:ind w:left="200"/>
              <w:spacing w:after="0"/>
              <w:rPr>
                <w:sz w:val="20"/>
                <w:szCs w:val="20"/>
                <w:color w:val="auto"/>
              </w:rPr>
            </w:pPr>
            <w:r>
              <w:rPr>
                <w:rFonts w:ascii="Arial" w:cs="Arial" w:eastAsia="Arial" w:hAnsi="Arial"/>
                <w:sz w:val="17"/>
                <w:szCs w:val="17"/>
                <w:b w:val="1"/>
                <w:bCs w:val="1"/>
                <w:color w:val="auto"/>
              </w:rPr>
              <w:t>INTEREST, SIMILAR INCOME AND SIMILAR EXPENSES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420" w:type="dxa"/>
            <w:vAlign w:val="bottom"/>
          </w:tcPr>
          <w:p>
            <w:pPr>
              <w:spacing w:after="0"/>
              <w:rPr>
                <w:sz w:val="24"/>
                <w:szCs w:val="24"/>
                <w:color w:val="auto"/>
              </w:rPr>
            </w:pPr>
          </w:p>
        </w:tc>
        <w:tc>
          <w:tcPr>
            <w:tcW w:w="6880" w:type="dxa"/>
            <w:vAlign w:val="bottom"/>
          </w:tcPr>
          <w:p>
            <w:pPr>
              <w:ind w:left="200"/>
              <w:spacing w:after="0"/>
              <w:rPr>
                <w:sz w:val="20"/>
                <w:szCs w:val="20"/>
                <w:color w:val="auto"/>
              </w:rPr>
            </w:pPr>
            <w:r>
              <w:rPr>
                <w:rFonts w:ascii="Arial" w:cs="Arial" w:eastAsia="Arial" w:hAnsi="Arial"/>
                <w:sz w:val="17"/>
                <w:szCs w:val="17"/>
                <w:color w:val="auto"/>
              </w:rPr>
              <w:t>This item consists of the following:</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88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Interest and similar income</w:t>
            </w:r>
          </w:p>
        </w:tc>
        <w:tc>
          <w:tcPr>
            <w:tcW w:w="104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68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Interest on loans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12,419,281</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10,170,680</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10,027,834</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Interest on investments at fair value through other comprehensive income</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1,593,047</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1,152,542</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1,097,952</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Interest on due from banks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458,531</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49,637</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74,813</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Interest on investments at amortized cost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382,097</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323,689</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226,516</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Interest on investments at fair value through profit or loss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38,550</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50,562</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47,696</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Dividends received</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29,226</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40,637</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25,603</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Other interest and similar income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90,550</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62,659</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47,234</w:t>
            </w: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6880" w:type="dxa"/>
            <w:vAlign w:val="bottom"/>
          </w:tcPr>
          <w:p>
            <w:pPr>
              <w:ind w:left="260"/>
              <w:spacing w:after="0" w:line="187" w:lineRule="exact"/>
              <w:rPr>
                <w:sz w:val="20"/>
                <w:szCs w:val="20"/>
                <w:color w:val="auto"/>
              </w:rPr>
            </w:pPr>
            <w:r>
              <w:rPr>
                <w:rFonts w:ascii="Arial" w:cs="Arial" w:eastAsia="Arial" w:hAnsi="Arial"/>
                <w:sz w:val="17"/>
                <w:szCs w:val="17"/>
                <w:b w:val="1"/>
                <w:bCs w:val="1"/>
                <w:color w:val="auto"/>
              </w:rPr>
              <w:t>Total</w:t>
            </w: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15,011,282</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11,850,406</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11,547,648</w:t>
            </w:r>
          </w:p>
        </w:tc>
        <w:tc>
          <w:tcPr>
            <w:tcW w:w="0" w:type="dxa"/>
            <w:vAlign w:val="bottom"/>
          </w:tcPr>
          <w:p>
            <w:pPr>
              <w:spacing w:after="0"/>
              <w:rPr>
                <w:sz w:val="1"/>
                <w:szCs w:val="1"/>
                <w:color w:val="auto"/>
              </w:rPr>
            </w:pPr>
          </w:p>
        </w:tc>
      </w:tr>
      <w:tr>
        <w:trPr>
          <w:trHeight w:val="388"/>
        </w:trPr>
        <w:tc>
          <w:tcPr>
            <w:tcW w:w="420" w:type="dxa"/>
            <w:vAlign w:val="bottom"/>
          </w:tcPr>
          <w:p>
            <w:pPr>
              <w:spacing w:after="0"/>
              <w:rPr>
                <w:sz w:val="24"/>
                <w:szCs w:val="24"/>
                <w:color w:val="auto"/>
              </w:rPr>
            </w:pPr>
          </w:p>
        </w:tc>
        <w:tc>
          <w:tcPr>
            <w:tcW w:w="6880" w:type="dxa"/>
            <w:vAlign w:val="bottom"/>
          </w:tcPr>
          <w:p>
            <w:pPr>
              <w:ind w:left="260"/>
              <w:spacing w:after="0"/>
              <w:rPr>
                <w:sz w:val="20"/>
                <w:szCs w:val="20"/>
                <w:color w:val="auto"/>
              </w:rPr>
            </w:pPr>
            <w:r>
              <w:rPr>
                <w:rFonts w:ascii="Arial" w:cs="Arial" w:eastAsia="Arial" w:hAnsi="Arial"/>
                <w:sz w:val="17"/>
                <w:szCs w:val="17"/>
                <w:b w:val="1"/>
                <w:bCs w:val="1"/>
                <w:color w:val="auto"/>
              </w:rPr>
              <w:t>Interest and similar expense</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Interest on deposits and obligations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(1,688,245)</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(865,474)</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(1,188,335)</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Interest on bonds and notes issued</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(728,218)</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(836,977)</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(905,574)</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Interest on due to banks and correspondents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(683,078)</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(435,426)</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(557,141)</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Deposit Insurance Fund</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(230,255)</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(213,741)</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(183,132)</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Interest on lease liabilities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(25,054)</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(27,374)</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(32,295)</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Other interest and similar expense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(138,337)</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(111,810)</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(112,219)</w:t>
            </w: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6880" w:type="dxa"/>
            <w:vAlign w:val="bottom"/>
          </w:tcPr>
          <w:p>
            <w:pPr>
              <w:ind w:left="260"/>
              <w:spacing w:after="0" w:line="187" w:lineRule="exact"/>
              <w:rPr>
                <w:sz w:val="20"/>
                <w:szCs w:val="20"/>
                <w:color w:val="auto"/>
              </w:rPr>
            </w:pPr>
            <w:r>
              <w:rPr>
                <w:rFonts w:ascii="Arial" w:cs="Arial" w:eastAsia="Arial" w:hAnsi="Arial"/>
                <w:sz w:val="17"/>
                <w:szCs w:val="17"/>
                <w:b w:val="1"/>
                <w:bCs w:val="1"/>
                <w:color w:val="auto"/>
              </w:rPr>
              <w:t>Total</w:t>
            </w: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(3,493,187)</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(2,490,802)</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(2,978,696)</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620"/>
        <w:spacing w:after="0" w:line="248" w:lineRule="auto"/>
        <w:rPr>
          <w:sz w:val="20"/>
          <w:szCs w:val="20"/>
          <w:color w:val="auto"/>
        </w:rPr>
      </w:pPr>
      <w:r>
        <w:rPr>
          <w:rFonts w:ascii="Arial" w:cs="Arial" w:eastAsia="Arial" w:hAnsi="Arial"/>
          <w:sz w:val="17"/>
          <w:szCs w:val="17"/>
          <w:color w:val="auto"/>
        </w:rPr>
        <w:t>The increase in the financial margin during 2022 is mainly due to the increase in financial income as a result of the increase in interest rates that have been growing significantly during the year 2022, both in soles and in dollars, compared to the year 2021 with rates historically low.</w:t>
      </w:r>
    </w:p>
    <w:p>
      <w:pPr>
        <w:spacing w:after="0" w:line="3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Likewise, this growth is partially offset by the increase in financial expenses that is affected by the same increase in market rates.</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9"/>
        </w:trPr>
        <w:tc>
          <w:tcPr>
            <w:tcW w:w="420" w:type="dxa"/>
            <w:vAlign w:val="bottom"/>
          </w:tcPr>
          <w:p>
            <w:pPr>
              <w:jc w:val="right"/>
              <w:ind w:right="134"/>
              <w:spacing w:after="0"/>
              <w:rPr>
                <w:sz w:val="20"/>
                <w:szCs w:val="20"/>
                <w:color w:val="auto"/>
              </w:rPr>
            </w:pPr>
            <w:r>
              <w:rPr>
                <w:rFonts w:ascii="Arial" w:cs="Arial" w:eastAsia="Arial" w:hAnsi="Arial"/>
                <w:sz w:val="17"/>
                <w:szCs w:val="17"/>
                <w:b w:val="1"/>
                <w:bCs w:val="1"/>
                <w:color w:val="auto"/>
                <w:w w:val="94"/>
              </w:rPr>
              <w:t>23</w:t>
            </w:r>
          </w:p>
        </w:tc>
        <w:tc>
          <w:tcPr>
            <w:tcW w:w="6880" w:type="dxa"/>
            <w:vAlign w:val="bottom"/>
          </w:tcPr>
          <w:p>
            <w:pPr>
              <w:ind w:left="200"/>
              <w:spacing w:after="0"/>
              <w:rPr>
                <w:sz w:val="20"/>
                <w:szCs w:val="20"/>
                <w:color w:val="auto"/>
              </w:rPr>
            </w:pPr>
            <w:r>
              <w:rPr>
                <w:rFonts w:ascii="Arial" w:cs="Arial" w:eastAsia="Arial" w:hAnsi="Arial"/>
                <w:sz w:val="17"/>
                <w:szCs w:val="17"/>
                <w:b w:val="1"/>
                <w:bCs w:val="1"/>
                <w:color w:val="auto"/>
              </w:rPr>
              <w:t>COMMISSIONS AND FEES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89"/>
        </w:trPr>
        <w:tc>
          <w:tcPr>
            <w:tcW w:w="420" w:type="dxa"/>
            <w:vAlign w:val="bottom"/>
          </w:tcPr>
          <w:p>
            <w:pPr>
              <w:spacing w:after="0"/>
              <w:rPr>
                <w:sz w:val="24"/>
                <w:szCs w:val="24"/>
                <w:color w:val="auto"/>
              </w:rPr>
            </w:pPr>
          </w:p>
        </w:tc>
        <w:tc>
          <w:tcPr>
            <w:tcW w:w="6880" w:type="dxa"/>
            <w:vAlign w:val="bottom"/>
          </w:tcPr>
          <w:p>
            <w:pPr>
              <w:ind w:left="200"/>
              <w:spacing w:after="0"/>
              <w:rPr>
                <w:sz w:val="20"/>
                <w:szCs w:val="20"/>
                <w:color w:val="auto"/>
              </w:rPr>
            </w:pPr>
            <w:r>
              <w:rPr>
                <w:rFonts w:ascii="Arial" w:cs="Arial" w:eastAsia="Arial" w:hAnsi="Arial"/>
                <w:sz w:val="17"/>
                <w:szCs w:val="17"/>
                <w:color w:val="auto"/>
              </w:rPr>
              <w:t>This item consists of the following:</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5"/>
        </w:trPr>
        <w:tc>
          <w:tcPr>
            <w:tcW w:w="4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2020</w:t>
            </w:r>
          </w:p>
        </w:tc>
        <w:tc>
          <w:tcPr>
            <w:tcW w:w="500" w:type="dxa"/>
            <w:vAlign w:val="bottom"/>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500" w:type="dxa"/>
            <w:vAlign w:val="bottom"/>
          </w:tcPr>
          <w:p>
            <w:pPr>
              <w:spacing w:after="0"/>
              <w:rPr>
                <w:sz w:val="19"/>
                <w:szCs w:val="19"/>
                <w:color w:val="auto"/>
              </w:rPr>
            </w:pPr>
          </w:p>
        </w:tc>
      </w:tr>
      <w:tr>
        <w:trPr>
          <w:trHeight w:val="352"/>
        </w:trPr>
        <w:tc>
          <w:tcPr>
            <w:tcW w:w="420" w:type="dxa"/>
            <w:vAlign w:val="bottom"/>
          </w:tcPr>
          <w:p>
            <w:pPr>
              <w:spacing w:after="0"/>
              <w:rPr>
                <w:sz w:val="24"/>
                <w:szCs w:val="24"/>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Maintenance of accounts, transfers and credit and debit card services</w:t>
            </w:r>
          </w:p>
        </w:tc>
        <w:tc>
          <w:tcPr>
            <w:tcW w:w="1040" w:type="dxa"/>
            <w:vAlign w:val="bottom"/>
          </w:tcPr>
          <w:p>
            <w:pPr>
              <w:jc w:val="right"/>
              <w:spacing w:after="0"/>
              <w:rPr>
                <w:sz w:val="20"/>
                <w:szCs w:val="20"/>
                <w:color w:val="auto"/>
              </w:rPr>
            </w:pPr>
            <w:r>
              <w:rPr>
                <w:rFonts w:ascii="Arial" w:cs="Arial" w:eastAsia="Arial" w:hAnsi="Arial"/>
                <w:sz w:val="17"/>
                <w:szCs w:val="17"/>
                <w:color w:val="auto"/>
              </w:rPr>
              <w:t>1,595,547</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1,442,966</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1,125,432</w:t>
            </w:r>
          </w:p>
        </w:tc>
        <w:tc>
          <w:tcPr>
            <w:tcW w:w="500" w:type="dxa"/>
            <w:vAlign w:val="bottom"/>
          </w:tcPr>
          <w:p>
            <w:pPr>
              <w:spacing w:after="0"/>
              <w:rPr>
                <w:sz w:val="24"/>
                <w:szCs w:val="24"/>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Funds and equity management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628,739</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717,227</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651,370</w:t>
            </w:r>
          </w:p>
        </w:tc>
        <w:tc>
          <w:tcPr>
            <w:tcW w:w="50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Contingent loans and foreign trade fees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450,874</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459,165</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372,586</w:t>
            </w:r>
          </w:p>
        </w:tc>
        <w:tc>
          <w:tcPr>
            <w:tcW w:w="50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6880" w:type="dxa"/>
            <w:vAlign w:val="bottom"/>
          </w:tcPr>
          <w:p>
            <w:pPr>
              <w:ind w:left="260"/>
              <w:spacing w:after="0" w:line="194" w:lineRule="exact"/>
              <w:rPr>
                <w:sz w:val="20"/>
                <w:szCs w:val="20"/>
                <w:color w:val="auto"/>
              </w:rPr>
            </w:pPr>
            <w:r>
              <w:rPr>
                <w:rFonts w:ascii="Arial" w:cs="Arial" w:eastAsia="Arial" w:hAnsi="Arial"/>
                <w:sz w:val="17"/>
                <w:szCs w:val="17"/>
                <w:color w:val="auto"/>
              </w:rPr>
              <w:t>Commissions for banking services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367,946</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301,592</w:t>
            </w: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263,298</w:t>
            </w:r>
          </w:p>
        </w:tc>
        <w:tc>
          <w:tcPr>
            <w:tcW w:w="500" w:type="dxa"/>
            <w:vAlign w:val="bottom"/>
          </w:tcPr>
          <w:p>
            <w:pPr>
              <w:spacing w:after="0"/>
              <w:rPr>
                <w:sz w:val="16"/>
                <w:szCs w:val="16"/>
                <w:color w:val="auto"/>
              </w:rPr>
            </w:pPr>
          </w:p>
        </w:tc>
      </w:tr>
      <w:tr>
        <w:trPr>
          <w:trHeight w:val="208"/>
        </w:trPr>
        <w:tc>
          <w:tcPr>
            <w:tcW w:w="42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Collection services</w:t>
            </w:r>
          </w:p>
        </w:tc>
        <w:tc>
          <w:tcPr>
            <w:tcW w:w="1040" w:type="dxa"/>
            <w:vAlign w:val="bottom"/>
          </w:tcPr>
          <w:p>
            <w:pPr>
              <w:jc w:val="right"/>
              <w:spacing w:after="0"/>
              <w:rPr>
                <w:sz w:val="20"/>
                <w:szCs w:val="20"/>
                <w:color w:val="auto"/>
              </w:rPr>
            </w:pPr>
            <w:r>
              <w:rPr>
                <w:rFonts w:ascii="Arial" w:cs="Arial" w:eastAsia="Arial" w:hAnsi="Arial"/>
                <w:sz w:val="17"/>
                <w:szCs w:val="17"/>
                <w:color w:val="auto"/>
              </w:rPr>
              <w:t>119,636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107,442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90,456</w:t>
            </w:r>
          </w:p>
        </w:tc>
        <w:tc>
          <w:tcPr>
            <w:tcW w:w="500" w:type="dxa"/>
            <w:vAlign w:val="bottom"/>
          </w:tcPr>
          <w:p>
            <w:pPr>
              <w:spacing w:after="0"/>
              <w:rPr>
                <w:sz w:val="18"/>
                <w:szCs w:val="18"/>
                <w:color w:val="auto"/>
              </w:rPr>
            </w:pPr>
          </w:p>
        </w:tc>
      </w:tr>
      <w:tr>
        <w:trPr>
          <w:trHeight w:val="401"/>
        </w:trPr>
        <w:tc>
          <w:tcPr>
            <w:tcW w:w="420" w:type="dxa"/>
            <w:vAlign w:val="bottom"/>
          </w:tcPr>
          <w:p>
            <w:pPr>
              <w:spacing w:after="0"/>
              <w:rPr>
                <w:sz w:val="24"/>
                <w:szCs w:val="24"/>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Brokerage, securities, and custody services</w:t>
            </w:r>
          </w:p>
        </w:tc>
        <w:tc>
          <w:tcPr>
            <w:tcW w:w="1040" w:type="dxa"/>
            <w:vAlign w:val="bottom"/>
          </w:tcPr>
          <w:p>
            <w:pPr>
              <w:jc w:val="right"/>
              <w:spacing w:after="0"/>
              <w:rPr>
                <w:sz w:val="20"/>
                <w:szCs w:val="20"/>
                <w:color w:val="auto"/>
              </w:rPr>
            </w:pPr>
            <w:r>
              <w:rPr>
                <w:rFonts w:ascii="Arial" w:cs="Arial" w:eastAsia="Arial" w:hAnsi="Arial"/>
                <w:sz w:val="17"/>
                <w:szCs w:val="17"/>
                <w:color w:val="auto"/>
              </w:rPr>
              <w:t>118,116</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121,974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110,615</w:t>
            </w:r>
          </w:p>
        </w:tc>
        <w:tc>
          <w:tcPr>
            <w:tcW w:w="500" w:type="dxa"/>
            <w:vAlign w:val="bottom"/>
          </w:tcPr>
          <w:p>
            <w:pPr>
              <w:spacing w:after="0"/>
              <w:rPr>
                <w:sz w:val="24"/>
                <w:szCs w:val="24"/>
                <w:color w:val="auto"/>
              </w:rPr>
            </w:pPr>
          </w:p>
        </w:tc>
      </w:tr>
      <w:tr>
        <w:trPr>
          <w:trHeight w:val="401"/>
        </w:trPr>
        <w:tc>
          <w:tcPr>
            <w:tcW w:w="420" w:type="dxa"/>
            <w:vAlign w:val="bottom"/>
          </w:tcPr>
          <w:p>
            <w:pPr>
              <w:spacing w:after="0"/>
              <w:rPr>
                <w:sz w:val="24"/>
                <w:szCs w:val="24"/>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Commissions for salary advance and payment of services</w:t>
            </w:r>
          </w:p>
        </w:tc>
        <w:tc>
          <w:tcPr>
            <w:tcW w:w="1040" w:type="dxa"/>
            <w:vAlign w:val="bottom"/>
          </w:tcPr>
          <w:p>
            <w:pPr>
              <w:jc w:val="right"/>
              <w:spacing w:after="0"/>
              <w:rPr>
                <w:sz w:val="20"/>
                <w:szCs w:val="20"/>
                <w:color w:val="auto"/>
              </w:rPr>
            </w:pPr>
            <w:r>
              <w:rPr>
                <w:rFonts w:ascii="Arial" w:cs="Arial" w:eastAsia="Arial" w:hAnsi="Arial"/>
                <w:sz w:val="17"/>
                <w:szCs w:val="17"/>
                <w:color w:val="auto"/>
              </w:rPr>
              <w:t>66,330</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52,557</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34,766</w:t>
            </w:r>
          </w:p>
        </w:tc>
        <w:tc>
          <w:tcPr>
            <w:tcW w:w="500" w:type="dxa"/>
            <w:vAlign w:val="bottom"/>
          </w:tcPr>
          <w:p>
            <w:pPr>
              <w:spacing w:after="0"/>
              <w:rPr>
                <w:sz w:val="24"/>
                <w:szCs w:val="24"/>
                <w:color w:val="auto"/>
              </w:rPr>
            </w:pPr>
          </w:p>
        </w:tc>
      </w:tr>
      <w:tr>
        <w:trPr>
          <w:trHeight w:val="401"/>
        </w:trPr>
        <w:tc>
          <w:tcPr>
            <w:tcW w:w="420" w:type="dxa"/>
            <w:vAlign w:val="bottom"/>
          </w:tcPr>
          <w:p>
            <w:pPr>
              <w:spacing w:after="0"/>
              <w:rPr>
                <w:sz w:val="24"/>
                <w:szCs w:val="24"/>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Commissions for consulting and technical studies</w:t>
            </w:r>
          </w:p>
        </w:tc>
        <w:tc>
          <w:tcPr>
            <w:tcW w:w="1040" w:type="dxa"/>
            <w:vAlign w:val="bottom"/>
          </w:tcPr>
          <w:p>
            <w:pPr>
              <w:jc w:val="right"/>
              <w:spacing w:after="0"/>
              <w:rPr>
                <w:sz w:val="20"/>
                <w:szCs w:val="20"/>
                <w:color w:val="auto"/>
              </w:rPr>
            </w:pPr>
            <w:r>
              <w:rPr>
                <w:rFonts w:ascii="Arial" w:cs="Arial" w:eastAsia="Arial" w:hAnsi="Arial"/>
                <w:sz w:val="17"/>
                <w:szCs w:val="17"/>
                <w:color w:val="auto"/>
              </w:rPr>
              <w:t>66,291</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62,384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57,949</w:t>
            </w:r>
          </w:p>
        </w:tc>
        <w:tc>
          <w:tcPr>
            <w:tcW w:w="500" w:type="dxa"/>
            <w:vAlign w:val="bottom"/>
          </w:tcPr>
          <w:p>
            <w:pPr>
              <w:spacing w:after="0"/>
              <w:rPr>
                <w:sz w:val="24"/>
                <w:szCs w:val="24"/>
                <w:color w:val="auto"/>
              </w:rPr>
            </w:pPr>
          </w:p>
        </w:tc>
      </w:tr>
      <w:tr>
        <w:trPr>
          <w:trHeight w:val="401"/>
        </w:trPr>
        <w:tc>
          <w:tcPr>
            <w:tcW w:w="420" w:type="dxa"/>
            <w:vAlign w:val="bottom"/>
          </w:tcPr>
          <w:p>
            <w:pPr>
              <w:spacing w:after="0"/>
              <w:rPr>
                <w:sz w:val="24"/>
                <w:szCs w:val="24"/>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Commissions for intermediation in virtual platforms</w:t>
            </w:r>
          </w:p>
        </w:tc>
        <w:tc>
          <w:tcPr>
            <w:tcW w:w="1040" w:type="dxa"/>
            <w:vAlign w:val="bottom"/>
          </w:tcPr>
          <w:p>
            <w:pPr>
              <w:jc w:val="right"/>
              <w:spacing w:after="0"/>
              <w:rPr>
                <w:sz w:val="20"/>
                <w:szCs w:val="20"/>
                <w:color w:val="auto"/>
              </w:rPr>
            </w:pPr>
            <w:r>
              <w:rPr>
                <w:rFonts w:ascii="Arial" w:cs="Arial" w:eastAsia="Arial" w:hAnsi="Arial"/>
                <w:sz w:val="17"/>
                <w:szCs w:val="17"/>
                <w:color w:val="auto"/>
              </w:rPr>
              <w:t>35,324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29,983</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10,461</w:t>
            </w:r>
          </w:p>
        </w:tc>
        <w:tc>
          <w:tcPr>
            <w:tcW w:w="500" w:type="dxa"/>
            <w:vAlign w:val="bottom"/>
          </w:tcPr>
          <w:p>
            <w:pPr>
              <w:spacing w:after="0"/>
              <w:rPr>
                <w:sz w:val="24"/>
                <w:szCs w:val="24"/>
                <w:color w:val="auto"/>
              </w:rPr>
            </w:pPr>
          </w:p>
        </w:tc>
      </w:tr>
      <w:tr>
        <w:trPr>
          <w:trHeight w:val="387"/>
        </w:trPr>
        <w:tc>
          <w:tcPr>
            <w:tcW w:w="420" w:type="dxa"/>
            <w:vAlign w:val="bottom"/>
          </w:tcPr>
          <w:p>
            <w:pPr>
              <w:spacing w:after="0"/>
              <w:rPr>
                <w:sz w:val="24"/>
                <w:szCs w:val="24"/>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Penalty commissions</w:t>
            </w:r>
          </w:p>
        </w:tc>
        <w:tc>
          <w:tcPr>
            <w:tcW w:w="1040" w:type="dxa"/>
            <w:vAlign w:val="bottom"/>
          </w:tcPr>
          <w:p>
            <w:pPr>
              <w:jc w:val="right"/>
              <w:spacing w:after="0"/>
              <w:rPr>
                <w:sz w:val="20"/>
                <w:szCs w:val="20"/>
                <w:color w:val="auto"/>
              </w:rPr>
            </w:pPr>
            <w:r>
              <w:rPr>
                <w:rFonts w:ascii="Arial" w:cs="Arial" w:eastAsia="Arial" w:hAnsi="Arial"/>
                <w:sz w:val="17"/>
                <w:szCs w:val="17"/>
                <w:color w:val="auto"/>
              </w:rPr>
              <w:t>3,104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21,420</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53,859</w:t>
            </w:r>
          </w:p>
        </w:tc>
        <w:tc>
          <w:tcPr>
            <w:tcW w:w="50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Others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188,412</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177,024</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141,986</w:t>
            </w:r>
          </w:p>
        </w:tc>
        <w:tc>
          <w:tcPr>
            <w:tcW w:w="500" w:type="dxa"/>
            <w:vAlign w:val="bottom"/>
          </w:tcPr>
          <w:p>
            <w:pPr>
              <w:spacing w:after="0"/>
              <w:rPr>
                <w:sz w:val="16"/>
                <w:szCs w:val="16"/>
                <w:color w:val="auto"/>
              </w:rPr>
            </w:pPr>
          </w:p>
        </w:tc>
      </w:tr>
      <w:tr>
        <w:trPr>
          <w:trHeight w:val="193"/>
        </w:trPr>
        <w:tc>
          <w:tcPr>
            <w:tcW w:w="420" w:type="dxa"/>
            <w:vAlign w:val="bottom"/>
          </w:tcPr>
          <w:p>
            <w:pPr>
              <w:spacing w:after="0"/>
              <w:rPr>
                <w:sz w:val="16"/>
                <w:szCs w:val="16"/>
                <w:color w:val="auto"/>
              </w:rPr>
            </w:pPr>
          </w:p>
        </w:tc>
        <w:tc>
          <w:tcPr>
            <w:tcW w:w="6880" w:type="dxa"/>
            <w:vAlign w:val="bottom"/>
          </w:tcPr>
          <w:p>
            <w:pPr>
              <w:ind w:left="260"/>
              <w:spacing w:after="0" w:line="187" w:lineRule="exact"/>
              <w:rPr>
                <w:sz w:val="20"/>
                <w:szCs w:val="20"/>
                <w:color w:val="auto"/>
              </w:rPr>
            </w:pPr>
            <w:r>
              <w:rPr>
                <w:rFonts w:ascii="Arial" w:cs="Arial" w:eastAsia="Arial" w:hAnsi="Arial"/>
                <w:sz w:val="17"/>
                <w:szCs w:val="17"/>
                <w:b w:val="1"/>
                <w:bCs w:val="1"/>
                <w:color w:val="auto"/>
              </w:rPr>
              <w:t>Total</w:t>
            </w: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3,640,319</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3,493,734</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2,912,778</w:t>
            </w:r>
          </w:p>
        </w:tc>
        <w:tc>
          <w:tcPr>
            <w:tcW w:w="500" w:type="dxa"/>
            <w:vAlign w:val="bottom"/>
          </w:tcPr>
          <w:p>
            <w:pPr>
              <w:spacing w:after="0"/>
              <w:rPr>
                <w:sz w:val="16"/>
                <w:szCs w:val="16"/>
                <w:color w:val="auto"/>
              </w:rPr>
            </w:pPr>
          </w:p>
        </w:tc>
      </w:tr>
      <w:tr>
        <w:trPr>
          <w:trHeight w:val="570"/>
        </w:trPr>
        <w:tc>
          <w:tcPr>
            <w:tcW w:w="420" w:type="dxa"/>
            <w:vAlign w:val="bottom"/>
          </w:tcPr>
          <w:p>
            <w:pPr>
              <w:spacing w:after="0"/>
              <w:rPr>
                <w:sz w:val="24"/>
                <w:szCs w:val="24"/>
                <w:color w:val="auto"/>
              </w:rPr>
            </w:pPr>
          </w:p>
        </w:tc>
        <w:tc>
          <w:tcPr>
            <w:tcW w:w="6880" w:type="dxa"/>
            <w:vAlign w:val="bottom"/>
          </w:tcPr>
          <w:p>
            <w:pPr>
              <w:ind w:left="4940"/>
              <w:spacing w:after="0"/>
              <w:rPr>
                <w:sz w:val="20"/>
                <w:szCs w:val="20"/>
                <w:color w:val="auto"/>
              </w:rPr>
            </w:pPr>
            <w:r>
              <w:rPr>
                <w:rFonts w:ascii="Arial" w:cs="Arial" w:eastAsia="Arial" w:hAnsi="Arial"/>
                <w:sz w:val="17"/>
                <w:szCs w:val="17"/>
                <w:color w:val="auto"/>
              </w:rPr>
              <w:t>- 120 -</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8"/>
        </w:trPr>
        <w:tc>
          <w:tcPr>
            <w:tcW w:w="420" w:type="dxa"/>
            <w:vAlign w:val="bottom"/>
            <w:tcBorders>
              <w:bottom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8" w:right="339" w:bottom="1440" w:gutter="0" w:footer="0" w:header="0"/>
        </w:sectPr>
      </w:pPr>
    </w:p>
    <w:bookmarkStart w:id="125" w:name="page126"/>
    <w:bookmarkEnd w:id="125"/>
    <w:p>
      <w:pPr>
        <w:ind w:left="616" w:right="3740" w:hanging="616"/>
        <w:spacing w:after="0" w:line="518" w:lineRule="auto"/>
        <w:tabs>
          <w:tab w:leader="none" w:pos="616"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GAIN ON SECURITIES </w:t>
      </w:r>
      <w:r>
        <w:rPr>
          <w:rFonts w:ascii="Arial" w:cs="Arial" w:eastAsia="Arial" w:hAnsi="Arial"/>
          <w:sz w:val="17"/>
          <w:szCs w:val="17"/>
          <w:color w:val="auto"/>
        </w:rPr>
        <w:t>This item consists of the following:</w:t>
      </w:r>
    </w:p>
    <w:p>
      <w:pPr>
        <w:spacing w:after="0" w:line="200" w:lineRule="exact"/>
        <w:rPr>
          <w:sz w:val="20"/>
          <w:szCs w:val="20"/>
          <w:color w:val="auto"/>
        </w:rPr>
      </w:pPr>
    </w:p>
    <w:p>
      <w:pPr>
        <w:spacing w:after="0" w:line="349" w:lineRule="exact"/>
        <w:rPr>
          <w:sz w:val="20"/>
          <w:szCs w:val="20"/>
          <w:color w:val="auto"/>
        </w:rPr>
      </w:pPr>
    </w:p>
    <w:p>
      <w:pPr>
        <w:ind w:left="676"/>
        <w:spacing w:after="0"/>
        <w:rPr>
          <w:sz w:val="20"/>
          <w:szCs w:val="20"/>
          <w:color w:val="auto"/>
        </w:rPr>
      </w:pPr>
      <w:r>
        <w:rPr>
          <w:rFonts w:ascii="Arial" w:cs="Arial" w:eastAsia="Arial" w:hAnsi="Arial"/>
          <w:sz w:val="17"/>
          <w:szCs w:val="17"/>
          <w:color w:val="auto"/>
        </w:rPr>
        <w:t>Net gain in associates (i)</w:t>
      </w:r>
    </w:p>
    <w:p>
      <w:pPr>
        <w:ind w:left="676"/>
        <w:spacing w:after="0" w:line="238" w:lineRule="auto"/>
        <w:rPr>
          <w:sz w:val="20"/>
          <w:szCs w:val="20"/>
          <w:color w:val="auto"/>
        </w:rPr>
      </w:pPr>
      <w:r>
        <w:rPr>
          <w:rFonts w:ascii="Arial" w:cs="Arial" w:eastAsia="Arial" w:hAnsi="Arial"/>
          <w:sz w:val="17"/>
          <w:szCs w:val="17"/>
          <w:color w:val="auto"/>
        </w:rPr>
        <w:t>Net gain on investments at fair value with changes in other comprehensive income (ii)</w:t>
      </w:r>
    </w:p>
    <w:p>
      <w:pPr>
        <w:spacing w:after="0" w:line="1" w:lineRule="exact"/>
        <w:rPr>
          <w:sz w:val="20"/>
          <w:szCs w:val="20"/>
          <w:color w:val="auto"/>
        </w:rPr>
      </w:pPr>
    </w:p>
    <w:p>
      <w:pPr>
        <w:ind w:left="676" w:right="360"/>
        <w:spacing w:after="0" w:line="238" w:lineRule="auto"/>
        <w:rPr>
          <w:sz w:val="20"/>
          <w:szCs w:val="20"/>
          <w:color w:val="auto"/>
        </w:rPr>
      </w:pPr>
      <w:r>
        <w:rPr>
          <w:rFonts w:ascii="Arial" w:cs="Arial" w:eastAsia="Arial" w:hAnsi="Arial"/>
          <w:sz w:val="17"/>
          <w:szCs w:val="17"/>
          <w:color w:val="auto"/>
        </w:rPr>
        <w:t>(Provision) recovery of credit loss for investments at fair value with changes in other comprehensive income (iii), note 6(b)</w:t>
      </w:r>
    </w:p>
    <w:p>
      <w:pPr>
        <w:ind w:left="676"/>
        <w:spacing w:after="0"/>
        <w:rPr>
          <w:sz w:val="20"/>
          <w:szCs w:val="20"/>
          <w:color w:val="auto"/>
        </w:rPr>
      </w:pPr>
      <w:r>
        <w:rPr>
          <w:rFonts w:ascii="Arial" w:cs="Arial" w:eastAsia="Arial" w:hAnsi="Arial"/>
          <w:sz w:val="17"/>
          <w:szCs w:val="17"/>
          <w:color w:val="auto"/>
        </w:rPr>
        <w:t>Net (loss) gain on investments at fair value through profit or loss (iv)</w:t>
      </w:r>
    </w:p>
    <w:p>
      <w:pPr>
        <w:ind w:left="676"/>
        <w:spacing w:after="0" w:line="238" w:lineRule="auto"/>
        <w:rPr>
          <w:sz w:val="20"/>
          <w:szCs w:val="20"/>
          <w:color w:val="auto"/>
        </w:rPr>
      </w:pPr>
      <w:r>
        <w:rPr>
          <w:rFonts w:ascii="Arial" w:cs="Arial" w:eastAsia="Arial" w:hAnsi="Arial"/>
          <w:sz w:val="17"/>
          <w:szCs w:val="17"/>
          <w:color w:val="auto"/>
        </w:rPr>
        <w:t>Others</w:t>
      </w:r>
    </w:p>
    <w:p>
      <w:pPr>
        <w:ind w:left="676"/>
        <w:spacing w:after="0"/>
        <w:rPr>
          <w:sz w:val="20"/>
          <w:szCs w:val="20"/>
          <w:color w:val="auto"/>
        </w:rPr>
      </w:pP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18"/>
                <w:szCs w:val="18"/>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8"/>
                <w:szCs w:val="18"/>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2020</w:t>
            </w:r>
          </w:p>
        </w:tc>
      </w:tr>
      <w:tr>
        <w:trPr>
          <w:trHeight w:val="223"/>
        </w:trPr>
        <w:tc>
          <w:tcPr>
            <w:tcW w:w="104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r>
      <w:tr>
        <w:trPr>
          <w:trHeight w:val="366"/>
        </w:trPr>
        <w:tc>
          <w:tcPr>
            <w:tcW w:w="1040" w:type="dxa"/>
            <w:vAlign w:val="bottom"/>
          </w:tcPr>
          <w:p>
            <w:pPr>
              <w:jc w:val="right"/>
              <w:spacing w:after="0"/>
              <w:rPr>
                <w:sz w:val="20"/>
                <w:szCs w:val="20"/>
                <w:color w:val="auto"/>
              </w:rPr>
            </w:pPr>
            <w:r>
              <w:rPr>
                <w:rFonts w:ascii="Arial" w:cs="Arial" w:eastAsia="Arial" w:hAnsi="Arial"/>
                <w:sz w:val="17"/>
                <w:szCs w:val="17"/>
                <w:color w:val="auto"/>
              </w:rPr>
              <w:t>104,461</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74,021</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64,672</w:t>
            </w:r>
          </w:p>
        </w:tc>
      </w:tr>
      <w:tr>
        <w:trPr>
          <w:trHeight w:val="285"/>
        </w:trPr>
        <w:tc>
          <w:tcPr>
            <w:tcW w:w="1040" w:type="dxa"/>
            <w:vAlign w:val="bottom"/>
          </w:tcPr>
          <w:p>
            <w:pPr>
              <w:jc w:val="right"/>
              <w:spacing w:after="0"/>
              <w:rPr>
                <w:sz w:val="20"/>
                <w:szCs w:val="20"/>
                <w:color w:val="auto"/>
              </w:rPr>
            </w:pPr>
            <w:r>
              <w:rPr>
                <w:rFonts w:ascii="Arial" w:cs="Arial" w:eastAsia="Arial" w:hAnsi="Arial"/>
                <w:sz w:val="17"/>
                <w:szCs w:val="17"/>
                <w:color w:val="auto"/>
              </w:rPr>
              <w:t>75,273</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65,976</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291,944</w:t>
            </w:r>
          </w:p>
        </w:tc>
      </w:tr>
      <w:tr>
        <w:trPr>
          <w:trHeight w:val="389"/>
        </w:trPr>
        <w:tc>
          <w:tcPr>
            <w:tcW w:w="1040" w:type="dxa"/>
            <w:vAlign w:val="bottom"/>
          </w:tcPr>
          <w:p>
            <w:pPr>
              <w:jc w:val="right"/>
              <w:spacing w:after="0"/>
              <w:rPr>
                <w:sz w:val="20"/>
                <w:szCs w:val="20"/>
                <w:color w:val="auto"/>
              </w:rPr>
            </w:pPr>
            <w:r>
              <w:rPr>
                <w:rFonts w:ascii="Arial" w:cs="Arial" w:eastAsia="Arial" w:hAnsi="Arial"/>
                <w:sz w:val="17"/>
                <w:szCs w:val="17"/>
                <w:color w:val="auto"/>
              </w:rPr>
              <w:t>(58,260)</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(6,816)</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(52,263)</w:t>
            </w:r>
          </w:p>
        </w:tc>
      </w:tr>
      <w:tr>
        <w:trPr>
          <w:trHeight w:val="284"/>
        </w:trPr>
        <w:tc>
          <w:tcPr>
            <w:tcW w:w="1040" w:type="dxa"/>
            <w:vAlign w:val="bottom"/>
          </w:tcPr>
          <w:p>
            <w:pPr>
              <w:jc w:val="right"/>
              <w:spacing w:after="0"/>
              <w:rPr>
                <w:sz w:val="20"/>
                <w:szCs w:val="20"/>
                <w:color w:val="auto"/>
              </w:rPr>
            </w:pPr>
            <w:r>
              <w:rPr>
                <w:rFonts w:ascii="Arial" w:cs="Arial" w:eastAsia="Arial" w:hAnsi="Arial"/>
                <w:sz w:val="17"/>
                <w:szCs w:val="17"/>
                <w:color w:val="auto"/>
              </w:rPr>
              <w:t>(114,892)</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(102,761)</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221,060</w:t>
            </w:r>
          </w:p>
        </w:tc>
      </w:tr>
      <w:tr>
        <w:trPr>
          <w:trHeight w:val="195"/>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(2,331)</w:t>
            </w:r>
          </w:p>
        </w:tc>
      </w:tr>
      <w:tr>
        <w:trPr>
          <w:trHeight w:val="193"/>
        </w:trPr>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5,468</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28,650</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523,082</w:t>
            </w:r>
          </w:p>
        </w:tc>
      </w:tr>
    </w:tbl>
    <w:p>
      <w:pPr>
        <w:spacing w:after="0" w:line="193" w:lineRule="exact"/>
        <w:rPr>
          <w:sz w:val="20"/>
          <w:szCs w:val="20"/>
          <w:color w:val="auto"/>
        </w:rPr>
      </w:pPr>
    </w:p>
    <w:p>
      <w:pPr>
        <w:sectPr>
          <w:pgSz w:w="11900" w:h="16838" w:orient="portrait"/>
          <w:cols w:equalWidth="0" w:num="2">
            <w:col w:w="6976" w:space="320"/>
            <w:col w:w="3940"/>
          </w:cols>
          <w:pgMar w:left="324" w:top="118" w:right="339" w:bottom="1440" w:gutter="0" w:footer="0" w:header="0"/>
        </w:sectPr>
      </w:pPr>
    </w:p>
    <w:p>
      <w:pPr>
        <w:ind w:left="936" w:hanging="315"/>
        <w:spacing w:after="0" w:line="254" w:lineRule="auto"/>
        <w:tabs>
          <w:tab w:leader="none" w:pos="93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It mainly includes the profit of its associate "Health Provider Entity" for approximately S/73.4 million during the year 2022 (S/54.0 million in the year 2021).</w:t>
      </w:r>
    </w:p>
    <w:p>
      <w:pPr>
        <w:spacing w:after="0" w:line="169" w:lineRule="exact"/>
        <w:rPr>
          <w:rFonts w:ascii="Arial" w:cs="Arial" w:eastAsia="Arial" w:hAnsi="Arial"/>
          <w:sz w:val="17"/>
          <w:szCs w:val="17"/>
          <w:color w:val="auto"/>
        </w:rPr>
      </w:pPr>
    </w:p>
    <w:p>
      <w:pPr>
        <w:ind w:left="936" w:right="480" w:hanging="315"/>
        <w:spacing w:after="0" w:line="254" w:lineRule="auto"/>
        <w:tabs>
          <w:tab w:leader="none" w:pos="93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result of own investments at fair value through other comprehensive income is due to the net effect mainly from the following subsidiaries:</w:t>
      </w:r>
    </w:p>
    <w:p>
      <w:pPr>
        <w:spacing w:after="0" w:line="169" w:lineRule="exact"/>
        <w:rPr>
          <w:rFonts w:ascii="Arial" w:cs="Arial" w:eastAsia="Arial" w:hAnsi="Arial"/>
          <w:sz w:val="17"/>
          <w:szCs w:val="17"/>
          <w:color w:val="auto"/>
        </w:rPr>
      </w:pPr>
    </w:p>
    <w:p>
      <w:pPr>
        <w:ind w:left="1236" w:right="880" w:hanging="304"/>
        <w:spacing w:after="0" w:line="254" w:lineRule="auto"/>
        <w:tabs>
          <w:tab w:leader="none" w:pos="123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Credicorp Capital Colombia S.A. obtained a net profit of approximately S/55.1 million (during the year 2021, net profit of approximately S/51.7 million).</w:t>
      </w:r>
    </w:p>
    <w:p>
      <w:pPr>
        <w:spacing w:after="0" w:line="169" w:lineRule="exact"/>
        <w:rPr>
          <w:rFonts w:ascii="Arial" w:cs="Arial" w:eastAsia="Arial" w:hAnsi="Arial"/>
          <w:sz w:val="17"/>
          <w:szCs w:val="17"/>
          <w:color w:val="auto"/>
        </w:rPr>
      </w:pPr>
    </w:p>
    <w:p>
      <w:pPr>
        <w:ind w:left="1236" w:right="120" w:hanging="304"/>
        <w:spacing w:after="0" w:line="254" w:lineRule="auto"/>
        <w:tabs>
          <w:tab w:leader="none" w:pos="123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Banco de Crédito de Bolivia obtained a net profit of approximately S/17.1 million (during the year 2021, net profit of approximately S/16.6 million).</w:t>
      </w:r>
    </w:p>
    <w:p>
      <w:pPr>
        <w:spacing w:after="0" w:line="169" w:lineRule="exact"/>
        <w:rPr>
          <w:rFonts w:ascii="Arial" w:cs="Arial" w:eastAsia="Arial" w:hAnsi="Arial"/>
          <w:sz w:val="17"/>
          <w:szCs w:val="17"/>
          <w:color w:val="auto"/>
        </w:rPr>
      </w:pPr>
    </w:p>
    <w:p>
      <w:pPr>
        <w:ind w:left="1236" w:right="720" w:hanging="304"/>
        <w:spacing w:after="0" w:line="254" w:lineRule="auto"/>
        <w:tabs>
          <w:tab w:leader="none" w:pos="123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Credibolsa S.A. Agente de Bolsa, obtained a net profit of approximately S/16.5 million (during the year 20201, net profit of approximately S/12.3 million).</w:t>
      </w:r>
    </w:p>
    <w:p>
      <w:pPr>
        <w:spacing w:after="0" w:line="169" w:lineRule="exact"/>
        <w:rPr>
          <w:rFonts w:ascii="Arial" w:cs="Arial" w:eastAsia="Arial" w:hAnsi="Arial"/>
          <w:sz w:val="17"/>
          <w:szCs w:val="17"/>
          <w:color w:val="auto"/>
        </w:rPr>
      </w:pPr>
    </w:p>
    <w:p>
      <w:pPr>
        <w:ind w:left="1236" w:right="640" w:hanging="304"/>
        <w:spacing w:after="0" w:line="254" w:lineRule="auto"/>
        <w:tabs>
          <w:tab w:leader="none" w:pos="123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Credicorp Capital S.A. Corredores de Bolsa obtained a net profit of approximately S/11.0 million (during 2021, a net loss of approximately S/2.8 million).</w:t>
      </w:r>
    </w:p>
    <w:p>
      <w:pPr>
        <w:spacing w:after="0" w:line="169" w:lineRule="exact"/>
        <w:rPr>
          <w:rFonts w:ascii="Arial" w:cs="Arial" w:eastAsia="Arial" w:hAnsi="Arial"/>
          <w:sz w:val="17"/>
          <w:szCs w:val="17"/>
          <w:color w:val="auto"/>
        </w:rPr>
      </w:pPr>
    </w:p>
    <w:p>
      <w:pPr>
        <w:ind w:left="1236" w:right="80" w:hanging="304"/>
        <w:spacing w:after="0" w:line="254" w:lineRule="auto"/>
        <w:tabs>
          <w:tab w:leader="none" w:pos="123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Credicorp Capital SAB obtained a net profit of approximately S/8.8 million (during the year 2021, net profit of approximately S/13.3 million).</w:t>
      </w:r>
    </w:p>
    <w:p>
      <w:pPr>
        <w:spacing w:after="0" w:line="169" w:lineRule="exact"/>
        <w:rPr>
          <w:rFonts w:ascii="Arial" w:cs="Arial" w:eastAsia="Arial" w:hAnsi="Arial"/>
          <w:sz w:val="17"/>
          <w:szCs w:val="17"/>
          <w:color w:val="auto"/>
        </w:rPr>
      </w:pPr>
    </w:p>
    <w:p>
      <w:pPr>
        <w:ind w:left="1236" w:hanging="304"/>
        <w:spacing w:after="0"/>
        <w:tabs>
          <w:tab w:leader="none" w:pos="123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Banco de Crédito del Perú obtained a net profit of approximately S/4.5 million (during 2021, a net loss of approximately S/87.8).</w:t>
      </w:r>
    </w:p>
    <w:p>
      <w:pPr>
        <w:spacing w:after="0" w:line="193" w:lineRule="exact"/>
        <w:rPr>
          <w:rFonts w:ascii="Arial" w:cs="Arial" w:eastAsia="Arial" w:hAnsi="Arial"/>
          <w:sz w:val="17"/>
          <w:szCs w:val="17"/>
          <w:color w:val="auto"/>
        </w:rPr>
      </w:pPr>
    </w:p>
    <w:p>
      <w:pPr>
        <w:ind w:left="1236" w:hanging="304"/>
        <w:spacing w:after="0"/>
        <w:tabs>
          <w:tab w:leader="none" w:pos="123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ASB Bank Corp. obtained a net loss of approximately S/17.6 million (during 2021, net income of approximately S/44.0 million)</w:t>
      </w:r>
    </w:p>
    <w:p>
      <w:pPr>
        <w:spacing w:after="0" w:line="193" w:lineRule="exact"/>
        <w:rPr>
          <w:rFonts w:ascii="Arial" w:cs="Arial" w:eastAsia="Arial" w:hAnsi="Arial"/>
          <w:sz w:val="17"/>
          <w:szCs w:val="17"/>
          <w:color w:val="auto"/>
        </w:rPr>
      </w:pPr>
    </w:p>
    <w:p>
      <w:pPr>
        <w:ind w:left="1236" w:hanging="304"/>
        <w:spacing w:after="0"/>
        <w:tabs>
          <w:tab w:leader="none" w:pos="123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Pacifico obtained a net loss of approximately S/18.2 million (during 2021, net income of approximately S/20.6 million).</w:t>
      </w:r>
    </w:p>
    <w:p>
      <w:pPr>
        <w:spacing w:after="0" w:line="193" w:lineRule="exact"/>
        <w:rPr>
          <w:rFonts w:ascii="Arial" w:cs="Arial" w:eastAsia="Arial" w:hAnsi="Arial"/>
          <w:sz w:val="17"/>
          <w:szCs w:val="17"/>
          <w:color w:val="auto"/>
        </w:rPr>
      </w:pPr>
    </w:p>
    <w:p>
      <w:pPr>
        <w:ind w:left="936" w:right="200" w:hanging="315"/>
        <w:spacing w:after="0" w:line="242" w:lineRule="auto"/>
        <w:tabs>
          <w:tab w:leader="none" w:pos="93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As a result of the evaluation of impairment, during 2022 it mainly comprises the net effect recorded mainly by the following subsidiaries: (i) impairment of S/34.7 million by Pacífico Seguros, (ii) impairment of S/ 16.8 million by ASB Bank Corp., and (iii) impairment of S/7.0 million by Banco de Crédito del Perú. The result during 2021 corresponds to the impairment recorded mainly by the following subsidiaries: (i) impairment of S/11.3 million from Pacífico Seguros, (ii) impairment recovery of S/3.9 million from Banco de Crédito del Perú, and (iii) recovery of impairment of S/0.8 million by Banco de Crédito de Bolivia.</w:t>
      </w:r>
    </w:p>
    <w:p>
      <w:pPr>
        <w:spacing w:after="0" w:line="348" w:lineRule="exact"/>
        <w:rPr>
          <w:rFonts w:ascii="Arial" w:cs="Arial" w:eastAsia="Arial" w:hAnsi="Arial"/>
          <w:sz w:val="17"/>
          <w:szCs w:val="17"/>
          <w:color w:val="auto"/>
        </w:rPr>
      </w:pPr>
    </w:p>
    <w:p>
      <w:pPr>
        <w:ind w:left="5456" w:hanging="107"/>
        <w:spacing w:after="0"/>
        <w:tabs>
          <w:tab w:leader="none" w:pos="5456" w:val="left"/>
        </w:tabs>
        <w:numPr>
          <w:ilvl w:val="2"/>
          <w:numId w:val="134"/>
        </w:numPr>
        <w:rPr>
          <w:rFonts w:ascii="Arial" w:cs="Arial" w:eastAsia="Arial" w:hAnsi="Arial"/>
          <w:sz w:val="17"/>
          <w:szCs w:val="17"/>
          <w:color w:val="auto"/>
        </w:rPr>
      </w:pPr>
      <w:r>
        <w:rPr>
          <w:rFonts w:ascii="Arial" w:cs="Arial" w:eastAsia="Arial" w:hAnsi="Arial"/>
          <w:sz w:val="17"/>
          <w:szCs w:val="17"/>
          <w:color w:val="auto"/>
        </w:rPr>
        <w:t>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803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6"/>
          </w:cols>
          <w:pgMar w:left="324" w:top="118" w:right="339" w:bottom="1440" w:gutter="0" w:footer="0" w:header="0"/>
          <w:type w:val="continuous"/>
        </w:sectPr>
      </w:pPr>
    </w:p>
    <w:bookmarkStart w:id="126" w:name="page127"/>
    <w:bookmarkEnd w:id="126"/>
    <w:p>
      <w:pPr>
        <w:ind w:left="315" w:hanging="315"/>
        <w:spacing w:after="0" w:line="242" w:lineRule="auto"/>
        <w:tabs>
          <w:tab w:leader="none" w:pos="31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result of investments at fair value through profit or loss is mainly due to the net effect of the following subsidiaries: (i) net loss of approximately S/45.8 million by Credicorp Ltd., (ii) net loss of approximately S/30.8 million by Banco de Crédito del Perú and (iii) a net loss of approximately S/28.0 million by Prima AFP S.A. The net effect during 2021 corresponds to a net loss of approximately S/45.9 million by ASB Bank Corp., (ii) a net loss of approximately S/46.9 million by Credicorp Capital Colombia S.A. and (iii) net income of approximately S/17.1 million from Atlantic Security Private Equity General Partner.</w:t>
      </w:r>
    </w:p>
    <w:p>
      <w:pPr>
        <w:spacing w:after="0" w:line="348" w:lineRule="exact"/>
        <w:rPr>
          <w:rFonts w:ascii="Arial" w:cs="Arial" w:eastAsia="Arial" w:hAnsi="Arial"/>
          <w:sz w:val="17"/>
          <w:szCs w:val="17"/>
          <w:color w:val="auto"/>
        </w:rPr>
      </w:pPr>
    </w:p>
    <w:p>
      <w:pPr>
        <w:ind w:left="4835" w:hanging="107"/>
        <w:spacing w:after="0"/>
        <w:tabs>
          <w:tab w:leader="none" w:pos="4835" w:val="left"/>
        </w:tabs>
        <w:numPr>
          <w:ilvl w:val="1"/>
          <w:numId w:val="135"/>
        </w:numPr>
        <w:rPr>
          <w:rFonts w:ascii="Arial" w:cs="Arial" w:eastAsia="Arial" w:hAnsi="Arial"/>
          <w:sz w:val="17"/>
          <w:szCs w:val="17"/>
          <w:color w:val="auto"/>
        </w:rPr>
      </w:pPr>
      <w:r>
        <w:rPr>
          <w:rFonts w:ascii="Arial" w:cs="Arial" w:eastAsia="Arial" w:hAnsi="Arial"/>
          <w:sz w:val="17"/>
          <w:szCs w:val="17"/>
          <w:color w:val="auto"/>
        </w:rPr>
        <w:t>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15"/>
          </w:cols>
          <w:pgMar w:left="945" w:top="333" w:right="439" w:bottom="1440" w:gutter="0" w:footer="0" w:header="0"/>
        </w:sectPr>
      </w:pPr>
    </w:p>
    <w:bookmarkStart w:id="127" w:name="page128"/>
    <w:bookmarkEnd w:id="127"/>
    <w:p>
      <w:pPr>
        <w:ind w:left="620" w:hanging="616"/>
        <w:spacing w:after="0"/>
        <w:tabs>
          <w:tab w:leader="none" w:pos="62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NET PREMIUMS EARNED</w:t>
      </w:r>
    </w:p>
    <w:p>
      <w:pPr>
        <w:spacing w:after="0" w:line="214" w:lineRule="exact"/>
        <w:rPr>
          <w:rFonts w:ascii="Arial" w:cs="Arial" w:eastAsia="Arial" w:hAnsi="Arial"/>
          <w:sz w:val="17"/>
          <w:szCs w:val="17"/>
          <w:b w:val="1"/>
          <w:bCs w:val="1"/>
          <w:color w:val="auto"/>
        </w:rPr>
      </w:pPr>
    </w:p>
    <w:p>
      <w:pPr>
        <w:ind w:left="940" w:hanging="315"/>
        <w:spacing w:after="0"/>
        <w:tabs>
          <w:tab w:leader="none" w:pos="94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This item consists of the following:</w:t>
      </w:r>
    </w:p>
    <w:p>
      <w:pPr>
        <w:spacing w:after="0" w:line="170" w:lineRule="exact"/>
        <w:rPr>
          <w:sz w:val="20"/>
          <w:szCs w:val="20"/>
          <w:color w:val="auto"/>
        </w:rPr>
      </w:pPr>
    </w:p>
    <w:tbl>
      <w:tblPr>
        <w:tblLayout w:type="fixed"/>
        <w:tblInd w:w="4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7"/>
                <w:szCs w:val="17"/>
                <w:b w:val="1"/>
                <w:bCs w:val="1"/>
                <w:color w:val="auto"/>
              </w:rPr>
              <w:t>Results of</w:t>
            </w:r>
          </w:p>
        </w:tc>
        <w:tc>
          <w:tcPr>
            <w:tcW w:w="10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Premiums</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financial</w:t>
            </w:r>
          </w:p>
        </w:tc>
        <w:tc>
          <w:tcPr>
            <w:tcW w:w="10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ceded</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assets</w:t>
            </w:r>
          </w:p>
        </w:tc>
        <w:tc>
          <w:tcPr>
            <w:tcW w:w="10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to</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designated</w:t>
            </w:r>
          </w:p>
        </w:tc>
        <w:tc>
          <w:tcPr>
            <w:tcW w:w="10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Total gross</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reinsurers</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at fair value</w:t>
            </w:r>
          </w:p>
        </w:tc>
        <w:tc>
          <w:tcPr>
            <w:tcW w:w="1020" w:type="dxa"/>
            <w:vAlign w:val="bottom"/>
          </w:tcPr>
          <w:p>
            <w:pPr>
              <w:spacing w:after="0"/>
              <w:rPr>
                <w:sz w:val="16"/>
                <w:szCs w:val="16"/>
                <w:color w:val="auto"/>
              </w:rPr>
            </w:pPr>
          </w:p>
        </w:tc>
      </w:tr>
      <w:tr>
        <w:trPr>
          <w:trHeight w:val="194"/>
        </w:trPr>
        <w:tc>
          <w:tcPr>
            <w:tcW w:w="98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Gross</w:t>
            </w:r>
          </w:p>
        </w:tc>
        <w:tc>
          <w:tcPr>
            <w:tcW w:w="1320" w:type="dxa"/>
            <w:vAlign w:val="bottom"/>
            <w:gridSpan w:val="3"/>
          </w:tcPr>
          <w:p>
            <w:pPr>
              <w:ind w:left="160"/>
              <w:spacing w:after="0" w:line="194" w:lineRule="exact"/>
              <w:rPr>
                <w:sz w:val="20"/>
                <w:szCs w:val="20"/>
                <w:color w:val="auto"/>
              </w:rPr>
            </w:pPr>
            <w:r>
              <w:rPr>
                <w:rFonts w:ascii="Arial" w:cs="Arial" w:eastAsia="Arial" w:hAnsi="Arial"/>
                <w:sz w:val="17"/>
                <w:szCs w:val="17"/>
                <w:b w:val="1"/>
                <w:bCs w:val="1"/>
                <w:color w:val="auto"/>
              </w:rPr>
              <w:t>Technical</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written</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and</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through</w:t>
            </w:r>
          </w:p>
        </w:tc>
        <w:tc>
          <w:tcPr>
            <w:tcW w:w="1020" w:type="dxa"/>
            <w:vAlign w:val="bottom"/>
          </w:tcPr>
          <w:p>
            <w:pPr>
              <w:spacing w:after="0" w:line="194" w:lineRule="exact"/>
              <w:rPr>
                <w:sz w:val="20"/>
                <w:szCs w:val="20"/>
                <w:color w:val="auto"/>
              </w:rPr>
            </w:pPr>
            <w:r>
              <w:rPr>
                <w:rFonts w:ascii="Arial" w:cs="Arial" w:eastAsia="Arial" w:hAnsi="Arial"/>
                <w:sz w:val="17"/>
                <w:szCs w:val="17"/>
                <w:b w:val="1"/>
                <w:bCs w:val="1"/>
                <w:color w:val="auto"/>
              </w:rPr>
              <w:t>Total net</w:t>
            </w:r>
          </w:p>
        </w:tc>
      </w:tr>
      <w:tr>
        <w:trPr>
          <w:trHeight w:val="194"/>
        </w:trPr>
        <w:tc>
          <w:tcPr>
            <w:tcW w:w="98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written</w:t>
            </w:r>
          </w:p>
        </w:tc>
        <w:tc>
          <w:tcPr>
            <w:tcW w:w="1320" w:type="dxa"/>
            <w:vAlign w:val="bottom"/>
            <w:gridSpan w:val="3"/>
          </w:tcPr>
          <w:p>
            <w:pPr>
              <w:ind w:left="160"/>
              <w:spacing w:after="0" w:line="194" w:lineRule="exact"/>
              <w:rPr>
                <w:sz w:val="20"/>
                <w:szCs w:val="20"/>
                <w:color w:val="auto"/>
              </w:rPr>
            </w:pPr>
            <w:r>
              <w:rPr>
                <w:rFonts w:ascii="Arial" w:cs="Arial" w:eastAsia="Arial" w:hAnsi="Arial"/>
                <w:sz w:val="17"/>
                <w:szCs w:val="17"/>
                <w:b w:val="1"/>
                <w:bCs w:val="1"/>
                <w:color w:val="auto"/>
              </w:rPr>
              <w:t>reserve</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premiums</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co-insurers,</w:t>
            </w:r>
          </w:p>
        </w:tc>
        <w:tc>
          <w:tcPr>
            <w:tcW w:w="11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profit and</w:t>
            </w:r>
          </w:p>
        </w:tc>
        <w:tc>
          <w:tcPr>
            <w:tcW w:w="1020" w:type="dxa"/>
            <w:vAlign w:val="bottom"/>
          </w:tcPr>
          <w:p>
            <w:pPr>
              <w:spacing w:after="0" w:line="194" w:lineRule="exact"/>
              <w:rPr>
                <w:sz w:val="20"/>
                <w:szCs w:val="20"/>
                <w:color w:val="auto"/>
              </w:rPr>
            </w:pPr>
            <w:r>
              <w:rPr>
                <w:rFonts w:ascii="Arial" w:cs="Arial" w:eastAsia="Arial" w:hAnsi="Arial"/>
                <w:sz w:val="17"/>
                <w:szCs w:val="17"/>
                <w:b w:val="1"/>
                <w:bCs w:val="1"/>
                <w:color w:val="auto"/>
              </w:rPr>
              <w:t>premiums</w:t>
            </w:r>
          </w:p>
        </w:tc>
      </w:tr>
      <w:tr>
        <w:trPr>
          <w:trHeight w:val="217"/>
        </w:trPr>
        <w:tc>
          <w:tcPr>
            <w:tcW w:w="980" w:type="dxa"/>
            <w:vAlign w:val="bottom"/>
            <w:gridSpan w:val="2"/>
          </w:tcPr>
          <w:p>
            <w:pPr>
              <w:spacing w:after="0"/>
              <w:rPr>
                <w:sz w:val="20"/>
                <w:szCs w:val="20"/>
                <w:color w:val="auto"/>
              </w:rPr>
            </w:pPr>
            <w:r>
              <w:rPr>
                <w:rFonts w:ascii="Arial" w:cs="Arial" w:eastAsia="Arial" w:hAnsi="Arial"/>
                <w:sz w:val="17"/>
                <w:szCs w:val="17"/>
                <w:b w:val="1"/>
                <w:bCs w:val="1"/>
                <w:color w:val="auto"/>
              </w:rPr>
              <w:t>premiums</w:t>
            </w:r>
          </w:p>
        </w:tc>
        <w:tc>
          <w:tcPr>
            <w:tcW w:w="1320" w:type="dxa"/>
            <w:vAlign w:val="bottom"/>
            <w:gridSpan w:val="3"/>
          </w:tcPr>
          <w:p>
            <w:pPr>
              <w:ind w:left="160"/>
              <w:spacing w:after="0"/>
              <w:rPr>
                <w:sz w:val="20"/>
                <w:szCs w:val="20"/>
                <w:color w:val="auto"/>
              </w:rPr>
            </w:pPr>
            <w:r>
              <w:rPr>
                <w:rFonts w:ascii="Arial" w:cs="Arial" w:eastAsia="Arial" w:hAnsi="Arial"/>
                <w:sz w:val="17"/>
                <w:szCs w:val="17"/>
                <w:b w:val="1"/>
                <w:bCs w:val="1"/>
                <w:color w:val="auto"/>
              </w:rPr>
              <w:t>adjustment</w:t>
            </w:r>
          </w:p>
        </w:tc>
        <w:tc>
          <w:tcPr>
            <w:tcW w:w="1000" w:type="dxa"/>
            <w:vAlign w:val="bottom"/>
          </w:tcPr>
          <w:p>
            <w:pP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7"/>
                <w:szCs w:val="17"/>
                <w:b w:val="1"/>
                <w:bCs w:val="1"/>
                <w:color w:val="auto"/>
              </w:rPr>
              <w:t>net (**)</w:t>
            </w:r>
          </w:p>
        </w:tc>
        <w:tc>
          <w:tcPr>
            <w:tcW w:w="1160" w:type="dxa"/>
            <w:vAlign w:val="bottom"/>
            <w:gridSpan w:val="2"/>
          </w:tcPr>
          <w:p>
            <w:pPr>
              <w:spacing w:after="0"/>
              <w:rPr>
                <w:sz w:val="20"/>
                <w:szCs w:val="20"/>
                <w:color w:val="auto"/>
              </w:rPr>
            </w:pPr>
            <w:r>
              <w:rPr>
                <w:rFonts w:ascii="Arial" w:cs="Arial" w:eastAsia="Arial" w:hAnsi="Arial"/>
                <w:sz w:val="17"/>
                <w:szCs w:val="17"/>
                <w:b w:val="1"/>
                <w:bCs w:val="1"/>
                <w:color w:val="auto"/>
              </w:rPr>
              <w:t>loss, Note 8</w:t>
            </w:r>
          </w:p>
        </w:tc>
        <w:tc>
          <w:tcPr>
            <w:tcW w:w="1020" w:type="dxa"/>
            <w:vAlign w:val="bottom"/>
          </w:tcPr>
          <w:p>
            <w:pPr>
              <w:spacing w:after="0"/>
              <w:rPr>
                <w:sz w:val="20"/>
                <w:szCs w:val="20"/>
                <w:color w:val="auto"/>
              </w:rPr>
            </w:pPr>
            <w:r>
              <w:rPr>
                <w:rFonts w:ascii="Arial" w:cs="Arial" w:eastAsia="Arial" w:hAnsi="Arial"/>
                <w:sz w:val="17"/>
                <w:szCs w:val="17"/>
                <w:b w:val="1"/>
                <w:bCs w:val="1"/>
                <w:color w:val="auto"/>
              </w:rPr>
              <w:t>earned</w:t>
            </w:r>
          </w:p>
        </w:tc>
      </w:tr>
      <w:tr>
        <w:trPr>
          <w:trHeight w:val="186"/>
        </w:trPr>
        <w:tc>
          <w:tcPr>
            <w:tcW w:w="20" w:type="dxa"/>
            <w:vAlign w:val="bottom"/>
          </w:tcPr>
          <w:p>
            <w:pPr>
              <w:spacing w:after="0"/>
              <w:rPr>
                <w:sz w:val="16"/>
                <w:szCs w:val="16"/>
                <w:color w:val="auto"/>
              </w:rPr>
            </w:pPr>
          </w:p>
        </w:tc>
        <w:tc>
          <w:tcPr>
            <w:tcW w:w="96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6"/>
                <w:szCs w:val="16"/>
                <w:color w:val="auto"/>
              </w:rPr>
            </w:pPr>
          </w:p>
        </w:tc>
        <w:tc>
          <w:tcPr>
            <w:tcW w:w="100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6"/>
                <w:szCs w:val="16"/>
                <w:color w:val="auto"/>
              </w:rPr>
            </w:pPr>
          </w:p>
        </w:tc>
        <w:tc>
          <w:tcPr>
            <w:tcW w:w="100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r>
    </w:tbl>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94"/>
        </w:trPr>
        <w:tc>
          <w:tcPr>
            <w:tcW w:w="3280" w:type="dxa"/>
            <w:vAlign w:val="bottom"/>
          </w:tcPr>
          <w:p>
            <w:pPr>
              <w:spacing w:after="0" w:line="194" w:lineRule="exact"/>
              <w:rPr>
                <w:sz w:val="20"/>
                <w:szCs w:val="20"/>
                <w:color w:val="auto"/>
              </w:rPr>
            </w:pPr>
            <w:r>
              <w:rPr>
                <w:rFonts w:ascii="Arial" w:cs="Arial" w:eastAsia="Arial" w:hAnsi="Arial"/>
                <w:sz w:val="17"/>
                <w:szCs w:val="17"/>
                <w:b w:val="1"/>
                <w:bCs w:val="1"/>
                <w:color w:val="auto"/>
              </w:rPr>
              <w:t>2022</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3280" w:type="dxa"/>
            <w:vAlign w:val="bottom"/>
          </w:tcPr>
          <w:p>
            <w:pPr>
              <w:spacing w:after="0" w:line="194" w:lineRule="exact"/>
              <w:rPr>
                <w:sz w:val="20"/>
                <w:szCs w:val="20"/>
                <w:color w:val="auto"/>
              </w:rPr>
            </w:pPr>
            <w:r>
              <w:rPr>
                <w:rFonts w:ascii="Arial" w:cs="Arial" w:eastAsia="Arial" w:hAnsi="Arial"/>
                <w:sz w:val="17"/>
                <w:szCs w:val="17"/>
                <w:color w:val="auto"/>
              </w:rPr>
              <w:t>Life insurance</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2,614,643</w:t>
            </w:r>
          </w:p>
        </w:tc>
        <w:tc>
          <w:tcPr>
            <w:tcW w:w="1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(598,027)</w:t>
            </w:r>
          </w:p>
        </w:tc>
        <w:tc>
          <w:tcPr>
            <w:tcW w:w="14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2,016,616</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(252,940)</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(175,873)</w:t>
            </w:r>
          </w:p>
        </w:tc>
        <w:tc>
          <w:tcPr>
            <w:tcW w:w="1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1,587,803</w:t>
            </w:r>
          </w:p>
        </w:tc>
      </w:tr>
      <w:tr>
        <w:trPr>
          <w:trHeight w:val="194"/>
        </w:trPr>
        <w:tc>
          <w:tcPr>
            <w:tcW w:w="3280" w:type="dxa"/>
            <w:vAlign w:val="bottom"/>
          </w:tcPr>
          <w:p>
            <w:pPr>
              <w:spacing w:after="0" w:line="194" w:lineRule="exact"/>
              <w:rPr>
                <w:sz w:val="20"/>
                <w:szCs w:val="20"/>
                <w:color w:val="auto"/>
              </w:rPr>
            </w:pPr>
            <w:r>
              <w:rPr>
                <w:rFonts w:ascii="Arial" w:cs="Arial" w:eastAsia="Arial" w:hAnsi="Arial"/>
                <w:sz w:val="17"/>
                <w:szCs w:val="17"/>
                <w:color w:val="auto"/>
              </w:rPr>
              <w:t>Health insurance</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668,902</w:t>
            </w:r>
          </w:p>
        </w:tc>
        <w:tc>
          <w:tcPr>
            <w:tcW w:w="1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(30,885)</w:t>
            </w:r>
          </w:p>
        </w:tc>
        <w:tc>
          <w:tcPr>
            <w:tcW w:w="14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638,017</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(14,263)</w:t>
            </w:r>
          </w:p>
        </w:tc>
        <w:tc>
          <w:tcPr>
            <w:tcW w:w="160" w:type="dxa"/>
            <w:vAlign w:val="bottom"/>
          </w:tcPr>
          <w:p>
            <w:pPr>
              <w:spacing w:after="0"/>
              <w:rPr>
                <w:sz w:val="16"/>
                <w:szCs w:val="16"/>
                <w:color w:val="auto"/>
              </w:rPr>
            </w:pPr>
          </w:p>
        </w:tc>
        <w:tc>
          <w:tcPr>
            <w:tcW w:w="11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623,754</w:t>
            </w:r>
          </w:p>
        </w:tc>
      </w:tr>
      <w:tr>
        <w:trPr>
          <w:trHeight w:val="195"/>
        </w:trPr>
        <w:tc>
          <w:tcPr>
            <w:tcW w:w="3280" w:type="dxa"/>
            <w:vAlign w:val="bottom"/>
          </w:tcPr>
          <w:p>
            <w:pPr>
              <w:spacing w:after="0"/>
              <w:rPr>
                <w:sz w:val="20"/>
                <w:szCs w:val="20"/>
                <w:color w:val="auto"/>
              </w:rPr>
            </w:pPr>
            <w:r>
              <w:rPr>
                <w:rFonts w:ascii="Arial" w:cs="Arial" w:eastAsia="Arial" w:hAnsi="Arial"/>
                <w:sz w:val="17"/>
                <w:szCs w:val="17"/>
                <w:color w:val="auto"/>
              </w:rPr>
              <w:t>General insurance</w:t>
            </w:r>
          </w:p>
        </w:tc>
        <w:tc>
          <w:tcPr>
            <w:tcW w:w="980" w:type="dxa"/>
            <w:vAlign w:val="bottom"/>
          </w:tcPr>
          <w:p>
            <w:pPr>
              <w:jc w:val="right"/>
              <w:spacing w:after="0"/>
              <w:rPr>
                <w:sz w:val="20"/>
                <w:szCs w:val="20"/>
                <w:color w:val="auto"/>
              </w:rPr>
            </w:pPr>
            <w:r>
              <w:rPr>
                <w:rFonts w:ascii="Arial" w:cs="Arial" w:eastAsia="Arial" w:hAnsi="Arial"/>
                <w:sz w:val="17"/>
                <w:szCs w:val="17"/>
                <w:color w:val="auto"/>
              </w:rPr>
              <w:t>1,199,655</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(6,144)</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1,193,511</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(531,773)</w:t>
            </w: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661,738</w:t>
            </w:r>
          </w:p>
        </w:tc>
      </w:tr>
      <w:tr>
        <w:trPr>
          <w:trHeight w:val="193"/>
        </w:trPr>
        <w:tc>
          <w:tcPr>
            <w:tcW w:w="328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9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4,483,200</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(635,056)</w:t>
            </w:r>
          </w:p>
        </w:tc>
        <w:tc>
          <w:tcPr>
            <w:tcW w:w="14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3,848,144</w:t>
            </w:r>
          </w:p>
        </w:tc>
        <w:tc>
          <w:tcPr>
            <w:tcW w:w="1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(798,976)</w:t>
            </w:r>
          </w:p>
        </w:tc>
        <w:tc>
          <w:tcPr>
            <w:tcW w:w="1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(175,873)</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2,873,295</w:t>
            </w:r>
          </w:p>
        </w:tc>
      </w:tr>
      <w:tr>
        <w:trPr>
          <w:trHeight w:val="582"/>
        </w:trPr>
        <w:tc>
          <w:tcPr>
            <w:tcW w:w="328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3280" w:type="dxa"/>
            <w:vAlign w:val="bottom"/>
          </w:tcPr>
          <w:p>
            <w:pPr>
              <w:spacing w:after="0" w:line="194" w:lineRule="exact"/>
              <w:rPr>
                <w:sz w:val="20"/>
                <w:szCs w:val="20"/>
                <w:color w:val="auto"/>
              </w:rPr>
            </w:pPr>
            <w:r>
              <w:rPr>
                <w:rFonts w:ascii="Arial" w:cs="Arial" w:eastAsia="Arial" w:hAnsi="Arial"/>
                <w:sz w:val="17"/>
                <w:szCs w:val="17"/>
                <w:color w:val="auto"/>
              </w:rPr>
              <w:t>Life insurance</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2,508,154</w:t>
            </w:r>
          </w:p>
        </w:tc>
        <w:tc>
          <w:tcPr>
            <w:tcW w:w="1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(890,216)</w:t>
            </w:r>
          </w:p>
        </w:tc>
        <w:tc>
          <w:tcPr>
            <w:tcW w:w="14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1,617,938</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(214,636)</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54,663</w:t>
            </w:r>
          </w:p>
        </w:tc>
        <w:tc>
          <w:tcPr>
            <w:tcW w:w="1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1,457,965</w:t>
            </w:r>
          </w:p>
        </w:tc>
      </w:tr>
      <w:tr>
        <w:trPr>
          <w:trHeight w:val="194"/>
        </w:trPr>
        <w:tc>
          <w:tcPr>
            <w:tcW w:w="3280" w:type="dxa"/>
            <w:vAlign w:val="bottom"/>
          </w:tcPr>
          <w:p>
            <w:pPr>
              <w:spacing w:after="0" w:line="194" w:lineRule="exact"/>
              <w:rPr>
                <w:sz w:val="20"/>
                <w:szCs w:val="20"/>
                <w:color w:val="auto"/>
              </w:rPr>
            </w:pPr>
            <w:r>
              <w:rPr>
                <w:rFonts w:ascii="Arial" w:cs="Arial" w:eastAsia="Arial" w:hAnsi="Arial"/>
                <w:sz w:val="17"/>
                <w:szCs w:val="17"/>
                <w:color w:val="auto"/>
              </w:rPr>
              <w:t>Health insurance</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630,790</w:t>
            </w:r>
          </w:p>
        </w:tc>
        <w:tc>
          <w:tcPr>
            <w:tcW w:w="1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(30,457)</w:t>
            </w:r>
          </w:p>
        </w:tc>
        <w:tc>
          <w:tcPr>
            <w:tcW w:w="14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600,333</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(15,078)</w:t>
            </w:r>
          </w:p>
        </w:tc>
        <w:tc>
          <w:tcPr>
            <w:tcW w:w="160" w:type="dxa"/>
            <w:vAlign w:val="bottom"/>
          </w:tcPr>
          <w:p>
            <w:pPr>
              <w:spacing w:after="0"/>
              <w:rPr>
                <w:sz w:val="16"/>
                <w:szCs w:val="16"/>
                <w:color w:val="auto"/>
              </w:rPr>
            </w:pPr>
          </w:p>
        </w:tc>
        <w:tc>
          <w:tcPr>
            <w:tcW w:w="11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585,255</w:t>
            </w:r>
          </w:p>
        </w:tc>
      </w:tr>
      <w:tr>
        <w:trPr>
          <w:trHeight w:val="195"/>
        </w:trPr>
        <w:tc>
          <w:tcPr>
            <w:tcW w:w="3280" w:type="dxa"/>
            <w:vAlign w:val="bottom"/>
          </w:tcPr>
          <w:p>
            <w:pPr>
              <w:spacing w:after="0"/>
              <w:rPr>
                <w:sz w:val="20"/>
                <w:szCs w:val="20"/>
                <w:color w:val="auto"/>
              </w:rPr>
            </w:pPr>
            <w:r>
              <w:rPr>
                <w:rFonts w:ascii="Arial" w:cs="Arial" w:eastAsia="Arial" w:hAnsi="Arial"/>
                <w:sz w:val="17"/>
                <w:szCs w:val="17"/>
                <w:color w:val="auto"/>
              </w:rPr>
              <w:t>General insurance</w:t>
            </w:r>
          </w:p>
        </w:tc>
        <w:tc>
          <w:tcPr>
            <w:tcW w:w="980" w:type="dxa"/>
            <w:vAlign w:val="bottom"/>
          </w:tcPr>
          <w:p>
            <w:pPr>
              <w:jc w:val="right"/>
              <w:spacing w:after="0"/>
              <w:rPr>
                <w:sz w:val="20"/>
                <w:szCs w:val="20"/>
                <w:color w:val="auto"/>
              </w:rPr>
            </w:pPr>
            <w:r>
              <w:rPr>
                <w:rFonts w:ascii="Arial" w:cs="Arial" w:eastAsia="Arial" w:hAnsi="Arial"/>
                <w:sz w:val="17"/>
                <w:szCs w:val="17"/>
                <w:color w:val="auto"/>
              </w:rPr>
              <w:t>1,140,478</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(3,176)</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1,137,302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(508,992)</w:t>
            </w: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628,310</w:t>
            </w:r>
          </w:p>
        </w:tc>
      </w:tr>
      <w:tr>
        <w:trPr>
          <w:trHeight w:val="193"/>
        </w:trPr>
        <w:tc>
          <w:tcPr>
            <w:tcW w:w="328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9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4,279,422</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(923,849)</w:t>
            </w:r>
          </w:p>
        </w:tc>
        <w:tc>
          <w:tcPr>
            <w:tcW w:w="14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3,355,573</w:t>
            </w:r>
          </w:p>
        </w:tc>
        <w:tc>
          <w:tcPr>
            <w:tcW w:w="1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(738,706)</w:t>
            </w:r>
          </w:p>
        </w:tc>
        <w:tc>
          <w:tcPr>
            <w:tcW w:w="1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54,663</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2,671,530</w:t>
            </w:r>
          </w:p>
        </w:tc>
      </w:tr>
      <w:tr>
        <w:trPr>
          <w:trHeight w:val="582"/>
        </w:trPr>
        <w:tc>
          <w:tcPr>
            <w:tcW w:w="3280" w:type="dxa"/>
            <w:vAlign w:val="bottom"/>
          </w:tcPr>
          <w:p>
            <w:pPr>
              <w:spacing w:after="0"/>
              <w:rPr>
                <w:sz w:val="20"/>
                <w:szCs w:val="20"/>
                <w:color w:val="auto"/>
              </w:rPr>
            </w:pPr>
            <w:r>
              <w:rPr>
                <w:rFonts w:ascii="Arial" w:cs="Arial" w:eastAsia="Arial" w:hAnsi="Arial"/>
                <w:sz w:val="17"/>
                <w:szCs w:val="17"/>
                <w:b w:val="1"/>
                <w:bCs w:val="1"/>
                <w:color w:val="auto"/>
              </w:rPr>
              <w:t>2020</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3280" w:type="dxa"/>
            <w:vAlign w:val="bottom"/>
          </w:tcPr>
          <w:p>
            <w:pPr>
              <w:spacing w:after="0" w:line="194" w:lineRule="exact"/>
              <w:rPr>
                <w:sz w:val="20"/>
                <w:szCs w:val="20"/>
                <w:color w:val="auto"/>
              </w:rPr>
            </w:pPr>
            <w:r>
              <w:rPr>
                <w:rFonts w:ascii="Arial" w:cs="Arial" w:eastAsia="Arial" w:hAnsi="Arial"/>
                <w:sz w:val="17"/>
                <w:szCs w:val="17"/>
                <w:color w:val="auto"/>
              </w:rPr>
              <w:t>Life insurance</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2,036,713</w:t>
            </w:r>
          </w:p>
        </w:tc>
        <w:tc>
          <w:tcPr>
            <w:tcW w:w="1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(754,480)</w:t>
            </w:r>
          </w:p>
        </w:tc>
        <w:tc>
          <w:tcPr>
            <w:tcW w:w="14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1,282,233</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(115,347)</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115,627</w:t>
            </w:r>
          </w:p>
        </w:tc>
        <w:tc>
          <w:tcPr>
            <w:tcW w:w="1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1,282,513</w:t>
            </w:r>
          </w:p>
        </w:tc>
      </w:tr>
      <w:tr>
        <w:trPr>
          <w:trHeight w:val="194"/>
        </w:trPr>
        <w:tc>
          <w:tcPr>
            <w:tcW w:w="3280" w:type="dxa"/>
            <w:vAlign w:val="bottom"/>
          </w:tcPr>
          <w:p>
            <w:pPr>
              <w:spacing w:after="0" w:line="194" w:lineRule="exact"/>
              <w:rPr>
                <w:sz w:val="20"/>
                <w:szCs w:val="20"/>
                <w:color w:val="auto"/>
              </w:rPr>
            </w:pPr>
            <w:r>
              <w:rPr>
                <w:rFonts w:ascii="Arial" w:cs="Arial" w:eastAsia="Arial" w:hAnsi="Arial"/>
                <w:sz w:val="17"/>
                <w:szCs w:val="17"/>
                <w:color w:val="auto"/>
              </w:rPr>
              <w:t>Health insurance</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584,068</w:t>
            </w:r>
          </w:p>
        </w:tc>
        <w:tc>
          <w:tcPr>
            <w:tcW w:w="1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(22,366)</w:t>
            </w:r>
          </w:p>
        </w:tc>
        <w:tc>
          <w:tcPr>
            <w:tcW w:w="14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561,702</w:t>
            </w:r>
          </w:p>
        </w:tc>
        <w:tc>
          <w:tcPr>
            <w:tcW w:w="1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(12,309)</w:t>
            </w:r>
          </w:p>
        </w:tc>
        <w:tc>
          <w:tcPr>
            <w:tcW w:w="160" w:type="dxa"/>
            <w:vAlign w:val="bottom"/>
          </w:tcPr>
          <w:p>
            <w:pPr>
              <w:spacing w:after="0"/>
              <w:rPr>
                <w:sz w:val="16"/>
                <w:szCs w:val="16"/>
                <w:color w:val="auto"/>
              </w:rPr>
            </w:pPr>
          </w:p>
        </w:tc>
        <w:tc>
          <w:tcPr>
            <w:tcW w:w="11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549,393</w:t>
            </w:r>
          </w:p>
        </w:tc>
      </w:tr>
      <w:tr>
        <w:trPr>
          <w:trHeight w:val="195"/>
        </w:trPr>
        <w:tc>
          <w:tcPr>
            <w:tcW w:w="3280" w:type="dxa"/>
            <w:vAlign w:val="bottom"/>
          </w:tcPr>
          <w:p>
            <w:pPr>
              <w:spacing w:after="0"/>
              <w:rPr>
                <w:sz w:val="20"/>
                <w:szCs w:val="20"/>
                <w:color w:val="auto"/>
              </w:rPr>
            </w:pPr>
            <w:r>
              <w:rPr>
                <w:rFonts w:ascii="Arial" w:cs="Arial" w:eastAsia="Arial" w:hAnsi="Arial"/>
                <w:sz w:val="17"/>
                <w:szCs w:val="17"/>
                <w:color w:val="auto"/>
              </w:rPr>
              <w:t>General insurance</w:t>
            </w:r>
          </w:p>
        </w:tc>
        <w:tc>
          <w:tcPr>
            <w:tcW w:w="980" w:type="dxa"/>
            <w:vAlign w:val="bottom"/>
          </w:tcPr>
          <w:p>
            <w:pPr>
              <w:jc w:val="right"/>
              <w:spacing w:after="0"/>
              <w:rPr>
                <w:sz w:val="20"/>
                <w:szCs w:val="20"/>
                <w:color w:val="auto"/>
              </w:rPr>
            </w:pPr>
            <w:r>
              <w:rPr>
                <w:rFonts w:ascii="Arial" w:cs="Arial" w:eastAsia="Arial" w:hAnsi="Arial"/>
                <w:sz w:val="17"/>
                <w:szCs w:val="17"/>
                <w:color w:val="auto"/>
              </w:rPr>
              <w:t>1,021,136</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(4,614)</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1,016,522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(420,368)</w:t>
            </w: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596,154</w:t>
            </w:r>
          </w:p>
        </w:tc>
      </w:tr>
      <w:tr>
        <w:trPr>
          <w:trHeight w:val="193"/>
        </w:trPr>
        <w:tc>
          <w:tcPr>
            <w:tcW w:w="328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9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3,641,917</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(781,460)</w:t>
            </w:r>
          </w:p>
        </w:tc>
        <w:tc>
          <w:tcPr>
            <w:tcW w:w="14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2,860,457</w:t>
            </w:r>
          </w:p>
        </w:tc>
        <w:tc>
          <w:tcPr>
            <w:tcW w:w="1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(548,024)</w:t>
            </w:r>
          </w:p>
        </w:tc>
        <w:tc>
          <w:tcPr>
            <w:tcW w:w="1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115,627</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2,428,060</w:t>
            </w:r>
          </w:p>
        </w:tc>
      </w:tr>
    </w:tbl>
    <w:p>
      <w:pPr>
        <w:spacing w:after="0" w:line="388" w:lineRule="exact"/>
        <w:rPr>
          <w:sz w:val="20"/>
          <w:szCs w:val="20"/>
          <w:color w:val="auto"/>
        </w:rPr>
      </w:pPr>
    </w:p>
    <w:p>
      <w:pPr>
        <w:ind w:left="940" w:right="660" w:hanging="4"/>
        <w:spacing w:after="0" w:line="463" w:lineRule="auto"/>
        <w:tabs>
          <w:tab w:leader="none" w:pos="125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This item includes earned premiums, reinsurance premiums accepted, and coinsurance premiums accepted and received. (**) “Premiums ceded to reinsurers and coinsurers, net” include: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8"/>
                <w:szCs w:val="18"/>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2020</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vMerge w:val="restart"/>
          </w:tcPr>
          <w:p>
            <w:pPr>
              <w:ind w:left="1300"/>
              <w:spacing w:after="0"/>
              <w:rPr>
                <w:sz w:val="20"/>
                <w:szCs w:val="20"/>
                <w:color w:val="auto"/>
              </w:rPr>
            </w:pPr>
            <w:r>
              <w:rPr>
                <w:rFonts w:ascii="Arial" w:cs="Arial" w:eastAsia="Arial" w:hAnsi="Arial"/>
                <w:sz w:val="17"/>
                <w:szCs w:val="17"/>
                <w:color w:val="auto"/>
              </w:rPr>
              <w:t>Premiums ceded for automatic contracts</w:t>
            </w:r>
          </w:p>
        </w:tc>
        <w:tc>
          <w:tcPr>
            <w:tcW w:w="86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1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100" w:type="dxa"/>
            <w:vAlign w:val="bottom"/>
          </w:tcPr>
          <w:p>
            <w:pPr>
              <w:ind w:left="1300"/>
              <w:spacing w:after="0" w:line="194" w:lineRule="exact"/>
              <w:rPr>
                <w:sz w:val="20"/>
                <w:szCs w:val="20"/>
                <w:color w:val="auto"/>
              </w:rPr>
            </w:pPr>
            <w:r>
              <w:rPr>
                <w:rFonts w:ascii="Arial" w:cs="Arial" w:eastAsia="Arial" w:hAnsi="Arial"/>
                <w:sz w:val="17"/>
                <w:szCs w:val="17"/>
                <w:color w:val="auto"/>
              </w:rPr>
              <w:t>(mainly excess of loss), Note 9(b)</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(392,123)</w:t>
            </w:r>
          </w:p>
        </w:tc>
        <w:tc>
          <w:tcPr>
            <w:tcW w:w="16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(355,356)</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(244,112)</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00" w:type="dxa"/>
            <w:vAlign w:val="bottom"/>
          </w:tcPr>
          <w:p>
            <w:pPr>
              <w:ind w:left="1300"/>
              <w:spacing w:after="0" w:line="194" w:lineRule="exact"/>
              <w:rPr>
                <w:sz w:val="20"/>
                <w:szCs w:val="20"/>
                <w:color w:val="auto"/>
              </w:rPr>
            </w:pPr>
            <w:r>
              <w:rPr>
                <w:rFonts w:ascii="Arial" w:cs="Arial" w:eastAsia="Arial" w:hAnsi="Arial"/>
                <w:sz w:val="17"/>
                <w:szCs w:val="17"/>
                <w:color w:val="auto"/>
              </w:rPr>
              <w:t>Premiums ceded for facultative contracts, Note</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00" w:type="dxa"/>
            <w:vAlign w:val="bottom"/>
          </w:tcPr>
          <w:p>
            <w:pPr>
              <w:ind w:left="1300"/>
              <w:spacing w:after="0" w:line="194" w:lineRule="exact"/>
              <w:rPr>
                <w:sz w:val="20"/>
                <w:szCs w:val="20"/>
                <w:color w:val="auto"/>
              </w:rPr>
            </w:pPr>
            <w:r>
              <w:rPr>
                <w:rFonts w:ascii="Arial" w:cs="Arial" w:eastAsia="Arial" w:hAnsi="Arial"/>
                <w:sz w:val="17"/>
                <w:szCs w:val="17"/>
                <w:color w:val="auto"/>
              </w:rPr>
              <w:t>9(b)</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(399,482)</w:t>
            </w:r>
          </w:p>
        </w:tc>
        <w:tc>
          <w:tcPr>
            <w:tcW w:w="16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(392,346)</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(327,098)</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00" w:type="dxa"/>
            <w:vAlign w:val="bottom"/>
          </w:tcPr>
          <w:p>
            <w:pPr>
              <w:ind w:left="1300"/>
              <w:spacing w:after="0" w:line="194" w:lineRule="exact"/>
              <w:rPr>
                <w:sz w:val="20"/>
                <w:szCs w:val="20"/>
                <w:color w:val="auto"/>
              </w:rPr>
            </w:pPr>
            <w:r>
              <w:rPr>
                <w:rFonts w:ascii="Arial" w:cs="Arial" w:eastAsia="Arial" w:hAnsi="Arial"/>
                <w:sz w:val="17"/>
                <w:szCs w:val="17"/>
                <w:color w:val="auto"/>
              </w:rPr>
              <w:t>Annual variation of reserve risk in progress of</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1300"/>
              <w:spacing w:after="0"/>
              <w:rPr>
                <w:sz w:val="20"/>
                <w:szCs w:val="20"/>
                <w:color w:val="auto"/>
              </w:rPr>
            </w:pPr>
            <w:r>
              <w:rPr>
                <w:rFonts w:ascii="Arial" w:cs="Arial" w:eastAsia="Arial" w:hAnsi="Arial"/>
                <w:sz w:val="17"/>
                <w:szCs w:val="17"/>
                <w:color w:val="auto"/>
              </w:rPr>
              <w:t>premiums ceded, Note 9(b)</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(7,371)</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8,996</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23,186</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(798,976)</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(738,706)</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(548,024)</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0"/>
        </w:trPr>
        <w:tc>
          <w:tcPr>
            <w:tcW w:w="51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- 123 -</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28" w:name="page129"/>
    <w:bookmarkEnd w:id="128"/>
    <w:p>
      <w:pPr>
        <w:spacing w:after="0"/>
        <w:tabs>
          <w:tab w:leader="none" w:pos="300" w:val="left"/>
        </w:tabs>
        <w:rPr>
          <w:sz w:val="20"/>
          <w:szCs w:val="20"/>
          <w:color w:val="auto"/>
        </w:rPr>
      </w:pPr>
      <w:r>
        <w:rPr>
          <w:rFonts w:ascii="Arial" w:cs="Arial" w:eastAsia="Arial" w:hAnsi="Arial"/>
          <w:sz w:val="17"/>
          <w:szCs w:val="17"/>
          <w:color w:val="auto"/>
        </w:rPr>
        <w:t>b)</w:t>
        <w:tab/>
        <w:t>Gross written premiums by insurance type are described below:</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23"/>
        </w:trPr>
        <w:tc>
          <w:tcPr>
            <w:tcW w:w="382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880" w:type="dxa"/>
            <w:vAlign w:val="bottom"/>
          </w:tcPr>
          <w:p>
            <w:pPr>
              <w:jc w:val="right"/>
              <w:ind w:right="574"/>
              <w:spacing w:after="0"/>
              <w:rPr>
                <w:sz w:val="20"/>
                <w:szCs w:val="20"/>
                <w:color w:val="auto"/>
              </w:rPr>
            </w:pPr>
            <w:r>
              <w:rPr>
                <w:rFonts w:ascii="Arial" w:cs="Arial" w:eastAsia="Arial" w:hAnsi="Arial"/>
                <w:sz w:val="17"/>
                <w:szCs w:val="17"/>
                <w:b w:val="1"/>
                <w:bCs w:val="1"/>
                <w:color w:val="auto"/>
              </w:rPr>
              <w:t>%</w:t>
            </w:r>
          </w:p>
        </w:tc>
      </w:tr>
      <w:tr>
        <w:trPr>
          <w:trHeight w:val="352"/>
        </w:trPr>
        <w:tc>
          <w:tcPr>
            <w:tcW w:w="3820" w:type="dxa"/>
            <w:vAlign w:val="bottom"/>
          </w:tcPr>
          <w:p>
            <w:pPr>
              <w:spacing w:after="0"/>
              <w:rPr>
                <w:sz w:val="20"/>
                <w:szCs w:val="20"/>
                <w:color w:val="auto"/>
              </w:rPr>
            </w:pPr>
            <w:r>
              <w:rPr>
                <w:rFonts w:ascii="Arial" w:cs="Arial" w:eastAsia="Arial" w:hAnsi="Arial"/>
                <w:sz w:val="17"/>
                <w:szCs w:val="17"/>
                <w:color w:val="auto"/>
              </w:rPr>
              <w:t>Life insurance (i)</w:t>
            </w:r>
          </w:p>
        </w:tc>
        <w:tc>
          <w:tcPr>
            <w:tcW w:w="880" w:type="dxa"/>
            <w:vAlign w:val="bottom"/>
          </w:tcPr>
          <w:p>
            <w:pPr>
              <w:jc w:val="right"/>
              <w:spacing w:after="0"/>
              <w:rPr>
                <w:sz w:val="20"/>
                <w:szCs w:val="20"/>
                <w:color w:val="auto"/>
              </w:rPr>
            </w:pPr>
            <w:r>
              <w:rPr>
                <w:rFonts w:ascii="Arial" w:cs="Arial" w:eastAsia="Arial" w:hAnsi="Arial"/>
                <w:sz w:val="17"/>
                <w:szCs w:val="17"/>
                <w:color w:val="auto"/>
              </w:rPr>
              <w:t>2,016,616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52.40</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1,617,938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48.22</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1,282,233</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44.83</w:t>
            </w:r>
          </w:p>
        </w:tc>
      </w:tr>
      <w:tr>
        <w:trPr>
          <w:trHeight w:val="194"/>
        </w:trPr>
        <w:tc>
          <w:tcPr>
            <w:tcW w:w="3820" w:type="dxa"/>
            <w:vAlign w:val="bottom"/>
          </w:tcPr>
          <w:p>
            <w:pPr>
              <w:spacing w:after="0" w:line="194" w:lineRule="exact"/>
              <w:rPr>
                <w:sz w:val="20"/>
                <w:szCs w:val="20"/>
                <w:color w:val="auto"/>
              </w:rPr>
            </w:pPr>
            <w:r>
              <w:rPr>
                <w:rFonts w:ascii="Arial" w:cs="Arial" w:eastAsia="Arial" w:hAnsi="Arial"/>
                <w:sz w:val="17"/>
                <w:szCs w:val="17"/>
                <w:color w:val="auto"/>
              </w:rPr>
              <w:t>Health insurance (ii)</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638,017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16.58</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600,333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17.89</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561,702</w:t>
            </w:r>
          </w:p>
        </w:tc>
        <w:tc>
          <w:tcPr>
            <w:tcW w:w="14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19.64</w:t>
            </w:r>
          </w:p>
        </w:tc>
      </w:tr>
      <w:tr>
        <w:trPr>
          <w:trHeight w:val="195"/>
        </w:trPr>
        <w:tc>
          <w:tcPr>
            <w:tcW w:w="3820" w:type="dxa"/>
            <w:vAlign w:val="bottom"/>
          </w:tcPr>
          <w:p>
            <w:pPr>
              <w:spacing w:after="0"/>
              <w:rPr>
                <w:sz w:val="20"/>
                <w:szCs w:val="20"/>
                <w:color w:val="auto"/>
              </w:rPr>
            </w:pPr>
            <w:r>
              <w:rPr>
                <w:rFonts w:ascii="Arial" w:cs="Arial" w:eastAsia="Arial" w:hAnsi="Arial"/>
                <w:sz w:val="17"/>
                <w:szCs w:val="17"/>
                <w:color w:val="auto"/>
              </w:rPr>
              <w:t>General insurance (iii)</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1,193,511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1,137,302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33.89</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1,016,522</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35.53</w:t>
            </w:r>
          </w:p>
        </w:tc>
      </w:tr>
      <w:tr>
        <w:trPr>
          <w:trHeight w:val="193"/>
        </w:trPr>
        <w:tc>
          <w:tcPr>
            <w:tcW w:w="382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3,848,144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100.00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3,355,573</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100.00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2,860,457</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100.00</w:t>
            </w:r>
          </w:p>
        </w:tc>
      </w:tr>
    </w:tbl>
    <w:p>
      <w:pPr>
        <w:spacing w:after="0" w:line="193"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7"/>
          <w:szCs w:val="17"/>
          <w:color w:val="auto"/>
        </w:rPr>
        <w:t>(i)</w:t>
        <w:tab/>
        <w:t>The breakdown of life insurance gross written premiums is as follows:</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23"/>
        </w:trPr>
        <w:tc>
          <w:tcPr>
            <w:tcW w:w="356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860" w:type="dxa"/>
            <w:vAlign w:val="bottom"/>
          </w:tcPr>
          <w:p>
            <w:pPr>
              <w:jc w:val="right"/>
              <w:ind w:right="554"/>
              <w:spacing w:after="0"/>
              <w:rPr>
                <w:sz w:val="20"/>
                <w:szCs w:val="20"/>
                <w:color w:val="auto"/>
              </w:rPr>
            </w:pPr>
            <w:r>
              <w:rPr>
                <w:rFonts w:ascii="Arial" w:cs="Arial" w:eastAsia="Arial" w:hAnsi="Arial"/>
                <w:sz w:val="17"/>
                <w:szCs w:val="17"/>
                <w:b w:val="1"/>
                <w:bCs w:val="1"/>
                <w:color w:val="auto"/>
              </w:rPr>
              <w:t>%</w:t>
            </w:r>
          </w:p>
        </w:tc>
      </w:tr>
      <w:tr>
        <w:trPr>
          <w:trHeight w:val="352"/>
        </w:trPr>
        <w:tc>
          <w:tcPr>
            <w:tcW w:w="3560" w:type="dxa"/>
            <w:vAlign w:val="bottom"/>
          </w:tcPr>
          <w:p>
            <w:pPr>
              <w:spacing w:after="0"/>
              <w:rPr>
                <w:sz w:val="20"/>
                <w:szCs w:val="20"/>
                <w:color w:val="auto"/>
              </w:rPr>
            </w:pPr>
            <w:r>
              <w:rPr>
                <w:rFonts w:ascii="Arial" w:cs="Arial" w:eastAsia="Arial" w:hAnsi="Arial"/>
                <w:sz w:val="17"/>
                <w:szCs w:val="17"/>
                <w:color w:val="auto"/>
              </w:rPr>
              <w:t>Disability and survival (*)</w:t>
            </w:r>
          </w:p>
        </w:tc>
        <w:tc>
          <w:tcPr>
            <w:tcW w:w="880" w:type="dxa"/>
            <w:vAlign w:val="bottom"/>
          </w:tcPr>
          <w:p>
            <w:pPr>
              <w:jc w:val="right"/>
              <w:spacing w:after="0"/>
              <w:rPr>
                <w:sz w:val="20"/>
                <w:szCs w:val="20"/>
                <w:color w:val="auto"/>
              </w:rPr>
            </w:pPr>
            <w:r>
              <w:rPr>
                <w:rFonts w:ascii="Arial" w:cs="Arial" w:eastAsia="Arial" w:hAnsi="Arial"/>
                <w:sz w:val="17"/>
                <w:szCs w:val="17"/>
                <w:color w:val="auto"/>
              </w:rPr>
              <w:t>778,661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38.61</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645,194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39.88</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458,653</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35.77</w:t>
            </w: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Credit life</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660,696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32.76</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593,370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36.67</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582,064</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45.39</w:t>
            </w: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Individual life (**)</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323,881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16.06</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119,220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7.37</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46,391</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3.62</w:t>
            </w: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Group life</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165,651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8.21</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150,777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9.32</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129,315</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10.09</w:t>
            </w:r>
          </w:p>
        </w:tc>
      </w:tr>
      <w:tr>
        <w:trPr>
          <w:trHeight w:val="195"/>
        </w:trPr>
        <w:tc>
          <w:tcPr>
            <w:tcW w:w="3560" w:type="dxa"/>
            <w:vAlign w:val="bottom"/>
          </w:tcPr>
          <w:p>
            <w:pPr>
              <w:spacing w:after="0"/>
              <w:rPr>
                <w:sz w:val="20"/>
                <w:szCs w:val="20"/>
                <w:color w:val="auto"/>
              </w:rPr>
            </w:pPr>
            <w:r>
              <w:rPr>
                <w:rFonts w:ascii="Arial" w:cs="Arial" w:eastAsia="Arial" w:hAnsi="Arial"/>
                <w:sz w:val="17"/>
                <w:szCs w:val="17"/>
                <w:color w:val="auto"/>
              </w:rPr>
              <w:t>Annuities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87,727</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109,377</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65,810</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r>
      <w:tr>
        <w:trPr>
          <w:trHeight w:val="193"/>
        </w:trPr>
        <w:tc>
          <w:tcPr>
            <w:tcW w:w="356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2,016,616</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100.00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1,617,938</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100.00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1,282,233</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100.00</w:t>
            </w:r>
          </w:p>
        </w:tc>
      </w:tr>
    </w:tbl>
    <w:p>
      <w:pPr>
        <w:spacing w:after="0" w:line="193" w:lineRule="exact"/>
        <w:rPr>
          <w:sz w:val="20"/>
          <w:szCs w:val="20"/>
          <w:color w:val="auto"/>
        </w:rPr>
      </w:pPr>
    </w:p>
    <w:p>
      <w:pPr>
        <w:ind w:left="620" w:right="2520" w:firstLine="7"/>
        <w:spacing w:after="0" w:line="477" w:lineRule="auto"/>
        <w:tabs>
          <w:tab w:leader="none" w:pos="931"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This item includes Complementary Work Risk Insurance (“SCTR” from its Spanish acronym). (**) Individual life insurance premiums include Investment Link insurance contracts.</w:t>
      </w:r>
    </w:p>
    <w:p>
      <w:pPr>
        <w:ind w:left="620" w:right="40" w:hanging="304"/>
        <w:spacing w:after="0" w:line="243" w:lineRule="auto"/>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Health insurance gross written premiums after adjustments include medical assistance which amounts to S/ 552.8 million as of December 31, 2022 (S/ 519.8 million and S/ 483.1 million as of December 31, 2021 and 2020, respectively) and represents 86.65 percent of this line of business as of December 31, 2022 (86.59 and 86.01 percent as of December 31, 2021 and 2020, respectively).</w:t>
      </w:r>
    </w:p>
    <w:p>
      <w:pPr>
        <w:spacing w:after="0" w:line="179" w:lineRule="exact"/>
        <w:rPr>
          <w:rFonts w:ascii="Arial" w:cs="Arial" w:eastAsia="Arial" w:hAnsi="Arial"/>
          <w:sz w:val="17"/>
          <w:szCs w:val="17"/>
          <w:color w:val="auto"/>
        </w:rPr>
      </w:pPr>
    </w:p>
    <w:p>
      <w:pPr>
        <w:ind w:left="620" w:hanging="304"/>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General insurance gross written premiums consist of the following:</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217"/>
        </w:trPr>
        <w:tc>
          <w:tcPr>
            <w:tcW w:w="3580" w:type="dxa"/>
            <w:vAlign w:val="bottom"/>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23"/>
        </w:trPr>
        <w:tc>
          <w:tcPr>
            <w:tcW w:w="358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860" w:type="dxa"/>
            <w:vAlign w:val="bottom"/>
          </w:tcPr>
          <w:p>
            <w:pPr>
              <w:jc w:val="right"/>
              <w:ind w:right="554"/>
              <w:spacing w:after="0"/>
              <w:rPr>
                <w:sz w:val="20"/>
                <w:szCs w:val="20"/>
                <w:color w:val="auto"/>
              </w:rPr>
            </w:pPr>
            <w:r>
              <w:rPr>
                <w:rFonts w:ascii="Arial" w:cs="Arial" w:eastAsia="Arial" w:hAnsi="Arial"/>
                <w:sz w:val="17"/>
                <w:szCs w:val="17"/>
                <w:b w:val="1"/>
                <w:bCs w:val="1"/>
                <w:color w:val="auto"/>
              </w:rPr>
              <w:t>%</w:t>
            </w:r>
          </w:p>
        </w:tc>
      </w:tr>
      <w:tr>
        <w:trPr>
          <w:trHeight w:val="352"/>
        </w:trPr>
        <w:tc>
          <w:tcPr>
            <w:tcW w:w="3580" w:type="dxa"/>
            <w:vAlign w:val="bottom"/>
          </w:tcPr>
          <w:p>
            <w:pPr>
              <w:spacing w:after="0"/>
              <w:rPr>
                <w:sz w:val="20"/>
                <w:szCs w:val="20"/>
                <w:color w:val="auto"/>
              </w:rPr>
            </w:pPr>
            <w:r>
              <w:rPr>
                <w:rFonts w:ascii="Arial" w:cs="Arial" w:eastAsia="Arial" w:hAnsi="Arial"/>
                <w:sz w:val="17"/>
                <w:szCs w:val="17"/>
                <w:color w:val="auto"/>
              </w:rPr>
              <w:t>Automobile</w:t>
            </w:r>
          </w:p>
        </w:tc>
        <w:tc>
          <w:tcPr>
            <w:tcW w:w="880" w:type="dxa"/>
            <w:vAlign w:val="bottom"/>
          </w:tcPr>
          <w:p>
            <w:pPr>
              <w:jc w:val="right"/>
              <w:spacing w:after="0"/>
              <w:rPr>
                <w:sz w:val="20"/>
                <w:szCs w:val="20"/>
                <w:color w:val="auto"/>
              </w:rPr>
            </w:pPr>
            <w:r>
              <w:rPr>
                <w:rFonts w:ascii="Arial" w:cs="Arial" w:eastAsia="Arial" w:hAnsi="Arial"/>
                <w:sz w:val="17"/>
                <w:szCs w:val="17"/>
                <w:color w:val="auto"/>
              </w:rPr>
              <w:t>335,401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28.10</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334,939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29.45</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339,306</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33.38</w:t>
            </w:r>
          </w:p>
        </w:tc>
      </w:tr>
      <w:tr>
        <w:trPr>
          <w:trHeight w:val="194"/>
        </w:trPr>
        <w:tc>
          <w:tcPr>
            <w:tcW w:w="3580" w:type="dxa"/>
            <w:vAlign w:val="bottom"/>
          </w:tcPr>
          <w:p>
            <w:pPr>
              <w:spacing w:after="0" w:line="194" w:lineRule="exact"/>
              <w:rPr>
                <w:sz w:val="20"/>
                <w:szCs w:val="20"/>
                <w:color w:val="auto"/>
              </w:rPr>
            </w:pPr>
            <w:r>
              <w:rPr>
                <w:rFonts w:ascii="Arial" w:cs="Arial" w:eastAsia="Arial" w:hAnsi="Arial"/>
                <w:sz w:val="17"/>
                <w:szCs w:val="17"/>
                <w:color w:val="auto"/>
              </w:rPr>
              <w:t>Fire and allied lines</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324,351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27.18</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311,048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27.35</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271,380</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26.70</w:t>
            </w:r>
          </w:p>
        </w:tc>
      </w:tr>
      <w:tr>
        <w:trPr>
          <w:trHeight w:val="194"/>
        </w:trPr>
        <w:tc>
          <w:tcPr>
            <w:tcW w:w="3580" w:type="dxa"/>
            <w:vAlign w:val="bottom"/>
          </w:tcPr>
          <w:p>
            <w:pPr>
              <w:spacing w:after="0" w:line="194" w:lineRule="exact"/>
              <w:rPr>
                <w:sz w:val="20"/>
                <w:szCs w:val="20"/>
                <w:color w:val="auto"/>
              </w:rPr>
            </w:pPr>
            <w:r>
              <w:rPr>
                <w:rFonts w:ascii="Arial" w:cs="Arial" w:eastAsia="Arial" w:hAnsi="Arial"/>
                <w:sz w:val="17"/>
                <w:szCs w:val="17"/>
                <w:color w:val="auto"/>
              </w:rPr>
              <w:t>Theft and robbery</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132,138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11.07</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110,815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9.74</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88,751</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8.73</w:t>
            </w:r>
          </w:p>
        </w:tc>
      </w:tr>
      <w:tr>
        <w:trPr>
          <w:trHeight w:val="194"/>
        </w:trPr>
        <w:tc>
          <w:tcPr>
            <w:tcW w:w="3580" w:type="dxa"/>
            <w:vAlign w:val="bottom"/>
          </w:tcPr>
          <w:p>
            <w:pPr>
              <w:spacing w:after="0" w:line="194" w:lineRule="exact"/>
              <w:rPr>
                <w:sz w:val="20"/>
                <w:szCs w:val="20"/>
                <w:color w:val="auto"/>
              </w:rPr>
            </w:pPr>
            <w:r>
              <w:rPr>
                <w:rFonts w:ascii="Arial" w:cs="Arial" w:eastAsia="Arial" w:hAnsi="Arial"/>
                <w:sz w:val="17"/>
                <w:szCs w:val="17"/>
                <w:color w:val="auto"/>
              </w:rPr>
              <w:t>Third party liability</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124,983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10.47</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109,907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9.66</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62,080</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6.11</w:t>
            </w:r>
          </w:p>
        </w:tc>
      </w:tr>
      <w:tr>
        <w:trPr>
          <w:trHeight w:val="194"/>
        </w:trPr>
        <w:tc>
          <w:tcPr>
            <w:tcW w:w="3580" w:type="dxa"/>
            <w:vAlign w:val="bottom"/>
          </w:tcPr>
          <w:p>
            <w:pPr>
              <w:spacing w:after="0" w:line="194" w:lineRule="exact"/>
              <w:rPr>
                <w:sz w:val="20"/>
                <w:szCs w:val="20"/>
                <w:color w:val="auto"/>
              </w:rPr>
            </w:pPr>
            <w:r>
              <w:rPr>
                <w:rFonts w:ascii="Arial" w:cs="Arial" w:eastAsia="Arial" w:hAnsi="Arial"/>
                <w:sz w:val="17"/>
                <w:szCs w:val="17"/>
                <w:color w:val="auto"/>
              </w:rPr>
              <w:t>Transport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74,237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6.22</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58,300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5.13</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42,758</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4.21</w:t>
            </w:r>
          </w:p>
        </w:tc>
      </w:tr>
      <w:tr>
        <w:trPr>
          <w:trHeight w:val="194"/>
        </w:trPr>
        <w:tc>
          <w:tcPr>
            <w:tcW w:w="3580" w:type="dxa"/>
            <w:vAlign w:val="bottom"/>
          </w:tcPr>
          <w:p>
            <w:pPr>
              <w:spacing w:after="0" w:line="194" w:lineRule="exact"/>
              <w:rPr>
                <w:sz w:val="20"/>
                <w:szCs w:val="20"/>
                <w:color w:val="auto"/>
              </w:rPr>
            </w:pPr>
            <w:r>
              <w:rPr>
                <w:rFonts w:ascii="Arial" w:cs="Arial" w:eastAsia="Arial" w:hAnsi="Arial"/>
                <w:sz w:val="17"/>
                <w:szCs w:val="17"/>
                <w:color w:val="auto"/>
              </w:rPr>
              <w:t>Technical lines (*)</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68,611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5.75</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63,792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5.61</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59,370</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5.84</w:t>
            </w:r>
          </w:p>
        </w:tc>
      </w:tr>
      <w:tr>
        <w:trPr>
          <w:trHeight w:val="194"/>
        </w:trPr>
        <w:tc>
          <w:tcPr>
            <w:tcW w:w="3580" w:type="dxa"/>
            <w:vAlign w:val="bottom"/>
          </w:tcPr>
          <w:p>
            <w:pPr>
              <w:spacing w:after="0" w:line="194" w:lineRule="exact"/>
              <w:rPr>
                <w:sz w:val="20"/>
                <w:szCs w:val="20"/>
                <w:color w:val="auto"/>
              </w:rPr>
            </w:pPr>
            <w:r>
              <w:rPr>
                <w:rFonts w:ascii="Arial" w:cs="Arial" w:eastAsia="Arial" w:hAnsi="Arial"/>
                <w:sz w:val="17"/>
                <w:szCs w:val="17"/>
                <w:color w:val="auto"/>
              </w:rPr>
              <w:t>Marine Hull</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35,104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2.94</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29,414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2.59</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23,091</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2.27</w:t>
            </w:r>
          </w:p>
        </w:tc>
      </w:tr>
      <w:tr>
        <w:trPr>
          <w:trHeight w:val="194"/>
        </w:trPr>
        <w:tc>
          <w:tcPr>
            <w:tcW w:w="3580" w:type="dxa"/>
            <w:vAlign w:val="bottom"/>
          </w:tcPr>
          <w:p>
            <w:pPr>
              <w:spacing w:after="0" w:line="194" w:lineRule="exact"/>
              <w:rPr>
                <w:sz w:val="20"/>
                <w:szCs w:val="20"/>
                <w:color w:val="auto"/>
              </w:rPr>
            </w:pPr>
            <w:r>
              <w:rPr>
                <w:rFonts w:ascii="Arial" w:cs="Arial" w:eastAsia="Arial" w:hAnsi="Arial"/>
                <w:sz w:val="17"/>
                <w:szCs w:val="17"/>
                <w:color w:val="auto"/>
              </w:rPr>
              <w:t>SOAT (Mandatory automobile line)</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25,334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2.12</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25,662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2.26</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32,934</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3.24</w:t>
            </w:r>
          </w:p>
        </w:tc>
      </w:tr>
      <w:tr>
        <w:trPr>
          <w:trHeight w:val="194"/>
        </w:trPr>
        <w:tc>
          <w:tcPr>
            <w:tcW w:w="3580" w:type="dxa"/>
            <w:vAlign w:val="bottom"/>
          </w:tcPr>
          <w:p>
            <w:pPr>
              <w:spacing w:after="0" w:line="194" w:lineRule="exact"/>
              <w:rPr>
                <w:sz w:val="20"/>
                <w:szCs w:val="20"/>
                <w:color w:val="auto"/>
              </w:rPr>
            </w:pPr>
            <w:r>
              <w:rPr>
                <w:rFonts w:ascii="Arial" w:cs="Arial" w:eastAsia="Arial" w:hAnsi="Arial"/>
                <w:sz w:val="17"/>
                <w:szCs w:val="17"/>
                <w:color w:val="auto"/>
              </w:rPr>
              <w:t>Aviation</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16,551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1.39</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38,275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3.37</w:t>
            </w:r>
          </w:p>
        </w:tc>
        <w:tc>
          <w:tcPr>
            <w:tcW w:w="1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37,366</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3.68</w:t>
            </w:r>
          </w:p>
        </w:tc>
      </w:tr>
      <w:tr>
        <w:trPr>
          <w:trHeight w:val="195"/>
        </w:trPr>
        <w:tc>
          <w:tcPr>
            <w:tcW w:w="3580" w:type="dxa"/>
            <w:vAlign w:val="bottom"/>
          </w:tcPr>
          <w:p>
            <w:pPr>
              <w:spacing w:after="0"/>
              <w:rPr>
                <w:sz w:val="20"/>
                <w:szCs w:val="20"/>
                <w:color w:val="auto"/>
              </w:rPr>
            </w:pPr>
            <w:r>
              <w:rPr>
                <w:rFonts w:ascii="Arial" w:cs="Arial" w:eastAsia="Arial" w:hAnsi="Arial"/>
                <w:sz w:val="17"/>
                <w:szCs w:val="17"/>
                <w:color w:val="auto"/>
              </w:rPr>
              <w:t>Others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56,801</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55,150</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59,486</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w:t>
            </w:r>
          </w:p>
        </w:tc>
      </w:tr>
      <w:tr>
        <w:trPr>
          <w:trHeight w:val="193"/>
        </w:trPr>
        <w:tc>
          <w:tcPr>
            <w:tcW w:w="358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1,193,511</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99"/>
              </w:rPr>
              <w:t>100.00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1,137,302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99"/>
              </w:rPr>
              <w:t>100.00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1,016,522</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100.00</w:t>
            </w:r>
          </w:p>
        </w:tc>
      </w:tr>
    </w:tbl>
    <w:p>
      <w:pPr>
        <w:spacing w:after="0" w:line="193" w:lineRule="exact"/>
        <w:rPr>
          <w:sz w:val="20"/>
          <w:szCs w:val="20"/>
          <w:color w:val="auto"/>
        </w:rPr>
      </w:pPr>
    </w:p>
    <w:p>
      <w:pPr>
        <w:ind w:left="940" w:hanging="313"/>
        <w:spacing w:after="0" w:line="254" w:lineRule="auto"/>
        <w:tabs>
          <w:tab w:leader="none" w:pos="9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Technical lines include Contractor’s All Risk (CAR), Machinery breakdown, All Risk (EAR), Electronic equipment (EE), All Risk Contractor’s Equipment (ARCE).</w:t>
      </w:r>
    </w:p>
    <w:p>
      <w:pPr>
        <w:spacing w:after="0" w:line="337" w:lineRule="exact"/>
        <w:rPr>
          <w:rFonts w:ascii="Arial" w:cs="Arial" w:eastAsia="Arial" w:hAnsi="Arial"/>
          <w:sz w:val="17"/>
          <w:szCs w:val="17"/>
          <w:color w:val="auto"/>
        </w:rPr>
      </w:pPr>
    </w:p>
    <w:p>
      <w:pPr>
        <w:ind w:left="4840" w:hanging="107"/>
        <w:spacing w:after="0"/>
        <w:tabs>
          <w:tab w:leader="none" w:pos="484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40640</wp:posOffset>
            </wp:positionV>
            <wp:extent cx="713803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40"/>
          </w:cols>
          <w:pgMar w:left="940" w:top="140" w:right="419" w:bottom="1440" w:gutter="0" w:footer="0" w:header="0"/>
        </w:sectPr>
      </w:pPr>
    </w:p>
    <w:bookmarkStart w:id="129" w:name="page130"/>
    <w:bookmarkEnd w:id="129"/>
    <w:p>
      <w:pPr>
        <w:ind w:left="620" w:right="3460" w:hanging="616"/>
        <w:spacing w:after="0" w:line="476" w:lineRule="auto"/>
        <w:tabs>
          <w:tab w:leader="none" w:pos="62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CLAIMS INCURRED FOR LIFE, GENERAL AND HEALTH INSURANCE CONTRACTS </w:t>
      </w:r>
      <w:r>
        <w:rPr>
          <w:rFonts w:ascii="Arial" w:cs="Arial" w:eastAsia="Arial" w:hAnsi="Arial"/>
          <w:sz w:val="17"/>
          <w:szCs w:val="17"/>
          <w:color w:val="auto"/>
        </w:rPr>
        <w:t>This item consists of the following:</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164"/>
        </w:trPr>
        <w:tc>
          <w:tcPr>
            <w:tcW w:w="3900" w:type="dxa"/>
            <w:vAlign w:val="bottom"/>
          </w:tcPr>
          <w:p>
            <w:pPr>
              <w:spacing w:after="0"/>
              <w:rPr>
                <w:sz w:val="14"/>
                <w:szCs w:val="14"/>
                <w:color w:val="auto"/>
              </w:rPr>
            </w:pPr>
          </w:p>
        </w:tc>
        <w:tc>
          <w:tcPr>
            <w:tcW w:w="1600" w:type="dxa"/>
            <w:vAlign w:val="bottom"/>
            <w:gridSpan w:val="3"/>
          </w:tcPr>
          <w:p>
            <w:pPr>
              <w:spacing w:after="0" w:line="164" w:lineRule="exact"/>
              <w:rPr>
                <w:sz w:val="20"/>
                <w:szCs w:val="20"/>
                <w:color w:val="auto"/>
              </w:rPr>
            </w:pPr>
            <w:r>
              <w:rPr>
                <w:rFonts w:ascii="Arial" w:cs="Arial" w:eastAsia="Arial" w:hAnsi="Arial"/>
                <w:sz w:val="17"/>
                <w:szCs w:val="17"/>
                <w:b w:val="1"/>
                <w:bCs w:val="1"/>
                <w:color w:val="auto"/>
              </w:rPr>
              <w:t>Life</w:t>
            </w:r>
          </w:p>
        </w:tc>
        <w:tc>
          <w:tcPr>
            <w:tcW w:w="160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General</w:t>
            </w:r>
          </w:p>
        </w:tc>
        <w:tc>
          <w:tcPr>
            <w:tcW w:w="160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Health</w:t>
            </w:r>
          </w:p>
        </w:tc>
        <w:tc>
          <w:tcPr>
            <w:tcW w:w="1420" w:type="dxa"/>
            <w:vAlign w:val="bottom"/>
          </w:tcPr>
          <w:p>
            <w:pPr>
              <w:spacing w:after="0"/>
              <w:rPr>
                <w:sz w:val="14"/>
                <w:szCs w:val="14"/>
                <w:color w:val="auto"/>
              </w:rPr>
            </w:pPr>
          </w:p>
        </w:tc>
      </w:tr>
      <w:tr>
        <w:trPr>
          <w:trHeight w:val="217"/>
        </w:trPr>
        <w:tc>
          <w:tcPr>
            <w:tcW w:w="39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7"/>
                <w:szCs w:val="17"/>
                <w:b w:val="1"/>
                <w:bCs w:val="1"/>
                <w:color w:val="auto"/>
              </w:rPr>
              <w:t>insurance</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insurance</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insurance</w:t>
            </w:r>
          </w:p>
        </w:tc>
        <w:tc>
          <w:tcPr>
            <w:tcW w:w="1420" w:type="dxa"/>
            <w:vAlign w:val="bottom"/>
          </w:tcPr>
          <w:p>
            <w:pPr>
              <w:spacing w:after="0"/>
              <w:rPr>
                <w:sz w:val="20"/>
                <w:szCs w:val="20"/>
                <w:color w:val="auto"/>
              </w:rPr>
            </w:pPr>
            <w:r>
              <w:rPr>
                <w:rFonts w:ascii="Arial" w:cs="Arial" w:eastAsia="Arial" w:hAnsi="Arial"/>
                <w:sz w:val="17"/>
                <w:szCs w:val="17"/>
                <w:b w:val="1"/>
                <w:bCs w:val="1"/>
                <w:color w:val="auto"/>
              </w:rPr>
              <w:t>Total</w:t>
            </w:r>
          </w:p>
        </w:tc>
      </w:tr>
      <w:tr>
        <w:trPr>
          <w:trHeight w:val="186"/>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6"/>
                <w:szCs w:val="16"/>
                <w:color w:val="auto"/>
              </w:rPr>
            </w:pPr>
          </w:p>
        </w:tc>
        <w:tc>
          <w:tcPr>
            <w:tcW w:w="140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6"/>
                <w:szCs w:val="16"/>
                <w:color w:val="auto"/>
              </w:rPr>
            </w:pPr>
          </w:p>
        </w:tc>
        <w:tc>
          <w:tcPr>
            <w:tcW w:w="142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6"/>
                <w:szCs w:val="16"/>
                <w:color w:val="auto"/>
              </w:rPr>
            </w:pPr>
          </w:p>
        </w:tc>
        <w:tc>
          <w:tcPr>
            <w:tcW w:w="142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r>
      <w:tr>
        <w:trPr>
          <w:trHeight w:val="194"/>
        </w:trPr>
        <w:tc>
          <w:tcPr>
            <w:tcW w:w="3900" w:type="dxa"/>
            <w:vAlign w:val="bottom"/>
          </w:tcPr>
          <w:p>
            <w:pPr>
              <w:spacing w:after="0" w:line="194" w:lineRule="exact"/>
              <w:rPr>
                <w:sz w:val="20"/>
                <w:szCs w:val="20"/>
                <w:color w:val="auto"/>
              </w:rPr>
            </w:pPr>
            <w:r>
              <w:rPr>
                <w:rFonts w:ascii="Arial" w:cs="Arial" w:eastAsia="Arial" w:hAnsi="Arial"/>
                <w:sz w:val="17"/>
                <w:szCs w:val="17"/>
                <w:color w:val="auto"/>
              </w:rPr>
              <w:t>Gross claims, Note 16(b)</w:t>
            </w:r>
          </w:p>
        </w:tc>
        <w:tc>
          <w:tcPr>
            <w:tcW w:w="14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1,547,674</w:t>
            </w:r>
          </w:p>
        </w:tc>
        <w:tc>
          <w:tcPr>
            <w:tcW w:w="20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399,919</w:t>
            </w:r>
          </w:p>
        </w:tc>
        <w:tc>
          <w:tcPr>
            <w:tcW w:w="200" w:type="dxa"/>
            <w:vAlign w:val="bottom"/>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7"/>
                <w:szCs w:val="17"/>
                <w:color w:val="auto"/>
              </w:rPr>
              <w:t>329,442</w:t>
            </w:r>
          </w:p>
        </w:tc>
        <w:tc>
          <w:tcPr>
            <w:tcW w:w="180" w:type="dxa"/>
            <w:vAlign w:val="bottom"/>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7"/>
                <w:szCs w:val="17"/>
                <w:color w:val="auto"/>
              </w:rPr>
              <w:t>2,277,035</w:t>
            </w:r>
          </w:p>
        </w:tc>
      </w:tr>
      <w:tr>
        <w:trPr>
          <w:trHeight w:val="195"/>
        </w:trPr>
        <w:tc>
          <w:tcPr>
            <w:tcW w:w="3900" w:type="dxa"/>
            <w:vAlign w:val="bottom"/>
          </w:tcPr>
          <w:p>
            <w:pPr>
              <w:spacing w:after="0"/>
              <w:rPr>
                <w:sz w:val="20"/>
                <w:szCs w:val="20"/>
                <w:color w:val="auto"/>
              </w:rPr>
            </w:pPr>
            <w:r>
              <w:rPr>
                <w:rFonts w:ascii="Arial" w:cs="Arial" w:eastAsia="Arial" w:hAnsi="Arial"/>
                <w:sz w:val="17"/>
                <w:szCs w:val="17"/>
                <w:color w:val="auto"/>
              </w:rPr>
              <w:t>Ceded claims, Note 9(b)</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(252,125)</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(82,190)</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(12,830)</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(347,145)</w:t>
            </w:r>
          </w:p>
        </w:tc>
      </w:tr>
      <w:tr>
        <w:trPr>
          <w:trHeight w:val="193"/>
        </w:trPr>
        <w:tc>
          <w:tcPr>
            <w:tcW w:w="3900" w:type="dxa"/>
            <w:vAlign w:val="bottom"/>
          </w:tcPr>
          <w:p>
            <w:pPr>
              <w:spacing w:after="0" w:line="187" w:lineRule="exact"/>
              <w:rPr>
                <w:sz w:val="20"/>
                <w:szCs w:val="20"/>
                <w:color w:val="auto"/>
              </w:rPr>
            </w:pPr>
            <w:r>
              <w:rPr>
                <w:rFonts w:ascii="Arial" w:cs="Arial" w:eastAsia="Arial" w:hAnsi="Arial"/>
                <w:sz w:val="17"/>
                <w:szCs w:val="17"/>
                <w:b w:val="1"/>
                <w:bCs w:val="1"/>
                <w:color w:val="auto"/>
              </w:rPr>
              <w:t>Net insurance claims</w:t>
            </w:r>
          </w:p>
        </w:tc>
        <w:tc>
          <w:tcPr>
            <w:tcW w:w="2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1,295,549</w:t>
            </w:r>
          </w:p>
        </w:tc>
        <w:tc>
          <w:tcPr>
            <w:tcW w:w="20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317,729</w:t>
            </w:r>
          </w:p>
        </w:tc>
        <w:tc>
          <w:tcPr>
            <w:tcW w:w="20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316,612</w:t>
            </w:r>
          </w:p>
        </w:tc>
        <w:tc>
          <w:tcPr>
            <w:tcW w:w="18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1,929,890</w:t>
            </w:r>
          </w:p>
        </w:tc>
      </w:tr>
      <w:tr>
        <w:trPr>
          <w:trHeight w:val="389"/>
        </w:trPr>
        <w:tc>
          <w:tcPr>
            <w:tcW w:w="390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64"/>
        </w:trPr>
        <w:tc>
          <w:tcPr>
            <w:tcW w:w="3900" w:type="dxa"/>
            <w:vAlign w:val="bottom"/>
          </w:tcPr>
          <w:p>
            <w:pPr>
              <w:spacing w:after="0"/>
              <w:rPr>
                <w:sz w:val="14"/>
                <w:szCs w:val="14"/>
                <w:color w:val="auto"/>
              </w:rPr>
            </w:pPr>
          </w:p>
        </w:tc>
        <w:tc>
          <w:tcPr>
            <w:tcW w:w="1600" w:type="dxa"/>
            <w:vAlign w:val="bottom"/>
            <w:gridSpan w:val="3"/>
          </w:tcPr>
          <w:p>
            <w:pPr>
              <w:spacing w:after="0" w:line="164" w:lineRule="exact"/>
              <w:rPr>
                <w:sz w:val="20"/>
                <w:szCs w:val="20"/>
                <w:color w:val="auto"/>
              </w:rPr>
            </w:pPr>
            <w:r>
              <w:rPr>
                <w:rFonts w:ascii="Arial" w:cs="Arial" w:eastAsia="Arial" w:hAnsi="Arial"/>
                <w:sz w:val="17"/>
                <w:szCs w:val="17"/>
                <w:b w:val="1"/>
                <w:bCs w:val="1"/>
                <w:color w:val="auto"/>
              </w:rPr>
              <w:t>Life</w:t>
            </w:r>
          </w:p>
        </w:tc>
        <w:tc>
          <w:tcPr>
            <w:tcW w:w="160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General</w:t>
            </w:r>
          </w:p>
        </w:tc>
        <w:tc>
          <w:tcPr>
            <w:tcW w:w="160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Health</w:t>
            </w:r>
          </w:p>
        </w:tc>
        <w:tc>
          <w:tcPr>
            <w:tcW w:w="1420" w:type="dxa"/>
            <w:vAlign w:val="bottom"/>
          </w:tcPr>
          <w:p>
            <w:pPr>
              <w:spacing w:after="0"/>
              <w:rPr>
                <w:sz w:val="14"/>
                <w:szCs w:val="14"/>
                <w:color w:val="auto"/>
              </w:rPr>
            </w:pPr>
          </w:p>
        </w:tc>
      </w:tr>
      <w:tr>
        <w:trPr>
          <w:trHeight w:val="217"/>
        </w:trPr>
        <w:tc>
          <w:tcPr>
            <w:tcW w:w="39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7"/>
                <w:szCs w:val="17"/>
                <w:b w:val="1"/>
                <w:bCs w:val="1"/>
                <w:color w:val="auto"/>
              </w:rPr>
              <w:t>insurance</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insurance</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insurance</w:t>
            </w:r>
          </w:p>
        </w:tc>
        <w:tc>
          <w:tcPr>
            <w:tcW w:w="1420" w:type="dxa"/>
            <w:vAlign w:val="bottom"/>
          </w:tcPr>
          <w:p>
            <w:pPr>
              <w:spacing w:after="0"/>
              <w:rPr>
                <w:sz w:val="20"/>
                <w:szCs w:val="20"/>
                <w:color w:val="auto"/>
              </w:rPr>
            </w:pPr>
            <w:r>
              <w:rPr>
                <w:rFonts w:ascii="Arial" w:cs="Arial" w:eastAsia="Arial" w:hAnsi="Arial"/>
                <w:sz w:val="17"/>
                <w:szCs w:val="17"/>
                <w:b w:val="1"/>
                <w:bCs w:val="1"/>
                <w:color w:val="auto"/>
              </w:rPr>
              <w:t>Total</w:t>
            </w:r>
          </w:p>
        </w:tc>
      </w:tr>
      <w:tr>
        <w:trPr>
          <w:trHeight w:val="223"/>
        </w:trPr>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r>
      <w:tr>
        <w:trPr>
          <w:trHeight w:val="352"/>
        </w:trPr>
        <w:tc>
          <w:tcPr>
            <w:tcW w:w="3900" w:type="dxa"/>
            <w:vAlign w:val="bottom"/>
          </w:tcPr>
          <w:p>
            <w:pPr>
              <w:spacing w:after="0"/>
              <w:rPr>
                <w:sz w:val="20"/>
                <w:szCs w:val="20"/>
                <w:color w:val="auto"/>
              </w:rPr>
            </w:pPr>
            <w:r>
              <w:rPr>
                <w:rFonts w:ascii="Arial" w:cs="Arial" w:eastAsia="Arial" w:hAnsi="Arial"/>
                <w:sz w:val="17"/>
                <w:szCs w:val="17"/>
                <w:color w:val="auto"/>
              </w:rPr>
              <w:t>Gross claims, Note 16(b)</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2,183,789</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375,162</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325,307</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2,884,258</w:t>
            </w:r>
          </w:p>
        </w:tc>
      </w:tr>
      <w:tr>
        <w:trPr>
          <w:trHeight w:val="195"/>
        </w:trPr>
        <w:tc>
          <w:tcPr>
            <w:tcW w:w="3900" w:type="dxa"/>
            <w:vAlign w:val="bottom"/>
          </w:tcPr>
          <w:p>
            <w:pPr>
              <w:spacing w:after="0"/>
              <w:rPr>
                <w:sz w:val="20"/>
                <w:szCs w:val="20"/>
                <w:color w:val="auto"/>
              </w:rPr>
            </w:pPr>
            <w:r>
              <w:rPr>
                <w:rFonts w:ascii="Arial" w:cs="Arial" w:eastAsia="Arial" w:hAnsi="Arial"/>
                <w:sz w:val="17"/>
                <w:szCs w:val="17"/>
                <w:color w:val="auto"/>
              </w:rPr>
              <w:t>Ceded claims, Note 9(b)</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(406,494)</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(120,546)</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(15,301)</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(542,341)</w:t>
            </w:r>
          </w:p>
        </w:tc>
      </w:tr>
      <w:tr>
        <w:trPr>
          <w:trHeight w:val="193"/>
        </w:trPr>
        <w:tc>
          <w:tcPr>
            <w:tcW w:w="3900" w:type="dxa"/>
            <w:vAlign w:val="bottom"/>
          </w:tcPr>
          <w:p>
            <w:pPr>
              <w:spacing w:after="0" w:line="187" w:lineRule="exact"/>
              <w:rPr>
                <w:sz w:val="20"/>
                <w:szCs w:val="20"/>
                <w:color w:val="auto"/>
              </w:rPr>
            </w:pPr>
            <w:r>
              <w:rPr>
                <w:rFonts w:ascii="Arial" w:cs="Arial" w:eastAsia="Arial" w:hAnsi="Arial"/>
                <w:sz w:val="17"/>
                <w:szCs w:val="17"/>
                <w:b w:val="1"/>
                <w:bCs w:val="1"/>
                <w:color w:val="auto"/>
              </w:rPr>
              <w:t>Net insurance claims</w:t>
            </w:r>
          </w:p>
        </w:tc>
        <w:tc>
          <w:tcPr>
            <w:tcW w:w="2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1,777,295</w:t>
            </w:r>
          </w:p>
        </w:tc>
        <w:tc>
          <w:tcPr>
            <w:tcW w:w="20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254,616</w:t>
            </w:r>
          </w:p>
        </w:tc>
        <w:tc>
          <w:tcPr>
            <w:tcW w:w="20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310,006</w:t>
            </w:r>
          </w:p>
        </w:tc>
        <w:tc>
          <w:tcPr>
            <w:tcW w:w="18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2,341,917</w:t>
            </w:r>
          </w:p>
        </w:tc>
      </w:tr>
      <w:tr>
        <w:trPr>
          <w:trHeight w:val="389"/>
        </w:trPr>
        <w:tc>
          <w:tcPr>
            <w:tcW w:w="390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64"/>
        </w:trPr>
        <w:tc>
          <w:tcPr>
            <w:tcW w:w="3900" w:type="dxa"/>
            <w:vAlign w:val="bottom"/>
          </w:tcPr>
          <w:p>
            <w:pPr>
              <w:spacing w:after="0"/>
              <w:rPr>
                <w:sz w:val="14"/>
                <w:szCs w:val="14"/>
                <w:color w:val="auto"/>
              </w:rPr>
            </w:pPr>
          </w:p>
        </w:tc>
        <w:tc>
          <w:tcPr>
            <w:tcW w:w="1600" w:type="dxa"/>
            <w:vAlign w:val="bottom"/>
            <w:gridSpan w:val="3"/>
          </w:tcPr>
          <w:p>
            <w:pPr>
              <w:spacing w:after="0" w:line="164" w:lineRule="exact"/>
              <w:rPr>
                <w:sz w:val="20"/>
                <w:szCs w:val="20"/>
                <w:color w:val="auto"/>
              </w:rPr>
            </w:pPr>
            <w:r>
              <w:rPr>
                <w:rFonts w:ascii="Arial" w:cs="Arial" w:eastAsia="Arial" w:hAnsi="Arial"/>
                <w:sz w:val="17"/>
                <w:szCs w:val="17"/>
                <w:b w:val="1"/>
                <w:bCs w:val="1"/>
                <w:color w:val="auto"/>
              </w:rPr>
              <w:t>Life</w:t>
            </w:r>
          </w:p>
        </w:tc>
        <w:tc>
          <w:tcPr>
            <w:tcW w:w="160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General</w:t>
            </w:r>
          </w:p>
        </w:tc>
        <w:tc>
          <w:tcPr>
            <w:tcW w:w="160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Health</w:t>
            </w:r>
          </w:p>
        </w:tc>
        <w:tc>
          <w:tcPr>
            <w:tcW w:w="1420" w:type="dxa"/>
            <w:vAlign w:val="bottom"/>
          </w:tcPr>
          <w:p>
            <w:pPr>
              <w:spacing w:after="0"/>
              <w:rPr>
                <w:sz w:val="14"/>
                <w:szCs w:val="14"/>
                <w:color w:val="auto"/>
              </w:rPr>
            </w:pPr>
          </w:p>
        </w:tc>
      </w:tr>
      <w:tr>
        <w:trPr>
          <w:trHeight w:val="217"/>
        </w:trPr>
        <w:tc>
          <w:tcPr>
            <w:tcW w:w="39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7"/>
                <w:szCs w:val="17"/>
                <w:b w:val="1"/>
                <w:bCs w:val="1"/>
                <w:color w:val="auto"/>
              </w:rPr>
              <w:t>insurance</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insurance</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insurance</w:t>
            </w:r>
          </w:p>
        </w:tc>
        <w:tc>
          <w:tcPr>
            <w:tcW w:w="1420" w:type="dxa"/>
            <w:vAlign w:val="bottom"/>
          </w:tcPr>
          <w:p>
            <w:pPr>
              <w:spacing w:after="0"/>
              <w:rPr>
                <w:sz w:val="20"/>
                <w:szCs w:val="20"/>
                <w:color w:val="auto"/>
              </w:rPr>
            </w:pPr>
            <w:r>
              <w:rPr>
                <w:rFonts w:ascii="Arial" w:cs="Arial" w:eastAsia="Arial" w:hAnsi="Arial"/>
                <w:sz w:val="17"/>
                <w:szCs w:val="17"/>
                <w:b w:val="1"/>
                <w:bCs w:val="1"/>
                <w:color w:val="auto"/>
              </w:rPr>
              <w:t>Total</w:t>
            </w:r>
          </w:p>
        </w:tc>
      </w:tr>
      <w:tr>
        <w:trPr>
          <w:trHeight w:val="223"/>
        </w:trPr>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r>
      <w:tr>
        <w:trPr>
          <w:trHeight w:val="352"/>
        </w:trPr>
        <w:tc>
          <w:tcPr>
            <w:tcW w:w="3900" w:type="dxa"/>
            <w:vAlign w:val="bottom"/>
          </w:tcPr>
          <w:p>
            <w:pPr>
              <w:spacing w:after="0"/>
              <w:rPr>
                <w:sz w:val="20"/>
                <w:szCs w:val="20"/>
                <w:color w:val="auto"/>
              </w:rPr>
            </w:pPr>
            <w:r>
              <w:rPr>
                <w:rFonts w:ascii="Arial" w:cs="Arial" w:eastAsia="Arial" w:hAnsi="Arial"/>
                <w:sz w:val="17"/>
                <w:szCs w:val="17"/>
                <w:color w:val="auto"/>
              </w:rPr>
              <w:t>Gross claims, Note 16(b)</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1,383,344</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326,183</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281,627</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1,991,154</w:t>
            </w:r>
          </w:p>
        </w:tc>
      </w:tr>
      <w:tr>
        <w:trPr>
          <w:trHeight w:val="195"/>
        </w:trPr>
        <w:tc>
          <w:tcPr>
            <w:tcW w:w="3900" w:type="dxa"/>
            <w:vAlign w:val="bottom"/>
          </w:tcPr>
          <w:p>
            <w:pPr>
              <w:spacing w:after="0"/>
              <w:rPr>
                <w:sz w:val="20"/>
                <w:szCs w:val="20"/>
                <w:color w:val="auto"/>
              </w:rPr>
            </w:pPr>
            <w:r>
              <w:rPr>
                <w:rFonts w:ascii="Arial" w:cs="Arial" w:eastAsia="Arial" w:hAnsi="Arial"/>
                <w:sz w:val="17"/>
                <w:szCs w:val="17"/>
                <w:color w:val="auto"/>
              </w:rPr>
              <w:t>Ceded claims, Note 9(b)</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(138,573)</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(131,444)</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(13,024)</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(283,041)</w:t>
            </w:r>
          </w:p>
        </w:tc>
      </w:tr>
      <w:tr>
        <w:trPr>
          <w:trHeight w:val="193"/>
        </w:trPr>
        <w:tc>
          <w:tcPr>
            <w:tcW w:w="3900" w:type="dxa"/>
            <w:vAlign w:val="bottom"/>
          </w:tcPr>
          <w:p>
            <w:pPr>
              <w:spacing w:after="0" w:line="187" w:lineRule="exact"/>
              <w:rPr>
                <w:sz w:val="20"/>
                <w:szCs w:val="20"/>
                <w:color w:val="auto"/>
              </w:rPr>
            </w:pPr>
            <w:r>
              <w:rPr>
                <w:rFonts w:ascii="Arial" w:cs="Arial" w:eastAsia="Arial" w:hAnsi="Arial"/>
                <w:sz w:val="17"/>
                <w:szCs w:val="17"/>
                <w:b w:val="1"/>
                <w:bCs w:val="1"/>
                <w:color w:val="auto"/>
              </w:rPr>
              <w:t>Net insurance claims</w:t>
            </w:r>
          </w:p>
        </w:tc>
        <w:tc>
          <w:tcPr>
            <w:tcW w:w="2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1,244,771</w:t>
            </w:r>
          </w:p>
        </w:tc>
        <w:tc>
          <w:tcPr>
            <w:tcW w:w="20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194,739</w:t>
            </w:r>
          </w:p>
        </w:tc>
        <w:tc>
          <w:tcPr>
            <w:tcW w:w="20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268,603</w:t>
            </w:r>
          </w:p>
        </w:tc>
        <w:tc>
          <w:tcPr>
            <w:tcW w:w="18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1,708,113</w:t>
            </w:r>
          </w:p>
        </w:tc>
      </w:tr>
    </w:tbl>
    <w:p>
      <w:pPr>
        <w:spacing w:after="0" w:line="193" w:lineRule="exact"/>
        <w:rPr>
          <w:sz w:val="20"/>
          <w:szCs w:val="20"/>
          <w:color w:val="auto"/>
        </w:rPr>
      </w:pPr>
    </w:p>
    <w:p>
      <w:pPr>
        <w:jc w:val="both"/>
        <w:ind w:left="620"/>
        <w:spacing w:after="0" w:line="242" w:lineRule="auto"/>
        <w:rPr>
          <w:sz w:val="20"/>
          <w:szCs w:val="20"/>
          <w:color w:val="auto"/>
        </w:rPr>
      </w:pPr>
      <w:r>
        <w:rPr>
          <w:rFonts w:ascii="Arial" w:cs="Arial" w:eastAsia="Arial" w:hAnsi="Arial"/>
          <w:sz w:val="17"/>
          <w:szCs w:val="17"/>
          <w:color w:val="auto"/>
        </w:rPr>
        <w:t>As of December 31, 2022, the decrease in net life insurance claims is mainly due to a lower claim rate of real cases due to COVID-19 for S/466.5 million, release of IBNR for S/69.8 million and other minors for S/ 54.6 million. As of December 31, 2021, the increase in net claims for life insurance is mainly due to the increase in claims in real cases due to COVID-19 for S/335.2 million, higher claims in credit life for S/49.7 million, annuities for S/30.9 million, Complementary Risk Work Insurance (“SCTR”) for S/30.3 million as a result of the normalization of activities regarding the limitation of activities due to the 2020 pandemic and other minors for S/87.0 million.</w:t>
      </w:r>
    </w:p>
    <w:p>
      <w:pPr>
        <w:spacing w:after="0" w:line="180" w:lineRule="exact"/>
        <w:rPr>
          <w:sz w:val="20"/>
          <w:szCs w:val="20"/>
          <w:color w:val="auto"/>
        </w:rPr>
      </w:pPr>
    </w:p>
    <w:p>
      <w:pPr>
        <w:jc w:val="both"/>
        <w:ind w:left="620"/>
        <w:spacing w:after="0" w:line="242" w:lineRule="auto"/>
        <w:rPr>
          <w:sz w:val="20"/>
          <w:szCs w:val="20"/>
          <w:color w:val="auto"/>
        </w:rPr>
      </w:pPr>
      <w:r>
        <w:rPr>
          <w:rFonts w:ascii="Arial" w:cs="Arial" w:eastAsia="Arial" w:hAnsi="Arial"/>
          <w:sz w:val="17"/>
          <w:szCs w:val="17"/>
          <w:color w:val="auto"/>
        </w:rPr>
        <w:t>As of December 31, 2022, the increase in net claims for general insurance corresponds to a higher claim rate of vehicles for S/38.2 million, transportation for S/16.6 million and other minor claims for S/8.3 million. As of December 31, 2021, the restrictions established by the government in relation to circulation and capacity in commercial activities began to be less rigid, which led to a gradual increase in claims in the general insurance business, but without reaching pre-pandemic levels, mainly in the Auto lines and in the Mandatory Traffic Accident Insurance (“SOAT” by its acronym in Spanish).</w:t>
      </w: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ind w:left="616" w:right="6800" w:hanging="616"/>
        <w:spacing w:after="0" w:line="476" w:lineRule="auto"/>
        <w:tabs>
          <w:tab w:leader="none" w:pos="616"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SALARIES AND EMPLOYEES BENEFITS </w:t>
      </w:r>
      <w:r>
        <w:rPr>
          <w:rFonts w:ascii="Arial" w:cs="Arial" w:eastAsia="Arial" w:hAnsi="Arial"/>
          <w:sz w:val="17"/>
          <w:szCs w:val="17"/>
          <w:color w:val="auto"/>
        </w:rPr>
        <w:t>This item consists of the following:</w:t>
      </w:r>
    </w:p>
    <w:p>
      <w:pPr>
        <w:spacing w:after="0" w:line="1" w:lineRule="exact"/>
        <w:rPr>
          <w:sz w:val="20"/>
          <w:szCs w:val="20"/>
          <w:color w:val="auto"/>
        </w:rPr>
      </w:pPr>
    </w:p>
    <w:tbl>
      <w:tblPr>
        <w:tblLayout w:type="fixed"/>
        <w:tblInd w:w="676" w:type="dxa"/>
        <w:tblCellMar>
          <w:top w:w="0" w:type="dxa"/>
          <w:left w:w="0" w:type="dxa"/>
          <w:bottom w:w="0" w:type="dxa"/>
          <w:right w:w="0" w:type="dxa"/>
        </w:tblCellMar>
      </w:tblPr>
      <w:tr>
        <w:trPr>
          <w:trHeight w:val="217"/>
        </w:trPr>
        <w:tc>
          <w:tcPr>
            <w:tcW w:w="6020" w:type="dxa"/>
            <w:vAlign w:val="bottom"/>
          </w:tcPr>
          <w:p>
            <w:pPr>
              <w:spacing w:after="0"/>
              <w:rPr>
                <w:sz w:val="18"/>
                <w:szCs w:val="18"/>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r>
      <w:tr>
        <w:trPr>
          <w:trHeight w:val="223"/>
        </w:trPr>
        <w:tc>
          <w:tcPr>
            <w:tcW w:w="602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6020" w:type="dxa"/>
            <w:vAlign w:val="bottom"/>
          </w:tcPr>
          <w:p>
            <w:pPr>
              <w:spacing w:after="0"/>
              <w:rPr>
                <w:sz w:val="20"/>
                <w:szCs w:val="20"/>
                <w:color w:val="auto"/>
              </w:rPr>
            </w:pPr>
            <w:r>
              <w:rPr>
                <w:rFonts w:ascii="Arial" w:cs="Arial" w:eastAsia="Arial" w:hAnsi="Arial"/>
                <w:sz w:val="17"/>
                <w:szCs w:val="17"/>
                <w:color w:val="auto"/>
              </w:rPr>
              <w:t>Salaries</w:t>
            </w:r>
          </w:p>
        </w:tc>
        <w:tc>
          <w:tcPr>
            <w:tcW w:w="1220" w:type="dxa"/>
            <w:vAlign w:val="bottom"/>
          </w:tcPr>
          <w:p>
            <w:pPr>
              <w:jc w:val="right"/>
              <w:spacing w:after="0"/>
              <w:rPr>
                <w:sz w:val="20"/>
                <w:szCs w:val="20"/>
                <w:color w:val="auto"/>
              </w:rPr>
            </w:pPr>
            <w:r>
              <w:rPr>
                <w:rFonts w:ascii="Arial" w:cs="Arial" w:eastAsia="Arial" w:hAnsi="Arial"/>
                <w:sz w:val="17"/>
                <w:szCs w:val="17"/>
                <w:color w:val="auto"/>
              </w:rPr>
              <w:t>2,245,944</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2,090,835</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1,958,770</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Vacations, medical assistance and others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368,194</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342,435</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285,891</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Bonuses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313,313</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280,568</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271,712</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Workers profit sharing (a)</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311,459</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165,091</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164,716</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Additional participation</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305,122</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342,065</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165,859</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Social security</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245,730</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213,640</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209,782</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Severance indemnities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174,297</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159,845</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151,725</w:t>
            </w:r>
          </w:p>
        </w:tc>
      </w:tr>
      <w:tr>
        <w:trPr>
          <w:trHeight w:val="195"/>
        </w:trPr>
        <w:tc>
          <w:tcPr>
            <w:tcW w:w="6020" w:type="dxa"/>
            <w:vAlign w:val="bottom"/>
          </w:tcPr>
          <w:p>
            <w:pPr>
              <w:spacing w:after="0"/>
              <w:rPr>
                <w:sz w:val="20"/>
                <w:szCs w:val="20"/>
                <w:color w:val="auto"/>
              </w:rPr>
            </w:pPr>
            <w:r>
              <w:rPr>
                <w:rFonts w:ascii="Arial" w:cs="Arial" w:eastAsia="Arial" w:hAnsi="Arial"/>
                <w:sz w:val="17"/>
                <w:szCs w:val="17"/>
                <w:color w:val="auto"/>
              </w:rPr>
              <w:t>Share-based payment plans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88,721</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73,997</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104,499</w:t>
            </w:r>
          </w:p>
        </w:tc>
      </w:tr>
      <w:tr>
        <w:trPr>
          <w:trHeight w:val="193"/>
        </w:trPr>
        <w:tc>
          <w:tcPr>
            <w:tcW w:w="602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4,052,780</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3,668,476</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3,312,954</w:t>
            </w:r>
          </w:p>
        </w:tc>
      </w:tr>
    </w:tbl>
    <w:p>
      <w:pPr>
        <w:spacing w:after="0" w:line="388" w:lineRule="exact"/>
        <w:rPr>
          <w:sz w:val="20"/>
          <w:szCs w:val="20"/>
          <w:color w:val="auto"/>
        </w:rPr>
      </w:pPr>
    </w:p>
    <w:p>
      <w:pPr>
        <w:ind w:left="936" w:hanging="315"/>
        <w:spacing w:after="0"/>
        <w:tabs>
          <w:tab w:leader="none" w:pos="93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variation corresponds mainly comprises a higher provision of legal profit sharing compared to 2021 by BCP.</w:t>
      </w:r>
    </w:p>
    <w:p>
      <w:pPr>
        <w:spacing w:after="0" w:line="361" w:lineRule="exact"/>
        <w:rPr>
          <w:rFonts w:ascii="Arial" w:cs="Arial" w:eastAsia="Arial" w:hAnsi="Arial"/>
          <w:sz w:val="17"/>
          <w:szCs w:val="17"/>
          <w:color w:val="auto"/>
        </w:rPr>
      </w:pPr>
    </w:p>
    <w:p>
      <w:pPr>
        <w:ind w:left="5456" w:hanging="107"/>
        <w:spacing w:after="0"/>
        <w:tabs>
          <w:tab w:leader="none" w:pos="5456" w:val="left"/>
        </w:tabs>
        <w:numPr>
          <w:ilvl w:val="1"/>
          <w:numId w:val="142"/>
        </w:numPr>
        <w:rPr>
          <w:rFonts w:ascii="Arial" w:cs="Arial" w:eastAsia="Arial" w:hAnsi="Arial"/>
          <w:sz w:val="17"/>
          <w:szCs w:val="17"/>
          <w:color w:val="auto"/>
        </w:rPr>
      </w:pPr>
      <w:r>
        <w:rPr>
          <w:rFonts w:ascii="Arial" w:cs="Arial" w:eastAsia="Arial" w:hAnsi="Arial"/>
          <w:sz w:val="17"/>
          <w:szCs w:val="17"/>
          <w:color w:val="auto"/>
        </w:rPr>
        <w:t>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803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736"/>
          </w:cols>
          <w:pgMar w:left="324" w:top="118" w:right="839" w:bottom="1440" w:gutter="0" w:footer="0" w:header="0"/>
        </w:sectPr>
      </w:pPr>
    </w:p>
    <w:bookmarkStart w:id="131" w:name="page132"/>
    <w:bookmarkEnd w:id="131"/>
    <w:p>
      <w:pPr>
        <w:ind w:left="616" w:right="7900" w:hanging="616"/>
        <w:spacing w:after="0" w:line="476" w:lineRule="auto"/>
        <w:tabs>
          <w:tab w:leader="none" w:pos="616"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ADMINISTRATIVE EXPENSES </w:t>
      </w:r>
      <w:r>
        <w:rPr>
          <w:rFonts w:ascii="Arial" w:cs="Arial" w:eastAsia="Arial" w:hAnsi="Arial"/>
          <w:sz w:val="17"/>
          <w:szCs w:val="17"/>
          <w:color w:val="auto"/>
        </w:rPr>
        <w:t>This item consists of the following:</w:t>
      </w:r>
    </w:p>
    <w:p>
      <w:pPr>
        <w:spacing w:after="0" w:line="1" w:lineRule="exact"/>
        <w:rPr>
          <w:sz w:val="20"/>
          <w:szCs w:val="20"/>
          <w:color w:val="auto"/>
        </w:rPr>
      </w:pPr>
    </w:p>
    <w:tbl>
      <w:tblPr>
        <w:tblLayout w:type="fixed"/>
        <w:tblInd w:w="676" w:type="dxa"/>
        <w:tblCellMar>
          <w:top w:w="0" w:type="dxa"/>
          <w:left w:w="0" w:type="dxa"/>
          <w:bottom w:w="0" w:type="dxa"/>
          <w:right w:w="0" w:type="dxa"/>
        </w:tblCellMar>
      </w:tblPr>
      <w:tr>
        <w:trPr>
          <w:trHeight w:val="217"/>
        </w:trPr>
        <w:tc>
          <w:tcPr>
            <w:tcW w:w="6020" w:type="dxa"/>
            <w:vAlign w:val="bottom"/>
          </w:tcPr>
          <w:p>
            <w:pPr>
              <w:spacing w:after="0"/>
              <w:rPr>
                <w:sz w:val="18"/>
                <w:szCs w:val="18"/>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r>
      <w:tr>
        <w:trPr>
          <w:trHeight w:val="223"/>
        </w:trPr>
        <w:tc>
          <w:tcPr>
            <w:tcW w:w="602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7"/>
                <w:szCs w:val="17"/>
                <w:b w:val="1"/>
                <w:bCs w:val="1"/>
                <w:color w:val="auto"/>
              </w:rPr>
              <w:t>S/(000)</w:t>
            </w:r>
          </w:p>
        </w:tc>
      </w:tr>
      <w:tr>
        <w:trPr>
          <w:trHeight w:val="352"/>
        </w:trPr>
        <w:tc>
          <w:tcPr>
            <w:tcW w:w="6020" w:type="dxa"/>
            <w:vAlign w:val="bottom"/>
          </w:tcPr>
          <w:p>
            <w:pPr>
              <w:spacing w:after="0"/>
              <w:rPr>
                <w:sz w:val="20"/>
                <w:szCs w:val="20"/>
                <w:color w:val="auto"/>
              </w:rPr>
            </w:pPr>
            <w:r>
              <w:rPr>
                <w:rFonts w:ascii="Arial" w:cs="Arial" w:eastAsia="Arial" w:hAnsi="Arial"/>
                <w:sz w:val="17"/>
                <w:szCs w:val="17"/>
                <w:color w:val="auto"/>
              </w:rPr>
              <w:t>Systems expenses (a)</w:t>
            </w:r>
          </w:p>
        </w:tc>
        <w:tc>
          <w:tcPr>
            <w:tcW w:w="1220" w:type="dxa"/>
            <w:vAlign w:val="bottom"/>
          </w:tcPr>
          <w:p>
            <w:pPr>
              <w:jc w:val="right"/>
              <w:spacing w:after="0"/>
              <w:rPr>
                <w:sz w:val="20"/>
                <w:szCs w:val="20"/>
                <w:color w:val="auto"/>
              </w:rPr>
            </w:pPr>
            <w:r>
              <w:rPr>
                <w:rFonts w:ascii="Arial" w:cs="Arial" w:eastAsia="Arial" w:hAnsi="Arial"/>
                <w:sz w:val="17"/>
                <w:szCs w:val="17"/>
                <w:color w:val="auto"/>
              </w:rPr>
              <w:t>938,014</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741,429</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539,910</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Publicity and loyalty programs (b)</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653,430</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486,885</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349,745</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Consulting and professional fees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338,269</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312,978</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219,671</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Taxes and contributions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305,486</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289,484</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266,704</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Transport and communications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229,110</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208,244</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169,616</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Repair and maintenance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137,946</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123,232</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118,369</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Outsourcing</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118,778</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99,440</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69,379</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Comissions by agents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106,356</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104,700</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87,899</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Lease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91,680</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86,417</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70,404</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Sundry supplies (c)</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87,848</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57,093</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67,537</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Security and protection</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64,480</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63,500</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64,439</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Insurance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62,994</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62,142</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43,657</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Subscriptions and quotes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58,251</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55,331</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49,464</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Electricity and water</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51,117</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48,886</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51,649</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Electronic processing</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35,896</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39,528</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36,920</w:t>
            </w:r>
          </w:p>
        </w:tc>
      </w:tr>
      <w:tr>
        <w:trPr>
          <w:trHeight w:val="194"/>
        </w:trPr>
        <w:tc>
          <w:tcPr>
            <w:tcW w:w="6020" w:type="dxa"/>
            <w:vAlign w:val="bottom"/>
          </w:tcPr>
          <w:p>
            <w:pPr>
              <w:spacing w:after="0" w:line="194" w:lineRule="exact"/>
              <w:rPr>
                <w:sz w:val="20"/>
                <w:szCs w:val="20"/>
                <w:color w:val="auto"/>
              </w:rPr>
            </w:pPr>
            <w:r>
              <w:rPr>
                <w:rFonts w:ascii="Arial" w:cs="Arial" w:eastAsia="Arial" w:hAnsi="Arial"/>
                <w:sz w:val="17"/>
                <w:szCs w:val="17"/>
                <w:color w:val="auto"/>
              </w:rPr>
              <w:t>Cleaning</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20,435</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20,105</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22,900</w:t>
            </w:r>
          </w:p>
        </w:tc>
      </w:tr>
      <w:tr>
        <w:trPr>
          <w:trHeight w:val="195"/>
        </w:trPr>
        <w:tc>
          <w:tcPr>
            <w:tcW w:w="6020" w:type="dxa"/>
            <w:vAlign w:val="bottom"/>
          </w:tcPr>
          <w:p>
            <w:pPr>
              <w:spacing w:after="0"/>
              <w:rPr>
                <w:sz w:val="20"/>
                <w:szCs w:val="20"/>
                <w:color w:val="auto"/>
              </w:rPr>
            </w:pPr>
            <w:r>
              <w:rPr>
                <w:rFonts w:ascii="Arial" w:cs="Arial" w:eastAsia="Arial" w:hAnsi="Arial"/>
                <w:sz w:val="17"/>
                <w:szCs w:val="17"/>
                <w:color w:val="auto"/>
              </w:rPr>
              <w:t>Others (d)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205,011</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154,323</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155,455</w:t>
            </w:r>
          </w:p>
        </w:tc>
      </w:tr>
      <w:tr>
        <w:trPr>
          <w:trHeight w:val="193"/>
        </w:trPr>
        <w:tc>
          <w:tcPr>
            <w:tcW w:w="602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3,505,101</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2,953,717</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2,383,718</w:t>
            </w:r>
          </w:p>
        </w:tc>
      </w:tr>
    </w:tbl>
    <w:p>
      <w:pPr>
        <w:spacing w:after="0" w:line="193" w:lineRule="exact"/>
        <w:rPr>
          <w:sz w:val="20"/>
          <w:szCs w:val="20"/>
          <w:color w:val="auto"/>
        </w:rPr>
      </w:pPr>
    </w:p>
    <w:p>
      <w:pPr>
        <w:ind w:left="936" w:right="100" w:hanging="315"/>
        <w:spacing w:after="0" w:line="254" w:lineRule="auto"/>
        <w:tabs>
          <w:tab w:leader="none" w:pos="93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increase is mainly due to higher support expenses in Information technology, maintenance services and license renewal, as well as the increase in greater execution of strategic initiatives in software tools for digital transformation improvements.</w:t>
      </w:r>
    </w:p>
    <w:p>
      <w:pPr>
        <w:spacing w:after="0" w:line="169" w:lineRule="exact"/>
        <w:rPr>
          <w:rFonts w:ascii="Arial" w:cs="Arial" w:eastAsia="Arial" w:hAnsi="Arial"/>
          <w:sz w:val="17"/>
          <w:szCs w:val="17"/>
          <w:color w:val="auto"/>
        </w:rPr>
      </w:pPr>
    </w:p>
    <w:p>
      <w:pPr>
        <w:ind w:left="936" w:hanging="315"/>
        <w:spacing w:after="0" w:line="246" w:lineRule="auto"/>
        <w:tabs>
          <w:tab w:leader="none" w:pos="93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increase is mainly due to higher marketing and advertising expenses; especially in Tenpo Prepago SpA and Tenpo Technology SpA to attract new customers and promote the use of their products. Additionally, the increase in expenses related to customer loyalty and acquisition programs, mainly in BCP.</w:t>
      </w:r>
    </w:p>
    <w:p>
      <w:pPr>
        <w:spacing w:after="0" w:line="175" w:lineRule="exact"/>
        <w:rPr>
          <w:rFonts w:ascii="Arial" w:cs="Arial" w:eastAsia="Arial" w:hAnsi="Arial"/>
          <w:sz w:val="17"/>
          <w:szCs w:val="17"/>
          <w:color w:val="auto"/>
        </w:rPr>
      </w:pPr>
    </w:p>
    <w:p>
      <w:pPr>
        <w:ind w:left="936" w:right="180" w:hanging="315"/>
        <w:spacing w:after="0" w:line="254" w:lineRule="auto"/>
        <w:tabs>
          <w:tab w:leader="none" w:pos="93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increase is mainly due to the growth in the consumption of credit cards, such as Credimas, Amex and Visa with chip, as well as the greater consumption of the physical token for accessing platforms such as Internet Banking and Mobile Banking.</w:t>
      </w:r>
    </w:p>
    <w:p>
      <w:pPr>
        <w:spacing w:after="0" w:line="169" w:lineRule="exact"/>
        <w:rPr>
          <w:rFonts w:ascii="Arial" w:cs="Arial" w:eastAsia="Arial" w:hAnsi="Arial"/>
          <w:sz w:val="17"/>
          <w:szCs w:val="17"/>
          <w:color w:val="auto"/>
        </w:rPr>
      </w:pPr>
    </w:p>
    <w:p>
      <w:pPr>
        <w:ind w:left="936" w:right="380" w:hanging="315"/>
        <w:spacing w:after="0" w:line="254" w:lineRule="auto"/>
        <w:tabs>
          <w:tab w:leader="none" w:pos="93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variation is mainly due to the increase in rates such as risk centers, growth in collections from alternative channels and other services.</w:t>
      </w:r>
    </w:p>
    <w:p>
      <w:pPr>
        <w:spacing w:after="0" w:line="337" w:lineRule="exact"/>
        <w:rPr>
          <w:rFonts w:ascii="Arial" w:cs="Arial" w:eastAsia="Arial" w:hAnsi="Arial"/>
          <w:sz w:val="17"/>
          <w:szCs w:val="17"/>
          <w:color w:val="auto"/>
        </w:rPr>
      </w:pPr>
    </w:p>
    <w:p>
      <w:pPr>
        <w:ind w:left="5456" w:hanging="107"/>
        <w:spacing w:after="0"/>
        <w:tabs>
          <w:tab w:leader="none" w:pos="5456" w:val="left"/>
        </w:tabs>
        <w:numPr>
          <w:ilvl w:val="1"/>
          <w:numId w:val="144"/>
        </w:numPr>
        <w:rPr>
          <w:rFonts w:ascii="Arial" w:cs="Arial" w:eastAsia="Arial" w:hAnsi="Arial"/>
          <w:sz w:val="17"/>
          <w:szCs w:val="17"/>
          <w:color w:val="auto"/>
        </w:rPr>
      </w:pPr>
      <w:r>
        <w:rPr>
          <w:rFonts w:ascii="Arial" w:cs="Arial" w:eastAsia="Arial" w:hAnsi="Arial"/>
          <w:sz w:val="17"/>
          <w:szCs w:val="17"/>
          <w:color w:val="auto"/>
        </w:rPr>
        <w:t>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803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36"/>
          </w:cols>
          <w:pgMar w:left="324" w:top="118" w:right="4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29"/>
        </w:trPr>
        <w:tc>
          <w:tcPr>
            <w:tcW w:w="420" w:type="dxa"/>
            <w:vAlign w:val="bottom"/>
          </w:tcPr>
          <w:p>
            <w:pPr>
              <w:jc w:val="right"/>
              <w:ind w:right="134"/>
              <w:spacing w:after="0"/>
              <w:rPr>
                <w:sz w:val="20"/>
                <w:szCs w:val="20"/>
                <w:color w:val="auto"/>
              </w:rPr>
            </w:pPr>
            <w:r>
              <w:rPr>
                <w:rFonts w:ascii="Arial" w:cs="Arial" w:eastAsia="Arial" w:hAnsi="Arial"/>
                <w:sz w:val="17"/>
                <w:szCs w:val="17"/>
                <w:b w:val="1"/>
                <w:bCs w:val="1"/>
                <w:color w:val="auto"/>
                <w:w w:val="94"/>
              </w:rPr>
              <w:t>29</w:t>
            </w:r>
          </w:p>
        </w:tc>
        <w:tc>
          <w:tcPr>
            <w:tcW w:w="6280" w:type="dxa"/>
            <w:vAlign w:val="bottom"/>
          </w:tcPr>
          <w:p>
            <w:pPr>
              <w:ind w:left="200"/>
              <w:spacing w:after="0"/>
              <w:rPr>
                <w:sz w:val="20"/>
                <w:szCs w:val="20"/>
                <w:color w:val="auto"/>
              </w:rPr>
            </w:pPr>
            <w:r>
              <w:rPr>
                <w:rFonts w:ascii="Arial" w:cs="Arial" w:eastAsia="Arial" w:hAnsi="Arial"/>
                <w:sz w:val="17"/>
                <w:szCs w:val="17"/>
                <w:b w:val="1"/>
                <w:bCs w:val="1"/>
                <w:color w:val="auto"/>
              </w:rPr>
              <w:t>OTHER INCOME AND EXPENSES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420" w:type="dxa"/>
            <w:vAlign w:val="bottom"/>
          </w:tcPr>
          <w:p>
            <w:pPr>
              <w:spacing w:after="0"/>
              <w:rPr>
                <w:sz w:val="24"/>
                <w:szCs w:val="24"/>
                <w:color w:val="auto"/>
              </w:rPr>
            </w:pPr>
          </w:p>
        </w:tc>
        <w:tc>
          <w:tcPr>
            <w:tcW w:w="6280" w:type="dxa"/>
            <w:vAlign w:val="bottom"/>
          </w:tcPr>
          <w:p>
            <w:pPr>
              <w:ind w:left="200"/>
              <w:spacing w:after="0"/>
              <w:rPr>
                <w:sz w:val="20"/>
                <w:szCs w:val="20"/>
                <w:color w:val="auto"/>
              </w:rPr>
            </w:pPr>
            <w:r>
              <w:rPr>
                <w:rFonts w:ascii="Arial" w:cs="Arial" w:eastAsia="Arial" w:hAnsi="Arial"/>
                <w:sz w:val="17"/>
                <w:szCs w:val="17"/>
                <w:color w:val="auto"/>
              </w:rPr>
              <w:t>This item consists of the following:</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24"/>
                <w:szCs w:val="24"/>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24"/>
                <w:szCs w:val="2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28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Other income</w:t>
            </w: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6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Rental income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46,824</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35,218</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37,882</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Gain from sale of loan portfolio</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18,712</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15,700</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28,728</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Net income from sale of property, furniture and equipment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14,178</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16,083</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12,163</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Net income from the sale of foreclosed assets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11,355</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10,684</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3,685</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Income from resolution of IFRS 16 contracts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5,355</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16,817</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8,273</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Recoveries of other accounts receivable and other assets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1,299</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3,728</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1,137</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6280" w:type="dxa"/>
            <w:vAlign w:val="bottom"/>
          </w:tcPr>
          <w:p>
            <w:pPr>
              <w:ind w:left="260"/>
              <w:spacing w:after="0"/>
              <w:rPr>
                <w:sz w:val="20"/>
                <w:szCs w:val="20"/>
                <w:color w:val="auto"/>
              </w:rPr>
            </w:pPr>
            <w:r>
              <w:rPr>
                <w:rFonts w:ascii="Arial" w:cs="Arial" w:eastAsia="Arial" w:hAnsi="Arial"/>
                <w:sz w:val="17"/>
                <w:szCs w:val="17"/>
                <w:color w:val="auto"/>
              </w:rPr>
              <w:t>Others (a)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231,659</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168,337</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197,169</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280" w:type="dxa"/>
            <w:vAlign w:val="bottom"/>
          </w:tcPr>
          <w:p>
            <w:pPr>
              <w:ind w:left="260"/>
              <w:spacing w:after="0" w:line="187" w:lineRule="exact"/>
              <w:rPr>
                <w:sz w:val="20"/>
                <w:szCs w:val="20"/>
                <w:color w:val="auto"/>
              </w:rPr>
            </w:pPr>
            <w:r>
              <w:rPr>
                <w:rFonts w:ascii="Arial" w:cs="Arial" w:eastAsia="Arial" w:hAnsi="Arial"/>
                <w:sz w:val="17"/>
                <w:szCs w:val="17"/>
                <w:b w:val="1"/>
                <w:bCs w:val="1"/>
                <w:color w:val="auto"/>
              </w:rPr>
              <w:t>Total other income</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329,382</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266,567</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289,037</w:t>
            </w:r>
          </w:p>
        </w:tc>
        <w:tc>
          <w:tcPr>
            <w:tcW w:w="0" w:type="dxa"/>
            <w:vAlign w:val="bottom"/>
          </w:tcPr>
          <w:p>
            <w:pPr>
              <w:spacing w:after="0"/>
              <w:rPr>
                <w:sz w:val="1"/>
                <w:szCs w:val="1"/>
                <w:color w:val="auto"/>
              </w:rPr>
            </w:pPr>
          </w:p>
        </w:tc>
      </w:tr>
      <w:tr>
        <w:trPr>
          <w:trHeight w:val="381"/>
        </w:trPr>
        <w:tc>
          <w:tcPr>
            <w:tcW w:w="4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24"/>
                <w:szCs w:val="24"/>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24"/>
                <w:szCs w:val="2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28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Other expenses</w:t>
            </w: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6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Losses due to operational risk</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74,512</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58,956</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54,818</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Provision for sundry risks, note 13 (j)</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43,846</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70,824</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140,897</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Association in participation</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40,955</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47,176</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52,020</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Reduction of intangibles due to withdrawals and dismissed projects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19,432</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17,630</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40,342</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Expenses on improvements in building for rent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18,962</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23,814</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25,773</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Provision for other accounts receivable</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18,736</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28,324</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51,517</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Donations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16,362</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9,949</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128,884</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Operating expenses due to COVID-19</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20,177</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50,107</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106,776</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Administrative and tax penalties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1,626</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1,601</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3,029</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80" w:type="dxa"/>
            <w:vAlign w:val="bottom"/>
          </w:tcPr>
          <w:p>
            <w:pPr>
              <w:ind w:left="260"/>
              <w:spacing w:after="0" w:line="194" w:lineRule="exact"/>
              <w:rPr>
                <w:sz w:val="20"/>
                <w:szCs w:val="20"/>
                <w:color w:val="auto"/>
              </w:rPr>
            </w:pPr>
            <w:r>
              <w:rPr>
                <w:rFonts w:ascii="Arial" w:cs="Arial" w:eastAsia="Arial" w:hAnsi="Arial"/>
                <w:sz w:val="17"/>
                <w:szCs w:val="17"/>
                <w:color w:val="auto"/>
              </w:rPr>
              <w:t>Loss on sale of investment properties</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359</w:t>
            </w:r>
          </w:p>
        </w:tc>
        <w:tc>
          <w:tcPr>
            <w:tcW w:w="200" w:type="dxa"/>
            <w:vAlign w:val="bottom"/>
          </w:tcPr>
          <w:p>
            <w:pPr>
              <w:spacing w:after="0"/>
              <w:rPr>
                <w:sz w:val="16"/>
                <w:szCs w:val="16"/>
                <w:color w:val="auto"/>
              </w:rPr>
            </w:pPr>
          </w:p>
        </w:tc>
        <w:tc>
          <w:tcPr>
            <w:tcW w:w="14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6280" w:type="dxa"/>
            <w:vAlign w:val="bottom"/>
          </w:tcPr>
          <w:p>
            <w:pPr>
              <w:ind w:left="260"/>
              <w:spacing w:after="0"/>
              <w:rPr>
                <w:sz w:val="20"/>
                <w:szCs w:val="20"/>
                <w:color w:val="auto"/>
              </w:rPr>
            </w:pPr>
            <w:r>
              <w:rPr>
                <w:rFonts w:ascii="Arial" w:cs="Arial" w:eastAsia="Arial" w:hAnsi="Arial"/>
                <w:sz w:val="17"/>
                <w:szCs w:val="17"/>
                <w:color w:val="auto"/>
              </w:rPr>
              <w:t>Others (a)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124,263</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126,733</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154,740</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280" w:type="dxa"/>
            <w:vAlign w:val="bottom"/>
          </w:tcPr>
          <w:p>
            <w:pPr>
              <w:ind w:left="260"/>
              <w:spacing w:after="0" w:line="187" w:lineRule="exact"/>
              <w:rPr>
                <w:sz w:val="20"/>
                <w:szCs w:val="20"/>
                <w:color w:val="auto"/>
              </w:rPr>
            </w:pPr>
            <w:r>
              <w:rPr>
                <w:rFonts w:ascii="Arial" w:cs="Arial" w:eastAsia="Arial" w:hAnsi="Arial"/>
                <w:sz w:val="17"/>
                <w:szCs w:val="17"/>
                <w:b w:val="1"/>
                <w:bCs w:val="1"/>
                <w:color w:val="auto"/>
              </w:rPr>
              <w:t>Total other expenses</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379,230</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435,114</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760,124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40" w:hanging="315"/>
        <w:spacing w:after="0"/>
        <w:tabs>
          <w:tab w:leader="none" w:pos="9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variation comprises mainly to positive resolutions of income tax claiming to the tax regulator for 2014 and 2015 periods.</w:t>
      </w:r>
    </w:p>
    <w:p>
      <w:pPr>
        <w:spacing w:after="0" w:line="361" w:lineRule="exact"/>
        <w:rPr>
          <w:rFonts w:ascii="Arial" w:cs="Arial" w:eastAsia="Arial" w:hAnsi="Arial"/>
          <w:sz w:val="17"/>
          <w:szCs w:val="17"/>
          <w:color w:val="auto"/>
        </w:rPr>
      </w:pPr>
    </w:p>
    <w:p>
      <w:pPr>
        <w:ind w:left="5460" w:hanging="107"/>
        <w:spacing w:after="0"/>
        <w:tabs>
          <w:tab w:leader="none" w:pos="546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sectPr>
      </w:pPr>
    </w:p>
    <w:bookmarkStart w:id="133" w:name="page134"/>
    <w:bookmarkEnd w:id="133"/>
    <w:p>
      <w:pPr>
        <w:ind w:left="620" w:hanging="616"/>
        <w:spacing w:after="0"/>
        <w:tabs>
          <w:tab w:leader="none" w:pos="62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EARNING PER SHARE</w:t>
      </w:r>
    </w:p>
    <w:p>
      <w:pPr>
        <w:spacing w:after="0" w:line="214"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Net earnings per common share were determined based on the net income attributable to equity holders of the Group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122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2020</w:t>
            </w:r>
          </w:p>
        </w:tc>
        <w:tc>
          <w:tcPr>
            <w:tcW w:w="500" w:type="dxa"/>
            <w:vAlign w:val="bottom"/>
          </w:tcPr>
          <w:p>
            <w:pPr>
              <w:spacing w:after="0"/>
              <w:rPr>
                <w:sz w:val="18"/>
                <w:szCs w:val="18"/>
                <w:color w:val="auto"/>
              </w:rPr>
            </w:pPr>
          </w:p>
        </w:tc>
      </w:tr>
      <w:tr>
        <w:trPr>
          <w:trHeight w:val="359"/>
        </w:trPr>
        <w:tc>
          <w:tcPr>
            <w:tcW w:w="6700" w:type="dxa"/>
            <w:vAlign w:val="bottom"/>
          </w:tcPr>
          <w:p>
            <w:pPr>
              <w:ind w:left="680"/>
              <w:spacing w:after="0"/>
              <w:rPr>
                <w:sz w:val="20"/>
                <w:szCs w:val="20"/>
                <w:color w:val="auto"/>
              </w:rPr>
            </w:pPr>
            <w:r>
              <w:rPr>
                <w:rFonts w:ascii="Arial" w:cs="Arial" w:eastAsia="Arial" w:hAnsi="Arial"/>
                <w:sz w:val="17"/>
                <w:szCs w:val="17"/>
                <w:b w:val="1"/>
                <w:bCs w:val="1"/>
                <w:color w:val="auto"/>
              </w:rPr>
              <w:t>Net income attributable to equity holders of Credicorp (in thousands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7"/>
        </w:trPr>
        <w:tc>
          <w:tcPr>
            <w:tcW w:w="6700" w:type="dxa"/>
            <w:vAlign w:val="bottom"/>
          </w:tcPr>
          <w:p>
            <w:pPr>
              <w:ind w:left="680"/>
              <w:spacing w:after="0"/>
              <w:rPr>
                <w:sz w:val="20"/>
                <w:szCs w:val="20"/>
                <w:color w:val="auto"/>
              </w:rPr>
            </w:pPr>
            <w:r>
              <w:rPr>
                <w:rFonts w:ascii="Arial" w:cs="Arial" w:eastAsia="Arial" w:hAnsi="Arial"/>
                <w:sz w:val="17"/>
                <w:szCs w:val="17"/>
                <w:b w:val="1"/>
                <w:bCs w:val="1"/>
                <w:color w:val="auto"/>
              </w:rPr>
              <w:t>of Soles)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4,633,096</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3,584,582</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346,894</w:t>
            </w:r>
          </w:p>
        </w:tc>
        <w:tc>
          <w:tcPr>
            <w:tcW w:w="500" w:type="dxa"/>
            <w:vAlign w:val="bottom"/>
          </w:tcPr>
          <w:p>
            <w:pPr>
              <w:spacing w:after="0"/>
              <w:rPr>
                <w:sz w:val="18"/>
                <w:szCs w:val="18"/>
                <w:color w:val="auto"/>
              </w:rPr>
            </w:pPr>
          </w:p>
        </w:tc>
      </w:tr>
      <w:tr>
        <w:trPr>
          <w:trHeight w:val="381"/>
        </w:trPr>
        <w:tc>
          <w:tcPr>
            <w:tcW w:w="6700" w:type="dxa"/>
            <w:vAlign w:val="bottom"/>
          </w:tcPr>
          <w:p>
            <w:pPr>
              <w:ind w:left="680"/>
              <w:spacing w:after="0"/>
              <w:rPr>
                <w:sz w:val="20"/>
                <w:szCs w:val="20"/>
                <w:color w:val="auto"/>
              </w:rPr>
            </w:pPr>
            <w:r>
              <w:rPr>
                <w:rFonts w:ascii="Arial" w:cs="Arial" w:eastAsia="Arial" w:hAnsi="Arial"/>
                <w:sz w:val="17"/>
                <w:szCs w:val="17"/>
                <w:color w:val="auto"/>
              </w:rPr>
              <w:t>Number of stock</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4"/>
        </w:trPr>
        <w:tc>
          <w:tcPr>
            <w:tcW w:w="6700" w:type="dxa"/>
            <w:vAlign w:val="bottom"/>
          </w:tcPr>
          <w:p>
            <w:pPr>
              <w:ind w:left="680"/>
              <w:spacing w:after="0" w:line="194" w:lineRule="exact"/>
              <w:rPr>
                <w:sz w:val="20"/>
                <w:szCs w:val="20"/>
                <w:color w:val="auto"/>
              </w:rPr>
            </w:pPr>
            <w:r>
              <w:rPr>
                <w:rFonts w:ascii="Arial" w:cs="Arial" w:eastAsia="Arial" w:hAnsi="Arial"/>
                <w:sz w:val="17"/>
                <w:szCs w:val="17"/>
                <w:color w:val="auto"/>
              </w:rPr>
              <w:t>Ordinary stock, Note 18(a)</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94,382,317</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94,382,317</w:t>
            </w:r>
          </w:p>
        </w:tc>
        <w:tc>
          <w:tcPr>
            <w:tcW w:w="2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94,382,317</w:t>
            </w:r>
          </w:p>
        </w:tc>
        <w:tc>
          <w:tcPr>
            <w:tcW w:w="500" w:type="dxa"/>
            <w:vAlign w:val="bottom"/>
          </w:tcPr>
          <w:p>
            <w:pPr>
              <w:spacing w:after="0"/>
              <w:rPr>
                <w:sz w:val="16"/>
                <w:szCs w:val="16"/>
                <w:color w:val="auto"/>
              </w:rPr>
            </w:pPr>
          </w:p>
        </w:tc>
      </w:tr>
      <w:tr>
        <w:trPr>
          <w:trHeight w:val="207"/>
        </w:trPr>
        <w:tc>
          <w:tcPr>
            <w:tcW w:w="6700" w:type="dxa"/>
            <w:vAlign w:val="bottom"/>
          </w:tcPr>
          <w:p>
            <w:pPr>
              <w:ind w:left="680"/>
              <w:spacing w:after="0"/>
              <w:rPr>
                <w:sz w:val="20"/>
                <w:szCs w:val="20"/>
                <w:color w:val="auto"/>
              </w:rPr>
            </w:pPr>
            <w:r>
              <w:rPr>
                <w:rFonts w:ascii="Arial" w:cs="Arial" w:eastAsia="Arial" w:hAnsi="Arial"/>
                <w:sz w:val="17"/>
                <w:szCs w:val="17"/>
                <w:color w:val="auto"/>
              </w:rPr>
              <w:t>Less opening balance of treasury stock</w:t>
            </w:r>
          </w:p>
        </w:tc>
        <w:tc>
          <w:tcPr>
            <w:tcW w:w="1220" w:type="dxa"/>
            <w:vAlign w:val="bottom"/>
          </w:tcPr>
          <w:p>
            <w:pPr>
              <w:jc w:val="right"/>
              <w:spacing w:after="0"/>
              <w:rPr>
                <w:sz w:val="20"/>
                <w:szCs w:val="20"/>
                <w:color w:val="auto"/>
              </w:rPr>
            </w:pPr>
            <w:r>
              <w:rPr>
                <w:rFonts w:ascii="Arial" w:cs="Arial" w:eastAsia="Arial" w:hAnsi="Arial"/>
                <w:sz w:val="17"/>
                <w:szCs w:val="17"/>
                <w:color w:val="auto"/>
              </w:rPr>
              <w:t>(14,850,369)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(14,914,734)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(14,872,164)</w:t>
            </w:r>
          </w:p>
        </w:tc>
        <w:tc>
          <w:tcPr>
            <w:tcW w:w="500" w:type="dxa"/>
            <w:vAlign w:val="bottom"/>
          </w:tcPr>
          <w:p>
            <w:pPr>
              <w:spacing w:after="0"/>
              <w:rPr>
                <w:sz w:val="18"/>
                <w:szCs w:val="18"/>
                <w:color w:val="auto"/>
              </w:rPr>
            </w:pPr>
          </w:p>
        </w:tc>
      </w:tr>
      <w:tr>
        <w:trPr>
          <w:trHeight w:val="195"/>
        </w:trPr>
        <w:tc>
          <w:tcPr>
            <w:tcW w:w="6700" w:type="dxa"/>
            <w:vAlign w:val="bottom"/>
          </w:tcPr>
          <w:p>
            <w:pPr>
              <w:ind w:left="680"/>
              <w:spacing w:after="0"/>
              <w:rPr>
                <w:sz w:val="20"/>
                <w:szCs w:val="20"/>
                <w:color w:val="auto"/>
              </w:rPr>
            </w:pPr>
            <w:r>
              <w:rPr>
                <w:rFonts w:ascii="Arial" w:cs="Arial" w:eastAsia="Arial" w:hAnsi="Arial"/>
                <w:sz w:val="17"/>
                <w:szCs w:val="17"/>
                <w:color w:val="auto"/>
              </w:rPr>
              <w:t>Sale (acquisition) of treasury stock, net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(3,615)</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26,604</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(99,716)</w:t>
            </w:r>
          </w:p>
        </w:tc>
        <w:tc>
          <w:tcPr>
            <w:tcW w:w="500" w:type="dxa"/>
            <w:vAlign w:val="bottom"/>
          </w:tcPr>
          <w:p>
            <w:pPr>
              <w:spacing w:after="0"/>
              <w:rPr>
                <w:sz w:val="16"/>
                <w:szCs w:val="16"/>
                <w:color w:val="auto"/>
              </w:rPr>
            </w:pPr>
          </w:p>
        </w:tc>
      </w:tr>
      <w:tr>
        <w:trPr>
          <w:trHeight w:val="186"/>
        </w:trPr>
        <w:tc>
          <w:tcPr>
            <w:tcW w:w="6700" w:type="dxa"/>
            <w:vAlign w:val="bottom"/>
          </w:tcPr>
          <w:p>
            <w:pPr>
              <w:ind w:left="680"/>
              <w:spacing w:after="0" w:line="186" w:lineRule="exact"/>
              <w:rPr>
                <w:sz w:val="20"/>
                <w:szCs w:val="20"/>
                <w:color w:val="auto"/>
              </w:rPr>
            </w:pPr>
            <w:r>
              <w:rPr>
                <w:rFonts w:ascii="Arial" w:cs="Arial" w:eastAsia="Arial" w:hAnsi="Arial"/>
                <w:sz w:val="17"/>
                <w:szCs w:val="17"/>
                <w:b w:val="1"/>
                <w:bCs w:val="1"/>
                <w:color w:val="auto"/>
              </w:rPr>
              <w:t>Weighted average number of ordinary shares for basic earnings</w:t>
            </w:r>
          </w:p>
        </w:tc>
        <w:tc>
          <w:tcPr>
            <w:tcW w:w="1220" w:type="dxa"/>
            <w:vAlign w:val="bottom"/>
          </w:tcPr>
          <w:p>
            <w:pPr>
              <w:jc w:val="right"/>
              <w:spacing w:after="0" w:line="186" w:lineRule="exact"/>
              <w:rPr>
                <w:sz w:val="20"/>
                <w:szCs w:val="20"/>
                <w:color w:val="auto"/>
              </w:rPr>
            </w:pPr>
            <w:r>
              <w:rPr>
                <w:rFonts w:ascii="Arial" w:cs="Arial" w:eastAsia="Arial" w:hAnsi="Arial"/>
                <w:sz w:val="17"/>
                <w:szCs w:val="17"/>
                <w:color w:val="auto"/>
              </w:rPr>
              <w:t>79,528,333</w:t>
            </w: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Arial" w:cs="Arial" w:eastAsia="Arial" w:hAnsi="Arial"/>
                <w:sz w:val="17"/>
                <w:szCs w:val="17"/>
                <w:color w:val="auto"/>
              </w:rPr>
              <w:t>79,494,187</w:t>
            </w:r>
          </w:p>
        </w:tc>
        <w:tc>
          <w:tcPr>
            <w:tcW w:w="20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Arial" w:cs="Arial" w:eastAsia="Arial" w:hAnsi="Arial"/>
                <w:sz w:val="17"/>
                <w:szCs w:val="17"/>
                <w:color w:val="auto"/>
              </w:rPr>
              <w:t>79,410,437</w:t>
            </w:r>
          </w:p>
        </w:tc>
        <w:tc>
          <w:tcPr>
            <w:tcW w:w="500" w:type="dxa"/>
            <w:vAlign w:val="bottom"/>
          </w:tcPr>
          <w:p>
            <w:pPr>
              <w:spacing w:after="0"/>
              <w:rPr>
                <w:sz w:val="16"/>
                <w:szCs w:val="16"/>
                <w:color w:val="auto"/>
              </w:rPr>
            </w:pPr>
          </w:p>
        </w:tc>
      </w:tr>
      <w:tr>
        <w:trPr>
          <w:trHeight w:val="194"/>
        </w:trPr>
        <w:tc>
          <w:tcPr>
            <w:tcW w:w="6700" w:type="dxa"/>
            <w:vAlign w:val="bottom"/>
          </w:tcPr>
          <w:p>
            <w:pPr>
              <w:ind w:left="680"/>
              <w:spacing w:after="0" w:line="194" w:lineRule="exact"/>
              <w:rPr>
                <w:sz w:val="20"/>
                <w:szCs w:val="20"/>
                <w:color w:val="auto"/>
              </w:rPr>
            </w:pPr>
            <w:r>
              <w:rPr>
                <w:rFonts w:ascii="Arial" w:cs="Arial" w:eastAsia="Arial" w:hAnsi="Arial"/>
                <w:sz w:val="17"/>
                <w:szCs w:val="17"/>
                <w:color w:val="auto"/>
              </w:rPr>
              <w:t>Plus - dilution effect - stock awards</w:t>
            </w:r>
          </w:p>
        </w:tc>
        <w:tc>
          <w:tcPr>
            <w:tcW w:w="12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168,462</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182,208</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212,438</w:t>
            </w:r>
          </w:p>
        </w:tc>
        <w:tc>
          <w:tcPr>
            <w:tcW w:w="500" w:type="dxa"/>
            <w:vAlign w:val="bottom"/>
          </w:tcPr>
          <w:p>
            <w:pPr>
              <w:spacing w:after="0"/>
              <w:rPr>
                <w:sz w:val="16"/>
                <w:szCs w:val="16"/>
                <w:color w:val="auto"/>
              </w:rPr>
            </w:pPr>
          </w:p>
        </w:tc>
      </w:tr>
      <w:tr>
        <w:trPr>
          <w:trHeight w:val="174"/>
        </w:trPr>
        <w:tc>
          <w:tcPr>
            <w:tcW w:w="6700" w:type="dxa"/>
            <w:vAlign w:val="bottom"/>
          </w:tcPr>
          <w:p>
            <w:pPr>
              <w:ind w:left="680"/>
              <w:spacing w:after="0" w:line="174" w:lineRule="exact"/>
              <w:rPr>
                <w:sz w:val="20"/>
                <w:szCs w:val="20"/>
                <w:color w:val="auto"/>
              </w:rPr>
            </w:pPr>
            <w:r>
              <w:rPr>
                <w:rFonts w:ascii="Arial" w:cs="Arial" w:eastAsia="Arial" w:hAnsi="Arial"/>
                <w:sz w:val="17"/>
                <w:szCs w:val="17"/>
                <w:color w:val="auto"/>
              </w:rPr>
              <w:t>Weighted average number of ordinary shares adjusted for the effect of</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8"/>
        </w:trPr>
        <w:tc>
          <w:tcPr>
            <w:tcW w:w="6700" w:type="dxa"/>
            <w:vAlign w:val="bottom"/>
          </w:tcPr>
          <w:p>
            <w:pPr>
              <w:ind w:left="680"/>
              <w:spacing w:after="0"/>
              <w:rPr>
                <w:sz w:val="20"/>
                <w:szCs w:val="20"/>
                <w:color w:val="auto"/>
              </w:rPr>
            </w:pPr>
            <w:r>
              <w:rPr>
                <w:rFonts w:ascii="Arial" w:cs="Arial" w:eastAsia="Arial" w:hAnsi="Arial"/>
                <w:sz w:val="17"/>
                <w:szCs w:val="17"/>
                <w:color w:val="auto"/>
              </w:rPr>
              <w:t>dilution</w:t>
            </w:r>
          </w:p>
        </w:tc>
        <w:tc>
          <w:tcPr>
            <w:tcW w:w="1220" w:type="dxa"/>
            <w:vAlign w:val="bottom"/>
          </w:tcPr>
          <w:p>
            <w:pPr>
              <w:jc w:val="right"/>
              <w:spacing w:after="0"/>
              <w:rPr>
                <w:sz w:val="20"/>
                <w:szCs w:val="20"/>
                <w:color w:val="auto"/>
              </w:rPr>
            </w:pPr>
            <w:r>
              <w:rPr>
                <w:rFonts w:ascii="Arial" w:cs="Arial" w:eastAsia="Arial" w:hAnsi="Arial"/>
                <w:sz w:val="17"/>
                <w:szCs w:val="17"/>
                <w:color w:val="auto"/>
              </w:rPr>
              <w:t>79,696,795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79,676,395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79,622,875</w:t>
            </w:r>
          </w:p>
        </w:tc>
        <w:tc>
          <w:tcPr>
            <w:tcW w:w="500" w:type="dxa"/>
            <w:vAlign w:val="bottom"/>
          </w:tcPr>
          <w:p>
            <w:pPr>
              <w:spacing w:after="0"/>
              <w:rPr>
                <w:sz w:val="18"/>
                <w:szCs w:val="18"/>
                <w:color w:val="auto"/>
              </w:rPr>
            </w:pPr>
          </w:p>
        </w:tc>
      </w:tr>
      <w:tr>
        <w:trPr>
          <w:trHeight w:val="375"/>
        </w:trPr>
        <w:tc>
          <w:tcPr>
            <w:tcW w:w="6700" w:type="dxa"/>
            <w:vAlign w:val="bottom"/>
          </w:tcPr>
          <w:p>
            <w:pPr>
              <w:ind w:left="680"/>
              <w:spacing w:after="0"/>
              <w:rPr>
                <w:sz w:val="20"/>
                <w:szCs w:val="20"/>
                <w:color w:val="auto"/>
              </w:rPr>
            </w:pPr>
            <w:r>
              <w:rPr>
                <w:rFonts w:ascii="Arial" w:cs="Arial" w:eastAsia="Arial" w:hAnsi="Arial"/>
                <w:sz w:val="17"/>
                <w:szCs w:val="17"/>
                <w:color w:val="auto"/>
              </w:rPr>
              <w:t>Basic earnings per share (in Soles)</w:t>
            </w:r>
          </w:p>
        </w:tc>
        <w:tc>
          <w:tcPr>
            <w:tcW w:w="1220" w:type="dxa"/>
            <w:vAlign w:val="bottom"/>
          </w:tcPr>
          <w:p>
            <w:pPr>
              <w:jc w:val="right"/>
              <w:spacing w:after="0"/>
              <w:rPr>
                <w:sz w:val="20"/>
                <w:szCs w:val="20"/>
                <w:color w:val="auto"/>
              </w:rPr>
            </w:pPr>
            <w:r>
              <w:rPr>
                <w:rFonts w:ascii="Arial" w:cs="Arial" w:eastAsia="Arial" w:hAnsi="Arial"/>
                <w:sz w:val="17"/>
                <w:szCs w:val="17"/>
                <w:color w:val="auto"/>
              </w:rPr>
              <w:t>58.26</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45.09</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4.37</w:t>
            </w:r>
          </w:p>
        </w:tc>
        <w:tc>
          <w:tcPr>
            <w:tcW w:w="500" w:type="dxa"/>
            <w:vAlign w:val="bottom"/>
          </w:tcPr>
          <w:p>
            <w:pPr>
              <w:spacing w:after="0"/>
              <w:rPr>
                <w:sz w:val="24"/>
                <w:szCs w:val="24"/>
                <w:color w:val="auto"/>
              </w:rPr>
            </w:pPr>
          </w:p>
        </w:tc>
      </w:tr>
      <w:tr>
        <w:trPr>
          <w:trHeight w:val="208"/>
        </w:trPr>
        <w:tc>
          <w:tcPr>
            <w:tcW w:w="6700" w:type="dxa"/>
            <w:vAlign w:val="bottom"/>
          </w:tcPr>
          <w:p>
            <w:pPr>
              <w:ind w:left="680"/>
              <w:spacing w:after="0"/>
              <w:rPr>
                <w:sz w:val="20"/>
                <w:szCs w:val="20"/>
                <w:color w:val="auto"/>
              </w:rPr>
            </w:pPr>
            <w:r>
              <w:rPr>
                <w:rFonts w:ascii="Arial" w:cs="Arial" w:eastAsia="Arial" w:hAnsi="Arial"/>
                <w:sz w:val="17"/>
                <w:szCs w:val="17"/>
                <w:color w:val="auto"/>
              </w:rPr>
              <w:t>Diluted earnings per share (in Soles)</w:t>
            </w:r>
          </w:p>
        </w:tc>
        <w:tc>
          <w:tcPr>
            <w:tcW w:w="1220" w:type="dxa"/>
            <w:vAlign w:val="bottom"/>
          </w:tcPr>
          <w:p>
            <w:pPr>
              <w:jc w:val="right"/>
              <w:spacing w:after="0"/>
              <w:rPr>
                <w:sz w:val="20"/>
                <w:szCs w:val="20"/>
                <w:color w:val="auto"/>
              </w:rPr>
            </w:pPr>
            <w:r>
              <w:rPr>
                <w:rFonts w:ascii="Arial" w:cs="Arial" w:eastAsia="Arial" w:hAnsi="Arial"/>
                <w:sz w:val="17"/>
                <w:szCs w:val="17"/>
                <w:color w:val="auto"/>
              </w:rPr>
              <w:t>58.13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44.99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4.36</w:t>
            </w:r>
          </w:p>
        </w:tc>
        <w:tc>
          <w:tcPr>
            <w:tcW w:w="500" w:type="dxa"/>
            <w:vAlign w:val="bottom"/>
          </w:tcPr>
          <w:p>
            <w:pPr>
              <w:spacing w:after="0"/>
              <w:rPr>
                <w:sz w:val="18"/>
                <w:szCs w:val="18"/>
                <w:color w:val="auto"/>
              </w:rPr>
            </w:pPr>
          </w:p>
        </w:tc>
      </w:tr>
      <w:tr>
        <w:trPr>
          <w:trHeight w:val="363"/>
        </w:trPr>
        <w:tc>
          <w:tcPr>
            <w:tcW w:w="6700" w:type="dxa"/>
            <w:vAlign w:val="bottom"/>
          </w:tcPr>
          <w:p>
            <w:pPr>
              <w:ind w:left="5360"/>
              <w:spacing w:after="0"/>
              <w:rPr>
                <w:sz w:val="20"/>
                <w:szCs w:val="20"/>
                <w:color w:val="auto"/>
              </w:rPr>
            </w:pPr>
            <w:r>
              <w:rPr>
                <w:rFonts w:ascii="Arial" w:cs="Arial" w:eastAsia="Arial" w:hAnsi="Arial"/>
                <w:sz w:val="17"/>
                <w:szCs w:val="17"/>
                <w:color w:val="auto"/>
              </w:rPr>
              <w:t>- 129 -</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8"/>
        </w:trPr>
        <w:tc>
          <w:tcPr>
            <w:tcW w:w="67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8" w:right="339" w:bottom="1440" w:gutter="0" w:footer="0" w:header="0"/>
        </w:sectPr>
      </w:pPr>
    </w:p>
    <w:bookmarkStart w:id="134" w:name="page135"/>
    <w:bookmarkEnd w:id="134"/>
    <w:p>
      <w:pPr>
        <w:ind w:left="616" w:hanging="616"/>
        <w:spacing w:after="0"/>
        <w:tabs>
          <w:tab w:leader="none" w:pos="616"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SEGMENTS</w:t>
      </w:r>
    </w:p>
    <w:p>
      <w:pPr>
        <w:spacing w:after="0" w:line="214" w:lineRule="exact"/>
        <w:rPr>
          <w:rFonts w:ascii="Arial" w:cs="Arial" w:eastAsia="Arial" w:hAnsi="Arial"/>
          <w:sz w:val="17"/>
          <w:szCs w:val="17"/>
          <w:b w:val="1"/>
          <w:bCs w:val="1"/>
          <w:color w:val="auto"/>
        </w:rPr>
      </w:pPr>
    </w:p>
    <w:p>
      <w:pPr>
        <w:ind w:left="616" w:right="5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Board of Directors of Credicorp organized the Group’s subsidiaries according to the types of financial services provided and the sectors on which they are focused; in order to optimize the management thereof. We present the Group´s business lines below:</w:t>
      </w:r>
    </w:p>
    <w:p>
      <w:pPr>
        <w:spacing w:after="0" w:line="169" w:lineRule="exact"/>
        <w:rPr>
          <w:rFonts w:ascii="Arial" w:cs="Arial" w:eastAsia="Arial" w:hAnsi="Arial"/>
          <w:sz w:val="17"/>
          <w:szCs w:val="17"/>
          <w:b w:val="1"/>
          <w:bCs w:val="1"/>
          <w:color w:val="auto"/>
        </w:rPr>
      </w:pPr>
    </w:p>
    <w:p>
      <w:pPr>
        <w:ind w:left="936" w:hanging="315"/>
        <w:spacing w:after="0"/>
        <w:tabs>
          <w:tab w:leader="none" w:pos="936" w:val="left"/>
        </w:tabs>
        <w:numPr>
          <w:ilvl w:val="1"/>
          <w:numId w:val="147"/>
        </w:numPr>
        <w:rPr>
          <w:rFonts w:ascii="Arial" w:cs="Arial" w:eastAsia="Arial" w:hAnsi="Arial"/>
          <w:sz w:val="17"/>
          <w:szCs w:val="17"/>
          <w:color w:val="auto"/>
        </w:rPr>
      </w:pPr>
      <w:r>
        <w:rPr>
          <w:rFonts w:ascii="Arial" w:cs="Arial" w:eastAsia="Arial" w:hAnsi="Arial"/>
          <w:sz w:val="17"/>
          <w:szCs w:val="17"/>
          <w:color w:val="auto"/>
        </w:rPr>
        <w:t>Universal Banking -</w:t>
      </w:r>
    </w:p>
    <w:p>
      <w:pPr>
        <w:spacing w:after="0" w:line="193" w:lineRule="exact"/>
        <w:rPr>
          <w:rFonts w:ascii="Arial" w:cs="Arial" w:eastAsia="Arial" w:hAnsi="Arial"/>
          <w:sz w:val="17"/>
          <w:szCs w:val="17"/>
          <w:color w:val="auto"/>
        </w:rPr>
      </w:pPr>
    </w:p>
    <w:p>
      <w:pPr>
        <w:ind w:left="936" w:right="360"/>
        <w:spacing w:after="0" w:line="243" w:lineRule="auto"/>
        <w:rPr>
          <w:rFonts w:ascii="Arial" w:cs="Arial" w:eastAsia="Arial" w:hAnsi="Arial"/>
          <w:sz w:val="17"/>
          <w:szCs w:val="17"/>
          <w:color w:val="auto"/>
        </w:rPr>
      </w:pPr>
      <w:r>
        <w:rPr>
          <w:rFonts w:ascii="Arial" w:cs="Arial" w:eastAsia="Arial" w:hAnsi="Arial"/>
          <w:sz w:val="17"/>
          <w:szCs w:val="17"/>
          <w:color w:val="auto"/>
        </w:rPr>
        <w:t>Comprising operations related to the granting of different credits and financial instruments to individuals and legal entities, from the segments of wholesale and retail banking, such as the obtaining of funds from the public through deposits and checking accounts, obtaining of funding by means of initial public offerings and direct indebtedness with other financial institutions. This business line incorporates the profit or loss and balances of the Banco de Crédito del Perú (BCP) and Banco de Crédito de Bolivia (BCB).</w:t>
      </w:r>
    </w:p>
    <w:p>
      <w:pPr>
        <w:spacing w:after="0" w:line="179" w:lineRule="exact"/>
        <w:rPr>
          <w:rFonts w:ascii="Arial" w:cs="Arial" w:eastAsia="Arial" w:hAnsi="Arial"/>
          <w:sz w:val="17"/>
          <w:szCs w:val="17"/>
          <w:color w:val="auto"/>
        </w:rPr>
      </w:pPr>
    </w:p>
    <w:p>
      <w:pPr>
        <w:ind w:left="936" w:hanging="315"/>
        <w:spacing w:after="0"/>
        <w:tabs>
          <w:tab w:leader="none" w:pos="936"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Insurance and Pensions -</w:t>
      </w:r>
    </w:p>
    <w:p>
      <w:pPr>
        <w:spacing w:after="0" w:line="193" w:lineRule="exact"/>
        <w:rPr>
          <w:rFonts w:ascii="Arial" w:cs="Arial" w:eastAsia="Arial" w:hAnsi="Arial"/>
          <w:sz w:val="17"/>
          <w:szCs w:val="17"/>
          <w:color w:val="auto"/>
        </w:rPr>
      </w:pPr>
    </w:p>
    <w:p>
      <w:pPr>
        <w:ind w:left="1156" w:right="220" w:hanging="224"/>
        <w:spacing w:after="0" w:line="246" w:lineRule="auto"/>
        <w:tabs>
          <w:tab w:leader="none" w:pos="1156" w:val="left"/>
        </w:tabs>
        <w:numPr>
          <w:ilvl w:val="2"/>
          <w:numId w:val="147"/>
        </w:numPr>
        <w:rPr>
          <w:rFonts w:ascii="Arial" w:cs="Arial" w:eastAsia="Arial" w:hAnsi="Arial"/>
          <w:sz w:val="17"/>
          <w:szCs w:val="17"/>
          <w:color w:val="auto"/>
        </w:rPr>
      </w:pPr>
      <w:r>
        <w:rPr>
          <w:rFonts w:ascii="Arial" w:cs="Arial" w:eastAsia="Arial" w:hAnsi="Arial"/>
          <w:sz w:val="17"/>
          <w:szCs w:val="17"/>
          <w:color w:val="auto"/>
        </w:rPr>
        <w:t>Insurance: it mainly includes the issuance of insurance policies to cover losses in commercial property, transport, marine vessels, automobiles, life, health and pensions, which are carried out through Pacífico Compañía de Seguros y Reaseguros and its subsidiaries.</w:t>
      </w:r>
    </w:p>
    <w:p>
      <w:pPr>
        <w:spacing w:after="0" w:line="175" w:lineRule="exact"/>
        <w:rPr>
          <w:rFonts w:ascii="Arial" w:cs="Arial" w:eastAsia="Arial" w:hAnsi="Arial"/>
          <w:sz w:val="17"/>
          <w:szCs w:val="17"/>
          <w:color w:val="auto"/>
        </w:rPr>
      </w:pPr>
    </w:p>
    <w:p>
      <w:pPr>
        <w:ind w:left="1236" w:hanging="304"/>
        <w:spacing w:after="0"/>
        <w:tabs>
          <w:tab w:leader="none" w:pos="1236" w:val="left"/>
        </w:tabs>
        <w:numPr>
          <w:ilvl w:val="2"/>
          <w:numId w:val="147"/>
        </w:numPr>
        <w:rPr>
          <w:rFonts w:ascii="Arial" w:cs="Arial" w:eastAsia="Arial" w:hAnsi="Arial"/>
          <w:sz w:val="17"/>
          <w:szCs w:val="17"/>
          <w:color w:val="auto"/>
        </w:rPr>
      </w:pPr>
      <w:r>
        <w:rPr>
          <w:rFonts w:ascii="Arial" w:cs="Arial" w:eastAsia="Arial" w:hAnsi="Arial"/>
          <w:sz w:val="17"/>
          <w:szCs w:val="17"/>
          <w:color w:val="auto"/>
        </w:rPr>
        <w:t>Pensions funds: It provides Management Service of private pension funds to the affiliates, which is carried out from Prima AFP.</w:t>
      </w:r>
    </w:p>
    <w:p>
      <w:pPr>
        <w:spacing w:after="0" w:line="193" w:lineRule="exact"/>
        <w:rPr>
          <w:rFonts w:ascii="Arial" w:cs="Arial" w:eastAsia="Arial" w:hAnsi="Arial"/>
          <w:sz w:val="17"/>
          <w:szCs w:val="17"/>
          <w:color w:val="auto"/>
        </w:rPr>
      </w:pPr>
    </w:p>
    <w:p>
      <w:pPr>
        <w:ind w:left="936" w:hanging="315"/>
        <w:spacing w:after="0"/>
        <w:tabs>
          <w:tab w:leader="none" w:pos="936" w:val="left"/>
        </w:tabs>
        <w:numPr>
          <w:ilvl w:val="1"/>
          <w:numId w:val="147"/>
        </w:numPr>
        <w:rPr>
          <w:rFonts w:ascii="Arial" w:cs="Arial" w:eastAsia="Arial" w:hAnsi="Arial"/>
          <w:sz w:val="17"/>
          <w:szCs w:val="17"/>
          <w:color w:val="auto"/>
        </w:rPr>
      </w:pPr>
      <w:r>
        <w:rPr>
          <w:rFonts w:ascii="Arial" w:cs="Arial" w:eastAsia="Arial" w:hAnsi="Arial"/>
          <w:sz w:val="17"/>
          <w:szCs w:val="17"/>
          <w:color w:val="auto"/>
        </w:rPr>
        <w:t>Microfinance -</w:t>
      </w:r>
    </w:p>
    <w:p>
      <w:pPr>
        <w:spacing w:after="0" w:line="193" w:lineRule="exact"/>
        <w:rPr>
          <w:rFonts w:ascii="Arial" w:cs="Arial" w:eastAsia="Arial" w:hAnsi="Arial"/>
          <w:sz w:val="17"/>
          <w:szCs w:val="17"/>
          <w:color w:val="auto"/>
        </w:rPr>
      </w:pPr>
    </w:p>
    <w:p>
      <w:pPr>
        <w:ind w:left="936" w:right="540"/>
        <w:spacing w:after="0" w:line="254" w:lineRule="auto"/>
        <w:rPr>
          <w:rFonts w:ascii="Arial" w:cs="Arial" w:eastAsia="Arial" w:hAnsi="Arial"/>
          <w:sz w:val="17"/>
          <w:szCs w:val="17"/>
          <w:color w:val="auto"/>
        </w:rPr>
      </w:pPr>
      <w:r>
        <w:rPr>
          <w:rFonts w:ascii="Arial" w:cs="Arial" w:eastAsia="Arial" w:hAnsi="Arial"/>
          <w:sz w:val="17"/>
          <w:szCs w:val="17"/>
          <w:color w:val="auto"/>
        </w:rPr>
        <w:t>Includes management of loans, deposits and checking accounts of the small and microenterprises which are carried out through Mibanco, Banco de la Microempresa S.A. and Mibanco – Banco de la Microempresa de Colombia S.A.</w:t>
      </w:r>
    </w:p>
    <w:p>
      <w:pPr>
        <w:spacing w:after="0" w:line="169" w:lineRule="exact"/>
        <w:rPr>
          <w:rFonts w:ascii="Arial" w:cs="Arial" w:eastAsia="Arial" w:hAnsi="Arial"/>
          <w:sz w:val="17"/>
          <w:szCs w:val="17"/>
          <w:color w:val="auto"/>
        </w:rPr>
      </w:pPr>
    </w:p>
    <w:p>
      <w:pPr>
        <w:ind w:left="936" w:hanging="315"/>
        <w:spacing w:after="0"/>
        <w:tabs>
          <w:tab w:leader="none" w:pos="936"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Investment Banking and Equity Management -</w:t>
      </w:r>
    </w:p>
    <w:p>
      <w:pPr>
        <w:spacing w:after="0" w:line="193" w:lineRule="exact"/>
        <w:rPr>
          <w:rFonts w:ascii="Arial" w:cs="Arial" w:eastAsia="Arial" w:hAnsi="Arial"/>
          <w:sz w:val="17"/>
          <w:szCs w:val="17"/>
          <w:color w:val="auto"/>
        </w:rPr>
      </w:pPr>
    </w:p>
    <w:p>
      <w:pPr>
        <w:ind w:left="936" w:right="420"/>
        <w:spacing w:after="0" w:line="243" w:lineRule="auto"/>
        <w:rPr>
          <w:rFonts w:ascii="Arial" w:cs="Arial" w:eastAsia="Arial" w:hAnsi="Arial"/>
          <w:sz w:val="17"/>
          <w:szCs w:val="17"/>
          <w:color w:val="auto"/>
        </w:rPr>
      </w:pPr>
      <w:r>
        <w:rPr>
          <w:rFonts w:ascii="Arial" w:cs="Arial" w:eastAsia="Arial" w:hAnsi="Arial"/>
          <w:sz w:val="17"/>
          <w:szCs w:val="17"/>
          <w:color w:val="auto"/>
        </w:rPr>
        <w:t>Comprising brokerage service and investment management services offered to a broad and diverse clientele, which includes corporations, institutional investors, governments and foundations; also, comprising the structuring and placement of issues in the primary market, as well as the implementation and negotiation of transactions in the secondary market. Additionally, it structures securitization processes for corporate customers and manages mutual funds.</w:t>
      </w:r>
    </w:p>
    <w:p>
      <w:pPr>
        <w:spacing w:after="0" w:line="180" w:lineRule="exact"/>
        <w:rPr>
          <w:sz w:val="20"/>
          <w:szCs w:val="20"/>
          <w:color w:val="auto"/>
        </w:rPr>
      </w:pPr>
    </w:p>
    <w:p>
      <w:pPr>
        <w:ind w:left="936"/>
        <w:spacing w:after="0"/>
        <w:rPr>
          <w:sz w:val="20"/>
          <w:szCs w:val="20"/>
          <w:color w:val="auto"/>
        </w:rPr>
      </w:pPr>
      <w:r>
        <w:rPr>
          <w:rFonts w:ascii="Arial" w:cs="Arial" w:eastAsia="Arial" w:hAnsi="Arial"/>
          <w:sz w:val="17"/>
          <w:szCs w:val="17"/>
          <w:color w:val="auto"/>
        </w:rPr>
        <w:t>All these services are provided through Credicorp Capital Ltd. and subsidiaries and ASB Bank Corp.</w:t>
      </w:r>
    </w:p>
    <w:p>
      <w:pPr>
        <w:spacing w:after="0" w:line="193" w:lineRule="exact"/>
        <w:rPr>
          <w:sz w:val="20"/>
          <w:szCs w:val="20"/>
          <w:color w:val="auto"/>
        </w:rPr>
      </w:pPr>
    </w:p>
    <w:p>
      <w:pPr>
        <w:ind w:left="616"/>
        <w:spacing w:after="0"/>
        <w:rPr>
          <w:sz w:val="20"/>
          <w:szCs w:val="20"/>
          <w:color w:val="auto"/>
        </w:rPr>
      </w:pPr>
      <w:r>
        <w:rPr>
          <w:rFonts w:ascii="Arial" w:cs="Arial" w:eastAsia="Arial" w:hAnsi="Arial"/>
          <w:sz w:val="17"/>
          <w:szCs w:val="17"/>
          <w:color w:val="auto"/>
        </w:rPr>
        <w:t>Management of these business lines is designed to:</w:t>
      </w:r>
    </w:p>
    <w:p>
      <w:pPr>
        <w:spacing w:after="0" w:line="193" w:lineRule="exact"/>
        <w:rPr>
          <w:sz w:val="20"/>
          <w:szCs w:val="20"/>
          <w:color w:val="auto"/>
        </w:rPr>
      </w:pPr>
    </w:p>
    <w:p>
      <w:pPr>
        <w:ind w:left="936" w:hanging="315"/>
        <w:spacing w:after="0" w:line="254" w:lineRule="auto"/>
        <w:tabs>
          <w:tab w:leader="none" w:pos="93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Promote the joint action of our businesses in order to take advantage of the synergies which result from the diversification of our portfolio.</w:t>
      </w:r>
    </w:p>
    <w:p>
      <w:pPr>
        <w:spacing w:after="0" w:line="169" w:lineRule="exact"/>
        <w:rPr>
          <w:rFonts w:ascii="Arial" w:cs="Arial" w:eastAsia="Arial" w:hAnsi="Arial"/>
          <w:sz w:val="17"/>
          <w:szCs w:val="17"/>
          <w:color w:val="auto"/>
        </w:rPr>
      </w:pPr>
    </w:p>
    <w:p>
      <w:pPr>
        <w:jc w:val="both"/>
        <w:ind w:left="936" w:hanging="315"/>
        <w:spacing w:after="0" w:line="246" w:lineRule="auto"/>
        <w:tabs>
          <w:tab w:leader="none" w:pos="93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Strengthening our leadership in the financial sector through our growth in new businesses, through the implementation of an investment banking platform available not only to the corporate world, but also to the retail segment, especially to the Small and Medium Enterprise (SME) and Consumer sectors.</w:t>
      </w:r>
    </w:p>
    <w:p>
      <w:pPr>
        <w:spacing w:after="0" w:line="344" w:lineRule="exact"/>
        <w:rPr>
          <w:rFonts w:ascii="Arial" w:cs="Arial" w:eastAsia="Arial" w:hAnsi="Arial"/>
          <w:sz w:val="17"/>
          <w:szCs w:val="17"/>
          <w:color w:val="auto"/>
        </w:rPr>
      </w:pPr>
    </w:p>
    <w:p>
      <w:pPr>
        <w:ind w:left="5456" w:hanging="107"/>
        <w:spacing w:after="0"/>
        <w:tabs>
          <w:tab w:leader="none" w:pos="5456" w:val="left"/>
        </w:tabs>
        <w:numPr>
          <w:ilvl w:val="1"/>
          <w:numId w:val="148"/>
        </w:numPr>
        <w:rPr>
          <w:rFonts w:ascii="Arial" w:cs="Arial" w:eastAsia="Arial" w:hAnsi="Arial"/>
          <w:sz w:val="17"/>
          <w:szCs w:val="17"/>
          <w:color w:val="auto"/>
        </w:rPr>
      </w:pPr>
      <w:r>
        <w:rPr>
          <w:rFonts w:ascii="Arial" w:cs="Arial" w:eastAsia="Arial" w:hAnsi="Arial"/>
          <w:sz w:val="17"/>
          <w:szCs w:val="17"/>
          <w:color w:val="auto"/>
        </w:rPr>
        <w:t>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803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6"/>
          </w:cols>
          <w:pgMar w:left="324" w:top="118" w:right="339" w:bottom="1440" w:gutter="0" w:footer="0" w:header="0"/>
        </w:sectPr>
      </w:pPr>
    </w:p>
    <w:bookmarkStart w:id="135" w:name="page136"/>
    <w:bookmarkEnd w:id="135"/>
    <w:p>
      <w:pPr>
        <w:ind w:left="315" w:hanging="315"/>
        <w:spacing w:after="0"/>
        <w:tabs>
          <w:tab w:leader="none" w:pos="31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Improve the ongoing search to adapt our business models, processes and procedures into line with best practices worldwide.</w:t>
      </w:r>
    </w:p>
    <w:p>
      <w:pPr>
        <w:spacing w:after="0" w:line="192" w:lineRule="exact"/>
        <w:rPr>
          <w:rFonts w:ascii="Arial" w:cs="Arial" w:eastAsia="Arial" w:hAnsi="Arial"/>
          <w:sz w:val="17"/>
          <w:szCs w:val="17"/>
          <w:color w:val="auto"/>
        </w:rPr>
      </w:pPr>
    </w:p>
    <w:p>
      <w:pPr>
        <w:ind w:left="315"/>
        <w:spacing w:after="0" w:line="242" w:lineRule="auto"/>
        <w:rPr>
          <w:rFonts w:ascii="Arial" w:cs="Arial" w:eastAsia="Arial" w:hAnsi="Arial"/>
          <w:sz w:val="17"/>
          <w:szCs w:val="17"/>
          <w:color w:val="auto"/>
        </w:rPr>
      </w:pPr>
      <w:r>
        <w:rPr>
          <w:rFonts w:ascii="Arial" w:cs="Arial" w:eastAsia="Arial" w:hAnsi="Arial"/>
          <w:sz w:val="17"/>
          <w:szCs w:val="17"/>
          <w:color w:val="auto"/>
        </w:rPr>
        <w:t>The operating results of the Group’s new business lines are monitored separately by the Board of Directors and Senior Management on a monthly basis, in order to make decisions regarding the allocation of resources and the evaluation of the performance of each one of the segments. The Chief Operating Decision Maker (CODM) of Credicorp is the Chief Executive Officer (CEO). The performance of the segments is evaluated based on the operating profits or losses and is measured consistently with the operating profits and losses presented in the consolidated statement of income.</w:t>
      </w:r>
    </w:p>
    <w:p>
      <w:pPr>
        <w:spacing w:after="0" w:line="180" w:lineRule="exact"/>
        <w:rPr>
          <w:rFonts w:ascii="Arial" w:cs="Arial" w:eastAsia="Arial" w:hAnsi="Arial"/>
          <w:sz w:val="17"/>
          <w:szCs w:val="17"/>
          <w:color w:val="auto"/>
        </w:rPr>
      </w:pPr>
    </w:p>
    <w:p>
      <w:pPr>
        <w:ind w:left="315" w:right="420"/>
        <w:spacing w:after="0" w:line="246" w:lineRule="auto"/>
        <w:rPr>
          <w:rFonts w:ascii="Arial" w:cs="Arial" w:eastAsia="Arial" w:hAnsi="Arial"/>
          <w:sz w:val="17"/>
          <w:szCs w:val="17"/>
          <w:color w:val="auto"/>
        </w:rPr>
      </w:pPr>
      <w:r>
        <w:rPr>
          <w:rFonts w:ascii="Arial" w:cs="Arial" w:eastAsia="Arial" w:hAnsi="Arial"/>
          <w:sz w:val="17"/>
          <w:szCs w:val="17"/>
          <w:color w:val="auto"/>
        </w:rPr>
        <w:t>Financial information by segment is prepared subject to the minimum controls necessary and on a uniform basis, with coherent grouping according to the type of activity and customer. The transfer prices used for determining income and expenses generated among the operating segments are similar to the prices that would be applicable to transactions carried out at arm’s length.</w:t>
      </w:r>
    </w:p>
    <w:p>
      <w:pPr>
        <w:spacing w:after="0" w:line="175" w:lineRule="exact"/>
        <w:rPr>
          <w:rFonts w:ascii="Arial" w:cs="Arial" w:eastAsia="Arial" w:hAnsi="Arial"/>
          <w:sz w:val="17"/>
          <w:szCs w:val="17"/>
          <w:color w:val="auto"/>
        </w:rPr>
      </w:pPr>
    </w:p>
    <w:p>
      <w:pPr>
        <w:ind w:left="315" w:right="260"/>
        <w:spacing w:after="0" w:line="254" w:lineRule="auto"/>
        <w:rPr>
          <w:rFonts w:ascii="Arial" w:cs="Arial" w:eastAsia="Arial" w:hAnsi="Arial"/>
          <w:sz w:val="17"/>
          <w:szCs w:val="17"/>
          <w:color w:val="auto"/>
        </w:rPr>
      </w:pPr>
      <w:r>
        <w:rPr>
          <w:rFonts w:ascii="Arial" w:cs="Arial" w:eastAsia="Arial" w:hAnsi="Arial"/>
          <w:sz w:val="17"/>
          <w:szCs w:val="17"/>
          <w:color w:val="auto"/>
        </w:rPr>
        <w:t>None of the income derives from transactions carried out with a single customer or counterparty which is equal to or greater than 10 percent or more of the total income of the Group as of December 31, 2022, 2021 and 2020.</w:t>
      </w:r>
    </w:p>
    <w:p>
      <w:pPr>
        <w:spacing w:after="0" w:line="337" w:lineRule="exact"/>
        <w:rPr>
          <w:rFonts w:ascii="Arial" w:cs="Arial" w:eastAsia="Arial" w:hAnsi="Arial"/>
          <w:sz w:val="17"/>
          <w:szCs w:val="17"/>
          <w:color w:val="auto"/>
        </w:rPr>
      </w:pPr>
    </w:p>
    <w:p>
      <w:pPr>
        <w:ind w:left="4835" w:hanging="107"/>
        <w:spacing w:after="0"/>
        <w:tabs>
          <w:tab w:leader="none" w:pos="483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136" w:name="page137"/>
    <w:bookmarkEnd w:id="136"/>
    <w:p>
      <w:pPr>
        <w:ind w:left="300" w:right="400" w:hanging="296"/>
        <w:spacing w:after="0" w:line="254" w:lineRule="auto"/>
        <w:tabs>
          <w:tab w:leader="none" w:pos="3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following table presents information recorded in the results and for certain items of the assets corresponding to the Group’s reportable segments (in millions of soles) as of December 31, 2022,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Income (*)</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Additions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of fixed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From</w:t>
            </w:r>
          </w:p>
        </w:tc>
        <w:tc>
          <w:tcPr>
            <w:tcW w:w="7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similar</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credit</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asset,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income</w:t>
            </w:r>
          </w:p>
        </w:tc>
        <w:tc>
          <w:tcPr>
            <w:tcW w:w="8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losses</w:t>
            </w: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Depreciation</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intangibles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w w:val="97"/>
              </w:rPr>
              <w:t>segments</w:t>
            </w:r>
          </w:p>
        </w:tc>
        <w:tc>
          <w:tcPr>
            <w:tcW w:w="7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and</w:t>
            </w:r>
          </w:p>
        </w:tc>
        <w:tc>
          <w:tcPr>
            <w:tcW w:w="8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income,</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on loan</w:t>
            </w: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and</w:t>
            </w: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w:t>
            </w:r>
          </w:p>
        </w:tc>
        <w:tc>
          <w:tcPr>
            <w:tcW w:w="660" w:type="dxa"/>
            <w:vAlign w:val="bottom"/>
          </w:tcPr>
          <w:p>
            <w:pPr>
              <w:spacing w:after="0"/>
              <w:rPr>
                <w:sz w:val="13"/>
                <w:szCs w:val="13"/>
                <w:color w:val="auto"/>
              </w:rPr>
            </w:pPr>
          </w:p>
        </w:tc>
        <w:tc>
          <w:tcPr>
            <w:tcW w:w="9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and</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External</w:t>
            </w:r>
          </w:p>
        </w:tc>
        <w:tc>
          <w:tcPr>
            <w:tcW w:w="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expenses</w:t>
            </w: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auto"/>
              </w:rPr>
              <w:t>net (***)</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portfolio</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tax</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Net profit</w:t>
            </w: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goodwill</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66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53"/>
        </w:trPr>
        <w:tc>
          <w:tcPr>
            <w:tcW w:w="25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Universal Banking</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Banco de Crédito del Perú</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13,510</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518</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7,828</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3,139</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(1,448)</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(452)</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(1,625)</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4,258</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590</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177,907</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157,485</w:t>
            </w:r>
          </w:p>
        </w:tc>
        <w:tc>
          <w:tcPr>
            <w:tcW w:w="0" w:type="dxa"/>
            <w:vAlign w:val="bottom"/>
          </w:tcPr>
          <w:p>
            <w:pPr>
              <w:spacing w:after="0"/>
              <w:rPr>
                <w:sz w:val="1"/>
                <w:szCs w:val="1"/>
                <w:color w:val="auto"/>
              </w:rPr>
            </w:pPr>
          </w:p>
        </w:tc>
      </w:tr>
      <w:tr>
        <w:trPr>
          <w:trHeight w:val="151"/>
        </w:trPr>
        <w:tc>
          <w:tcPr>
            <w:tcW w:w="2600" w:type="dxa"/>
            <w:vAlign w:val="bottom"/>
            <w:gridSpan w:val="2"/>
          </w:tcPr>
          <w:p>
            <w:pPr>
              <w:ind w:left="160"/>
              <w:spacing w:after="0" w:line="151" w:lineRule="exact"/>
              <w:rPr>
                <w:sz w:val="20"/>
                <w:szCs w:val="20"/>
                <w:color w:val="auto"/>
              </w:rPr>
            </w:pPr>
            <w:r>
              <w:rPr>
                <w:rFonts w:ascii="Arial" w:cs="Arial" w:eastAsia="Arial" w:hAnsi="Arial"/>
                <w:sz w:val="14"/>
                <w:szCs w:val="14"/>
                <w:color w:val="auto"/>
              </w:rPr>
              <w:t>Banco de Crédito de Bolivia</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865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325</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167</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(69)</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12,698</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11,838</w:t>
            </w:r>
          </w:p>
        </w:tc>
        <w:tc>
          <w:tcPr>
            <w:tcW w:w="0" w:type="dxa"/>
            <w:vAlign w:val="bottom"/>
          </w:tcPr>
          <w:p>
            <w:pPr>
              <w:spacing w:after="0"/>
              <w:rPr>
                <w:sz w:val="1"/>
                <w:szCs w:val="1"/>
                <w:color w:val="auto"/>
              </w:rPr>
            </w:pPr>
          </w:p>
        </w:tc>
      </w:tr>
      <w:tr>
        <w:trPr>
          <w:trHeight w:val="162"/>
        </w:trPr>
        <w:tc>
          <w:tcPr>
            <w:tcW w:w="2600" w:type="dxa"/>
            <w:vAlign w:val="bottom"/>
            <w:gridSpan w:val="2"/>
            <w:vMerge w:val="restart"/>
          </w:tcPr>
          <w:p>
            <w:pPr>
              <w:spacing w:after="0"/>
              <w:rPr>
                <w:sz w:val="20"/>
                <w:szCs w:val="20"/>
                <w:color w:val="auto"/>
              </w:rPr>
            </w:pPr>
            <w:r>
              <w:rPr>
                <w:rFonts w:ascii="Arial" w:cs="Arial" w:eastAsia="Arial" w:hAnsi="Arial"/>
                <w:sz w:val="14"/>
                <w:szCs w:val="14"/>
                <w:color w:val="auto"/>
              </w:rPr>
              <w:t>Insurance and Pension funds</w:t>
            </w:r>
          </w:p>
        </w:tc>
        <w:tc>
          <w:tcPr>
            <w:tcW w:w="660" w:type="dxa"/>
            <w:vAlign w:val="bottom"/>
          </w:tcPr>
          <w:p>
            <w:pPr>
              <w:jc w:val="right"/>
              <w:spacing w:after="0"/>
              <w:rPr>
                <w:sz w:val="20"/>
                <w:szCs w:val="20"/>
                <w:color w:val="auto"/>
              </w:rPr>
            </w:pPr>
            <w:r>
              <w:rPr>
                <w:rFonts w:ascii="Arial" w:cs="Arial" w:eastAsia="Arial" w:hAnsi="Arial"/>
                <w:sz w:val="14"/>
                <w:szCs w:val="14"/>
                <w:color w:val="auto"/>
              </w:rPr>
              <w:t>14,375</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527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8,153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3,306</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4,326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190,605</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169,323</w:t>
            </w:r>
          </w:p>
        </w:tc>
        <w:tc>
          <w:tcPr>
            <w:tcW w:w="0" w:type="dxa"/>
            <w:vAlign w:val="bottom"/>
          </w:tcPr>
          <w:p>
            <w:pPr>
              <w:spacing w:after="0"/>
              <w:rPr>
                <w:sz w:val="1"/>
                <w:szCs w:val="1"/>
                <w:color w:val="auto"/>
              </w:rPr>
            </w:pPr>
          </w:p>
        </w:tc>
      </w:tr>
      <w:tr>
        <w:trPr>
          <w:trHeight w:val="146"/>
        </w:trPr>
        <w:tc>
          <w:tcPr>
            <w:tcW w:w="26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Pacífico Seguros y subsidiarias</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3,763</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63</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727</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620</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452</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15,905</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13,504</w:t>
            </w:r>
          </w:p>
        </w:tc>
        <w:tc>
          <w:tcPr>
            <w:tcW w:w="0" w:type="dxa"/>
            <w:vAlign w:val="bottom"/>
          </w:tcPr>
          <w:p>
            <w:pPr>
              <w:spacing w:after="0"/>
              <w:rPr>
                <w:sz w:val="1"/>
                <w:szCs w:val="1"/>
                <w:color w:val="auto"/>
              </w:rPr>
            </w:pPr>
          </w:p>
        </w:tc>
      </w:tr>
      <w:tr>
        <w:trPr>
          <w:trHeight w:val="151"/>
        </w:trPr>
        <w:tc>
          <w:tcPr>
            <w:tcW w:w="2600" w:type="dxa"/>
            <w:vAlign w:val="bottom"/>
            <w:gridSpan w:val="2"/>
          </w:tcPr>
          <w:p>
            <w:pPr>
              <w:ind w:left="160"/>
              <w:spacing w:after="0" w:line="151" w:lineRule="exact"/>
              <w:rPr>
                <w:sz w:val="20"/>
                <w:szCs w:val="20"/>
                <w:color w:val="auto"/>
              </w:rPr>
            </w:pPr>
            <w:r>
              <w:rPr>
                <w:rFonts w:ascii="Arial" w:cs="Arial" w:eastAsia="Arial" w:hAnsi="Arial"/>
                <w:sz w:val="14"/>
                <w:szCs w:val="14"/>
                <w:color w:val="auto"/>
              </w:rPr>
              <w:t>Prima AFP</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354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354</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735</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2"/>
        </w:trPr>
        <w:tc>
          <w:tcPr>
            <w:tcW w:w="2600" w:type="dxa"/>
            <w:vAlign w:val="bottom"/>
            <w:gridSpan w:val="2"/>
            <w:vMerge w:val="restart"/>
          </w:tcPr>
          <w:p>
            <w:pPr>
              <w:spacing w:after="0"/>
              <w:rPr>
                <w:sz w:val="20"/>
                <w:szCs w:val="20"/>
                <w:color w:val="auto"/>
              </w:rPr>
            </w:pPr>
            <w:r>
              <w:rPr>
                <w:rFonts w:ascii="Arial" w:cs="Arial" w:eastAsia="Arial" w:hAnsi="Arial"/>
                <w:sz w:val="14"/>
                <w:szCs w:val="14"/>
                <w:color w:val="auto"/>
              </w:rPr>
              <w:t>Microfinance</w:t>
            </w:r>
          </w:p>
        </w:tc>
        <w:tc>
          <w:tcPr>
            <w:tcW w:w="660" w:type="dxa"/>
            <w:vAlign w:val="bottom"/>
          </w:tcPr>
          <w:p>
            <w:pPr>
              <w:jc w:val="right"/>
              <w:spacing w:after="0"/>
              <w:rPr>
                <w:sz w:val="20"/>
                <w:szCs w:val="20"/>
                <w:color w:val="auto"/>
              </w:rPr>
            </w:pPr>
            <w:r>
              <w:rPr>
                <w:rFonts w:ascii="Arial" w:cs="Arial" w:eastAsia="Arial" w:hAnsi="Arial"/>
                <w:sz w:val="14"/>
                <w:szCs w:val="14"/>
                <w:color w:val="auto"/>
              </w:rPr>
              <w:t>4,117</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16,640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13,742</w:t>
            </w:r>
          </w:p>
        </w:tc>
        <w:tc>
          <w:tcPr>
            <w:tcW w:w="0" w:type="dxa"/>
            <w:vAlign w:val="bottom"/>
          </w:tcPr>
          <w:p>
            <w:pPr>
              <w:spacing w:after="0"/>
              <w:rPr>
                <w:sz w:val="1"/>
                <w:szCs w:val="1"/>
                <w:color w:val="auto"/>
              </w:rPr>
            </w:pPr>
          </w:p>
        </w:tc>
      </w:tr>
      <w:tr>
        <w:trPr>
          <w:trHeight w:val="146"/>
        </w:trPr>
        <w:tc>
          <w:tcPr>
            <w:tcW w:w="26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Mibanco</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2,750</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2,139</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(597)</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(165)</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425</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96</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17,226</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14,444</w:t>
            </w:r>
          </w:p>
        </w:tc>
        <w:tc>
          <w:tcPr>
            <w:tcW w:w="0" w:type="dxa"/>
            <w:vAlign w:val="bottom"/>
          </w:tcPr>
          <w:p>
            <w:pPr>
              <w:spacing w:after="0"/>
              <w:rPr>
                <w:sz w:val="1"/>
                <w:szCs w:val="1"/>
                <w:color w:val="auto"/>
              </w:rPr>
            </w:pPr>
          </w:p>
        </w:tc>
      </w:tr>
      <w:tr>
        <w:trPr>
          <w:trHeight w:val="151"/>
        </w:trPr>
        <w:tc>
          <w:tcPr>
            <w:tcW w:w="2600" w:type="dxa"/>
            <w:vAlign w:val="bottom"/>
            <w:gridSpan w:val="2"/>
          </w:tcPr>
          <w:p>
            <w:pPr>
              <w:ind w:left="160"/>
              <w:spacing w:after="0" w:line="151" w:lineRule="exact"/>
              <w:rPr>
                <w:sz w:val="20"/>
                <w:szCs w:val="20"/>
                <w:color w:val="auto"/>
              </w:rPr>
            </w:pPr>
            <w:r>
              <w:rPr>
                <w:rFonts w:ascii="Arial" w:cs="Arial" w:eastAsia="Arial" w:hAnsi="Arial"/>
                <w:sz w:val="14"/>
                <w:szCs w:val="14"/>
                <w:color w:val="auto"/>
              </w:rPr>
              <w:t>Mibanco Colombia (****)</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375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236</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1,530</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62"/>
        </w:trPr>
        <w:tc>
          <w:tcPr>
            <w:tcW w:w="2600" w:type="dxa"/>
            <w:vAlign w:val="bottom"/>
            <w:gridSpan w:val="2"/>
            <w:vMerge w:val="restart"/>
          </w:tcPr>
          <w:p>
            <w:pPr>
              <w:spacing w:after="0"/>
              <w:rPr>
                <w:sz w:val="20"/>
                <w:szCs w:val="20"/>
                <w:color w:val="auto"/>
              </w:rPr>
            </w:pPr>
            <w:r>
              <w:rPr>
                <w:rFonts w:ascii="Arial" w:cs="Arial" w:eastAsia="Arial" w:hAnsi="Arial"/>
                <w:sz w:val="14"/>
                <w:szCs w:val="14"/>
                <w:color w:val="auto"/>
              </w:rPr>
              <w:t>Investment Banking and Wealth</w:t>
            </w:r>
          </w:p>
        </w:tc>
        <w:tc>
          <w:tcPr>
            <w:tcW w:w="660" w:type="dxa"/>
            <w:vAlign w:val="bottom"/>
          </w:tcPr>
          <w:p>
            <w:pPr>
              <w:jc w:val="right"/>
              <w:spacing w:after="0"/>
              <w:rPr>
                <w:sz w:val="20"/>
                <w:szCs w:val="20"/>
                <w:color w:val="auto"/>
              </w:rPr>
            </w:pPr>
            <w:r>
              <w:rPr>
                <w:rFonts w:ascii="Arial" w:cs="Arial" w:eastAsia="Arial" w:hAnsi="Arial"/>
                <w:sz w:val="14"/>
                <w:szCs w:val="14"/>
                <w:color w:val="auto"/>
              </w:rPr>
              <w:t>3,125</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2,375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18,756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15,734</w:t>
            </w:r>
          </w:p>
        </w:tc>
        <w:tc>
          <w:tcPr>
            <w:tcW w:w="0" w:type="dxa"/>
            <w:vAlign w:val="bottom"/>
          </w:tcPr>
          <w:p>
            <w:pPr>
              <w:spacing w:after="0"/>
              <w:rPr>
                <w:sz w:val="1"/>
                <w:szCs w:val="1"/>
                <w:color w:val="auto"/>
              </w:rPr>
            </w:pPr>
          </w:p>
        </w:tc>
      </w:tr>
      <w:tr>
        <w:trPr>
          <w:trHeight w:val="146"/>
        </w:trPr>
        <w:tc>
          <w:tcPr>
            <w:tcW w:w="26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0" w:type="dxa"/>
            <w:vAlign w:val="bottom"/>
            <w:gridSpan w:val="2"/>
          </w:tcPr>
          <w:p>
            <w:pPr>
              <w:spacing w:after="0" w:line="155" w:lineRule="exact"/>
              <w:rPr>
                <w:sz w:val="20"/>
                <w:szCs w:val="20"/>
                <w:color w:val="auto"/>
              </w:rPr>
            </w:pPr>
            <w:r>
              <w:rPr>
                <w:rFonts w:ascii="Arial" w:cs="Arial" w:eastAsia="Arial" w:hAnsi="Arial"/>
                <w:sz w:val="14"/>
                <w:szCs w:val="14"/>
                <w:color w:val="auto"/>
              </w:rPr>
              <w:t>Management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923</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90</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98</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666</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21</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14,051</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10,670</w:t>
            </w:r>
          </w:p>
        </w:tc>
        <w:tc>
          <w:tcPr>
            <w:tcW w:w="0" w:type="dxa"/>
            <w:vAlign w:val="bottom"/>
          </w:tcPr>
          <w:p>
            <w:pPr>
              <w:spacing w:after="0"/>
              <w:rPr>
                <w:sz w:val="1"/>
                <w:szCs w:val="1"/>
                <w:color w:val="auto"/>
              </w:rPr>
            </w:pPr>
          </w:p>
        </w:tc>
      </w:tr>
      <w:tr>
        <w:trPr>
          <w:trHeight w:val="155"/>
        </w:trPr>
        <w:tc>
          <w:tcPr>
            <w:tcW w:w="2600" w:type="dxa"/>
            <w:vAlign w:val="bottom"/>
            <w:gridSpan w:val="2"/>
          </w:tcPr>
          <w:p>
            <w:pPr>
              <w:spacing w:after="0" w:line="155" w:lineRule="exact"/>
              <w:rPr>
                <w:sz w:val="20"/>
                <w:szCs w:val="20"/>
                <w:color w:val="auto"/>
              </w:rPr>
            </w:pPr>
            <w:r>
              <w:rPr>
                <w:rFonts w:ascii="Arial" w:cs="Arial" w:eastAsia="Arial" w:hAnsi="Arial"/>
                <w:sz w:val="14"/>
                <w:szCs w:val="14"/>
                <w:color w:val="auto"/>
              </w:rPr>
              <w:t>Other segments</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453</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41</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165</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748</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(603)</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3,476</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2,606</w:t>
            </w:r>
          </w:p>
        </w:tc>
        <w:tc>
          <w:tcPr>
            <w:tcW w:w="0" w:type="dxa"/>
            <w:vAlign w:val="bottom"/>
          </w:tcPr>
          <w:p>
            <w:pPr>
              <w:spacing w:after="0"/>
              <w:rPr>
                <w:sz w:val="1"/>
                <w:szCs w:val="1"/>
                <w:color w:val="auto"/>
              </w:rPr>
            </w:pPr>
          </w:p>
        </w:tc>
      </w:tr>
      <w:tr>
        <w:trPr>
          <w:trHeight w:val="165"/>
        </w:trPr>
        <w:tc>
          <w:tcPr>
            <w:tcW w:w="2600" w:type="dxa"/>
            <w:vAlign w:val="bottom"/>
            <w:gridSpan w:val="2"/>
          </w:tcPr>
          <w:p>
            <w:pPr>
              <w:spacing w:after="0"/>
              <w:rPr>
                <w:sz w:val="20"/>
                <w:szCs w:val="20"/>
                <w:color w:val="auto"/>
              </w:rPr>
            </w:pPr>
            <w:r>
              <w:rPr>
                <w:rFonts w:ascii="Arial" w:cs="Arial" w:eastAsia="Arial" w:hAnsi="Arial"/>
                <w:sz w:val="14"/>
                <w:szCs w:val="14"/>
                <w:color w:val="auto"/>
              </w:rPr>
              <w:t>Eliminations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(6,774)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(4,901)</w:t>
            </w:r>
          </w:p>
        </w:tc>
        <w:tc>
          <w:tcPr>
            <w:tcW w:w="0" w:type="dxa"/>
            <w:vAlign w:val="bottom"/>
          </w:tcPr>
          <w:p>
            <w:pPr>
              <w:spacing w:after="0"/>
              <w:rPr>
                <w:sz w:val="1"/>
                <w:szCs w:val="1"/>
                <w:color w:val="auto"/>
              </w:rPr>
            </w:pPr>
          </w:p>
        </w:tc>
      </w:tr>
      <w:tr>
        <w:trPr>
          <w:trHeight w:val="141"/>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consolidated</w:t>
            </w: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gridSpan w:val="2"/>
            <w:vMerge w:val="continue"/>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22,993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725</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11,518</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5,770</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(2,159)</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(683)</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(2,111)</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4,745</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920</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236,754</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207,174</w:t>
            </w:r>
          </w:p>
        </w:tc>
        <w:tc>
          <w:tcPr>
            <w:tcW w:w="0" w:type="dxa"/>
            <w:vAlign w:val="bottom"/>
          </w:tcPr>
          <w:p>
            <w:pPr>
              <w:spacing w:after="0"/>
              <w:rPr>
                <w:sz w:val="1"/>
                <w:szCs w:val="1"/>
                <w:color w:val="auto"/>
              </w:rPr>
            </w:pPr>
          </w:p>
        </w:tc>
      </w:tr>
      <w:tr>
        <w:trPr>
          <w:trHeight w:val="34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Income (*)</w:t>
            </w: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Additions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of fixed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From</w:t>
            </w:r>
          </w:p>
        </w:tc>
        <w:tc>
          <w:tcPr>
            <w:tcW w:w="7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similar</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credit</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asset,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income</w:t>
            </w:r>
          </w:p>
        </w:tc>
        <w:tc>
          <w:tcPr>
            <w:tcW w:w="8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losses</w:t>
            </w: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Depreciation</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intangibles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w w:val="97"/>
              </w:rPr>
              <w:t>segments</w:t>
            </w:r>
          </w:p>
        </w:tc>
        <w:tc>
          <w:tcPr>
            <w:tcW w:w="7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and</w:t>
            </w:r>
          </w:p>
        </w:tc>
        <w:tc>
          <w:tcPr>
            <w:tcW w:w="8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income,</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on loan</w:t>
            </w: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and</w:t>
            </w: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w:t>
            </w:r>
          </w:p>
        </w:tc>
        <w:tc>
          <w:tcPr>
            <w:tcW w:w="660" w:type="dxa"/>
            <w:vAlign w:val="bottom"/>
          </w:tcPr>
          <w:p>
            <w:pPr>
              <w:spacing w:after="0"/>
              <w:rPr>
                <w:sz w:val="13"/>
                <w:szCs w:val="13"/>
                <w:color w:val="auto"/>
              </w:rPr>
            </w:pPr>
          </w:p>
        </w:tc>
        <w:tc>
          <w:tcPr>
            <w:tcW w:w="9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and</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External</w:t>
            </w:r>
          </w:p>
        </w:tc>
        <w:tc>
          <w:tcPr>
            <w:tcW w:w="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expenses</w:t>
            </w: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auto"/>
              </w:rPr>
              <w:t>net (***)</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portfolio</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tax</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Net profit</w:t>
            </w: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goodwill</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66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53"/>
        </w:trPr>
        <w:tc>
          <w:tcPr>
            <w:tcW w:w="25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Universal Banking</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Banco de Crédito del Perú</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11,143</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368</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6,192</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3,262</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(1,034)</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(441)</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(1,275)</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3,391</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449</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184,740</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166,411</w:t>
            </w:r>
          </w:p>
        </w:tc>
        <w:tc>
          <w:tcPr>
            <w:tcW w:w="0" w:type="dxa"/>
            <w:vAlign w:val="bottom"/>
          </w:tcPr>
          <w:p>
            <w:pPr>
              <w:spacing w:after="0"/>
              <w:rPr>
                <w:sz w:val="1"/>
                <w:szCs w:val="1"/>
                <w:color w:val="auto"/>
              </w:rPr>
            </w:pPr>
          </w:p>
        </w:tc>
      </w:tr>
      <w:tr>
        <w:trPr>
          <w:trHeight w:val="151"/>
        </w:trPr>
        <w:tc>
          <w:tcPr>
            <w:tcW w:w="2600" w:type="dxa"/>
            <w:vAlign w:val="bottom"/>
            <w:gridSpan w:val="2"/>
          </w:tcPr>
          <w:p>
            <w:pPr>
              <w:ind w:left="160"/>
              <w:spacing w:after="0" w:line="151" w:lineRule="exact"/>
              <w:rPr>
                <w:sz w:val="20"/>
                <w:szCs w:val="20"/>
                <w:color w:val="auto"/>
              </w:rPr>
            </w:pPr>
            <w:r>
              <w:rPr>
                <w:rFonts w:ascii="Arial" w:cs="Arial" w:eastAsia="Arial" w:hAnsi="Arial"/>
                <w:sz w:val="14"/>
                <w:szCs w:val="14"/>
                <w:color w:val="auto"/>
              </w:rPr>
              <w:t>Banco de Crédito de Bolivia</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891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337</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157</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13,800</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12,965</w:t>
            </w:r>
          </w:p>
        </w:tc>
        <w:tc>
          <w:tcPr>
            <w:tcW w:w="0" w:type="dxa"/>
            <w:vAlign w:val="bottom"/>
          </w:tcPr>
          <w:p>
            <w:pPr>
              <w:spacing w:after="0"/>
              <w:rPr>
                <w:sz w:val="1"/>
                <w:szCs w:val="1"/>
                <w:color w:val="auto"/>
              </w:rPr>
            </w:pPr>
          </w:p>
        </w:tc>
      </w:tr>
      <w:tr>
        <w:trPr>
          <w:trHeight w:val="162"/>
        </w:trPr>
        <w:tc>
          <w:tcPr>
            <w:tcW w:w="2600" w:type="dxa"/>
            <w:vAlign w:val="bottom"/>
            <w:gridSpan w:val="2"/>
            <w:vMerge w:val="restart"/>
          </w:tcPr>
          <w:p>
            <w:pPr>
              <w:spacing w:after="0"/>
              <w:rPr>
                <w:sz w:val="20"/>
                <w:szCs w:val="20"/>
                <w:color w:val="auto"/>
              </w:rPr>
            </w:pPr>
            <w:r>
              <w:rPr>
                <w:rFonts w:ascii="Arial" w:cs="Arial" w:eastAsia="Arial" w:hAnsi="Arial"/>
                <w:sz w:val="14"/>
                <w:szCs w:val="14"/>
                <w:color w:val="auto"/>
              </w:rPr>
              <w:t>Insurance and Pesion funds</w:t>
            </w:r>
          </w:p>
        </w:tc>
        <w:tc>
          <w:tcPr>
            <w:tcW w:w="660" w:type="dxa"/>
            <w:vAlign w:val="bottom"/>
          </w:tcPr>
          <w:p>
            <w:pPr>
              <w:jc w:val="right"/>
              <w:spacing w:after="0"/>
              <w:rPr>
                <w:sz w:val="20"/>
                <w:szCs w:val="20"/>
                <w:color w:val="auto"/>
              </w:rPr>
            </w:pPr>
            <w:r>
              <w:rPr>
                <w:rFonts w:ascii="Arial" w:cs="Arial" w:eastAsia="Arial" w:hAnsi="Arial"/>
                <w:sz w:val="14"/>
                <w:szCs w:val="14"/>
                <w:color w:val="auto"/>
              </w:rPr>
              <w:t>12,034</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378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6,529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3,419</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(1,338)</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3,463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198,540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179,376</w:t>
            </w:r>
          </w:p>
        </w:tc>
        <w:tc>
          <w:tcPr>
            <w:tcW w:w="0" w:type="dxa"/>
            <w:vAlign w:val="bottom"/>
          </w:tcPr>
          <w:p>
            <w:pPr>
              <w:spacing w:after="0"/>
              <w:rPr>
                <w:sz w:val="1"/>
                <w:szCs w:val="1"/>
                <w:color w:val="auto"/>
              </w:rPr>
            </w:pPr>
          </w:p>
        </w:tc>
      </w:tr>
      <w:tr>
        <w:trPr>
          <w:trHeight w:val="146"/>
        </w:trPr>
        <w:tc>
          <w:tcPr>
            <w:tcW w:w="26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Pacífico Seguros y subsidiarias</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3,544</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610</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228</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(130)</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16,491</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14,194</w:t>
            </w:r>
          </w:p>
        </w:tc>
        <w:tc>
          <w:tcPr>
            <w:tcW w:w="0" w:type="dxa"/>
            <w:vAlign w:val="bottom"/>
          </w:tcPr>
          <w:p>
            <w:pPr>
              <w:spacing w:after="0"/>
              <w:rPr>
                <w:sz w:val="1"/>
                <w:szCs w:val="1"/>
                <w:color w:val="auto"/>
              </w:rPr>
            </w:pPr>
          </w:p>
        </w:tc>
      </w:tr>
      <w:tr>
        <w:trPr>
          <w:trHeight w:val="151"/>
        </w:trPr>
        <w:tc>
          <w:tcPr>
            <w:tcW w:w="2600" w:type="dxa"/>
            <w:vAlign w:val="bottom"/>
            <w:gridSpan w:val="2"/>
          </w:tcPr>
          <w:p>
            <w:pPr>
              <w:ind w:left="160"/>
              <w:spacing w:after="0" w:line="151" w:lineRule="exact"/>
              <w:rPr>
                <w:sz w:val="20"/>
                <w:szCs w:val="20"/>
                <w:color w:val="auto"/>
              </w:rPr>
            </w:pPr>
            <w:r>
              <w:rPr>
                <w:rFonts w:ascii="Arial" w:cs="Arial" w:eastAsia="Arial" w:hAnsi="Arial"/>
                <w:sz w:val="14"/>
                <w:szCs w:val="14"/>
                <w:color w:val="auto"/>
              </w:rPr>
              <w:t>Prima AFP</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407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406</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(65)</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146</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840</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62"/>
        </w:trPr>
        <w:tc>
          <w:tcPr>
            <w:tcW w:w="2600" w:type="dxa"/>
            <w:vAlign w:val="bottom"/>
            <w:gridSpan w:val="2"/>
            <w:vMerge w:val="restart"/>
          </w:tcPr>
          <w:p>
            <w:pPr>
              <w:spacing w:after="0"/>
              <w:rPr>
                <w:sz w:val="20"/>
                <w:szCs w:val="20"/>
                <w:color w:val="auto"/>
              </w:rPr>
            </w:pPr>
            <w:r>
              <w:rPr>
                <w:rFonts w:ascii="Arial" w:cs="Arial" w:eastAsia="Arial" w:hAnsi="Arial"/>
                <w:sz w:val="14"/>
                <w:szCs w:val="14"/>
                <w:color w:val="auto"/>
              </w:rPr>
              <w:t>Microfinance</w:t>
            </w:r>
          </w:p>
        </w:tc>
        <w:tc>
          <w:tcPr>
            <w:tcW w:w="660" w:type="dxa"/>
            <w:vAlign w:val="bottom"/>
          </w:tcPr>
          <w:p>
            <w:pPr>
              <w:jc w:val="right"/>
              <w:spacing w:after="0"/>
              <w:rPr>
                <w:sz w:val="20"/>
                <w:szCs w:val="20"/>
                <w:color w:val="auto"/>
              </w:rPr>
            </w:pPr>
            <w:r>
              <w:rPr>
                <w:rFonts w:ascii="Arial" w:cs="Arial" w:eastAsia="Arial" w:hAnsi="Arial"/>
                <w:sz w:val="14"/>
                <w:szCs w:val="14"/>
                <w:color w:val="auto"/>
              </w:rPr>
              <w:t>3,951</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606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17,331</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14,459</w:t>
            </w:r>
          </w:p>
        </w:tc>
        <w:tc>
          <w:tcPr>
            <w:tcW w:w="0" w:type="dxa"/>
            <w:vAlign w:val="bottom"/>
          </w:tcPr>
          <w:p>
            <w:pPr>
              <w:spacing w:after="0"/>
              <w:rPr>
                <w:sz w:val="1"/>
                <w:szCs w:val="1"/>
                <w:color w:val="auto"/>
              </w:rPr>
            </w:pPr>
          </w:p>
        </w:tc>
      </w:tr>
      <w:tr>
        <w:trPr>
          <w:trHeight w:val="146"/>
        </w:trPr>
        <w:tc>
          <w:tcPr>
            <w:tcW w:w="26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Mibanco</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2,114</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1,860</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(504)</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(78)</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(143)</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266</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16,163</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13,800</w:t>
            </w:r>
          </w:p>
        </w:tc>
        <w:tc>
          <w:tcPr>
            <w:tcW w:w="0" w:type="dxa"/>
            <w:vAlign w:val="bottom"/>
          </w:tcPr>
          <w:p>
            <w:pPr>
              <w:spacing w:after="0"/>
              <w:rPr>
                <w:sz w:val="1"/>
                <w:szCs w:val="1"/>
                <w:color w:val="auto"/>
              </w:rPr>
            </w:pPr>
          </w:p>
        </w:tc>
      </w:tr>
      <w:tr>
        <w:trPr>
          <w:trHeight w:val="151"/>
        </w:trPr>
        <w:tc>
          <w:tcPr>
            <w:tcW w:w="2600" w:type="dxa"/>
            <w:vAlign w:val="bottom"/>
            <w:gridSpan w:val="2"/>
          </w:tcPr>
          <w:p>
            <w:pPr>
              <w:ind w:left="160"/>
              <w:spacing w:after="0" w:line="151" w:lineRule="exact"/>
              <w:rPr>
                <w:sz w:val="20"/>
                <w:szCs w:val="20"/>
                <w:color w:val="auto"/>
              </w:rPr>
            </w:pPr>
            <w:r>
              <w:rPr>
                <w:rFonts w:ascii="Arial" w:cs="Arial" w:eastAsia="Arial" w:hAnsi="Arial"/>
                <w:sz w:val="14"/>
                <w:szCs w:val="14"/>
                <w:color w:val="auto"/>
              </w:rPr>
              <w:t>Mibanco Colombia (****)</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302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1,393</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162"/>
        </w:trPr>
        <w:tc>
          <w:tcPr>
            <w:tcW w:w="2600" w:type="dxa"/>
            <w:vAlign w:val="bottom"/>
            <w:gridSpan w:val="2"/>
            <w:vMerge w:val="restart"/>
          </w:tcPr>
          <w:p>
            <w:pPr>
              <w:spacing w:after="0"/>
              <w:rPr>
                <w:sz w:val="20"/>
                <w:szCs w:val="20"/>
                <w:color w:val="auto"/>
              </w:rPr>
            </w:pPr>
            <w:r>
              <w:rPr>
                <w:rFonts w:ascii="Arial" w:cs="Arial" w:eastAsia="Arial" w:hAnsi="Arial"/>
                <w:sz w:val="14"/>
                <w:szCs w:val="14"/>
                <w:color w:val="auto"/>
              </w:rPr>
              <w:t>Investment banking and wealth</w:t>
            </w:r>
          </w:p>
        </w:tc>
        <w:tc>
          <w:tcPr>
            <w:tcW w:w="660" w:type="dxa"/>
            <w:vAlign w:val="bottom"/>
          </w:tcPr>
          <w:p>
            <w:pPr>
              <w:jc w:val="right"/>
              <w:spacing w:after="0"/>
              <w:rPr>
                <w:sz w:val="20"/>
                <w:szCs w:val="20"/>
                <w:color w:val="auto"/>
              </w:rPr>
            </w:pPr>
            <w:r>
              <w:rPr>
                <w:rFonts w:ascii="Arial" w:cs="Arial" w:eastAsia="Arial" w:hAnsi="Arial"/>
                <w:sz w:val="14"/>
                <w:szCs w:val="14"/>
                <w:color w:val="auto"/>
              </w:rPr>
              <w:t>2,416</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2,089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17,556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14,959</w:t>
            </w:r>
          </w:p>
        </w:tc>
        <w:tc>
          <w:tcPr>
            <w:tcW w:w="0" w:type="dxa"/>
            <w:vAlign w:val="bottom"/>
          </w:tcPr>
          <w:p>
            <w:pPr>
              <w:spacing w:after="0"/>
              <w:rPr>
                <w:sz w:val="1"/>
                <w:szCs w:val="1"/>
                <w:color w:val="auto"/>
              </w:rPr>
            </w:pPr>
          </w:p>
        </w:tc>
      </w:tr>
      <w:tr>
        <w:trPr>
          <w:trHeight w:val="146"/>
        </w:trPr>
        <w:tc>
          <w:tcPr>
            <w:tcW w:w="26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0" w:type="dxa"/>
            <w:vAlign w:val="bottom"/>
            <w:gridSpan w:val="2"/>
          </w:tcPr>
          <w:p>
            <w:pPr>
              <w:spacing w:after="0" w:line="155" w:lineRule="exact"/>
              <w:rPr>
                <w:sz w:val="20"/>
                <w:szCs w:val="20"/>
                <w:color w:val="auto"/>
              </w:rPr>
            </w:pPr>
            <w:r>
              <w:rPr>
                <w:rFonts w:ascii="Arial" w:cs="Arial" w:eastAsia="Arial" w:hAnsi="Arial"/>
                <w:sz w:val="14"/>
                <w:szCs w:val="14"/>
                <w:color w:val="auto"/>
              </w:rPr>
              <w:t>management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866</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89</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767</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147</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14,744</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12,990</w:t>
            </w:r>
          </w:p>
        </w:tc>
        <w:tc>
          <w:tcPr>
            <w:tcW w:w="0" w:type="dxa"/>
            <w:vAlign w:val="bottom"/>
          </w:tcPr>
          <w:p>
            <w:pPr>
              <w:spacing w:after="0"/>
              <w:rPr>
                <w:sz w:val="1"/>
                <w:szCs w:val="1"/>
                <w:color w:val="auto"/>
              </w:rPr>
            </w:pPr>
          </w:p>
        </w:tc>
      </w:tr>
      <w:tr>
        <w:trPr>
          <w:trHeight w:val="155"/>
        </w:trPr>
        <w:tc>
          <w:tcPr>
            <w:tcW w:w="2600" w:type="dxa"/>
            <w:vAlign w:val="bottom"/>
            <w:gridSpan w:val="2"/>
          </w:tcPr>
          <w:p>
            <w:pPr>
              <w:spacing w:after="0" w:line="155" w:lineRule="exact"/>
              <w:rPr>
                <w:sz w:val="20"/>
                <w:szCs w:val="20"/>
                <w:color w:val="auto"/>
              </w:rPr>
            </w:pPr>
            <w:r>
              <w:rPr>
                <w:rFonts w:ascii="Arial" w:cs="Arial" w:eastAsia="Arial" w:hAnsi="Arial"/>
                <w:sz w:val="14"/>
                <w:szCs w:val="14"/>
                <w:color w:val="auto"/>
              </w:rPr>
              <w:t>Other segments</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182</w:t>
            </w:r>
          </w:p>
        </w:tc>
        <w:tc>
          <w:tcPr>
            <w:tcW w:w="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33</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47</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(69)</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(263)</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3,377</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2,634</w:t>
            </w:r>
          </w:p>
        </w:tc>
        <w:tc>
          <w:tcPr>
            <w:tcW w:w="0" w:type="dxa"/>
            <w:vAlign w:val="bottom"/>
          </w:tcPr>
          <w:p>
            <w:pPr>
              <w:spacing w:after="0"/>
              <w:rPr>
                <w:sz w:val="1"/>
                <w:szCs w:val="1"/>
                <w:color w:val="auto"/>
              </w:rPr>
            </w:pPr>
          </w:p>
        </w:tc>
      </w:tr>
      <w:tr>
        <w:trPr>
          <w:trHeight w:val="151"/>
        </w:trPr>
        <w:tc>
          <w:tcPr>
            <w:tcW w:w="2600" w:type="dxa"/>
            <w:vAlign w:val="bottom"/>
            <w:gridSpan w:val="2"/>
          </w:tcPr>
          <w:p>
            <w:pPr>
              <w:spacing w:after="0" w:line="151" w:lineRule="exact"/>
              <w:rPr>
                <w:sz w:val="20"/>
                <w:szCs w:val="20"/>
                <w:color w:val="auto"/>
              </w:rPr>
            </w:pPr>
            <w:r>
              <w:rPr>
                <w:rFonts w:ascii="Arial" w:cs="Arial" w:eastAsia="Arial" w:hAnsi="Arial"/>
                <w:sz w:val="14"/>
                <w:szCs w:val="14"/>
                <w:color w:val="auto"/>
              </w:rPr>
              <w:t>Eliminations</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(6,701)</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(6,609)</w:t>
            </w: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consolidated</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19,449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549</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9,360</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4,923</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(1,559)</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(683)</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(1,661)</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3,672</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640</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244,847</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217,809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hanging="496"/>
        <w:spacing w:after="0" w:line="238" w:lineRule="auto"/>
        <w:tabs>
          <w:tab w:leader="none" w:pos="5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Comprising total interest and similar income, other income (includes income and expenses on commissions) and net earned premiums from insurance activities.</w:t>
      </w:r>
    </w:p>
    <w:p>
      <w:pPr>
        <w:ind w:left="500" w:hanging="496"/>
        <w:spacing w:after="0"/>
        <w:tabs>
          <w:tab w:leader="none" w:pos="5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Comprising income derived from transactions with other segments, which were eliminated in the consolidated statement of income.</w:t>
      </w:r>
    </w:p>
    <w:p>
      <w:pPr>
        <w:ind w:left="500" w:hanging="496"/>
        <w:spacing w:after="0"/>
        <w:tabs>
          <w:tab w:leader="none" w:pos="5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Comprising other income (include income and expenses for commissions) and insurance underwriting result.</w:t>
      </w:r>
    </w:p>
    <w:p>
      <w:pPr>
        <w:spacing w:after="0" w:line="361" w:lineRule="exact"/>
        <w:rPr>
          <w:rFonts w:ascii="Arial" w:cs="Arial" w:eastAsia="Arial" w:hAnsi="Arial"/>
          <w:sz w:val="17"/>
          <w:szCs w:val="17"/>
          <w:color w:val="auto"/>
        </w:rPr>
      </w:pPr>
    </w:p>
    <w:p>
      <w:pPr>
        <w:ind w:left="5460" w:hanging="107"/>
        <w:spacing w:after="0"/>
        <w:tabs>
          <w:tab w:leader="none" w:pos="546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7"/>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 (*)</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Provision</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of fixed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for credit</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From other</w:t>
            </w: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similar</w:t>
            </w:r>
          </w:p>
        </w:tc>
        <w:tc>
          <w:tcPr>
            <w:tcW w:w="7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Otros</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losses on</w:t>
            </w:r>
          </w:p>
        </w:tc>
        <w:tc>
          <w:tcPr>
            <w:tcW w:w="840" w:type="dxa"/>
            <w:vAlign w:val="bottom"/>
          </w:tcPr>
          <w:p>
            <w:pPr>
              <w:spacing w:after="0" w:line="155" w:lineRule="exact"/>
              <w:rPr>
                <w:sz w:val="20"/>
                <w:szCs w:val="20"/>
                <w:color w:val="auto"/>
              </w:rPr>
            </w:pPr>
            <w:r>
              <w:rPr>
                <w:rFonts w:ascii="Arial" w:cs="Arial" w:eastAsia="Arial" w:hAnsi="Arial"/>
                <w:sz w:val="14"/>
                <w:szCs w:val="14"/>
                <w:b w:val="1"/>
                <w:bCs w:val="1"/>
                <w:color w:val="auto"/>
                <w:w w:val="96"/>
              </w:rPr>
              <w:t>Depreciation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intangibles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segments</w:t>
            </w: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w w:val="97"/>
              </w:rPr>
              <w:t>income and</w:t>
            </w:r>
          </w:p>
        </w:tc>
        <w:tc>
          <w:tcPr>
            <w:tcW w:w="7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income,</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loan</w:t>
            </w:r>
          </w:p>
        </w:tc>
        <w:tc>
          <w:tcPr>
            <w:tcW w:w="840" w:type="dxa"/>
            <w:vAlign w:val="bottom"/>
          </w:tcPr>
          <w:p>
            <w:pPr>
              <w:spacing w:after="0" w:line="155" w:lineRule="exact"/>
              <w:rPr>
                <w:sz w:val="20"/>
                <w:szCs w:val="20"/>
                <w:color w:val="auto"/>
              </w:rPr>
            </w:pPr>
            <w:r>
              <w:rPr>
                <w:rFonts w:ascii="Arial" w:cs="Arial" w:eastAsia="Arial" w:hAnsi="Arial"/>
                <w:sz w:val="14"/>
                <w:szCs w:val="14"/>
                <w:b w:val="1"/>
                <w:bCs w:val="1"/>
                <w:color w:val="auto"/>
              </w:rPr>
              <w:t>y</w:t>
            </w:r>
          </w:p>
        </w:tc>
        <w:tc>
          <w:tcPr>
            <w:tcW w:w="7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Income</w:t>
            </w:r>
          </w:p>
        </w:tc>
        <w:tc>
          <w:tcPr>
            <w:tcW w:w="560" w:type="dxa"/>
            <w:vAlign w:val="bottom"/>
          </w:tcPr>
          <w:p>
            <w:pPr>
              <w:spacing w:after="0" w:line="155" w:lineRule="exact"/>
              <w:rPr>
                <w:sz w:val="20"/>
                <w:szCs w:val="20"/>
                <w:color w:val="auto"/>
              </w:rPr>
            </w:pPr>
            <w:r>
              <w:rPr>
                <w:rFonts w:ascii="Arial" w:cs="Arial" w:eastAsia="Arial" w:hAnsi="Arial"/>
                <w:sz w:val="14"/>
                <w:szCs w:val="14"/>
                <w:b w:val="1"/>
                <w:bCs w:val="1"/>
                <w:color w:val="auto"/>
              </w:rPr>
              <w:t>Net</w:t>
            </w: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and</w:t>
            </w:r>
          </w:p>
        </w:tc>
        <w:tc>
          <w:tcPr>
            <w:tcW w:w="6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7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External</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w:t>
            </w: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w:t>
            </w: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profit</w:t>
            </w: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liabilities</w:t>
            </w:r>
          </w:p>
        </w:tc>
        <w:tc>
          <w:tcPr>
            <w:tcW w:w="0" w:type="dxa"/>
            <w:vAlign w:val="bottom"/>
          </w:tcPr>
          <w:p>
            <w:pPr>
              <w:spacing w:after="0"/>
              <w:rPr>
                <w:sz w:val="1"/>
                <w:szCs w:val="1"/>
                <w:color w:val="auto"/>
              </w:rPr>
            </w:pPr>
          </w:p>
        </w:tc>
      </w:tr>
      <w:tr>
        <w:trPr>
          <w:trHeight w:val="153"/>
        </w:trPr>
        <w:tc>
          <w:tcPr>
            <w:tcW w:w="2820" w:type="dxa"/>
            <w:vAlign w:val="bottom"/>
            <w:gridSpan w:val="2"/>
          </w:tcPr>
          <w:p>
            <w:pPr>
              <w:spacing w:after="0" w:line="153" w:lineRule="exact"/>
              <w:rPr>
                <w:sz w:val="20"/>
                <w:szCs w:val="20"/>
                <w:color w:val="auto"/>
              </w:rPr>
            </w:pPr>
            <w:r>
              <w:rPr>
                <w:rFonts w:ascii="Arial" w:cs="Arial" w:eastAsia="Arial" w:hAnsi="Arial"/>
                <w:sz w:val="14"/>
                <w:szCs w:val="14"/>
                <w:color w:val="auto"/>
              </w:rPr>
              <w:t>Universal Banking</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Banco de Crédito del Perú</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10,775</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412</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5,992</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2,795</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(4,637)</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(428)</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619</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464</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180,766</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164,632</w:t>
            </w:r>
          </w:p>
        </w:tc>
        <w:tc>
          <w:tcPr>
            <w:tcW w:w="0" w:type="dxa"/>
            <w:vAlign w:val="bottom"/>
          </w:tcPr>
          <w:p>
            <w:pPr>
              <w:spacing w:after="0"/>
              <w:rPr>
                <w:sz w:val="1"/>
                <w:szCs w:val="1"/>
                <w:color w:val="auto"/>
              </w:rPr>
            </w:pPr>
          </w:p>
        </w:tc>
      </w:tr>
      <w:tr>
        <w:trPr>
          <w:trHeight w:val="151"/>
        </w:trPr>
        <w:tc>
          <w:tcPr>
            <w:tcW w:w="2820" w:type="dxa"/>
            <w:vAlign w:val="bottom"/>
            <w:gridSpan w:val="2"/>
          </w:tcPr>
          <w:p>
            <w:pPr>
              <w:ind w:left="120"/>
              <w:spacing w:after="0" w:line="151" w:lineRule="exact"/>
              <w:rPr>
                <w:sz w:val="20"/>
                <w:szCs w:val="20"/>
                <w:color w:val="auto"/>
              </w:rPr>
            </w:pPr>
            <w:r>
              <w:rPr>
                <w:rFonts w:ascii="Arial" w:cs="Arial" w:eastAsia="Arial" w:hAnsi="Arial"/>
                <w:sz w:val="14"/>
                <w:szCs w:val="14"/>
                <w:color w:val="auto"/>
              </w:rPr>
              <w:t>Banco de Crédito de Bolivia</w:t>
            </w: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773</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330</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103</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(252)</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12,472</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11,781</w:t>
            </w:r>
          </w:p>
        </w:tc>
        <w:tc>
          <w:tcPr>
            <w:tcW w:w="0" w:type="dxa"/>
            <w:vAlign w:val="bottom"/>
          </w:tcPr>
          <w:p>
            <w:pPr>
              <w:spacing w:after="0"/>
              <w:rPr>
                <w:sz w:val="1"/>
                <w:szCs w:val="1"/>
                <w:color w:val="auto"/>
              </w:rPr>
            </w:pPr>
          </w:p>
        </w:tc>
      </w:tr>
      <w:tr>
        <w:trPr>
          <w:trHeight w:val="162"/>
        </w:trPr>
        <w:tc>
          <w:tcPr>
            <w:tcW w:w="2820" w:type="dxa"/>
            <w:vAlign w:val="bottom"/>
            <w:gridSpan w:val="2"/>
            <w:vMerge w:val="restart"/>
          </w:tcPr>
          <w:p>
            <w:pPr>
              <w:spacing w:after="0"/>
              <w:rPr>
                <w:sz w:val="20"/>
                <w:szCs w:val="20"/>
                <w:color w:val="auto"/>
              </w:rPr>
            </w:pPr>
            <w:r>
              <w:rPr>
                <w:rFonts w:ascii="Arial" w:cs="Arial" w:eastAsia="Arial" w:hAnsi="Arial"/>
                <w:sz w:val="14"/>
                <w:szCs w:val="14"/>
                <w:color w:val="auto"/>
              </w:rPr>
              <w:t>Insurance and pension funds</w:t>
            </w:r>
          </w:p>
        </w:tc>
        <w:tc>
          <w:tcPr>
            <w:tcW w:w="700" w:type="dxa"/>
            <w:vAlign w:val="bottom"/>
          </w:tcPr>
          <w:p>
            <w:pPr>
              <w:jc w:val="right"/>
              <w:spacing w:after="0"/>
              <w:rPr>
                <w:sz w:val="20"/>
                <w:szCs w:val="20"/>
                <w:color w:val="auto"/>
              </w:rPr>
            </w:pPr>
            <w:r>
              <w:rPr>
                <w:rFonts w:ascii="Arial" w:cs="Arial" w:eastAsia="Arial" w:hAnsi="Arial"/>
                <w:sz w:val="14"/>
                <w:szCs w:val="14"/>
                <w:color w:val="auto"/>
              </w:rPr>
              <w:t>11,548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6,322</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2,898</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(4,889)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480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193,238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176,413</w:t>
            </w:r>
          </w:p>
        </w:tc>
        <w:tc>
          <w:tcPr>
            <w:tcW w:w="0" w:type="dxa"/>
            <w:vAlign w:val="bottom"/>
          </w:tcPr>
          <w:p>
            <w:pPr>
              <w:spacing w:after="0"/>
              <w:rPr>
                <w:sz w:val="1"/>
                <w:szCs w:val="1"/>
                <w:color w:val="auto"/>
              </w:rPr>
            </w:pPr>
          </w:p>
        </w:tc>
      </w:tr>
      <w:tr>
        <w:trPr>
          <w:trHeight w:val="146"/>
        </w:trPr>
        <w:tc>
          <w:tcPr>
            <w:tcW w:w="28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Pacífico Seguros y subsidiarias</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3,211</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57</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526</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602</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(59)</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195</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49</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16,025</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13,039</w:t>
            </w:r>
          </w:p>
        </w:tc>
        <w:tc>
          <w:tcPr>
            <w:tcW w:w="0" w:type="dxa"/>
            <w:vAlign w:val="bottom"/>
          </w:tcPr>
          <w:p>
            <w:pPr>
              <w:spacing w:after="0"/>
              <w:rPr>
                <w:sz w:val="1"/>
                <w:szCs w:val="1"/>
                <w:color w:val="auto"/>
              </w:rPr>
            </w:pPr>
          </w:p>
        </w:tc>
      </w:tr>
      <w:tr>
        <w:trPr>
          <w:trHeight w:val="151"/>
        </w:trPr>
        <w:tc>
          <w:tcPr>
            <w:tcW w:w="2820" w:type="dxa"/>
            <w:vAlign w:val="bottom"/>
            <w:gridSpan w:val="2"/>
          </w:tcPr>
          <w:p>
            <w:pPr>
              <w:ind w:left="120"/>
              <w:spacing w:after="0" w:line="151" w:lineRule="exact"/>
              <w:rPr>
                <w:sz w:val="20"/>
                <w:szCs w:val="20"/>
                <w:color w:val="auto"/>
              </w:rPr>
            </w:pPr>
            <w:r>
              <w:rPr>
                <w:rFonts w:ascii="Arial" w:cs="Arial" w:eastAsia="Arial" w:hAnsi="Arial"/>
                <w:sz w:val="14"/>
                <w:szCs w:val="14"/>
                <w:color w:val="auto"/>
              </w:rPr>
              <w:t>Prima AFP</w:t>
            </w: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389</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388</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148</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1,108</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62"/>
        </w:trPr>
        <w:tc>
          <w:tcPr>
            <w:tcW w:w="2820" w:type="dxa"/>
            <w:vAlign w:val="bottom"/>
            <w:gridSpan w:val="2"/>
            <w:vMerge w:val="restart"/>
          </w:tcPr>
          <w:p>
            <w:pPr>
              <w:spacing w:after="0"/>
              <w:rPr>
                <w:sz w:val="20"/>
                <w:szCs w:val="20"/>
                <w:color w:val="auto"/>
              </w:rPr>
            </w:pPr>
            <w:r>
              <w:rPr>
                <w:rFonts w:ascii="Arial" w:cs="Arial" w:eastAsia="Arial" w:hAnsi="Arial"/>
                <w:sz w:val="14"/>
                <w:szCs w:val="14"/>
                <w:color w:val="auto"/>
              </w:rPr>
              <w:t>Microfinance</w:t>
            </w:r>
          </w:p>
        </w:tc>
        <w:tc>
          <w:tcPr>
            <w:tcW w:w="700" w:type="dxa"/>
            <w:vAlign w:val="bottom"/>
          </w:tcPr>
          <w:p>
            <w:pPr>
              <w:jc w:val="right"/>
              <w:spacing w:after="0"/>
              <w:rPr>
                <w:sz w:val="20"/>
                <w:szCs w:val="20"/>
                <w:color w:val="auto"/>
              </w:rPr>
            </w:pPr>
            <w:r>
              <w:rPr>
                <w:rFonts w:ascii="Arial" w:cs="Arial" w:eastAsia="Arial" w:hAnsi="Arial"/>
                <w:sz w:val="14"/>
                <w:szCs w:val="14"/>
                <w:color w:val="auto"/>
              </w:rPr>
              <w:t>3,600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518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17,133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13,447</w:t>
            </w:r>
          </w:p>
        </w:tc>
        <w:tc>
          <w:tcPr>
            <w:tcW w:w="0" w:type="dxa"/>
            <w:vAlign w:val="bottom"/>
          </w:tcPr>
          <w:p>
            <w:pPr>
              <w:spacing w:after="0"/>
              <w:rPr>
                <w:sz w:val="1"/>
                <w:szCs w:val="1"/>
                <w:color w:val="auto"/>
              </w:rPr>
            </w:pPr>
          </w:p>
        </w:tc>
      </w:tr>
      <w:tr>
        <w:trPr>
          <w:trHeight w:val="146"/>
        </w:trPr>
        <w:tc>
          <w:tcPr>
            <w:tcW w:w="28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Mibanco</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1,972</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1,506</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(1,118)</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(86)</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(379)</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51</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15,649</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13,540</w:t>
            </w:r>
          </w:p>
        </w:tc>
        <w:tc>
          <w:tcPr>
            <w:tcW w:w="0" w:type="dxa"/>
            <w:vAlign w:val="bottom"/>
          </w:tcPr>
          <w:p>
            <w:pPr>
              <w:spacing w:after="0"/>
              <w:rPr>
                <w:sz w:val="1"/>
                <w:szCs w:val="1"/>
                <w:color w:val="auto"/>
              </w:rPr>
            </w:pPr>
          </w:p>
        </w:tc>
      </w:tr>
      <w:tr>
        <w:trPr>
          <w:trHeight w:val="151"/>
        </w:trPr>
        <w:tc>
          <w:tcPr>
            <w:tcW w:w="2820" w:type="dxa"/>
            <w:vAlign w:val="bottom"/>
            <w:gridSpan w:val="2"/>
          </w:tcPr>
          <w:p>
            <w:pPr>
              <w:ind w:left="120"/>
              <w:spacing w:after="0" w:line="151" w:lineRule="exact"/>
              <w:rPr>
                <w:sz w:val="20"/>
                <w:szCs w:val="20"/>
                <w:color w:val="auto"/>
              </w:rPr>
            </w:pPr>
            <w:r>
              <w:rPr>
                <w:rFonts w:ascii="Arial" w:cs="Arial" w:eastAsia="Arial" w:hAnsi="Arial"/>
                <w:sz w:val="14"/>
                <w:szCs w:val="14"/>
                <w:color w:val="auto"/>
              </w:rPr>
              <w:t>Mibanco Colombia (****)</w:t>
            </w: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165</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1,208</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62"/>
        </w:trPr>
        <w:tc>
          <w:tcPr>
            <w:tcW w:w="2820" w:type="dxa"/>
            <w:vAlign w:val="bottom"/>
            <w:gridSpan w:val="2"/>
            <w:vMerge w:val="restart"/>
          </w:tcPr>
          <w:p>
            <w:pPr>
              <w:spacing w:after="0"/>
              <w:rPr>
                <w:sz w:val="20"/>
                <w:szCs w:val="20"/>
                <w:color w:val="auto"/>
              </w:rPr>
            </w:pPr>
            <w:r>
              <w:rPr>
                <w:rFonts w:ascii="Arial" w:cs="Arial" w:eastAsia="Arial" w:hAnsi="Arial"/>
                <w:sz w:val="14"/>
                <w:szCs w:val="14"/>
                <w:color w:val="auto"/>
              </w:rPr>
              <w:t>Investment Banking and Wealth</w:t>
            </w:r>
          </w:p>
        </w:tc>
        <w:tc>
          <w:tcPr>
            <w:tcW w:w="700" w:type="dxa"/>
            <w:vAlign w:val="bottom"/>
          </w:tcPr>
          <w:p>
            <w:pPr>
              <w:jc w:val="right"/>
              <w:spacing w:after="0"/>
              <w:rPr>
                <w:sz w:val="20"/>
                <w:szCs w:val="20"/>
                <w:color w:val="auto"/>
              </w:rPr>
            </w:pPr>
            <w:r>
              <w:rPr>
                <w:rFonts w:ascii="Arial" w:cs="Arial" w:eastAsia="Arial" w:hAnsi="Arial"/>
                <w:sz w:val="14"/>
                <w:szCs w:val="14"/>
                <w:color w:val="auto"/>
              </w:rPr>
              <w:t>2,210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1,671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64</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16,857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14,533</w:t>
            </w:r>
          </w:p>
        </w:tc>
        <w:tc>
          <w:tcPr>
            <w:tcW w:w="0" w:type="dxa"/>
            <w:vAlign w:val="bottom"/>
          </w:tcPr>
          <w:p>
            <w:pPr>
              <w:spacing w:after="0"/>
              <w:rPr>
                <w:sz w:val="1"/>
                <w:szCs w:val="1"/>
                <w:color w:val="auto"/>
              </w:rPr>
            </w:pPr>
          </w:p>
        </w:tc>
      </w:tr>
      <w:tr>
        <w:trPr>
          <w:trHeight w:val="146"/>
        </w:trPr>
        <w:tc>
          <w:tcPr>
            <w:tcW w:w="28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20" w:type="dxa"/>
            <w:vAlign w:val="bottom"/>
            <w:gridSpan w:val="2"/>
          </w:tcPr>
          <w:p>
            <w:pPr>
              <w:spacing w:after="0" w:line="155" w:lineRule="exact"/>
              <w:rPr>
                <w:sz w:val="20"/>
                <w:szCs w:val="20"/>
                <w:color w:val="auto"/>
              </w:rPr>
            </w:pPr>
            <w:r>
              <w:rPr>
                <w:rFonts w:ascii="Arial" w:cs="Arial" w:eastAsia="Arial" w:hAnsi="Arial"/>
                <w:sz w:val="14"/>
                <w:szCs w:val="14"/>
                <w:color w:val="auto"/>
              </w:rPr>
              <w:t>Management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1,102</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70</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920</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(35)</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(78)</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11,715</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9,995</w:t>
            </w:r>
          </w:p>
        </w:tc>
        <w:tc>
          <w:tcPr>
            <w:tcW w:w="0" w:type="dxa"/>
            <w:vAlign w:val="bottom"/>
          </w:tcPr>
          <w:p>
            <w:pPr>
              <w:spacing w:after="0"/>
              <w:rPr>
                <w:sz w:val="1"/>
                <w:szCs w:val="1"/>
                <w:color w:val="auto"/>
              </w:rPr>
            </w:pPr>
          </w:p>
        </w:tc>
      </w:tr>
      <w:tr>
        <w:trPr>
          <w:trHeight w:val="155"/>
        </w:trPr>
        <w:tc>
          <w:tcPr>
            <w:tcW w:w="2820" w:type="dxa"/>
            <w:vAlign w:val="bottom"/>
            <w:gridSpan w:val="2"/>
          </w:tcPr>
          <w:p>
            <w:pPr>
              <w:spacing w:after="0" w:line="155" w:lineRule="exact"/>
              <w:rPr>
                <w:sz w:val="20"/>
                <w:szCs w:val="20"/>
                <w:color w:val="auto"/>
              </w:rPr>
            </w:pPr>
            <w:r>
              <w:rPr>
                <w:rFonts w:ascii="Arial" w:cs="Arial" w:eastAsia="Arial" w:hAnsi="Arial"/>
                <w:sz w:val="14"/>
                <w:szCs w:val="14"/>
                <w:color w:val="auto"/>
              </w:rPr>
              <w:t>Other segments</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(78)</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(96)</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(46)</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3,484</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2,531</w:t>
            </w:r>
          </w:p>
        </w:tc>
        <w:tc>
          <w:tcPr>
            <w:tcW w:w="0" w:type="dxa"/>
            <w:vAlign w:val="bottom"/>
          </w:tcPr>
          <w:p>
            <w:pPr>
              <w:spacing w:after="0"/>
              <w:rPr>
                <w:sz w:val="1"/>
                <w:szCs w:val="1"/>
                <w:color w:val="auto"/>
              </w:rPr>
            </w:pPr>
          </w:p>
        </w:tc>
      </w:tr>
      <w:tr>
        <w:trPr>
          <w:trHeight w:val="165"/>
        </w:trPr>
        <w:tc>
          <w:tcPr>
            <w:tcW w:w="2820" w:type="dxa"/>
            <w:vAlign w:val="bottom"/>
            <w:gridSpan w:val="2"/>
          </w:tcPr>
          <w:p>
            <w:pPr>
              <w:spacing w:after="0"/>
              <w:rPr>
                <w:sz w:val="20"/>
                <w:szCs w:val="20"/>
                <w:color w:val="auto"/>
              </w:rPr>
            </w:pPr>
            <w:r>
              <w:rPr>
                <w:rFonts w:ascii="Arial" w:cs="Arial" w:eastAsia="Arial" w:hAnsi="Arial"/>
                <w:sz w:val="14"/>
                <w:szCs w:val="14"/>
                <w:color w:val="auto"/>
              </w:rPr>
              <w:t>Eliminations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(5,021)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(4,958)</w:t>
            </w:r>
          </w:p>
        </w:tc>
        <w:tc>
          <w:tcPr>
            <w:tcW w:w="0" w:type="dxa"/>
            <w:vAlign w:val="bottom"/>
          </w:tcPr>
          <w:p>
            <w:pPr>
              <w:spacing w:after="0"/>
              <w:rPr>
                <w:sz w:val="1"/>
                <w:szCs w:val="1"/>
                <w:color w:val="auto"/>
              </w:rPr>
            </w:pPr>
          </w:p>
        </w:tc>
      </w:tr>
      <w:tr>
        <w:trPr>
          <w:trHeight w:val="141"/>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consolidated</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vMerge w:val="continue"/>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18,382</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525</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8,569</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4,764</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(6,080)</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(670)</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633</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237,406</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211,961</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00" w:hanging="496"/>
        <w:spacing w:after="0"/>
        <w:tabs>
          <w:tab w:leader="none" w:pos="5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Comprising total interest and similar income, other income (includes income and expenses on commissions) and net earned premiums from</w:t>
      </w:r>
    </w:p>
    <w:p>
      <w:pPr>
        <w:ind w:left="500"/>
        <w:spacing w:after="0" w:line="238" w:lineRule="auto"/>
        <w:rPr>
          <w:sz w:val="20"/>
          <w:szCs w:val="20"/>
          <w:color w:val="auto"/>
        </w:rPr>
      </w:pPr>
      <w:r>
        <w:rPr>
          <w:rFonts w:ascii="Arial" w:cs="Arial" w:eastAsia="Arial" w:hAnsi="Arial"/>
          <w:sz w:val="17"/>
          <w:szCs w:val="17"/>
          <w:color w:val="auto"/>
        </w:rPr>
        <w:t>insurance activities.</w:t>
      </w:r>
    </w:p>
    <w:p>
      <w:pPr>
        <w:ind w:left="500" w:hanging="496"/>
        <w:spacing w:after="0"/>
        <w:tabs>
          <w:tab w:leader="none" w:pos="5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Comprising income derived from transactions with other segments, which were eliminated in the consolidated statement of income.</w:t>
      </w:r>
    </w:p>
    <w:p>
      <w:pPr>
        <w:ind w:right="2320" w:firstLine="4"/>
        <w:spacing w:after="0" w:line="254" w:lineRule="auto"/>
        <w:tabs>
          <w:tab w:leader="none" w:pos="492" w:val="left"/>
        </w:tabs>
        <w:numPr>
          <w:ilvl w:val="0"/>
          <w:numId w:val="156"/>
        </w:numPr>
        <w:rPr>
          <w:rFonts w:ascii="Arial" w:cs="Arial" w:eastAsia="Arial" w:hAnsi="Arial"/>
          <w:sz w:val="17"/>
          <w:szCs w:val="17"/>
          <w:color w:val="auto"/>
        </w:rPr>
      </w:pPr>
      <w:r>
        <w:rPr>
          <w:rFonts w:ascii="Arial" w:cs="Arial" w:eastAsia="Arial" w:hAnsi="Arial"/>
          <w:sz w:val="17"/>
          <w:szCs w:val="17"/>
          <w:color w:val="auto"/>
        </w:rPr>
        <w:t>Comprising other income (including income and expenses for commissions) and insurance underwriting result. (****) Banco Compartir S.A. and Edyficar S.A.S merged in October 2020 to form Mibanco Colombia.</w:t>
      </w:r>
    </w:p>
    <w:p>
      <w:pPr>
        <w:spacing w:after="0" w:line="169" w:lineRule="exact"/>
        <w:rPr>
          <w:sz w:val="20"/>
          <w:szCs w:val="20"/>
          <w:color w:val="auto"/>
        </w:rPr>
      </w:pPr>
    </w:p>
    <w:p>
      <w:pPr>
        <w:ind w:left="300" w:right="120" w:hanging="296"/>
        <w:spacing w:after="0" w:line="254" w:lineRule="auto"/>
        <w:tabs>
          <w:tab w:leader="none" w:pos="3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following table shows (in millions of soles) the distribution of the total revenue, operating revenue and non-current assets of the Group; all assigned based on the location of the clients and assets, respectively, as of December 31, 2022,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2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37"/>
        </w:trPr>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ind w:left="120"/>
              <w:spacing w:after="0" w:line="137" w:lineRule="exact"/>
              <w:rPr>
                <w:sz w:val="20"/>
                <w:szCs w:val="20"/>
                <w:color w:val="auto"/>
              </w:rPr>
            </w:pPr>
            <w:r>
              <w:rPr>
                <w:rFonts w:ascii="Arial" w:cs="Arial" w:eastAsia="Arial" w:hAnsi="Arial"/>
                <w:sz w:val="14"/>
                <w:szCs w:val="14"/>
                <w:b w:val="1"/>
                <w:bCs w:val="1"/>
                <w:color w:val="auto"/>
              </w:rPr>
              <w:t>Total non</w:t>
            </w: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b w:val="1"/>
                <w:bCs w:val="1"/>
                <w:color w:val="auto"/>
              </w:rPr>
              <w:t>Total, non</w:t>
            </w: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b w:val="1"/>
                <w:bCs w:val="1"/>
                <w:color w:val="auto"/>
              </w:rPr>
              <w:t>Total non</w:t>
            </w:r>
          </w:p>
        </w:tc>
        <w:tc>
          <w:tcPr>
            <w:tcW w:w="660" w:type="dxa"/>
            <w:vAlign w:val="bottom"/>
            <w:tcBorders>
              <w:top w:val="single" w:sz="8" w:color="auto"/>
            </w:tcBorders>
          </w:tcPr>
          <w:p>
            <w:pPr>
              <w:spacing w:after="0"/>
              <w:rPr>
                <w:sz w:val="11"/>
                <w:szCs w:val="11"/>
                <w:color w:val="auto"/>
              </w:rPr>
            </w:pPr>
          </w:p>
        </w:tc>
      </w:tr>
      <w:tr>
        <w:trPr>
          <w:trHeight w:val="155"/>
        </w:trPr>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w w:val="99"/>
              </w:rPr>
              <w:t>Operating</w:t>
            </w:r>
          </w:p>
        </w:tc>
        <w:tc>
          <w:tcPr>
            <w:tcW w:w="92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current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Operating</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current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Operating</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current</w:t>
            </w:r>
          </w:p>
        </w:tc>
        <w:tc>
          <w:tcPr>
            <w:tcW w:w="660" w:type="dxa"/>
            <w:vAlign w:val="bottom"/>
          </w:tcPr>
          <w:p>
            <w:pPr>
              <w:spacing w:after="0"/>
              <w:rPr>
                <w:sz w:val="13"/>
                <w:szCs w:val="13"/>
                <w:color w:val="auto"/>
              </w:rPr>
            </w:pPr>
          </w:p>
        </w:tc>
      </w:tr>
      <w:tr>
        <w:trPr>
          <w:trHeight w:val="155"/>
        </w:trPr>
        <w:tc>
          <w:tcPr>
            <w:tcW w:w="1720" w:type="dxa"/>
            <w:vAlign w:val="bottom"/>
          </w:tcPr>
          <w:p>
            <w:pPr>
              <w:spacing w:after="0"/>
              <w:rPr>
                <w:sz w:val="13"/>
                <w:szCs w:val="13"/>
                <w:color w:val="auto"/>
              </w:rPr>
            </w:pPr>
          </w:p>
        </w:tc>
        <w:tc>
          <w:tcPr>
            <w:tcW w:w="100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income</w:t>
            </w:r>
          </w:p>
        </w:tc>
        <w:tc>
          <w:tcPr>
            <w:tcW w:w="92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assets</w:t>
            </w:r>
          </w:p>
        </w:tc>
        <w:tc>
          <w:tcPr>
            <w:tcW w:w="70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88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assets</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w:t>
            </w: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assets</w:t>
            </w: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r>
      <w:tr>
        <w:trPr>
          <w:trHeight w:val="167"/>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97"/>
              </w:rPr>
              <w:t>income (*)</w:t>
            </w:r>
          </w:p>
        </w:tc>
        <w:tc>
          <w:tcPr>
            <w:tcW w:w="1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income (*)</w:t>
            </w:r>
          </w:p>
        </w:tc>
        <w:tc>
          <w:tcPr>
            <w:tcW w:w="68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income (*)</w:t>
            </w:r>
          </w:p>
        </w:tc>
        <w:tc>
          <w:tcPr>
            <w:tcW w:w="68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liabilities</w:t>
            </w:r>
          </w:p>
        </w:tc>
      </w:tr>
      <w:tr>
        <w:trPr>
          <w:trHeight w:val="153"/>
        </w:trPr>
        <w:tc>
          <w:tcPr>
            <w:tcW w:w="1720" w:type="dxa"/>
            <w:vAlign w:val="bottom"/>
          </w:tcPr>
          <w:p>
            <w:pPr>
              <w:spacing w:after="0" w:line="153" w:lineRule="exact"/>
              <w:rPr>
                <w:sz w:val="20"/>
                <w:szCs w:val="20"/>
                <w:color w:val="auto"/>
              </w:rPr>
            </w:pPr>
            <w:r>
              <w:rPr>
                <w:rFonts w:ascii="Arial" w:cs="Arial" w:eastAsia="Arial" w:hAnsi="Arial"/>
                <w:sz w:val="14"/>
                <w:szCs w:val="14"/>
                <w:color w:val="auto"/>
              </w:rPr>
              <w:t>Peru</w:t>
            </w:r>
          </w:p>
        </w:tc>
        <w:tc>
          <w:tcPr>
            <w:tcW w:w="200" w:type="dxa"/>
            <w:vAlign w:val="bottom"/>
          </w:tcPr>
          <w:p>
            <w:pPr>
              <w:spacing w:after="0"/>
              <w:rPr>
                <w:sz w:val="13"/>
                <w:szCs w:val="13"/>
                <w:color w:val="auto"/>
              </w:rPr>
            </w:pP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16,127</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11,518</w:t>
            </w:r>
          </w:p>
        </w:tc>
        <w:tc>
          <w:tcPr>
            <w:tcW w:w="120" w:type="dxa"/>
            <w:vAlign w:val="bottom"/>
          </w:tcPr>
          <w:p>
            <w:pPr>
              <w:spacing w:after="0"/>
              <w:rPr>
                <w:sz w:val="13"/>
                <w:szCs w:val="13"/>
                <w:color w:val="auto"/>
              </w:rPr>
            </w:pPr>
          </w:p>
        </w:tc>
        <w:tc>
          <w:tcPr>
            <w:tcW w:w="7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4,325</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181,210</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17,330</w:t>
            </w:r>
          </w:p>
        </w:tc>
        <w:tc>
          <w:tcPr>
            <w:tcW w:w="100" w:type="dxa"/>
            <w:vAlign w:val="bottom"/>
          </w:tcPr>
          <w:p>
            <w:pPr>
              <w:spacing w:after="0"/>
              <w:rPr>
                <w:sz w:val="13"/>
                <w:szCs w:val="13"/>
                <w:color w:val="auto"/>
              </w:rPr>
            </w:pP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8,682</w:t>
            </w:r>
          </w:p>
        </w:tc>
        <w:tc>
          <w:tcPr>
            <w:tcW w:w="100" w:type="dxa"/>
            <w:vAlign w:val="bottom"/>
          </w:tcPr>
          <w:p>
            <w:pPr>
              <w:spacing w:after="0"/>
              <w:rPr>
                <w:sz w:val="13"/>
                <w:szCs w:val="13"/>
                <w:color w:val="auto"/>
              </w:rPr>
            </w:pP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3,773</w:t>
            </w:r>
          </w:p>
        </w:tc>
        <w:tc>
          <w:tcPr>
            <w:tcW w:w="100" w:type="dxa"/>
            <w:vAlign w:val="bottom"/>
          </w:tcPr>
          <w:p>
            <w:pPr>
              <w:spacing w:after="0"/>
              <w:rPr>
                <w:sz w:val="13"/>
                <w:szCs w:val="13"/>
                <w:color w:val="auto"/>
              </w:rPr>
            </w:pP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188,505</w:t>
            </w:r>
          </w:p>
        </w:tc>
        <w:tc>
          <w:tcPr>
            <w:tcW w:w="100" w:type="dxa"/>
            <w:vAlign w:val="bottom"/>
          </w:tcPr>
          <w:p>
            <w:pPr>
              <w:spacing w:after="0"/>
              <w:rPr>
                <w:sz w:val="13"/>
                <w:szCs w:val="13"/>
                <w:color w:val="auto"/>
              </w:rPr>
            </w:pP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16,485</w:t>
            </w:r>
          </w:p>
        </w:tc>
        <w:tc>
          <w:tcPr>
            <w:tcW w:w="100" w:type="dxa"/>
            <w:vAlign w:val="bottom"/>
          </w:tcPr>
          <w:p>
            <w:pPr>
              <w:spacing w:after="0"/>
              <w:rPr>
                <w:sz w:val="13"/>
                <w:szCs w:val="13"/>
                <w:color w:val="auto"/>
              </w:rPr>
            </w:pP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8,411</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3,825</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187,291</w:t>
            </w:r>
          </w:p>
        </w:tc>
      </w:tr>
      <w:tr>
        <w:trPr>
          <w:trHeight w:val="155"/>
        </w:trPr>
        <w:tc>
          <w:tcPr>
            <w:tcW w:w="1720" w:type="dxa"/>
            <w:vAlign w:val="bottom"/>
          </w:tcPr>
          <w:p>
            <w:pPr>
              <w:spacing w:after="0" w:line="155" w:lineRule="exact"/>
              <w:rPr>
                <w:sz w:val="20"/>
                <w:szCs w:val="20"/>
                <w:color w:val="auto"/>
              </w:rPr>
            </w:pPr>
            <w:r>
              <w:rPr>
                <w:rFonts w:ascii="Arial" w:cs="Arial" w:eastAsia="Arial" w:hAnsi="Arial"/>
                <w:sz w:val="14"/>
                <w:szCs w:val="14"/>
                <w:color w:val="auto"/>
              </w:rPr>
              <w:t>Bermuda</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5,151</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(28)</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2,123</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2,174</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134</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1,930</w:t>
            </w:r>
          </w:p>
        </w:tc>
      </w:tr>
      <w:tr>
        <w:trPr>
          <w:trHeight w:val="155"/>
        </w:trPr>
        <w:tc>
          <w:tcPr>
            <w:tcW w:w="1720" w:type="dxa"/>
            <w:vAlign w:val="bottom"/>
          </w:tcPr>
          <w:p>
            <w:pPr>
              <w:spacing w:after="0" w:line="155" w:lineRule="exact"/>
              <w:rPr>
                <w:sz w:val="20"/>
                <w:szCs w:val="20"/>
                <w:color w:val="auto"/>
              </w:rPr>
            </w:pPr>
            <w:r>
              <w:rPr>
                <w:rFonts w:ascii="Arial" w:cs="Arial" w:eastAsia="Arial" w:hAnsi="Arial"/>
                <w:sz w:val="14"/>
                <w:szCs w:val="14"/>
                <w:color w:val="auto"/>
              </w:rPr>
              <w:t>Panama(****)</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295</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105</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8,384</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309</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103</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10,389</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261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7,321</w:t>
            </w:r>
          </w:p>
        </w:tc>
      </w:tr>
      <w:tr>
        <w:trPr>
          <w:trHeight w:val="155"/>
        </w:trPr>
        <w:tc>
          <w:tcPr>
            <w:tcW w:w="1720" w:type="dxa"/>
            <w:vAlign w:val="bottom"/>
          </w:tcPr>
          <w:p>
            <w:pPr>
              <w:spacing w:after="0" w:line="155" w:lineRule="exact"/>
              <w:rPr>
                <w:sz w:val="20"/>
                <w:szCs w:val="20"/>
                <w:color w:val="auto"/>
              </w:rPr>
            </w:pPr>
            <w:r>
              <w:rPr>
                <w:rFonts w:ascii="Arial" w:cs="Arial" w:eastAsia="Arial" w:hAnsi="Arial"/>
                <w:sz w:val="14"/>
                <w:szCs w:val="14"/>
                <w:color w:val="auto"/>
              </w:rPr>
              <w:t>Cayman Islands</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72</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139</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88</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83</w:t>
            </w:r>
          </w:p>
        </w:tc>
      </w:tr>
      <w:tr>
        <w:trPr>
          <w:trHeight w:val="155"/>
        </w:trPr>
        <w:tc>
          <w:tcPr>
            <w:tcW w:w="1720" w:type="dxa"/>
            <w:vAlign w:val="bottom"/>
          </w:tcPr>
          <w:p>
            <w:pPr>
              <w:spacing w:after="0" w:line="155" w:lineRule="exact"/>
              <w:rPr>
                <w:sz w:val="20"/>
                <w:szCs w:val="20"/>
                <w:color w:val="auto"/>
              </w:rPr>
            </w:pPr>
            <w:r>
              <w:rPr>
                <w:rFonts w:ascii="Arial" w:cs="Arial" w:eastAsia="Arial" w:hAnsi="Arial"/>
                <w:sz w:val="14"/>
                <w:szCs w:val="14"/>
                <w:color w:val="auto"/>
              </w:rPr>
              <w:t>Bolivia</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960</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377</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11,885</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978</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13,012</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853</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357</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101</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11,870</w:t>
            </w:r>
          </w:p>
        </w:tc>
      </w:tr>
      <w:tr>
        <w:trPr>
          <w:trHeight w:val="155"/>
        </w:trPr>
        <w:tc>
          <w:tcPr>
            <w:tcW w:w="1720" w:type="dxa"/>
            <w:vAlign w:val="bottom"/>
          </w:tcPr>
          <w:p>
            <w:pPr>
              <w:spacing w:after="0" w:line="155" w:lineRule="exact"/>
              <w:rPr>
                <w:sz w:val="20"/>
                <w:szCs w:val="20"/>
                <w:color w:val="auto"/>
              </w:rPr>
            </w:pPr>
            <w:r>
              <w:rPr>
                <w:rFonts w:ascii="Arial" w:cs="Arial" w:eastAsia="Arial" w:hAnsi="Arial"/>
                <w:sz w:val="14"/>
                <w:szCs w:val="14"/>
                <w:color w:val="auto"/>
              </w:rPr>
              <w:t>Colombia</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193</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132</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2,283</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601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213</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415</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2,610</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566</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144</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451</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2,607</w:t>
            </w:r>
          </w:p>
        </w:tc>
      </w:tr>
      <w:tr>
        <w:trPr>
          <w:trHeight w:val="155"/>
        </w:trPr>
        <w:tc>
          <w:tcPr>
            <w:tcW w:w="1720" w:type="dxa"/>
            <w:vAlign w:val="bottom"/>
          </w:tcPr>
          <w:p>
            <w:pPr>
              <w:spacing w:after="0" w:line="155" w:lineRule="exact"/>
              <w:rPr>
                <w:sz w:val="20"/>
                <w:szCs w:val="20"/>
                <w:color w:val="auto"/>
              </w:rPr>
            </w:pPr>
            <w:r>
              <w:rPr>
                <w:rFonts w:ascii="Arial" w:cs="Arial" w:eastAsia="Arial" w:hAnsi="Arial"/>
                <w:sz w:val="14"/>
                <w:szCs w:val="14"/>
                <w:color w:val="auto"/>
              </w:rPr>
              <w:t>United States of America</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15</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r>
      <w:tr>
        <w:trPr>
          <w:trHeight w:val="155"/>
        </w:trPr>
        <w:tc>
          <w:tcPr>
            <w:tcW w:w="1720" w:type="dxa"/>
            <w:vAlign w:val="bottom"/>
          </w:tcPr>
          <w:p>
            <w:pPr>
              <w:spacing w:after="0" w:line="155" w:lineRule="exact"/>
              <w:rPr>
                <w:sz w:val="20"/>
                <w:szCs w:val="20"/>
                <w:color w:val="auto"/>
              </w:rPr>
            </w:pPr>
            <w:r>
              <w:rPr>
                <w:rFonts w:ascii="Arial" w:cs="Arial" w:eastAsia="Arial" w:hAnsi="Arial"/>
                <w:sz w:val="14"/>
                <w:szCs w:val="14"/>
                <w:color w:val="auto"/>
              </w:rPr>
              <w:t>Chile</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187</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1,132</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166</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1,026</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171</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853</w:t>
            </w:r>
          </w:p>
        </w:tc>
      </w:tr>
      <w:tr>
        <w:trPr>
          <w:trHeight w:val="151"/>
        </w:trPr>
        <w:tc>
          <w:tcPr>
            <w:tcW w:w="1720" w:type="dxa"/>
            <w:vAlign w:val="bottom"/>
          </w:tcPr>
          <w:p>
            <w:pPr>
              <w:spacing w:after="0" w:line="151" w:lineRule="exact"/>
              <w:rPr>
                <w:sz w:val="20"/>
                <w:szCs w:val="20"/>
                <w:color w:val="auto"/>
              </w:rPr>
            </w:pPr>
            <w:r>
              <w:rPr>
                <w:rFonts w:ascii="Arial" w:cs="Arial" w:eastAsia="Arial" w:hAnsi="Arial"/>
                <w:sz w:val="14"/>
                <w:szCs w:val="14"/>
                <w:color w:val="auto"/>
              </w:rPr>
              <w:t>Others</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r>
      <w:tr>
        <w:trPr>
          <w:trHeight w:val="154"/>
        </w:trPr>
        <w:tc>
          <w:tcPr>
            <w:tcW w:w="1720" w:type="dxa"/>
            <w:vAlign w:val="bottom"/>
          </w:tcPr>
          <w:p>
            <w:pPr>
              <w:spacing w:after="0" w:line="149" w:lineRule="exact"/>
              <w:rPr>
                <w:sz w:val="20"/>
                <w:szCs w:val="20"/>
                <w:color w:val="auto"/>
              </w:rPr>
            </w:pPr>
            <w:r>
              <w:rPr>
                <w:rFonts w:ascii="Arial" w:cs="Arial" w:eastAsia="Arial" w:hAnsi="Arial"/>
                <w:sz w:val="14"/>
                <w:szCs w:val="14"/>
                <w:b w:val="1"/>
                <w:bCs w:val="1"/>
                <w:color w:val="auto"/>
              </w:rPr>
              <w:t>Total consolidated</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22,993</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12,180</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4,724</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207,174</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19,452</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9,356</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4,605</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217,809</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18,415</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8,927</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4,717</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211,961</w:t>
            </w:r>
          </w:p>
        </w:tc>
      </w:tr>
    </w:tbl>
    <w:p>
      <w:pPr>
        <w:spacing w:after="0" w:line="192" w:lineRule="exact"/>
        <w:rPr>
          <w:sz w:val="20"/>
          <w:szCs w:val="20"/>
          <w:color w:val="auto"/>
        </w:rPr>
      </w:pPr>
    </w:p>
    <w:p>
      <w:pPr>
        <w:ind w:left="500" w:hanging="496"/>
        <w:spacing w:after="0"/>
        <w:tabs>
          <w:tab w:leader="none" w:pos="5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Including total interest and similar income, other income and net premiums earned from insurance activities.</w:t>
      </w:r>
    </w:p>
    <w:p>
      <w:pPr>
        <w:ind w:left="500" w:hanging="496"/>
        <w:spacing w:after="0" w:line="238" w:lineRule="auto"/>
        <w:tabs>
          <w:tab w:leader="none" w:pos="5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Operating income includes the income from interest and similar expenses from banking activities and insurance underwriting result.</w:t>
      </w:r>
    </w:p>
    <w:p>
      <w:pPr>
        <w:ind w:firstLine="4"/>
        <w:spacing w:after="0" w:line="238" w:lineRule="auto"/>
        <w:tabs>
          <w:tab w:leader="none" w:pos="49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Non-current assets consist of property, furniture and equipment (fixed assets), intangible assets and goodwill and right-for-use assets, net. (****) In August 2021, the merger by absorption between ASB Bank Corp. and Atlantic Security Bank (absorbed entity) was carried out. See more</w:t>
      </w:r>
    </w:p>
    <w:p>
      <w:pPr>
        <w:ind w:left="500"/>
        <w:spacing w:after="0"/>
        <w:rPr>
          <w:rFonts w:ascii="Arial" w:cs="Arial" w:eastAsia="Arial" w:hAnsi="Arial"/>
          <w:sz w:val="17"/>
          <w:szCs w:val="17"/>
          <w:color w:val="auto"/>
        </w:rPr>
      </w:pPr>
      <w:r>
        <w:rPr>
          <w:rFonts w:ascii="Arial" w:cs="Arial" w:eastAsia="Arial" w:hAnsi="Arial"/>
          <w:sz w:val="17"/>
          <w:szCs w:val="17"/>
          <w:color w:val="auto"/>
        </w:rPr>
        <w:t>detail in Note 2(a).</w:t>
      </w:r>
    </w:p>
    <w:p>
      <w:pPr>
        <w:spacing w:after="0" w:line="361" w:lineRule="exact"/>
        <w:rPr>
          <w:rFonts w:ascii="Arial" w:cs="Arial" w:eastAsia="Arial" w:hAnsi="Arial"/>
          <w:sz w:val="17"/>
          <w:szCs w:val="17"/>
          <w:color w:val="auto"/>
        </w:rPr>
      </w:pPr>
    </w:p>
    <w:p>
      <w:pPr>
        <w:ind w:left="5460" w:hanging="107"/>
        <w:spacing w:after="0"/>
        <w:tabs>
          <w:tab w:leader="none" w:pos="54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38" w:name="page139"/>
    <w:bookmarkEnd w:id="138"/>
    <w:p>
      <w:pPr>
        <w:ind w:left="620" w:hanging="616"/>
        <w:spacing w:after="0"/>
        <w:tabs>
          <w:tab w:leader="none" w:pos="620"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TRANSACTIONS AND BALANCES WITH RELATED PARTIES</w:t>
      </w:r>
    </w:p>
    <w:p>
      <w:pPr>
        <w:spacing w:after="0" w:line="215" w:lineRule="exact"/>
        <w:rPr>
          <w:rFonts w:ascii="Arial" w:cs="Arial" w:eastAsia="Arial" w:hAnsi="Arial"/>
          <w:sz w:val="17"/>
          <w:szCs w:val="17"/>
          <w:b w:val="1"/>
          <w:bCs w:val="1"/>
          <w:color w:val="auto"/>
        </w:rPr>
      </w:pPr>
    </w:p>
    <w:p>
      <w:pPr>
        <w:ind w:left="980" w:right="40" w:hanging="355"/>
        <w:spacing w:after="0" w:line="246" w:lineRule="auto"/>
        <w:tabs>
          <w:tab w:leader="none" w:pos="9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Group’s consolidated financial statements as of December 31, 2022 and 2021 include transactions with related parties, the Board of Directors, the Group’s key executives (defined as the Management of Credicorp) and the companies which are controlled by these individuals through their majority shareholding or their role as Chairman or CEO.</w:t>
      </w:r>
    </w:p>
    <w:p>
      <w:pPr>
        <w:spacing w:after="0" w:line="175" w:lineRule="exact"/>
        <w:rPr>
          <w:rFonts w:ascii="Arial" w:cs="Arial" w:eastAsia="Arial" w:hAnsi="Arial"/>
          <w:sz w:val="17"/>
          <w:szCs w:val="17"/>
          <w:color w:val="auto"/>
        </w:rPr>
      </w:pPr>
    </w:p>
    <w:p>
      <w:pPr>
        <w:ind w:left="980" w:hanging="355"/>
        <w:spacing w:after="0"/>
        <w:tabs>
          <w:tab w:leader="none" w:pos="9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following table shows the main transactions and balances with related parties and individuals as of December 31, 2022 and 2021:</w:t>
      </w:r>
    </w:p>
    <w:p>
      <w:pPr>
        <w:spacing w:after="0" w:line="171" w:lineRule="exact"/>
        <w:rPr>
          <w:sz w:val="20"/>
          <w:szCs w:val="20"/>
          <w:color w:val="auto"/>
        </w:rPr>
      </w:pPr>
    </w:p>
    <w:tbl>
      <w:tblPr>
        <w:tblLayout w:type="fixed"/>
        <w:tblInd w:w="104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3320" w:type="dxa"/>
            <w:vAlign w:val="bottom"/>
            <w:gridSpan w:val="2"/>
          </w:tcPr>
          <w:p>
            <w:pPr>
              <w:jc w:val="right"/>
              <w:ind w:right="8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2021</w:t>
            </w:r>
          </w:p>
        </w:tc>
      </w:tr>
      <w:tr>
        <w:trPr>
          <w:trHeight w:val="223"/>
        </w:trPr>
        <w:tc>
          <w:tcPr>
            <w:tcW w:w="4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tcBorders>
              <w:top w:val="single" w:sz="8" w:color="auto"/>
            </w:tcBorders>
          </w:tcPr>
          <w:p>
            <w:pPr>
              <w:jc w:val="right"/>
              <w:ind w:right="674"/>
              <w:spacing w:after="0"/>
              <w:rPr>
                <w:sz w:val="20"/>
                <w:szCs w:val="20"/>
                <w:color w:val="auto"/>
              </w:rPr>
            </w:pPr>
            <w:r>
              <w:rPr>
                <w:rFonts w:ascii="Arial" w:cs="Arial" w:eastAsia="Arial" w:hAnsi="Arial"/>
                <w:sz w:val="17"/>
                <w:szCs w:val="17"/>
                <w:b w:val="1"/>
                <w:bCs w:val="1"/>
                <w:color w:val="auto"/>
                <w:w w:val="96"/>
              </w:rPr>
              <w:t>S/(000)</w:t>
            </w: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r>
      <w:tr>
        <w:trPr>
          <w:trHeight w:val="352"/>
        </w:trPr>
        <w:tc>
          <w:tcPr>
            <w:tcW w:w="4600" w:type="dxa"/>
            <w:vAlign w:val="bottom"/>
          </w:tcPr>
          <w:p>
            <w:pPr>
              <w:spacing w:after="0"/>
              <w:rPr>
                <w:sz w:val="20"/>
                <w:szCs w:val="20"/>
                <w:color w:val="auto"/>
              </w:rPr>
            </w:pPr>
            <w:r>
              <w:rPr>
                <w:rFonts w:ascii="Arial" w:cs="Arial" w:eastAsia="Arial" w:hAnsi="Arial"/>
                <w:sz w:val="17"/>
                <w:szCs w:val="17"/>
                <w:b w:val="1"/>
                <w:bCs w:val="1"/>
                <w:color w:val="auto"/>
              </w:rPr>
              <w:t>Statement of financial position -</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4"/>
        </w:trPr>
        <w:tc>
          <w:tcPr>
            <w:tcW w:w="4600" w:type="dxa"/>
            <w:vAlign w:val="bottom"/>
          </w:tcPr>
          <w:p>
            <w:pPr>
              <w:spacing w:after="0" w:line="194" w:lineRule="exact"/>
              <w:rPr>
                <w:sz w:val="20"/>
                <w:szCs w:val="20"/>
                <w:color w:val="auto"/>
              </w:rPr>
            </w:pPr>
            <w:r>
              <w:rPr>
                <w:rFonts w:ascii="Arial" w:cs="Arial" w:eastAsia="Arial" w:hAnsi="Arial"/>
                <w:sz w:val="17"/>
                <w:szCs w:val="17"/>
                <w:color w:val="auto"/>
              </w:rPr>
              <w:t>Direct loans</w:t>
            </w:r>
          </w:p>
        </w:tc>
        <w:tc>
          <w:tcPr>
            <w:tcW w:w="33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1,804,837</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1,888,433</w:t>
            </w:r>
          </w:p>
        </w:tc>
      </w:tr>
      <w:tr>
        <w:trPr>
          <w:trHeight w:val="194"/>
        </w:trPr>
        <w:tc>
          <w:tcPr>
            <w:tcW w:w="4600" w:type="dxa"/>
            <w:vAlign w:val="bottom"/>
          </w:tcPr>
          <w:p>
            <w:pPr>
              <w:spacing w:after="0" w:line="194" w:lineRule="exact"/>
              <w:rPr>
                <w:sz w:val="20"/>
                <w:szCs w:val="20"/>
                <w:color w:val="auto"/>
              </w:rPr>
            </w:pPr>
            <w:r>
              <w:rPr>
                <w:rFonts w:ascii="Arial" w:cs="Arial" w:eastAsia="Arial" w:hAnsi="Arial"/>
                <w:sz w:val="17"/>
                <w:szCs w:val="17"/>
                <w:color w:val="auto"/>
              </w:rPr>
              <w:t>Investments (i)</w:t>
            </w:r>
          </w:p>
        </w:tc>
        <w:tc>
          <w:tcPr>
            <w:tcW w:w="33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800,021</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920,852</w:t>
            </w:r>
          </w:p>
        </w:tc>
      </w:tr>
      <w:tr>
        <w:trPr>
          <w:trHeight w:val="194"/>
        </w:trPr>
        <w:tc>
          <w:tcPr>
            <w:tcW w:w="4600" w:type="dxa"/>
            <w:vAlign w:val="bottom"/>
          </w:tcPr>
          <w:p>
            <w:pPr>
              <w:spacing w:after="0" w:line="194" w:lineRule="exact"/>
              <w:rPr>
                <w:sz w:val="20"/>
                <w:szCs w:val="20"/>
                <w:color w:val="auto"/>
              </w:rPr>
            </w:pPr>
            <w:r>
              <w:rPr>
                <w:rFonts w:ascii="Arial" w:cs="Arial" w:eastAsia="Arial" w:hAnsi="Arial"/>
                <w:sz w:val="17"/>
                <w:szCs w:val="17"/>
                <w:color w:val="auto"/>
              </w:rPr>
              <w:t>Deposits (ii)</w:t>
            </w:r>
          </w:p>
        </w:tc>
        <w:tc>
          <w:tcPr>
            <w:tcW w:w="33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(1,138,115)</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(970,072)</w:t>
            </w:r>
          </w:p>
        </w:tc>
      </w:tr>
      <w:tr>
        <w:trPr>
          <w:trHeight w:val="208"/>
        </w:trPr>
        <w:tc>
          <w:tcPr>
            <w:tcW w:w="4600" w:type="dxa"/>
            <w:vAlign w:val="bottom"/>
          </w:tcPr>
          <w:p>
            <w:pPr>
              <w:spacing w:after="0"/>
              <w:rPr>
                <w:sz w:val="20"/>
                <w:szCs w:val="20"/>
                <w:color w:val="auto"/>
              </w:rPr>
            </w:pPr>
            <w:r>
              <w:rPr>
                <w:rFonts w:ascii="Arial" w:cs="Arial" w:eastAsia="Arial" w:hAnsi="Arial"/>
                <w:sz w:val="17"/>
                <w:szCs w:val="17"/>
                <w:color w:val="auto"/>
              </w:rPr>
              <w:t>Derivatives at fair value</w:t>
            </w:r>
          </w:p>
        </w:tc>
        <w:tc>
          <w:tcPr>
            <w:tcW w:w="3320" w:type="dxa"/>
            <w:vAlign w:val="bottom"/>
            <w:gridSpan w:val="2"/>
          </w:tcPr>
          <w:p>
            <w:pPr>
              <w:jc w:val="right"/>
              <w:ind w:right="14"/>
              <w:spacing w:after="0"/>
              <w:rPr>
                <w:sz w:val="20"/>
                <w:szCs w:val="20"/>
                <w:color w:val="auto"/>
              </w:rPr>
            </w:pPr>
            <w:r>
              <w:rPr>
                <w:rFonts w:ascii="Arial" w:cs="Arial" w:eastAsia="Arial" w:hAnsi="Arial"/>
                <w:sz w:val="17"/>
                <w:szCs w:val="17"/>
                <w:color w:val="auto"/>
              </w:rPr>
              <w:t>336,867</w:t>
            </w:r>
          </w:p>
        </w:tc>
        <w:tc>
          <w:tcPr>
            <w:tcW w:w="10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30,026</w:t>
            </w:r>
          </w:p>
        </w:tc>
      </w:tr>
    </w:tbl>
    <w:p>
      <w:pPr>
        <w:spacing w:after="0" w:line="193" w:lineRule="exact"/>
        <w:rPr>
          <w:sz w:val="20"/>
          <w:szCs w:val="20"/>
          <w:color w:val="auto"/>
        </w:rPr>
      </w:pPr>
    </w:p>
    <w:p>
      <w:pPr>
        <w:ind w:left="1680" w:right="260" w:hanging="304"/>
        <w:spacing w:after="0" w:line="243" w:lineRule="auto"/>
        <w:tabs>
          <w:tab w:leader="none" w:pos="16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During the year 2022, the balance includes mainly S/158.1 million of corporate bonds, S/157.0 million of shares of Alicorp S.A.A.; S/155.3 million of corporate bonds issued by Cementos Pacasmayo S.A., and S/126.8 million of shares of Inversiones Centenario. The decreasse in the balance mainly includes the fluctuation that negatively affected the investments in shares of Inversiones Centenario, and corporative bonds of Alicorp S.A.A. and Cementos Pacasmayo S.A.</w:t>
      </w:r>
    </w:p>
    <w:p>
      <w:pPr>
        <w:spacing w:after="0" w:line="179" w:lineRule="exact"/>
        <w:rPr>
          <w:rFonts w:ascii="Arial" w:cs="Arial" w:eastAsia="Arial" w:hAnsi="Arial"/>
          <w:sz w:val="17"/>
          <w:szCs w:val="17"/>
          <w:color w:val="auto"/>
        </w:rPr>
      </w:pPr>
    </w:p>
    <w:p>
      <w:pPr>
        <w:jc w:val="both"/>
        <w:ind w:left="1680"/>
        <w:spacing w:after="0" w:line="246" w:lineRule="auto"/>
        <w:rPr>
          <w:rFonts w:ascii="Arial" w:cs="Arial" w:eastAsia="Arial" w:hAnsi="Arial"/>
          <w:sz w:val="17"/>
          <w:szCs w:val="17"/>
          <w:color w:val="auto"/>
        </w:rPr>
      </w:pPr>
      <w:r>
        <w:rPr>
          <w:rFonts w:ascii="Arial" w:cs="Arial" w:eastAsia="Arial" w:hAnsi="Arial"/>
          <w:sz w:val="17"/>
          <w:szCs w:val="17"/>
          <w:color w:val="auto"/>
        </w:rPr>
        <w:t>During the year 2021, the balance mainly includes S/183.3 million of corporate bonds, S/178.6 million of corporate bonds issued by Cementos Pacasmayo S.A., S/137.7 million of shares of Alicorp S.A.A. and S/184.8 million of shares of Inversiones Centenario.</w:t>
      </w:r>
    </w:p>
    <w:p>
      <w:pPr>
        <w:spacing w:after="0" w:line="175" w:lineRule="exact"/>
        <w:rPr>
          <w:rFonts w:ascii="Arial" w:cs="Arial" w:eastAsia="Arial" w:hAnsi="Arial"/>
          <w:sz w:val="17"/>
          <w:szCs w:val="17"/>
          <w:color w:val="auto"/>
        </w:rPr>
      </w:pPr>
    </w:p>
    <w:p>
      <w:pPr>
        <w:ind w:left="1680" w:right="40" w:hanging="304"/>
        <w:spacing w:after="0" w:line="254" w:lineRule="auto"/>
        <w:tabs>
          <w:tab w:leader="none" w:pos="16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Comprising deposits from legal entities and individuals. As of December 31, 2022 and 2021, the balance corresponds mainly comprises higher deposits held by related parties and individuals.</w:t>
      </w:r>
    </w:p>
    <w:p>
      <w:pPr>
        <w:spacing w:after="0" w:line="147" w:lineRule="exact"/>
        <w:rPr>
          <w:sz w:val="20"/>
          <w:szCs w:val="20"/>
          <w:color w:val="auto"/>
        </w:rPr>
      </w:pPr>
    </w:p>
    <w:tbl>
      <w:tblPr>
        <w:tblLayout w:type="fixed"/>
        <w:tblInd w:w="1040" w:type="dxa"/>
        <w:tblCellMar>
          <w:top w:w="0" w:type="dxa"/>
          <w:left w:w="0" w:type="dxa"/>
          <w:bottom w:w="0" w:type="dxa"/>
          <w:right w:w="0" w:type="dxa"/>
        </w:tblCellMar>
      </w:tblPr>
      <w:tr>
        <w:trPr>
          <w:trHeight w:val="217"/>
        </w:trPr>
        <w:tc>
          <w:tcPr>
            <w:tcW w:w="7160" w:type="dxa"/>
            <w:vAlign w:val="bottom"/>
            <w:gridSpan w:val="2"/>
          </w:tcPr>
          <w:p>
            <w:pPr>
              <w:ind w:left="6600"/>
              <w:spacing w:after="0"/>
              <w:rPr>
                <w:sz w:val="20"/>
                <w:szCs w:val="20"/>
                <w:color w:val="auto"/>
              </w:rPr>
            </w:pPr>
            <w:r>
              <w:rPr>
                <w:rFonts w:ascii="Arial" w:cs="Arial" w:eastAsia="Arial" w:hAnsi="Arial"/>
                <w:sz w:val="17"/>
                <w:szCs w:val="17"/>
                <w:b w:val="1"/>
                <w:bCs w:val="1"/>
                <w:color w:val="auto"/>
              </w:rPr>
              <w:t>2022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2021</w:t>
            </w:r>
          </w:p>
        </w:tc>
      </w:tr>
      <w:tr>
        <w:trPr>
          <w:trHeight w:val="223"/>
        </w:trPr>
        <w:tc>
          <w:tcPr>
            <w:tcW w:w="6600" w:type="dxa"/>
            <w:vAlign w:val="bottom"/>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w w:val="96"/>
              </w:rPr>
              <w:t>S/(000)</w:t>
            </w: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r>
      <w:tr>
        <w:trPr>
          <w:trHeight w:val="352"/>
        </w:trPr>
        <w:tc>
          <w:tcPr>
            <w:tcW w:w="7160" w:type="dxa"/>
            <w:vAlign w:val="bottom"/>
            <w:gridSpan w:val="2"/>
          </w:tcPr>
          <w:p>
            <w:pPr>
              <w:spacing w:after="0"/>
              <w:rPr>
                <w:sz w:val="20"/>
                <w:szCs w:val="20"/>
                <w:color w:val="auto"/>
              </w:rPr>
            </w:pPr>
            <w:r>
              <w:rPr>
                <w:rFonts w:ascii="Arial" w:cs="Arial" w:eastAsia="Arial" w:hAnsi="Arial"/>
                <w:sz w:val="17"/>
                <w:szCs w:val="17"/>
                <w:b w:val="1"/>
                <w:bCs w:val="1"/>
                <w:color w:val="auto"/>
              </w:rPr>
              <w:t>Statement of income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4"/>
        </w:trPr>
        <w:tc>
          <w:tcPr>
            <w:tcW w:w="7160" w:type="dxa"/>
            <w:vAlign w:val="bottom"/>
            <w:gridSpan w:val="2"/>
          </w:tcPr>
          <w:p>
            <w:pPr>
              <w:spacing w:after="0" w:line="194" w:lineRule="exact"/>
              <w:rPr>
                <w:sz w:val="20"/>
                <w:szCs w:val="20"/>
                <w:color w:val="auto"/>
              </w:rPr>
            </w:pPr>
            <w:r>
              <w:rPr>
                <w:rFonts w:ascii="Arial" w:cs="Arial" w:eastAsia="Arial" w:hAnsi="Arial"/>
                <w:sz w:val="17"/>
                <w:szCs w:val="17"/>
                <w:color w:val="auto"/>
              </w:rPr>
              <w:t>Interest income related to loans</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38,896</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39,355</w:t>
            </w:r>
          </w:p>
        </w:tc>
      </w:tr>
      <w:tr>
        <w:trPr>
          <w:trHeight w:val="194"/>
        </w:trPr>
        <w:tc>
          <w:tcPr>
            <w:tcW w:w="7160" w:type="dxa"/>
            <w:vAlign w:val="bottom"/>
            <w:gridSpan w:val="2"/>
          </w:tcPr>
          <w:p>
            <w:pPr>
              <w:spacing w:after="0" w:line="194" w:lineRule="exact"/>
              <w:rPr>
                <w:sz w:val="20"/>
                <w:szCs w:val="20"/>
                <w:color w:val="auto"/>
              </w:rPr>
            </w:pPr>
            <w:r>
              <w:rPr>
                <w:rFonts w:ascii="Arial" w:cs="Arial" w:eastAsia="Arial" w:hAnsi="Arial"/>
                <w:sz w:val="17"/>
                <w:szCs w:val="17"/>
                <w:color w:val="auto"/>
              </w:rPr>
              <w:t>Interest expenses related to deposits</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(24,143)</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(15,999)</w:t>
            </w:r>
          </w:p>
        </w:tc>
      </w:tr>
      <w:tr>
        <w:trPr>
          <w:trHeight w:val="208"/>
        </w:trPr>
        <w:tc>
          <w:tcPr>
            <w:tcW w:w="7160" w:type="dxa"/>
            <w:vAlign w:val="bottom"/>
            <w:gridSpan w:val="2"/>
          </w:tcPr>
          <w:p>
            <w:pPr>
              <w:spacing w:after="0"/>
              <w:rPr>
                <w:sz w:val="20"/>
                <w:szCs w:val="20"/>
                <w:color w:val="auto"/>
              </w:rPr>
            </w:pPr>
            <w:r>
              <w:rPr>
                <w:rFonts w:ascii="Arial" w:cs="Arial" w:eastAsia="Arial" w:hAnsi="Arial"/>
                <w:sz w:val="17"/>
                <w:szCs w:val="17"/>
                <w:color w:val="auto"/>
              </w:rPr>
              <w:t>Other income</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13,232</w:t>
            </w:r>
          </w:p>
        </w:tc>
        <w:tc>
          <w:tcPr>
            <w:tcW w:w="10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9,967</w:t>
            </w:r>
          </w:p>
        </w:tc>
      </w:tr>
      <w:tr>
        <w:trPr>
          <w:trHeight w:val="375"/>
        </w:trPr>
        <w:tc>
          <w:tcPr>
            <w:tcW w:w="7160" w:type="dxa"/>
            <w:vAlign w:val="bottom"/>
            <w:gridSpan w:val="2"/>
          </w:tcPr>
          <w:p>
            <w:pPr>
              <w:spacing w:after="0"/>
              <w:rPr>
                <w:sz w:val="20"/>
                <w:szCs w:val="20"/>
                <w:color w:val="auto"/>
              </w:rPr>
            </w:pPr>
            <w:r>
              <w:rPr>
                <w:rFonts w:ascii="Arial" w:cs="Arial" w:eastAsia="Arial" w:hAnsi="Arial"/>
                <w:sz w:val="17"/>
                <w:szCs w:val="17"/>
                <w:b w:val="1"/>
                <w:bCs w:val="1"/>
                <w:color w:val="auto"/>
              </w:rPr>
              <w:t>Contingent risks and commitments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8"/>
        </w:trPr>
        <w:tc>
          <w:tcPr>
            <w:tcW w:w="7160" w:type="dxa"/>
            <w:vAlign w:val="bottom"/>
            <w:gridSpan w:val="2"/>
          </w:tcPr>
          <w:p>
            <w:pPr>
              <w:spacing w:after="0"/>
              <w:rPr>
                <w:sz w:val="20"/>
                <w:szCs w:val="20"/>
                <w:color w:val="auto"/>
              </w:rPr>
            </w:pPr>
            <w:r>
              <w:rPr>
                <w:rFonts w:ascii="Arial" w:cs="Arial" w:eastAsia="Arial" w:hAnsi="Arial"/>
                <w:sz w:val="17"/>
                <w:szCs w:val="17"/>
                <w:color w:val="auto"/>
              </w:rPr>
              <w:t>Indirect loans</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433,639</w:t>
            </w:r>
          </w:p>
        </w:tc>
        <w:tc>
          <w:tcPr>
            <w:tcW w:w="10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503,880</w:t>
            </w:r>
          </w:p>
        </w:tc>
      </w:tr>
    </w:tbl>
    <w:p>
      <w:pPr>
        <w:spacing w:after="0" w:line="18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As of December 31, 2022, the increase in deposit expenses is mainly due to higher deposits held by related parties and individuals.</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9" w:name="page140"/>
    <w:bookmarkEnd w:id="139"/>
    <w:p>
      <w:pPr>
        <w:ind w:left="355" w:hanging="355"/>
        <w:spacing w:after="0" w:line="241" w:lineRule="auto"/>
        <w:tabs>
          <w:tab w:leader="none" w:pos="3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transactions with related parties are made in accordance with normal market conditions available to other customers. As of December 31, 2022 and 2021, direct loans to related parties are secured by collateral, had maturities between January 2022 and June 2029, and accrue an annual average interest rate of 6.86 percent and at an annual foreign currency average interest rate of 4.59 percent (as of December 31, 2021, maturities between January 2022 an December 2029, at an annual soles average interest rate of 6.03 percent and at an annual foreign currency average interest rate of 3.36 percent). Also, as of December 31, 2022 and December 31, 2021, the Group maintains an allowance for loan losses for related parties amounting to S/8.5 million and S/19.7 million, respectively.</w:t>
      </w:r>
    </w:p>
    <w:p>
      <w:pPr>
        <w:spacing w:after="0" w:line="180" w:lineRule="exact"/>
        <w:rPr>
          <w:rFonts w:ascii="Arial" w:cs="Arial" w:eastAsia="Arial" w:hAnsi="Arial"/>
          <w:sz w:val="17"/>
          <w:szCs w:val="17"/>
          <w:color w:val="auto"/>
        </w:rPr>
      </w:pPr>
    </w:p>
    <w:p>
      <w:pPr>
        <w:ind w:left="355" w:right="180" w:hanging="355"/>
        <w:spacing w:after="0" w:line="242" w:lineRule="auto"/>
        <w:tabs>
          <w:tab w:leader="none" w:pos="3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As of December 31, 2022 and 2021, directors, officers and employees of the Group have been involved, directly and indirectly, in financial transactions with certain subsidiaries of the Group, as permitted by Peruvian Banking and Insurance Law Nº26702, which regulates and limits certain transactions with employees, directors and officers of a bank or an insurance company. As of December 31, 2022 and 2021, direct loans to employees, directors, key management and family members amounted to S/1,179.2 million and S/1,054.7 million, respectively; they are repaid monthly basis and accrue interest at market rates.</w:t>
      </w:r>
    </w:p>
    <w:p>
      <w:pPr>
        <w:spacing w:after="0" w:line="178" w:lineRule="exact"/>
        <w:rPr>
          <w:rFonts w:ascii="Arial" w:cs="Arial" w:eastAsia="Arial" w:hAnsi="Arial"/>
          <w:sz w:val="17"/>
          <w:szCs w:val="17"/>
          <w:color w:val="auto"/>
        </w:rPr>
      </w:pPr>
    </w:p>
    <w:p>
      <w:pPr>
        <w:ind w:left="355" w:hanging="355"/>
        <w:spacing w:after="0"/>
        <w:tabs>
          <w:tab w:leader="none" w:pos="3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Group’s key personnel compensation (including the related income taxes assumed by the Group) as of December 31, 2022 and</w:t>
      </w:r>
    </w:p>
    <w:p>
      <w:pPr>
        <w:ind w:left="355"/>
        <w:spacing w:after="0"/>
        <w:rPr>
          <w:rFonts w:ascii="Arial" w:cs="Arial" w:eastAsia="Arial" w:hAnsi="Arial"/>
          <w:sz w:val="17"/>
          <w:szCs w:val="17"/>
          <w:color w:val="auto"/>
        </w:rPr>
      </w:pPr>
      <w:r>
        <w:rPr>
          <w:rFonts w:ascii="Arial" w:cs="Arial" w:eastAsia="Arial" w:hAnsi="Arial"/>
          <w:sz w:val="17"/>
          <w:szCs w:val="17"/>
          <w:color w:val="auto"/>
        </w:rPr>
        <w:t>2021 was as follows:</w:t>
      </w:r>
    </w:p>
    <w:p>
      <w:pPr>
        <w:spacing w:after="0" w:line="171" w:lineRule="exact"/>
        <w:rPr>
          <w:sz w:val="20"/>
          <w:szCs w:val="20"/>
          <w:color w:val="auto"/>
        </w:rPr>
      </w:pPr>
    </w:p>
    <w:tbl>
      <w:tblPr>
        <w:tblLayout w:type="fixed"/>
        <w:tblInd w:w="415" w:type="dxa"/>
        <w:tblCellMar>
          <w:top w:w="0" w:type="dxa"/>
          <w:left w:w="0" w:type="dxa"/>
          <w:bottom w:w="0" w:type="dxa"/>
          <w:right w:w="0" w:type="dxa"/>
        </w:tblCellMar>
      </w:tblPr>
      <w:tr>
        <w:trPr>
          <w:trHeight w:val="217"/>
        </w:trPr>
        <w:tc>
          <w:tcPr>
            <w:tcW w:w="6100" w:type="dxa"/>
            <w:vAlign w:val="bottom"/>
            <w:gridSpan w:val="2"/>
          </w:tcPr>
          <w:p>
            <w:pPr>
              <w:ind w:left="5460"/>
              <w:spacing w:after="0"/>
              <w:rPr>
                <w:sz w:val="20"/>
                <w:szCs w:val="20"/>
                <w:color w:val="auto"/>
              </w:rPr>
            </w:pPr>
            <w:r>
              <w:rPr>
                <w:rFonts w:ascii="Arial" w:cs="Arial" w:eastAsia="Arial" w:hAnsi="Arial"/>
                <w:sz w:val="17"/>
                <w:szCs w:val="17"/>
                <w:b w:val="1"/>
                <w:bCs w:val="1"/>
                <w:color w:val="auto"/>
              </w:rPr>
              <w:t>2022</w:t>
            </w:r>
          </w:p>
        </w:tc>
        <w:tc>
          <w:tcPr>
            <w:tcW w:w="700" w:type="dxa"/>
            <w:vAlign w:val="bottom"/>
          </w:tcPr>
          <w:p>
            <w:pPr>
              <w:spacing w:after="0"/>
              <w:rPr>
                <w:sz w:val="18"/>
                <w:szCs w:val="18"/>
                <w:color w:val="auto"/>
              </w:rPr>
            </w:pPr>
          </w:p>
        </w:tc>
        <w:tc>
          <w:tcPr>
            <w:tcW w:w="1460" w:type="dxa"/>
            <w:vAlign w:val="bottom"/>
            <w:gridSpan w:val="3"/>
          </w:tcPr>
          <w:p>
            <w:pPr>
              <w:ind w:left="100"/>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352"/>
        </w:trPr>
        <w:tc>
          <w:tcPr>
            <w:tcW w:w="6100" w:type="dxa"/>
            <w:vAlign w:val="bottom"/>
            <w:gridSpan w:val="2"/>
          </w:tcPr>
          <w:p>
            <w:pPr>
              <w:spacing w:after="0"/>
              <w:rPr>
                <w:sz w:val="20"/>
                <w:szCs w:val="20"/>
                <w:color w:val="auto"/>
              </w:rPr>
            </w:pPr>
            <w:r>
              <w:rPr>
                <w:rFonts w:ascii="Arial" w:cs="Arial" w:eastAsia="Arial" w:hAnsi="Arial"/>
                <w:sz w:val="17"/>
                <w:szCs w:val="17"/>
                <w:color w:val="auto"/>
              </w:rPr>
              <w:t>Director’s compensation</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7,850</w:t>
            </w:r>
          </w:p>
        </w:tc>
        <w:tc>
          <w:tcPr>
            <w:tcW w:w="1460" w:type="dxa"/>
            <w:vAlign w:val="bottom"/>
            <w:gridSpan w:val="3"/>
          </w:tcPr>
          <w:p>
            <w:pPr>
              <w:jc w:val="right"/>
              <w:ind w:right="34"/>
              <w:spacing w:after="0"/>
              <w:rPr>
                <w:sz w:val="20"/>
                <w:szCs w:val="20"/>
                <w:color w:val="auto"/>
              </w:rPr>
            </w:pPr>
            <w:r>
              <w:rPr>
                <w:rFonts w:ascii="Arial" w:cs="Arial" w:eastAsia="Arial" w:hAnsi="Arial"/>
                <w:sz w:val="17"/>
                <w:szCs w:val="17"/>
                <w:color w:val="auto"/>
              </w:rPr>
              <w:t>6,862</w:t>
            </w:r>
          </w:p>
        </w:tc>
        <w:tc>
          <w:tcPr>
            <w:tcW w:w="0" w:type="dxa"/>
            <w:vAlign w:val="bottom"/>
          </w:tcPr>
          <w:p>
            <w:pPr>
              <w:spacing w:after="0"/>
              <w:rPr>
                <w:sz w:val="1"/>
                <w:szCs w:val="1"/>
                <w:color w:val="auto"/>
              </w:rPr>
            </w:pPr>
          </w:p>
        </w:tc>
      </w:tr>
      <w:tr>
        <w:trPr>
          <w:trHeight w:val="194"/>
        </w:trPr>
        <w:tc>
          <w:tcPr>
            <w:tcW w:w="6100" w:type="dxa"/>
            <w:vAlign w:val="bottom"/>
            <w:gridSpan w:val="2"/>
          </w:tcPr>
          <w:p>
            <w:pPr>
              <w:spacing w:after="0" w:line="194" w:lineRule="exact"/>
              <w:rPr>
                <w:sz w:val="20"/>
                <w:szCs w:val="20"/>
                <w:color w:val="auto"/>
              </w:rPr>
            </w:pPr>
            <w:r>
              <w:rPr>
                <w:rFonts w:ascii="Arial" w:cs="Arial" w:eastAsia="Arial" w:hAnsi="Arial"/>
                <w:sz w:val="17"/>
                <w:szCs w:val="17"/>
                <w:color w:val="auto"/>
              </w:rPr>
              <w:t>Senior Management Compensation:</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10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Remuneration</w:t>
            </w:r>
          </w:p>
        </w:tc>
        <w:tc>
          <w:tcPr>
            <w:tcW w:w="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40,201</w:t>
            </w:r>
          </w:p>
        </w:tc>
        <w:tc>
          <w:tcPr>
            <w:tcW w:w="1460" w:type="dxa"/>
            <w:vAlign w:val="bottom"/>
            <w:gridSpan w:val="3"/>
          </w:tcPr>
          <w:p>
            <w:pPr>
              <w:jc w:val="right"/>
              <w:ind w:right="34"/>
              <w:spacing w:after="0" w:line="194" w:lineRule="exact"/>
              <w:rPr>
                <w:sz w:val="20"/>
                <w:szCs w:val="20"/>
                <w:color w:val="auto"/>
              </w:rPr>
            </w:pPr>
            <w:r>
              <w:rPr>
                <w:rFonts w:ascii="Arial" w:cs="Arial" w:eastAsia="Arial" w:hAnsi="Arial"/>
                <w:sz w:val="17"/>
                <w:szCs w:val="17"/>
                <w:color w:val="auto"/>
              </w:rPr>
              <w:t>45,164</w:t>
            </w:r>
          </w:p>
        </w:tc>
        <w:tc>
          <w:tcPr>
            <w:tcW w:w="0" w:type="dxa"/>
            <w:vAlign w:val="bottom"/>
          </w:tcPr>
          <w:p>
            <w:pPr>
              <w:spacing w:after="0"/>
              <w:rPr>
                <w:sz w:val="1"/>
                <w:szCs w:val="1"/>
                <w:color w:val="auto"/>
              </w:rPr>
            </w:pPr>
          </w:p>
        </w:tc>
      </w:tr>
      <w:tr>
        <w:trPr>
          <w:trHeight w:val="185"/>
        </w:trPr>
        <w:tc>
          <w:tcPr>
            <w:tcW w:w="6100" w:type="dxa"/>
            <w:vAlign w:val="bottom"/>
            <w:gridSpan w:val="2"/>
          </w:tcPr>
          <w:p>
            <w:pPr>
              <w:ind w:left="120"/>
              <w:spacing w:after="0" w:line="185" w:lineRule="exact"/>
              <w:rPr>
                <w:sz w:val="20"/>
                <w:szCs w:val="20"/>
                <w:color w:val="auto"/>
              </w:rPr>
            </w:pPr>
            <w:r>
              <w:rPr>
                <w:rFonts w:ascii="Arial" w:cs="Arial" w:eastAsia="Arial" w:hAnsi="Arial"/>
                <w:sz w:val="17"/>
                <w:szCs w:val="17"/>
                <w:color w:val="auto"/>
              </w:rPr>
              <w:t>Stock awards vested</w:t>
            </w:r>
          </w:p>
        </w:tc>
        <w:tc>
          <w:tcPr>
            <w:tcW w:w="700" w:type="dxa"/>
            <w:vAlign w:val="bottom"/>
          </w:tcPr>
          <w:p>
            <w:pPr>
              <w:jc w:val="right"/>
              <w:ind w:right="14"/>
              <w:spacing w:after="0" w:line="185" w:lineRule="exact"/>
              <w:rPr>
                <w:sz w:val="20"/>
                <w:szCs w:val="20"/>
                <w:color w:val="auto"/>
              </w:rPr>
            </w:pPr>
            <w:r>
              <w:rPr>
                <w:rFonts w:ascii="Arial" w:cs="Arial" w:eastAsia="Arial" w:hAnsi="Arial"/>
                <w:sz w:val="17"/>
                <w:szCs w:val="17"/>
                <w:color w:val="auto"/>
              </w:rPr>
              <w:t>28,450</w:t>
            </w:r>
          </w:p>
        </w:tc>
        <w:tc>
          <w:tcPr>
            <w:tcW w:w="1460" w:type="dxa"/>
            <w:vAlign w:val="bottom"/>
            <w:gridSpan w:val="3"/>
          </w:tcPr>
          <w:p>
            <w:pPr>
              <w:jc w:val="right"/>
              <w:ind w:right="34"/>
              <w:spacing w:after="0" w:line="185" w:lineRule="exact"/>
              <w:rPr>
                <w:sz w:val="20"/>
                <w:szCs w:val="20"/>
                <w:color w:val="auto"/>
              </w:rPr>
            </w:pPr>
            <w:r>
              <w:rPr>
                <w:rFonts w:ascii="Arial" w:cs="Arial" w:eastAsia="Arial" w:hAnsi="Arial"/>
                <w:sz w:val="17"/>
                <w:szCs w:val="17"/>
                <w:color w:val="auto"/>
              </w:rPr>
              <w:t>10,351</w:t>
            </w:r>
          </w:p>
        </w:tc>
        <w:tc>
          <w:tcPr>
            <w:tcW w:w="0" w:type="dxa"/>
            <w:vAlign w:val="bottom"/>
          </w:tcPr>
          <w:p>
            <w:pPr>
              <w:spacing w:after="0"/>
              <w:rPr>
                <w:sz w:val="1"/>
                <w:szCs w:val="1"/>
                <w:color w:val="auto"/>
              </w:rPr>
            </w:pPr>
          </w:p>
        </w:tc>
      </w:tr>
      <w:tr>
        <w:trPr>
          <w:trHeight w:val="23"/>
        </w:trPr>
        <w:tc>
          <w:tcPr>
            <w:tcW w:w="546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460" w:type="dxa"/>
            <w:vAlign w:val="bottom"/>
            <w:vMerge w:val="continue"/>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76,501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rPr>
              <w:t>62,377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55" w:right="140" w:hanging="355"/>
        <w:spacing w:after="0" w:line="254" w:lineRule="auto"/>
        <w:tabs>
          <w:tab w:leader="none" w:pos="35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As of December 31, 2022 and 2021 the Group holds interests in different funds managed by certain of the Group’s subsidiaries. The details of the funds are presented below:</w:t>
      </w:r>
    </w:p>
    <w:p>
      <w:pPr>
        <w:spacing w:after="0" w:line="147" w:lineRule="exact"/>
        <w:rPr>
          <w:sz w:val="20"/>
          <w:szCs w:val="20"/>
          <w:color w:val="auto"/>
        </w:rPr>
      </w:pPr>
    </w:p>
    <w:tbl>
      <w:tblPr>
        <w:tblLayout w:type="fixed"/>
        <w:tblInd w:w="415" w:type="dxa"/>
        <w:tblCellMar>
          <w:top w:w="0" w:type="dxa"/>
          <w:left w:w="0" w:type="dxa"/>
          <w:bottom w:w="0" w:type="dxa"/>
          <w:right w:w="0" w:type="dxa"/>
        </w:tblCellMar>
      </w:tblPr>
      <w:tr>
        <w:trPr>
          <w:trHeight w:val="217"/>
        </w:trPr>
        <w:tc>
          <w:tcPr>
            <w:tcW w:w="7180" w:type="dxa"/>
            <w:vAlign w:val="bottom"/>
            <w:gridSpan w:val="2"/>
          </w:tcPr>
          <w:p>
            <w:pPr>
              <w:ind w:left="6600"/>
              <w:spacing w:after="0"/>
              <w:rPr>
                <w:sz w:val="20"/>
                <w:szCs w:val="20"/>
                <w:color w:val="auto"/>
              </w:rPr>
            </w:pPr>
            <w:r>
              <w:rPr>
                <w:rFonts w:ascii="Arial" w:cs="Arial" w:eastAsia="Arial" w:hAnsi="Arial"/>
                <w:sz w:val="17"/>
                <w:szCs w:val="17"/>
                <w:b w:val="1"/>
                <w:bCs w:val="1"/>
                <w:color w:val="auto"/>
              </w:rPr>
              <w:t>2022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64"/>
        </w:trPr>
        <w:tc>
          <w:tcPr>
            <w:tcW w:w="6600" w:type="dxa"/>
            <w:vAlign w:val="bottom"/>
          </w:tcPr>
          <w:p>
            <w:pPr>
              <w:spacing w:after="0"/>
              <w:rPr>
                <w:sz w:val="14"/>
                <w:szCs w:val="14"/>
                <w:color w:val="auto"/>
              </w:rPr>
            </w:pPr>
          </w:p>
        </w:tc>
        <w:tc>
          <w:tcPr>
            <w:tcW w:w="580" w:type="dxa"/>
            <w:vAlign w:val="bottom"/>
            <w:tcBorders>
              <w:top w:val="single" w:sz="8" w:color="auto"/>
            </w:tcBorders>
          </w:tcPr>
          <w:p>
            <w:pPr>
              <w:spacing w:after="0" w:line="164" w:lineRule="exact"/>
              <w:rPr>
                <w:sz w:val="20"/>
                <w:szCs w:val="20"/>
                <w:color w:val="auto"/>
              </w:rPr>
            </w:pPr>
            <w:r>
              <w:rPr>
                <w:rFonts w:ascii="Arial" w:cs="Arial" w:eastAsia="Arial" w:hAnsi="Arial"/>
                <w:sz w:val="17"/>
                <w:szCs w:val="17"/>
                <w:b w:val="1"/>
                <w:bCs w:val="1"/>
                <w:color w:val="auto"/>
              </w:rPr>
              <w:t>S/(000)</w:t>
            </w: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line="164" w:lineRule="exact"/>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7"/>
                <w:szCs w:val="17"/>
                <w:b w:val="1"/>
                <w:bCs w:val="1"/>
                <w:color w:val="auto"/>
              </w:rPr>
              <w:t>At fair value through profit or loss: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spacing w:after="0" w:line="194" w:lineRule="exact"/>
              <w:rPr>
                <w:sz w:val="20"/>
                <w:szCs w:val="20"/>
                <w:color w:val="auto"/>
              </w:rPr>
            </w:pPr>
            <w:r>
              <w:rPr>
                <w:rFonts w:ascii="Arial" w:cs="Arial" w:eastAsia="Arial" w:hAnsi="Arial"/>
                <w:sz w:val="17"/>
                <w:szCs w:val="17"/>
                <w:color w:val="auto"/>
              </w:rPr>
              <w:t>Mutual funds, investment funds and hedge funds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U.S. dollar (i)</w:t>
            </w:r>
          </w:p>
        </w:tc>
        <w:tc>
          <w:tcPr>
            <w:tcW w:w="7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626,404</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588,330</w:t>
            </w:r>
          </w:p>
        </w:tc>
        <w:tc>
          <w:tcPr>
            <w:tcW w:w="0" w:type="dxa"/>
            <w:vAlign w:val="bottom"/>
          </w:tcPr>
          <w:p>
            <w:pPr>
              <w:spacing w:after="0"/>
              <w:rPr>
                <w:sz w:val="1"/>
                <w:szCs w:val="1"/>
                <w:color w:val="auto"/>
              </w:rPr>
            </w:pPr>
          </w:p>
        </w:tc>
      </w:tr>
      <w:tr>
        <w:trPr>
          <w:trHeight w:val="194"/>
        </w:trPr>
        <w:tc>
          <w:tcPr>
            <w:tcW w:w="718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Bolivianos</w:t>
            </w:r>
          </w:p>
        </w:tc>
        <w:tc>
          <w:tcPr>
            <w:tcW w:w="7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163,701</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157,332</w:t>
            </w:r>
          </w:p>
        </w:tc>
        <w:tc>
          <w:tcPr>
            <w:tcW w:w="0" w:type="dxa"/>
            <w:vAlign w:val="bottom"/>
          </w:tcPr>
          <w:p>
            <w:pPr>
              <w:spacing w:after="0"/>
              <w:rPr>
                <w:sz w:val="1"/>
                <w:szCs w:val="1"/>
                <w:color w:val="auto"/>
              </w:rPr>
            </w:pPr>
          </w:p>
        </w:tc>
      </w:tr>
      <w:tr>
        <w:trPr>
          <w:trHeight w:val="194"/>
        </w:trPr>
        <w:tc>
          <w:tcPr>
            <w:tcW w:w="718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Colombian pesos</w:t>
            </w:r>
          </w:p>
        </w:tc>
        <w:tc>
          <w:tcPr>
            <w:tcW w:w="7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76,535</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78,773</w:t>
            </w:r>
          </w:p>
        </w:tc>
        <w:tc>
          <w:tcPr>
            <w:tcW w:w="0" w:type="dxa"/>
            <w:vAlign w:val="bottom"/>
          </w:tcPr>
          <w:p>
            <w:pPr>
              <w:spacing w:after="0"/>
              <w:rPr>
                <w:sz w:val="1"/>
                <w:szCs w:val="1"/>
                <w:color w:val="auto"/>
              </w:rPr>
            </w:pPr>
          </w:p>
        </w:tc>
      </w:tr>
      <w:tr>
        <w:trPr>
          <w:trHeight w:val="194"/>
        </w:trPr>
        <w:tc>
          <w:tcPr>
            <w:tcW w:w="718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Soles(ii)</w:t>
            </w:r>
          </w:p>
        </w:tc>
        <w:tc>
          <w:tcPr>
            <w:tcW w:w="7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70,987</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45,741</w:t>
            </w:r>
          </w:p>
        </w:tc>
        <w:tc>
          <w:tcPr>
            <w:tcW w:w="0" w:type="dxa"/>
            <w:vAlign w:val="bottom"/>
          </w:tcPr>
          <w:p>
            <w:pPr>
              <w:spacing w:after="0"/>
              <w:rPr>
                <w:sz w:val="1"/>
                <w:szCs w:val="1"/>
                <w:color w:val="auto"/>
              </w:rPr>
            </w:pPr>
          </w:p>
        </w:tc>
      </w:tr>
      <w:tr>
        <w:trPr>
          <w:trHeight w:val="185"/>
        </w:trPr>
        <w:tc>
          <w:tcPr>
            <w:tcW w:w="7180" w:type="dxa"/>
            <w:vAlign w:val="bottom"/>
            <w:gridSpan w:val="2"/>
          </w:tcPr>
          <w:p>
            <w:pPr>
              <w:ind w:left="120"/>
              <w:spacing w:after="0" w:line="185" w:lineRule="exact"/>
              <w:rPr>
                <w:sz w:val="20"/>
                <w:szCs w:val="20"/>
                <w:color w:val="auto"/>
              </w:rPr>
            </w:pPr>
            <w:r>
              <w:rPr>
                <w:rFonts w:ascii="Arial" w:cs="Arial" w:eastAsia="Arial" w:hAnsi="Arial"/>
                <w:sz w:val="17"/>
                <w:szCs w:val="17"/>
                <w:color w:val="auto"/>
              </w:rPr>
              <w:t>Chilean pesos</w:t>
            </w:r>
          </w:p>
        </w:tc>
        <w:tc>
          <w:tcPr>
            <w:tcW w:w="740" w:type="dxa"/>
            <w:vAlign w:val="bottom"/>
          </w:tcPr>
          <w:p>
            <w:pPr>
              <w:jc w:val="right"/>
              <w:ind w:right="14"/>
              <w:spacing w:after="0" w:line="185" w:lineRule="exact"/>
              <w:rPr>
                <w:sz w:val="20"/>
                <w:szCs w:val="20"/>
                <w:color w:val="auto"/>
              </w:rPr>
            </w:pPr>
            <w:r>
              <w:rPr>
                <w:rFonts w:ascii="Arial" w:cs="Arial" w:eastAsia="Arial" w:hAnsi="Arial"/>
                <w:sz w:val="17"/>
                <w:szCs w:val="17"/>
                <w:color w:val="auto"/>
              </w:rPr>
              <w:t>5,735</w:t>
            </w:r>
          </w:p>
        </w:tc>
        <w:tc>
          <w:tcPr>
            <w:tcW w:w="100" w:type="dxa"/>
            <w:vAlign w:val="bottom"/>
          </w:tcPr>
          <w:p>
            <w:pPr>
              <w:spacing w:after="0"/>
              <w:rPr>
                <w:sz w:val="16"/>
                <w:szCs w:val="16"/>
                <w:color w:val="auto"/>
              </w:rPr>
            </w:pPr>
          </w:p>
        </w:tc>
        <w:tc>
          <w:tcPr>
            <w:tcW w:w="1360" w:type="dxa"/>
            <w:vAlign w:val="bottom"/>
          </w:tcPr>
          <w:p>
            <w:pPr>
              <w:jc w:val="right"/>
              <w:ind w:right="14"/>
              <w:spacing w:after="0" w:line="185" w:lineRule="exact"/>
              <w:rPr>
                <w:sz w:val="20"/>
                <w:szCs w:val="20"/>
                <w:color w:val="auto"/>
              </w:rPr>
            </w:pPr>
            <w:r>
              <w:rPr>
                <w:rFonts w:ascii="Arial" w:cs="Arial" w:eastAsia="Arial" w:hAnsi="Arial"/>
                <w:sz w:val="17"/>
                <w:szCs w:val="17"/>
                <w:color w:val="auto"/>
              </w:rPr>
              <w:t>2,140</w:t>
            </w:r>
          </w:p>
        </w:tc>
        <w:tc>
          <w:tcPr>
            <w:tcW w:w="0" w:type="dxa"/>
            <w:vAlign w:val="bottom"/>
          </w:tcPr>
          <w:p>
            <w:pPr>
              <w:spacing w:after="0"/>
              <w:rPr>
                <w:sz w:val="1"/>
                <w:szCs w:val="1"/>
                <w:color w:val="auto"/>
              </w:rPr>
            </w:pPr>
          </w:p>
        </w:tc>
      </w:tr>
      <w:tr>
        <w:trPr>
          <w:trHeight w:val="23"/>
        </w:trPr>
        <w:tc>
          <w:tcPr>
            <w:tcW w:w="660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600" w:type="dxa"/>
            <w:vAlign w:val="bottom"/>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943,362</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872,316</w:t>
            </w:r>
          </w:p>
        </w:tc>
        <w:tc>
          <w:tcPr>
            <w:tcW w:w="0" w:type="dxa"/>
            <w:vAlign w:val="bottom"/>
          </w:tcPr>
          <w:p>
            <w:pPr>
              <w:spacing w:after="0"/>
              <w:rPr>
                <w:sz w:val="1"/>
                <w:szCs w:val="1"/>
                <w:color w:val="auto"/>
              </w:rPr>
            </w:pPr>
          </w:p>
        </w:tc>
      </w:tr>
      <w:tr>
        <w:trPr>
          <w:trHeight w:val="194"/>
        </w:trPr>
        <w:tc>
          <w:tcPr>
            <w:tcW w:w="6600" w:type="dxa"/>
            <w:vAlign w:val="bottom"/>
            <w:vMerge w:val="restart"/>
          </w:tcPr>
          <w:p>
            <w:pPr>
              <w:spacing w:after="0"/>
              <w:rPr>
                <w:sz w:val="20"/>
                <w:szCs w:val="20"/>
                <w:color w:val="auto"/>
              </w:rPr>
            </w:pPr>
            <w:r>
              <w:rPr>
                <w:rFonts w:ascii="Arial" w:cs="Arial" w:eastAsia="Arial" w:hAnsi="Arial"/>
                <w:sz w:val="17"/>
                <w:szCs w:val="17"/>
                <w:color w:val="auto"/>
              </w:rPr>
              <w:t>Restricted mutual funds, Note 6(a)(iv)</w:t>
            </w: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00" w:type="dxa"/>
            <w:vAlign w:val="bottom"/>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351,317</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365,954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055" w:right="580" w:hanging="304"/>
        <w:spacing w:after="0" w:line="254" w:lineRule="auto"/>
        <w:tabs>
          <w:tab w:leader="none" w:pos="105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increase in the balance mainly comprises the purchase of new shares in participation quotes in investment funds managed by Credicorp Capital S.A. S.A.F.</w:t>
      </w:r>
    </w:p>
    <w:p>
      <w:pPr>
        <w:spacing w:after="0" w:line="363" w:lineRule="exact"/>
        <w:rPr>
          <w:rFonts w:ascii="Arial" w:cs="Arial" w:eastAsia="Arial" w:hAnsi="Arial"/>
          <w:sz w:val="17"/>
          <w:szCs w:val="17"/>
          <w:color w:val="auto"/>
        </w:rPr>
      </w:pPr>
    </w:p>
    <w:p>
      <w:pPr>
        <w:ind w:left="1055" w:right="340" w:hanging="304"/>
        <w:spacing w:after="0" w:line="254" w:lineRule="auto"/>
        <w:tabs>
          <w:tab w:leader="none" w:pos="105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increase in 2022 compared to 2021 is due to the acquisition of participation quotas in investment funds managed by Credicorp Capital S.A. S.A.F.</w:t>
      </w:r>
    </w:p>
    <w:p>
      <w:pPr>
        <w:spacing w:after="0" w:line="337" w:lineRule="exact"/>
        <w:rPr>
          <w:rFonts w:ascii="Arial" w:cs="Arial" w:eastAsia="Arial" w:hAnsi="Arial"/>
          <w:sz w:val="17"/>
          <w:szCs w:val="17"/>
          <w:color w:val="auto"/>
        </w:rPr>
      </w:pPr>
    </w:p>
    <w:p>
      <w:pPr>
        <w:ind w:left="4835" w:hanging="107"/>
        <w:spacing w:after="0"/>
        <w:tabs>
          <w:tab w:leader="none" w:pos="4835" w:val="left"/>
        </w:tabs>
        <w:numPr>
          <w:ilvl w:val="1"/>
          <w:numId w:val="165"/>
        </w:numPr>
        <w:rPr>
          <w:rFonts w:ascii="Arial" w:cs="Arial" w:eastAsia="Arial" w:hAnsi="Arial"/>
          <w:sz w:val="17"/>
          <w:szCs w:val="17"/>
          <w:color w:val="auto"/>
        </w:rPr>
      </w:pPr>
      <w:r>
        <w:rPr>
          <w:rFonts w:ascii="Arial" w:cs="Arial" w:eastAsia="Arial" w:hAnsi="Arial"/>
          <w:sz w:val="17"/>
          <w:szCs w:val="17"/>
          <w:color w:val="auto"/>
        </w:rPr>
        <w:t>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75"/>
          </w:cols>
          <w:pgMar w:left="945" w:top="346" w:right="379" w:bottom="1440" w:gutter="0" w:footer="0" w:header="0"/>
        </w:sectPr>
      </w:pPr>
    </w:p>
    <w:bookmarkStart w:id="140" w:name="page141"/>
    <w:bookmarkEnd w:id="140"/>
    <w:p>
      <w:pPr>
        <w:ind w:left="355" w:right="420" w:hanging="355"/>
        <w:spacing w:after="0" w:line="254" w:lineRule="auto"/>
        <w:tabs>
          <w:tab w:leader="none" w:pos="35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following table presents the main transactions between subsidiaries of de Group, which have been eliminated in the financial statement consolidation process:</w:t>
      </w:r>
    </w:p>
    <w:p>
      <w:pPr>
        <w:spacing w:after="0" w:line="147" w:lineRule="exact"/>
        <w:rPr>
          <w:sz w:val="20"/>
          <w:szCs w:val="20"/>
          <w:color w:val="auto"/>
        </w:rPr>
      </w:pPr>
    </w:p>
    <w:tbl>
      <w:tblPr>
        <w:tblLayout w:type="fixed"/>
        <w:tblInd w:w="415"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3320" w:type="dxa"/>
            <w:vAlign w:val="bottom"/>
            <w:gridSpan w:val="2"/>
          </w:tcPr>
          <w:p>
            <w:pPr>
              <w:jc w:val="right"/>
              <w:ind w:right="8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2021</w:t>
            </w:r>
          </w:p>
        </w:tc>
      </w:tr>
      <w:tr>
        <w:trPr>
          <w:trHeight w:val="223"/>
        </w:trPr>
        <w:tc>
          <w:tcPr>
            <w:tcW w:w="4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tcBorders>
              <w:top w:val="single" w:sz="8" w:color="auto"/>
            </w:tcBorders>
          </w:tcPr>
          <w:p>
            <w:pPr>
              <w:jc w:val="right"/>
              <w:ind w:right="674"/>
              <w:spacing w:after="0"/>
              <w:rPr>
                <w:sz w:val="20"/>
                <w:szCs w:val="20"/>
                <w:color w:val="auto"/>
              </w:rPr>
            </w:pPr>
            <w:r>
              <w:rPr>
                <w:rFonts w:ascii="Arial" w:cs="Arial" w:eastAsia="Arial" w:hAnsi="Arial"/>
                <w:sz w:val="17"/>
                <w:szCs w:val="17"/>
                <w:b w:val="1"/>
                <w:bCs w:val="1"/>
                <w:color w:val="auto"/>
                <w:w w:val="96"/>
              </w:rPr>
              <w:t>S/(000)</w:t>
            </w: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r>
      <w:tr>
        <w:trPr>
          <w:trHeight w:val="352"/>
        </w:trPr>
        <w:tc>
          <w:tcPr>
            <w:tcW w:w="4600" w:type="dxa"/>
            <w:vAlign w:val="bottom"/>
          </w:tcPr>
          <w:p>
            <w:pPr>
              <w:spacing w:after="0"/>
              <w:rPr>
                <w:sz w:val="20"/>
                <w:szCs w:val="20"/>
                <w:color w:val="auto"/>
              </w:rPr>
            </w:pPr>
            <w:r>
              <w:rPr>
                <w:rFonts w:ascii="Arial" w:cs="Arial" w:eastAsia="Arial" w:hAnsi="Arial"/>
                <w:sz w:val="17"/>
                <w:szCs w:val="17"/>
                <w:b w:val="1"/>
                <w:bCs w:val="1"/>
                <w:color w:val="auto"/>
              </w:rPr>
              <w:t>Statement of financial position -</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4"/>
        </w:trPr>
        <w:tc>
          <w:tcPr>
            <w:tcW w:w="4600" w:type="dxa"/>
            <w:vAlign w:val="bottom"/>
          </w:tcPr>
          <w:p>
            <w:pPr>
              <w:spacing w:after="0" w:line="194" w:lineRule="exact"/>
              <w:rPr>
                <w:sz w:val="20"/>
                <w:szCs w:val="20"/>
                <w:color w:val="auto"/>
              </w:rPr>
            </w:pPr>
            <w:r>
              <w:rPr>
                <w:rFonts w:ascii="Arial" w:cs="Arial" w:eastAsia="Arial" w:hAnsi="Arial"/>
                <w:sz w:val="17"/>
                <w:szCs w:val="17"/>
                <w:color w:val="auto"/>
              </w:rPr>
              <w:t>Direct loans</w:t>
            </w:r>
          </w:p>
        </w:tc>
        <w:tc>
          <w:tcPr>
            <w:tcW w:w="33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3,067,625</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3,104,188</w:t>
            </w:r>
          </w:p>
        </w:tc>
      </w:tr>
      <w:tr>
        <w:trPr>
          <w:trHeight w:val="194"/>
        </w:trPr>
        <w:tc>
          <w:tcPr>
            <w:tcW w:w="4600" w:type="dxa"/>
            <w:vAlign w:val="bottom"/>
          </w:tcPr>
          <w:p>
            <w:pPr>
              <w:spacing w:after="0" w:line="194" w:lineRule="exact"/>
              <w:rPr>
                <w:sz w:val="20"/>
                <w:szCs w:val="20"/>
                <w:color w:val="auto"/>
              </w:rPr>
            </w:pPr>
            <w:r>
              <w:rPr>
                <w:rFonts w:ascii="Arial" w:cs="Arial" w:eastAsia="Arial" w:hAnsi="Arial"/>
                <w:sz w:val="17"/>
                <w:szCs w:val="17"/>
                <w:color w:val="auto"/>
              </w:rPr>
              <w:t>Investments</w:t>
            </w:r>
          </w:p>
        </w:tc>
        <w:tc>
          <w:tcPr>
            <w:tcW w:w="33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163,200</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115,642</w:t>
            </w:r>
          </w:p>
        </w:tc>
      </w:tr>
      <w:tr>
        <w:trPr>
          <w:trHeight w:val="194"/>
        </w:trPr>
        <w:tc>
          <w:tcPr>
            <w:tcW w:w="4600" w:type="dxa"/>
            <w:vAlign w:val="bottom"/>
          </w:tcPr>
          <w:p>
            <w:pPr>
              <w:spacing w:after="0" w:line="194" w:lineRule="exact"/>
              <w:rPr>
                <w:sz w:val="20"/>
                <w:szCs w:val="20"/>
                <w:color w:val="auto"/>
              </w:rPr>
            </w:pPr>
            <w:r>
              <w:rPr>
                <w:rFonts w:ascii="Arial" w:cs="Arial" w:eastAsia="Arial" w:hAnsi="Arial"/>
                <w:sz w:val="17"/>
                <w:szCs w:val="17"/>
                <w:color w:val="auto"/>
              </w:rPr>
              <w:t>Deposits</w:t>
            </w:r>
          </w:p>
        </w:tc>
        <w:tc>
          <w:tcPr>
            <w:tcW w:w="33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(1,359,011)</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(2,917,660)</w:t>
            </w:r>
          </w:p>
        </w:tc>
      </w:tr>
      <w:tr>
        <w:trPr>
          <w:trHeight w:val="208"/>
        </w:trPr>
        <w:tc>
          <w:tcPr>
            <w:tcW w:w="4600" w:type="dxa"/>
            <w:vAlign w:val="bottom"/>
          </w:tcPr>
          <w:p>
            <w:pPr>
              <w:spacing w:after="0"/>
              <w:rPr>
                <w:sz w:val="20"/>
                <w:szCs w:val="20"/>
                <w:color w:val="auto"/>
              </w:rPr>
            </w:pPr>
            <w:r>
              <w:rPr>
                <w:rFonts w:ascii="Arial" w:cs="Arial" w:eastAsia="Arial" w:hAnsi="Arial"/>
                <w:sz w:val="17"/>
                <w:szCs w:val="17"/>
                <w:color w:val="auto"/>
              </w:rPr>
              <w:t>Derivatives at fair value (*)</w:t>
            </w:r>
          </w:p>
        </w:tc>
        <w:tc>
          <w:tcPr>
            <w:tcW w:w="3320" w:type="dxa"/>
            <w:vAlign w:val="bottom"/>
            <w:gridSpan w:val="2"/>
          </w:tcPr>
          <w:p>
            <w:pPr>
              <w:jc w:val="right"/>
              <w:ind w:right="14"/>
              <w:spacing w:after="0"/>
              <w:rPr>
                <w:sz w:val="20"/>
                <w:szCs w:val="20"/>
                <w:color w:val="auto"/>
              </w:rPr>
            </w:pPr>
            <w:r>
              <w:rPr>
                <w:rFonts w:ascii="Arial" w:cs="Arial" w:eastAsia="Arial" w:hAnsi="Arial"/>
                <w:sz w:val="17"/>
                <w:szCs w:val="17"/>
                <w:color w:val="auto"/>
              </w:rPr>
              <w:t>17,190</w:t>
            </w:r>
          </w:p>
        </w:tc>
        <w:tc>
          <w:tcPr>
            <w:tcW w:w="10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20,392</w:t>
            </w:r>
          </w:p>
        </w:tc>
      </w:tr>
    </w:tbl>
    <w:p>
      <w:pPr>
        <w:spacing w:after="0" w:line="365" w:lineRule="exact"/>
        <w:rPr>
          <w:sz w:val="20"/>
          <w:szCs w:val="20"/>
          <w:color w:val="auto"/>
        </w:rPr>
      </w:pPr>
    </w:p>
    <w:tbl>
      <w:tblPr>
        <w:tblLayout w:type="fixed"/>
        <w:tblInd w:w="415" w:type="dxa"/>
        <w:tblCellMar>
          <w:top w:w="0" w:type="dxa"/>
          <w:left w:w="0" w:type="dxa"/>
          <w:bottom w:w="0" w:type="dxa"/>
          <w:right w:w="0" w:type="dxa"/>
        </w:tblCellMar>
      </w:tblPr>
      <w:tr>
        <w:trPr>
          <w:trHeight w:val="217"/>
        </w:trPr>
        <w:tc>
          <w:tcPr>
            <w:tcW w:w="7160" w:type="dxa"/>
            <w:vAlign w:val="bottom"/>
            <w:gridSpan w:val="2"/>
          </w:tcPr>
          <w:p>
            <w:pPr>
              <w:ind w:left="6600"/>
              <w:spacing w:after="0"/>
              <w:rPr>
                <w:sz w:val="20"/>
                <w:szCs w:val="20"/>
                <w:color w:val="auto"/>
              </w:rPr>
            </w:pPr>
            <w:r>
              <w:rPr>
                <w:rFonts w:ascii="Arial" w:cs="Arial" w:eastAsia="Arial" w:hAnsi="Arial"/>
                <w:sz w:val="17"/>
                <w:szCs w:val="17"/>
                <w:b w:val="1"/>
                <w:bCs w:val="1"/>
                <w:color w:val="auto"/>
              </w:rPr>
              <w:t>2022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2021</w:t>
            </w:r>
          </w:p>
        </w:tc>
      </w:tr>
      <w:tr>
        <w:trPr>
          <w:trHeight w:val="223"/>
        </w:trPr>
        <w:tc>
          <w:tcPr>
            <w:tcW w:w="6600" w:type="dxa"/>
            <w:vAlign w:val="bottom"/>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w w:val="96"/>
              </w:rPr>
              <w:t>S/(000)</w:t>
            </w: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r>
      <w:tr>
        <w:trPr>
          <w:trHeight w:val="352"/>
        </w:trPr>
        <w:tc>
          <w:tcPr>
            <w:tcW w:w="7160" w:type="dxa"/>
            <w:vAlign w:val="bottom"/>
            <w:gridSpan w:val="2"/>
          </w:tcPr>
          <w:p>
            <w:pPr>
              <w:spacing w:after="0"/>
              <w:rPr>
                <w:sz w:val="20"/>
                <w:szCs w:val="20"/>
                <w:color w:val="auto"/>
              </w:rPr>
            </w:pPr>
            <w:r>
              <w:rPr>
                <w:rFonts w:ascii="Arial" w:cs="Arial" w:eastAsia="Arial" w:hAnsi="Arial"/>
                <w:sz w:val="17"/>
                <w:szCs w:val="17"/>
                <w:b w:val="1"/>
                <w:bCs w:val="1"/>
                <w:color w:val="auto"/>
              </w:rPr>
              <w:t>Statement of income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4"/>
        </w:trPr>
        <w:tc>
          <w:tcPr>
            <w:tcW w:w="7160" w:type="dxa"/>
            <w:vAlign w:val="bottom"/>
            <w:gridSpan w:val="2"/>
          </w:tcPr>
          <w:p>
            <w:pPr>
              <w:spacing w:after="0" w:line="194" w:lineRule="exact"/>
              <w:rPr>
                <w:sz w:val="20"/>
                <w:szCs w:val="20"/>
                <w:color w:val="auto"/>
              </w:rPr>
            </w:pPr>
            <w:r>
              <w:rPr>
                <w:rFonts w:ascii="Arial" w:cs="Arial" w:eastAsia="Arial" w:hAnsi="Arial"/>
                <w:sz w:val="17"/>
                <w:szCs w:val="17"/>
                <w:color w:val="auto"/>
              </w:rPr>
              <w:t>Interest income related to loans</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118,627</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58,270</w:t>
            </w:r>
          </w:p>
        </w:tc>
      </w:tr>
      <w:tr>
        <w:trPr>
          <w:trHeight w:val="194"/>
        </w:trPr>
        <w:tc>
          <w:tcPr>
            <w:tcW w:w="7160" w:type="dxa"/>
            <w:vAlign w:val="bottom"/>
            <w:gridSpan w:val="2"/>
          </w:tcPr>
          <w:p>
            <w:pPr>
              <w:spacing w:after="0" w:line="194" w:lineRule="exact"/>
              <w:rPr>
                <w:sz w:val="20"/>
                <w:szCs w:val="20"/>
                <w:color w:val="auto"/>
              </w:rPr>
            </w:pPr>
            <w:r>
              <w:rPr>
                <w:rFonts w:ascii="Arial" w:cs="Arial" w:eastAsia="Arial" w:hAnsi="Arial"/>
                <w:sz w:val="17"/>
                <w:szCs w:val="17"/>
                <w:color w:val="auto"/>
              </w:rPr>
              <w:t>Interest expenses related to deposits</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(12,972)</w:t>
            </w:r>
          </w:p>
        </w:tc>
        <w:tc>
          <w:tcPr>
            <w:tcW w:w="100" w:type="dxa"/>
            <w:vAlign w:val="bottom"/>
          </w:tcPr>
          <w:p>
            <w:pPr>
              <w:spacing w:after="0"/>
              <w:rPr>
                <w:sz w:val="16"/>
                <w:szCs w:val="16"/>
                <w:color w:val="auto"/>
              </w:rPr>
            </w:pPr>
          </w:p>
        </w:tc>
        <w:tc>
          <w:tcPr>
            <w:tcW w:w="13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(1,499)</w:t>
            </w:r>
          </w:p>
        </w:tc>
      </w:tr>
      <w:tr>
        <w:trPr>
          <w:trHeight w:val="208"/>
        </w:trPr>
        <w:tc>
          <w:tcPr>
            <w:tcW w:w="7160" w:type="dxa"/>
            <w:vAlign w:val="bottom"/>
            <w:gridSpan w:val="2"/>
          </w:tcPr>
          <w:p>
            <w:pPr>
              <w:spacing w:after="0"/>
              <w:rPr>
                <w:sz w:val="20"/>
                <w:szCs w:val="20"/>
                <w:color w:val="auto"/>
              </w:rPr>
            </w:pPr>
            <w:r>
              <w:rPr>
                <w:rFonts w:ascii="Arial" w:cs="Arial" w:eastAsia="Arial" w:hAnsi="Arial"/>
                <w:sz w:val="17"/>
                <w:szCs w:val="17"/>
                <w:color w:val="auto"/>
              </w:rPr>
              <w:t>Other income</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79,743</w:t>
            </w:r>
          </w:p>
        </w:tc>
        <w:tc>
          <w:tcPr>
            <w:tcW w:w="10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76,645</w:t>
            </w:r>
          </w:p>
        </w:tc>
      </w:tr>
      <w:tr>
        <w:trPr>
          <w:trHeight w:val="375"/>
        </w:trPr>
        <w:tc>
          <w:tcPr>
            <w:tcW w:w="7160" w:type="dxa"/>
            <w:vAlign w:val="bottom"/>
            <w:gridSpan w:val="2"/>
          </w:tcPr>
          <w:p>
            <w:pPr>
              <w:spacing w:after="0"/>
              <w:rPr>
                <w:sz w:val="20"/>
                <w:szCs w:val="20"/>
                <w:color w:val="auto"/>
              </w:rPr>
            </w:pPr>
            <w:r>
              <w:rPr>
                <w:rFonts w:ascii="Arial" w:cs="Arial" w:eastAsia="Arial" w:hAnsi="Arial"/>
                <w:sz w:val="17"/>
                <w:szCs w:val="17"/>
                <w:b w:val="1"/>
                <w:bCs w:val="1"/>
                <w:color w:val="auto"/>
              </w:rPr>
              <w:t>Contingent risks and commitments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8"/>
        </w:trPr>
        <w:tc>
          <w:tcPr>
            <w:tcW w:w="7160" w:type="dxa"/>
            <w:vAlign w:val="bottom"/>
            <w:gridSpan w:val="2"/>
          </w:tcPr>
          <w:p>
            <w:pPr>
              <w:spacing w:after="0"/>
              <w:rPr>
                <w:sz w:val="20"/>
                <w:szCs w:val="20"/>
                <w:color w:val="auto"/>
              </w:rPr>
            </w:pPr>
            <w:r>
              <w:rPr>
                <w:rFonts w:ascii="Arial" w:cs="Arial" w:eastAsia="Arial" w:hAnsi="Arial"/>
                <w:sz w:val="17"/>
                <w:szCs w:val="17"/>
                <w:color w:val="auto"/>
              </w:rPr>
              <w:t>Indirect loans</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440,577</w:t>
            </w:r>
          </w:p>
        </w:tc>
        <w:tc>
          <w:tcPr>
            <w:tcW w:w="10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331,920</w:t>
            </w:r>
          </w:p>
        </w:tc>
      </w:tr>
    </w:tbl>
    <w:p>
      <w:pPr>
        <w:spacing w:after="0" w:line="180" w:lineRule="exact"/>
        <w:rPr>
          <w:sz w:val="20"/>
          <w:szCs w:val="20"/>
          <w:color w:val="auto"/>
        </w:rPr>
      </w:pPr>
    </w:p>
    <w:p>
      <w:pPr>
        <w:ind w:left="675" w:hanging="312"/>
        <w:spacing w:after="0" w:line="254" w:lineRule="auto"/>
        <w:tabs>
          <w:tab w:leader="none" w:pos="67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Accounts receivable for derivatives held by group companies will be accounts payable for the subsidiaries with which the derivative is agreed and vice versa. These transactions are eliminated from the Statement of Financial Position.</w:t>
      </w:r>
    </w:p>
    <w:p>
      <w:pPr>
        <w:spacing w:after="0" w:line="337" w:lineRule="exact"/>
        <w:rPr>
          <w:rFonts w:ascii="Arial" w:cs="Arial" w:eastAsia="Arial" w:hAnsi="Arial"/>
          <w:sz w:val="17"/>
          <w:szCs w:val="17"/>
          <w:color w:val="auto"/>
        </w:rPr>
      </w:pPr>
    </w:p>
    <w:p>
      <w:pPr>
        <w:ind w:left="4835" w:hanging="107"/>
        <w:spacing w:after="0"/>
        <w:tabs>
          <w:tab w:leader="none" w:pos="4835" w:val="left"/>
        </w:tabs>
        <w:numPr>
          <w:ilvl w:val="1"/>
          <w:numId w:val="167"/>
        </w:numPr>
        <w:rPr>
          <w:rFonts w:ascii="Arial" w:cs="Arial" w:eastAsia="Arial" w:hAnsi="Arial"/>
          <w:sz w:val="17"/>
          <w:szCs w:val="17"/>
          <w:color w:val="auto"/>
        </w:rPr>
      </w:pPr>
      <w:r>
        <w:rPr>
          <w:rFonts w:ascii="Arial" w:cs="Arial" w:eastAsia="Arial" w:hAnsi="Arial"/>
          <w:sz w:val="17"/>
          <w:szCs w:val="17"/>
          <w:color w:val="auto"/>
        </w:rPr>
        <w:t>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346" w:right="339" w:bottom="1440" w:gutter="0" w:footer="0" w:header="0"/>
        </w:sectPr>
      </w:pPr>
    </w:p>
    <w:bookmarkStart w:id="141" w:name="page142"/>
    <w:bookmarkEnd w:id="141"/>
    <w:p>
      <w:pPr>
        <w:spacing w:after="0"/>
        <w:tabs>
          <w:tab w:leader="none" w:pos="60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7"/>
          <w:szCs w:val="17"/>
          <w:b w:val="1"/>
          <w:bCs w:val="1"/>
          <w:color w:val="auto"/>
        </w:rPr>
        <w:t>FINANCIAL INSTRUMENTS CLASSIFICATION</w:t>
      </w:r>
    </w:p>
    <w:p>
      <w:pPr>
        <w:spacing w:after="0" w:line="215" w:lineRule="exact"/>
        <w:rPr>
          <w:sz w:val="20"/>
          <w:szCs w:val="20"/>
          <w:color w:val="auto"/>
        </w:rPr>
      </w:pPr>
    </w:p>
    <w:p>
      <w:pPr>
        <w:ind w:left="620" w:right="600"/>
        <w:spacing w:after="0" w:line="254" w:lineRule="auto"/>
        <w:rPr>
          <w:sz w:val="20"/>
          <w:szCs w:val="20"/>
          <w:color w:val="auto"/>
        </w:rPr>
      </w:pPr>
      <w:r>
        <w:rPr>
          <w:rFonts w:ascii="Arial" w:cs="Arial" w:eastAsia="Arial" w:hAnsi="Arial"/>
          <w:sz w:val="17"/>
          <w:szCs w:val="17"/>
          <w:color w:val="auto"/>
        </w:rPr>
        <w:t>The table below shows the carrying amounts of the financial assets and liabilities captions in the consolidated statement of financial position, by categories as defined under IFRS 9 as of December 31,2022 and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top w:val="single" w:sz="8" w:color="auto"/>
            </w:tcBorders>
            <w:gridSpan w:val="3"/>
          </w:tcPr>
          <w:p>
            <w:pPr>
              <w:spacing w:after="0" w:line="103" w:lineRule="exact"/>
              <w:rPr>
                <w:sz w:val="20"/>
                <w:szCs w:val="20"/>
                <w:color w:val="auto"/>
              </w:rPr>
            </w:pPr>
            <w:r>
              <w:rPr>
                <w:rFonts w:ascii="Arial" w:cs="Arial" w:eastAsia="Arial" w:hAnsi="Arial"/>
                <w:sz w:val="11"/>
                <w:szCs w:val="11"/>
                <w:b w:val="1"/>
                <w:bCs w:val="1"/>
                <w:color w:val="auto"/>
              </w:rPr>
              <w:t>Financial assets and</w:t>
            </w: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Borders>
              <w:top w:val="single" w:sz="8" w:color="auto"/>
            </w:tcBorders>
            <w:gridSpan w:val="4"/>
          </w:tcPr>
          <w:p>
            <w:pPr>
              <w:spacing w:after="0" w:line="103" w:lineRule="exact"/>
              <w:rPr>
                <w:sz w:val="20"/>
                <w:szCs w:val="20"/>
                <w:color w:val="auto"/>
              </w:rPr>
            </w:pPr>
            <w:r>
              <w:rPr>
                <w:rFonts w:ascii="Arial" w:cs="Arial" w:eastAsia="Arial" w:hAnsi="Arial"/>
                <w:sz w:val="11"/>
                <w:szCs w:val="11"/>
                <w:b w:val="1"/>
                <w:bCs w:val="1"/>
                <w:color w:val="auto"/>
              </w:rPr>
              <w:t>Financial assets and</w:t>
            </w: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5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liabilities at fair</w:t>
            </w:r>
          </w:p>
        </w:tc>
        <w:tc>
          <w:tcPr>
            <w:tcW w:w="16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Financial assets at fair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liabilities at fair</w:t>
            </w:r>
          </w:p>
        </w:tc>
        <w:tc>
          <w:tcPr>
            <w:tcW w:w="16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Financial assets at fair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5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value through profit or</w:t>
            </w:r>
          </w:p>
        </w:tc>
        <w:tc>
          <w:tcPr>
            <w:tcW w:w="16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value through other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value through profit or</w:t>
            </w:r>
          </w:p>
        </w:tc>
        <w:tc>
          <w:tcPr>
            <w:tcW w:w="16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value through 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loss</w:t>
            </w:r>
          </w:p>
        </w:tc>
        <w:tc>
          <w:tcPr>
            <w:tcW w:w="720" w:type="dxa"/>
            <w:vAlign w:val="bottom"/>
          </w:tcPr>
          <w:p>
            <w:pPr>
              <w:spacing w:after="0"/>
              <w:rPr>
                <w:sz w:val="12"/>
                <w:szCs w:val="12"/>
                <w:color w:val="auto"/>
              </w:rPr>
            </w:pPr>
          </w:p>
        </w:tc>
        <w:tc>
          <w:tcPr>
            <w:tcW w:w="1600" w:type="dxa"/>
            <w:vAlign w:val="bottom"/>
            <w:gridSpan w:val="4"/>
          </w:tcPr>
          <w:p>
            <w:pPr>
              <w:ind w:left="80"/>
              <w:spacing w:after="0"/>
              <w:rPr>
                <w:sz w:val="20"/>
                <w:szCs w:val="20"/>
                <w:color w:val="auto"/>
              </w:rPr>
            </w:pPr>
            <w:r>
              <w:rPr>
                <w:rFonts w:ascii="Arial" w:cs="Arial" w:eastAsia="Arial" w:hAnsi="Arial"/>
                <w:sz w:val="12"/>
                <w:szCs w:val="12"/>
                <w:b w:val="1"/>
                <w:bCs w:val="1"/>
                <w:color w:val="auto"/>
              </w:rPr>
              <w:t>comprehensive income</w:t>
            </w:r>
          </w:p>
        </w:tc>
        <w:tc>
          <w:tcPr>
            <w:tcW w:w="9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Financial</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loss</w:t>
            </w:r>
          </w:p>
        </w:tc>
        <w:tc>
          <w:tcPr>
            <w:tcW w:w="720" w:type="dxa"/>
            <w:vAlign w:val="bottom"/>
          </w:tcPr>
          <w:p>
            <w:pPr>
              <w:spacing w:after="0"/>
              <w:rPr>
                <w:sz w:val="12"/>
                <w:szCs w:val="12"/>
                <w:color w:val="auto"/>
              </w:rPr>
            </w:pPr>
          </w:p>
        </w:tc>
        <w:tc>
          <w:tcPr>
            <w:tcW w:w="1600" w:type="dxa"/>
            <w:vAlign w:val="bottom"/>
            <w:gridSpan w:val="4"/>
          </w:tcPr>
          <w:p>
            <w:pPr>
              <w:ind w:left="80"/>
              <w:spacing w:after="0"/>
              <w:rPr>
                <w:sz w:val="20"/>
                <w:szCs w:val="20"/>
                <w:color w:val="auto"/>
              </w:rPr>
            </w:pPr>
            <w:r>
              <w:rPr>
                <w:rFonts w:ascii="Arial" w:cs="Arial" w:eastAsia="Arial" w:hAnsi="Arial"/>
                <w:sz w:val="12"/>
                <w:szCs w:val="12"/>
                <w:b w:val="1"/>
                <w:bCs w:val="1"/>
                <w:color w:val="auto"/>
              </w:rPr>
              <w:t>comprehensive income</w:t>
            </w:r>
          </w:p>
        </w:tc>
        <w:tc>
          <w:tcPr>
            <w:tcW w:w="10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Financial</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assets and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assets and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liabilities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liabilities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8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Investments</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Investments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Investments</w:t>
            </w:r>
          </w:p>
        </w:tc>
        <w:tc>
          <w:tcPr>
            <w:tcW w:w="9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measured at</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Investments</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Investments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Investments</w:t>
            </w:r>
          </w:p>
        </w:tc>
        <w:tc>
          <w:tcPr>
            <w:tcW w:w="100" w:type="dxa"/>
            <w:vAlign w:val="bottom"/>
          </w:tcPr>
          <w:p>
            <w:pPr>
              <w:spacing w:after="0"/>
              <w:rPr>
                <w:sz w:val="11"/>
                <w:szCs w:val="11"/>
                <w:color w:val="auto"/>
              </w:rPr>
            </w:pPr>
          </w:p>
        </w:tc>
        <w:tc>
          <w:tcPr>
            <w:tcW w:w="8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measured at</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8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and</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designated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designated</w:t>
            </w:r>
          </w:p>
        </w:tc>
        <w:tc>
          <w:tcPr>
            <w:tcW w:w="9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amortized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and</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designated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designated</w:t>
            </w:r>
          </w:p>
        </w:tc>
        <w:tc>
          <w:tcPr>
            <w:tcW w:w="100" w:type="dxa"/>
            <w:vAlign w:val="bottom"/>
          </w:tcPr>
          <w:p>
            <w:pPr>
              <w:spacing w:after="0"/>
              <w:rPr>
                <w:sz w:val="11"/>
                <w:szCs w:val="11"/>
                <w:color w:val="auto"/>
              </w:rPr>
            </w:pPr>
          </w:p>
        </w:tc>
        <w:tc>
          <w:tcPr>
            <w:tcW w:w="8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amortized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derivates</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at inception</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Investments</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at inception</w:t>
            </w: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cost</w:t>
            </w:r>
          </w:p>
        </w:tc>
        <w:tc>
          <w:tcPr>
            <w:tcW w:w="740" w:type="dxa"/>
            <w:vAlign w:val="bottom"/>
          </w:tcPr>
          <w:p>
            <w:pPr>
              <w:jc w:val="right"/>
              <w:ind w:right="18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derivates</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at inception</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Investments</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at inception</w:t>
            </w:r>
          </w:p>
        </w:tc>
        <w:tc>
          <w:tcPr>
            <w:tcW w:w="10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cost</w:t>
            </w:r>
          </w:p>
        </w:tc>
        <w:tc>
          <w:tcPr>
            <w:tcW w:w="740" w:type="dxa"/>
            <w:vAlign w:val="bottom"/>
          </w:tcPr>
          <w:p>
            <w:pPr>
              <w:jc w:val="right"/>
              <w:ind w:right="20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40" w:type="dxa"/>
            <w:vAlign w:val="bottom"/>
            <w:vMerge w:val="restart"/>
          </w:tcPr>
          <w:p>
            <w:pPr>
              <w:spacing w:after="0"/>
              <w:rPr>
                <w:sz w:val="20"/>
                <w:szCs w:val="20"/>
                <w:color w:val="auto"/>
              </w:rPr>
            </w:pPr>
            <w:r>
              <w:rPr>
                <w:rFonts w:ascii="Arial" w:cs="Arial" w:eastAsia="Arial" w:hAnsi="Arial"/>
                <w:sz w:val="12"/>
                <w:szCs w:val="12"/>
                <w:b w:val="1"/>
                <w:bCs w:val="1"/>
                <w:color w:val="auto"/>
              </w:rPr>
              <w:t>Assets</w:t>
            </w:r>
          </w:p>
        </w:tc>
        <w:tc>
          <w:tcPr>
            <w:tcW w:w="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740" w:type="dxa"/>
            <w:vAlign w:val="bottom"/>
            <w:tcBorders>
              <w:top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96"/>
              </w:rPr>
              <w:t>S/(000)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740" w:type="dxa"/>
            <w:vAlign w:val="bottom"/>
            <w:tcBorders>
              <w:top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96"/>
              </w:rPr>
              <w:t>S/(000)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0"/>
                <w:szCs w:val="20"/>
                <w:color w:val="auto"/>
              </w:rPr>
            </w:pPr>
            <w:r>
              <w:rPr>
                <w:rFonts w:ascii="Arial" w:cs="Arial" w:eastAsia="Arial" w:hAnsi="Arial"/>
                <w:sz w:val="12"/>
                <w:szCs w:val="12"/>
                <w:color w:val="auto"/>
              </w:rPr>
              <w:t>Cash and due from banks</w:t>
            </w:r>
          </w:p>
        </w:tc>
        <w:tc>
          <w:tcPr>
            <w:tcW w:w="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34,183,840</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34,183,840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39,320,740</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39,320,740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Cash collateral, reverse</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repurchase agreements and</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securities borrowings</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1,101,856</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1,101,856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1,766,948</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1,766,948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At fair value through profit or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loss</w:t>
            </w: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4,199,334</w:t>
            </w: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4,199,334</w:t>
            </w:r>
          </w:p>
        </w:tc>
        <w:tc>
          <w:tcPr>
            <w:tcW w:w="80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5,928,538</w:t>
            </w:r>
          </w:p>
        </w:tc>
        <w:tc>
          <w:tcPr>
            <w:tcW w:w="8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5,928,538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Investments at fair value</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through other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comprehensive income,</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Note 6(b)</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30,449,806</w:t>
            </w:r>
          </w:p>
        </w:tc>
        <w:tc>
          <w:tcPr>
            <w:tcW w:w="8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336,355</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30,786,161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34,380,557</w:t>
            </w:r>
          </w:p>
        </w:tc>
        <w:tc>
          <w:tcPr>
            <w:tcW w:w="8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377,886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34,758,443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Amortized cost investments</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10,445,729</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10,445,729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8,265,559</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8,265,559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Loans, net</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140,753,972</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w w:val="98"/>
              </w:rPr>
              <w:t>140,753,972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139,120,104</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w w:val="98"/>
              </w:rPr>
              <w:t>139,120,104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Financial assets designated</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at fair value through profit or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loss</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768,801</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768,801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987,082</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987,082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Premiums and other policies</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receivable</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913,124</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913,124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921,103</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921,103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Accounts receivable from</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reinsurers and coinsurers</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1,106,674</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1,106,674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1,198,379</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1,198,379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Due from customers on</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banker’s acceptances</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699,678</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699,678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532,404</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532,404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line="136" w:lineRule="exact"/>
              <w:rPr>
                <w:sz w:val="20"/>
                <w:szCs w:val="20"/>
                <w:color w:val="auto"/>
              </w:rPr>
            </w:pPr>
            <w:r>
              <w:rPr>
                <w:rFonts w:ascii="Arial" w:cs="Arial" w:eastAsia="Arial" w:hAnsi="Arial"/>
                <w:sz w:val="12"/>
                <w:szCs w:val="12"/>
                <w:color w:val="auto"/>
              </w:rPr>
              <w:t>Other assets, Note 13(a)</w:t>
            </w:r>
          </w:p>
        </w:tc>
        <w:tc>
          <w:tcPr>
            <w:tcW w:w="7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1,478,726</w:t>
            </w:r>
          </w:p>
        </w:tc>
        <w:tc>
          <w:tcPr>
            <w:tcW w:w="1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1,755,899</w:t>
            </w:r>
          </w:p>
        </w:tc>
        <w:tc>
          <w:tcPr>
            <w:tcW w:w="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2"/>
                <w:szCs w:val="12"/>
                <w:color w:val="auto"/>
              </w:rPr>
              <w:t>3,234,625</w:t>
            </w:r>
          </w:p>
        </w:tc>
        <w:tc>
          <w:tcPr>
            <w:tcW w:w="800" w:type="dxa"/>
            <w:vAlign w:val="bottom"/>
            <w:gridSpan w:val="3"/>
          </w:tcPr>
          <w:p>
            <w:pPr>
              <w:jc w:val="right"/>
              <w:spacing w:after="0" w:line="136" w:lineRule="exact"/>
              <w:rPr>
                <w:sz w:val="20"/>
                <w:szCs w:val="20"/>
                <w:color w:val="auto"/>
              </w:rPr>
            </w:pPr>
            <w:r>
              <w:rPr>
                <w:rFonts w:ascii="Arial" w:cs="Arial" w:eastAsia="Arial" w:hAnsi="Arial"/>
                <w:sz w:val="12"/>
                <w:szCs w:val="12"/>
                <w:color w:val="auto"/>
              </w:rPr>
              <w:t>1,661,628</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6" w:lineRule="exact"/>
              <w:rPr>
                <w:sz w:val="20"/>
                <w:szCs w:val="20"/>
                <w:color w:val="auto"/>
              </w:rPr>
            </w:pPr>
            <w:r>
              <w:rPr>
                <w:rFonts w:ascii="Arial" w:cs="Arial" w:eastAsia="Arial" w:hAnsi="Arial"/>
                <w:sz w:val="12"/>
                <w:szCs w:val="12"/>
                <w:color w:val="auto"/>
              </w:rPr>
              <w:t>1,809,431</w:t>
            </w:r>
          </w:p>
        </w:tc>
        <w:tc>
          <w:tcPr>
            <w:tcW w:w="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2"/>
                <w:szCs w:val="12"/>
                <w:color w:val="auto"/>
              </w:rPr>
              <w:t>3,471,059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5,678,060</w:t>
            </w:r>
          </w:p>
        </w:tc>
        <w:tc>
          <w:tcPr>
            <w:tcW w:w="1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768,801</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30,449,806</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336,355</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190,960,772</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228,193,794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7,590,166</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987,082</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34,380,557</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377,886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2"/>
              </w:rPr>
              <w:t>192,934,668</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236,270,359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5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0"/>
                <w:szCs w:val="20"/>
                <w:color w:val="auto"/>
              </w:rPr>
            </w:pPr>
            <w:r>
              <w:rPr>
                <w:rFonts w:ascii="Arial" w:cs="Arial" w:eastAsia="Arial" w:hAnsi="Arial"/>
                <w:sz w:val="12"/>
                <w:szCs w:val="12"/>
                <w:color w:val="auto"/>
              </w:rPr>
              <w:t>Deposits and obligations</w:t>
            </w:r>
          </w:p>
        </w:tc>
        <w:tc>
          <w:tcPr>
            <w:tcW w:w="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147,020,787</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8"/>
              </w:rPr>
              <w:t>147,020,787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149,596,545</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8"/>
              </w:rPr>
              <w:t>149,596,545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Payables from repurchase</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agreements and securities</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lending</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12,966,725</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12,966,725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22,013,866</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22,013,866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Due to banks and</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correspondents</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8,937,411</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8,937,411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7,212,946</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7,212,946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Due from customers on</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banker’s acceptances</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699,678</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699,678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532,404</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532,404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Accounts payable to</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reinsurers and coinsurers</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420,094</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420,094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463,825</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463,825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Lease liabilities</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578,074</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578,074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655,294</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655,294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Financial liabilities at fair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value through profit or loss</w:t>
            </w: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191,010</w:t>
            </w: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191,010</w:t>
            </w:r>
          </w:p>
        </w:tc>
        <w:tc>
          <w:tcPr>
            <w:tcW w:w="80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337,909</w:t>
            </w:r>
          </w:p>
        </w:tc>
        <w:tc>
          <w:tcPr>
            <w:tcW w:w="8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337,909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2"/>
                <w:szCs w:val="12"/>
                <w:color w:val="auto"/>
              </w:rPr>
              <w:t>Bonds and notes issued</w:t>
            </w:r>
          </w:p>
        </w:tc>
        <w:tc>
          <w:tcPr>
            <w:tcW w:w="2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17,007,194</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17,007,194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17,823,146</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17,823,146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line="136" w:lineRule="exact"/>
              <w:rPr>
                <w:sz w:val="20"/>
                <w:szCs w:val="20"/>
                <w:color w:val="auto"/>
              </w:rPr>
            </w:pPr>
            <w:r>
              <w:rPr>
                <w:rFonts w:ascii="Arial" w:cs="Arial" w:eastAsia="Arial" w:hAnsi="Arial"/>
                <w:sz w:val="12"/>
                <w:szCs w:val="12"/>
                <w:color w:val="auto"/>
              </w:rPr>
              <w:t>Other liabilities, Note 13(a)</w:t>
            </w:r>
          </w:p>
        </w:tc>
        <w:tc>
          <w:tcPr>
            <w:tcW w:w="7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1,345,665</w:t>
            </w:r>
          </w:p>
        </w:tc>
        <w:tc>
          <w:tcPr>
            <w:tcW w:w="1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4,065,297</w:t>
            </w:r>
          </w:p>
        </w:tc>
        <w:tc>
          <w:tcPr>
            <w:tcW w:w="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2"/>
                <w:szCs w:val="12"/>
                <w:color w:val="auto"/>
              </w:rPr>
              <w:t>5,410,962</w:t>
            </w:r>
          </w:p>
        </w:tc>
        <w:tc>
          <w:tcPr>
            <w:tcW w:w="800" w:type="dxa"/>
            <w:vAlign w:val="bottom"/>
            <w:gridSpan w:val="3"/>
          </w:tcPr>
          <w:p>
            <w:pPr>
              <w:jc w:val="right"/>
              <w:spacing w:after="0" w:line="136" w:lineRule="exact"/>
              <w:rPr>
                <w:sz w:val="20"/>
                <w:szCs w:val="20"/>
                <w:color w:val="auto"/>
              </w:rPr>
            </w:pPr>
            <w:r>
              <w:rPr>
                <w:rFonts w:ascii="Arial" w:cs="Arial" w:eastAsia="Arial" w:hAnsi="Arial"/>
                <w:sz w:val="12"/>
                <w:szCs w:val="12"/>
                <w:color w:val="auto"/>
              </w:rPr>
              <w:t>1,524,761</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6" w:lineRule="exact"/>
              <w:rPr>
                <w:sz w:val="20"/>
                <w:szCs w:val="20"/>
                <w:color w:val="auto"/>
              </w:rPr>
            </w:pPr>
            <w:r>
              <w:rPr>
                <w:rFonts w:ascii="Arial" w:cs="Arial" w:eastAsia="Arial" w:hAnsi="Arial"/>
                <w:sz w:val="12"/>
                <w:szCs w:val="12"/>
                <w:color w:val="auto"/>
              </w:rPr>
              <w:t>3,845,852</w:t>
            </w:r>
          </w:p>
        </w:tc>
        <w:tc>
          <w:tcPr>
            <w:tcW w:w="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2"/>
                <w:szCs w:val="12"/>
                <w:color w:val="auto"/>
              </w:rPr>
              <w:t>5,370,613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1,536,675</w:t>
            </w:r>
          </w:p>
        </w:tc>
        <w:tc>
          <w:tcPr>
            <w:tcW w:w="1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191,695,260</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193,231,935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1,862,670</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2"/>
              </w:rPr>
              <w:t>202,143,878</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204,006,548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2" w:name="page143"/>
    <w:bookmarkEnd w:id="142"/>
    <w:p>
      <w:pPr>
        <w:ind w:left="616" w:hanging="616"/>
        <w:spacing w:after="0"/>
        <w:tabs>
          <w:tab w:leader="none" w:pos="616"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AND NON-FINANCIAL RISK MANAGEMENT</w:t>
      </w:r>
    </w:p>
    <w:p>
      <w:pPr>
        <w:spacing w:after="0" w:line="215" w:lineRule="exact"/>
        <w:rPr>
          <w:rFonts w:ascii="Arial" w:cs="Arial" w:eastAsia="Arial" w:hAnsi="Arial"/>
          <w:sz w:val="17"/>
          <w:szCs w:val="17"/>
          <w:b w:val="1"/>
          <w:bCs w:val="1"/>
          <w:color w:val="auto"/>
        </w:rPr>
      </w:pPr>
    </w:p>
    <w:p>
      <w:pPr>
        <w:jc w:val="both"/>
        <w:ind w:left="616"/>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The Group’s activities mainly comprise the use of financial instruments, including derivatives. It also accepts deposits from customers at both fixed and floating rates, for various periods, and invests these funds in high-quality assets. Additionally, it places these deposits at fixed and variable rates with legal entities and individuals, considering the finance costs and expected profitability.</w:t>
      </w:r>
    </w:p>
    <w:p>
      <w:pPr>
        <w:spacing w:after="0" w:line="175" w:lineRule="exact"/>
        <w:rPr>
          <w:rFonts w:ascii="Arial" w:cs="Arial" w:eastAsia="Arial" w:hAnsi="Arial"/>
          <w:sz w:val="17"/>
          <w:szCs w:val="17"/>
          <w:b w:val="1"/>
          <w:bCs w:val="1"/>
          <w:color w:val="auto"/>
        </w:rPr>
      </w:pPr>
    </w:p>
    <w:p>
      <w:pPr>
        <w:ind w:left="616"/>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Group also trades in financial instruments where it takes positions in traded and over-the-counter instruments, derivatives included, to take advantage of short-term market movements on securities, bonds, currencies and interest rates.</w:t>
      </w:r>
    </w:p>
    <w:p>
      <w:pPr>
        <w:spacing w:after="0" w:line="169" w:lineRule="exact"/>
        <w:rPr>
          <w:rFonts w:ascii="Arial" w:cs="Arial" w:eastAsia="Arial" w:hAnsi="Arial"/>
          <w:sz w:val="17"/>
          <w:szCs w:val="17"/>
          <w:b w:val="1"/>
          <w:bCs w:val="1"/>
          <w:color w:val="auto"/>
        </w:rPr>
      </w:pPr>
    </w:p>
    <w:p>
      <w:pPr>
        <w:jc w:val="both"/>
        <w:ind w:left="616"/>
        <w:spacing w:after="0" w:line="244" w:lineRule="auto"/>
        <w:rPr>
          <w:rFonts w:ascii="Arial" w:cs="Arial" w:eastAsia="Arial" w:hAnsi="Arial"/>
          <w:sz w:val="17"/>
          <w:szCs w:val="17"/>
          <w:b w:val="1"/>
          <w:bCs w:val="1"/>
          <w:color w:val="auto"/>
        </w:rPr>
      </w:pPr>
      <w:r>
        <w:rPr>
          <w:rFonts w:ascii="Arial" w:cs="Arial" w:eastAsia="Arial" w:hAnsi="Arial"/>
          <w:sz w:val="17"/>
          <w:szCs w:val="17"/>
          <w:color w:val="auto"/>
        </w:rPr>
        <w:t>Given the Group’s activities, it has a framework for risk appetite, a cornerstone of the management. The risk management processes involve continuous identification, measurement, treatment and monitoring. The Group is mainly exposed to operating risk, credit risk, liquidity risk, market risk, strategic risk and insurance technical risk. Finally, it reports on a consolidated basis the risks to which the Group is exposed.</w:t>
      </w:r>
    </w:p>
    <w:p>
      <w:pPr>
        <w:spacing w:after="0" w:line="375" w:lineRule="exact"/>
        <w:rPr>
          <w:rFonts w:ascii="Arial" w:cs="Arial" w:eastAsia="Arial" w:hAnsi="Arial"/>
          <w:sz w:val="17"/>
          <w:szCs w:val="17"/>
          <w:b w:val="1"/>
          <w:bCs w:val="1"/>
          <w:color w:val="auto"/>
        </w:rPr>
      </w:pPr>
    </w:p>
    <w:p>
      <w:pPr>
        <w:ind w:left="936" w:hanging="315"/>
        <w:spacing w:after="0"/>
        <w:tabs>
          <w:tab w:leader="none" w:pos="936" w:val="left"/>
        </w:tabs>
        <w:numPr>
          <w:ilvl w:val="1"/>
          <w:numId w:val="168"/>
        </w:numPr>
        <w:rPr>
          <w:rFonts w:ascii="Arial" w:cs="Arial" w:eastAsia="Arial" w:hAnsi="Arial"/>
          <w:sz w:val="17"/>
          <w:szCs w:val="17"/>
          <w:color w:val="auto"/>
        </w:rPr>
      </w:pPr>
      <w:r>
        <w:rPr>
          <w:rFonts w:ascii="Arial" w:cs="Arial" w:eastAsia="Arial" w:hAnsi="Arial"/>
          <w:sz w:val="17"/>
          <w:szCs w:val="17"/>
          <w:color w:val="auto"/>
        </w:rPr>
        <w:t>Risk management structure -</w:t>
      </w:r>
    </w:p>
    <w:p>
      <w:pPr>
        <w:spacing w:after="0" w:line="193" w:lineRule="exact"/>
        <w:rPr>
          <w:rFonts w:ascii="Arial" w:cs="Arial" w:eastAsia="Arial" w:hAnsi="Arial"/>
          <w:sz w:val="17"/>
          <w:szCs w:val="17"/>
          <w:color w:val="auto"/>
        </w:rPr>
      </w:pPr>
    </w:p>
    <w:p>
      <w:pPr>
        <w:ind w:left="936" w:right="20"/>
        <w:spacing w:after="0" w:line="248" w:lineRule="auto"/>
        <w:rPr>
          <w:rFonts w:ascii="Arial" w:cs="Arial" w:eastAsia="Arial" w:hAnsi="Arial"/>
          <w:sz w:val="17"/>
          <w:szCs w:val="17"/>
          <w:color w:val="auto"/>
        </w:rPr>
      </w:pPr>
      <w:r>
        <w:rPr>
          <w:rFonts w:ascii="Arial" w:cs="Arial" w:eastAsia="Arial" w:hAnsi="Arial"/>
          <w:sz w:val="17"/>
          <w:szCs w:val="17"/>
          <w:color w:val="auto"/>
        </w:rPr>
        <w:t>The Board of Directors of the Group and of each subsidiary are ultimately responsible for identifying and controlling risks; however, there are separate independent instances in the major subsidiaries responsible for managing and monitoring risks, as further explained below:</w:t>
      </w:r>
    </w:p>
    <w:p>
      <w:pPr>
        <w:spacing w:after="0" w:line="373" w:lineRule="exact"/>
        <w:rPr>
          <w:rFonts w:ascii="Arial" w:cs="Arial" w:eastAsia="Arial" w:hAnsi="Arial"/>
          <w:sz w:val="17"/>
          <w:szCs w:val="17"/>
          <w:color w:val="auto"/>
        </w:rPr>
      </w:pPr>
    </w:p>
    <w:p>
      <w:pPr>
        <w:ind w:left="1236" w:right="7660" w:hanging="304"/>
        <w:spacing w:after="0" w:line="477" w:lineRule="auto"/>
        <w:tabs>
          <w:tab w:leader="none" w:pos="1236" w:val="left"/>
        </w:tabs>
        <w:numPr>
          <w:ilvl w:val="2"/>
          <w:numId w:val="168"/>
        </w:numPr>
        <w:rPr>
          <w:rFonts w:ascii="Arial" w:cs="Arial" w:eastAsia="Arial" w:hAnsi="Arial"/>
          <w:sz w:val="17"/>
          <w:szCs w:val="17"/>
          <w:color w:val="auto"/>
        </w:rPr>
      </w:pPr>
      <w:r>
        <w:rPr>
          <w:rFonts w:ascii="Arial" w:cs="Arial" w:eastAsia="Arial" w:hAnsi="Arial"/>
          <w:sz w:val="17"/>
          <w:szCs w:val="17"/>
          <w:color w:val="auto"/>
        </w:rPr>
        <w:t>Group’s Board of Directors - Credicorp Board of Directors –</w:t>
      </w:r>
    </w:p>
    <w:p>
      <w:pPr>
        <w:ind w:left="1236" w:right="360"/>
        <w:spacing w:after="0" w:line="254" w:lineRule="auto"/>
        <w:rPr>
          <w:rFonts w:ascii="Arial" w:cs="Arial" w:eastAsia="Arial" w:hAnsi="Arial"/>
          <w:sz w:val="17"/>
          <w:szCs w:val="17"/>
          <w:color w:val="auto"/>
        </w:rPr>
      </w:pPr>
      <w:r>
        <w:rPr>
          <w:rFonts w:ascii="Arial" w:cs="Arial" w:eastAsia="Arial" w:hAnsi="Arial"/>
          <w:sz w:val="17"/>
          <w:szCs w:val="17"/>
          <w:color w:val="auto"/>
        </w:rPr>
        <w:t>The Board of Directors of Credicorp is responsible for the overall approach to risk management of Credicorp Ltd., including the approval of its appetite for risk.</w:t>
      </w:r>
    </w:p>
    <w:p>
      <w:pPr>
        <w:spacing w:after="0" w:line="169" w:lineRule="exact"/>
        <w:rPr>
          <w:rFonts w:ascii="Arial" w:cs="Arial" w:eastAsia="Arial" w:hAnsi="Arial"/>
          <w:sz w:val="17"/>
          <w:szCs w:val="17"/>
          <w:color w:val="auto"/>
        </w:rPr>
      </w:pPr>
    </w:p>
    <w:p>
      <w:pPr>
        <w:ind w:left="1236" w:right="960"/>
        <w:spacing w:after="0" w:line="254" w:lineRule="auto"/>
        <w:rPr>
          <w:rFonts w:ascii="Arial" w:cs="Arial" w:eastAsia="Arial" w:hAnsi="Arial"/>
          <w:sz w:val="17"/>
          <w:szCs w:val="17"/>
          <w:color w:val="auto"/>
        </w:rPr>
      </w:pPr>
      <w:r>
        <w:rPr>
          <w:rFonts w:ascii="Arial" w:cs="Arial" w:eastAsia="Arial" w:hAnsi="Arial"/>
          <w:sz w:val="17"/>
          <w:szCs w:val="17"/>
          <w:color w:val="auto"/>
        </w:rPr>
        <w:t>It also takes knowledge of the level of compliance of the appetite and the level of risk exposure, as well as the relevant improvements in the integral risk management of Grupo Crédito and Subsidiaries of Credicorp (Group).</w:t>
      </w:r>
    </w:p>
    <w:p>
      <w:pPr>
        <w:spacing w:after="0" w:line="169" w:lineRule="exact"/>
        <w:rPr>
          <w:rFonts w:ascii="Arial" w:cs="Arial" w:eastAsia="Arial" w:hAnsi="Arial"/>
          <w:sz w:val="17"/>
          <w:szCs w:val="17"/>
          <w:color w:val="auto"/>
        </w:rPr>
      </w:pPr>
    </w:p>
    <w:p>
      <w:pPr>
        <w:ind w:left="1236"/>
        <w:spacing w:after="0"/>
        <w:rPr>
          <w:rFonts w:ascii="Arial" w:cs="Arial" w:eastAsia="Arial" w:hAnsi="Arial"/>
          <w:sz w:val="17"/>
          <w:szCs w:val="17"/>
          <w:color w:val="auto"/>
        </w:rPr>
      </w:pPr>
      <w:r>
        <w:rPr>
          <w:rFonts w:ascii="Arial" w:cs="Arial" w:eastAsia="Arial" w:hAnsi="Arial"/>
          <w:sz w:val="17"/>
          <w:szCs w:val="17"/>
          <w:color w:val="auto"/>
        </w:rPr>
        <w:t>Grupo Crédito’s Board of Directors –</w:t>
      </w:r>
    </w:p>
    <w:p>
      <w:pPr>
        <w:spacing w:after="0" w:line="193" w:lineRule="exact"/>
        <w:rPr>
          <w:rFonts w:ascii="Arial" w:cs="Arial" w:eastAsia="Arial" w:hAnsi="Arial"/>
          <w:sz w:val="17"/>
          <w:szCs w:val="17"/>
          <w:color w:val="auto"/>
        </w:rPr>
      </w:pPr>
    </w:p>
    <w:p>
      <w:pPr>
        <w:ind w:left="1236" w:right="40"/>
        <w:spacing w:after="0" w:line="243" w:lineRule="auto"/>
        <w:rPr>
          <w:rFonts w:ascii="Arial" w:cs="Arial" w:eastAsia="Arial" w:hAnsi="Arial"/>
          <w:sz w:val="17"/>
          <w:szCs w:val="17"/>
          <w:color w:val="auto"/>
        </w:rPr>
      </w:pPr>
      <w:r>
        <w:rPr>
          <w:rFonts w:ascii="Arial" w:cs="Arial" w:eastAsia="Arial" w:hAnsi="Arial"/>
          <w:sz w:val="17"/>
          <w:szCs w:val="17"/>
          <w:color w:val="auto"/>
        </w:rPr>
        <w:t>Grupo Crédito's Board of Directors is responsible for the general approach to risk management of the Group's subsidiaries and the approval of the risk appetite levels that it is willing to assume. Furthermore, it approves the guidelines and policies for Integral Risk Management, promotes an organizational culture that emphasizes the importance of risk management, oversees the internal control system and ensures the adequate performance of the Group's regulatory compliance function.</w:t>
      </w:r>
    </w:p>
    <w:p>
      <w:pPr>
        <w:spacing w:after="0" w:line="179" w:lineRule="exact"/>
        <w:rPr>
          <w:rFonts w:ascii="Arial" w:cs="Arial" w:eastAsia="Arial" w:hAnsi="Arial"/>
          <w:sz w:val="17"/>
          <w:szCs w:val="17"/>
          <w:color w:val="auto"/>
        </w:rPr>
      </w:pPr>
    </w:p>
    <w:p>
      <w:pPr>
        <w:ind w:left="1236"/>
        <w:spacing w:after="0"/>
        <w:rPr>
          <w:rFonts w:ascii="Arial" w:cs="Arial" w:eastAsia="Arial" w:hAnsi="Arial"/>
          <w:sz w:val="17"/>
          <w:szCs w:val="17"/>
          <w:color w:val="auto"/>
        </w:rPr>
      </w:pPr>
      <w:r>
        <w:rPr>
          <w:rFonts w:ascii="Arial" w:cs="Arial" w:eastAsia="Arial" w:hAnsi="Arial"/>
          <w:sz w:val="17"/>
          <w:szCs w:val="17"/>
          <w:color w:val="auto"/>
        </w:rPr>
        <w:t>Group Company Boards -</w:t>
      </w:r>
    </w:p>
    <w:p>
      <w:pPr>
        <w:spacing w:after="0" w:line="193" w:lineRule="exact"/>
        <w:rPr>
          <w:rFonts w:ascii="Arial" w:cs="Arial" w:eastAsia="Arial" w:hAnsi="Arial"/>
          <w:sz w:val="17"/>
          <w:szCs w:val="17"/>
          <w:color w:val="auto"/>
        </w:rPr>
      </w:pPr>
    </w:p>
    <w:p>
      <w:pPr>
        <w:ind w:left="1236" w:right="500"/>
        <w:spacing w:after="0" w:line="254" w:lineRule="auto"/>
        <w:rPr>
          <w:rFonts w:ascii="Arial" w:cs="Arial" w:eastAsia="Arial" w:hAnsi="Arial"/>
          <w:sz w:val="17"/>
          <w:szCs w:val="17"/>
          <w:color w:val="auto"/>
        </w:rPr>
      </w:pPr>
      <w:r>
        <w:rPr>
          <w:rFonts w:ascii="Arial" w:cs="Arial" w:eastAsia="Arial" w:hAnsi="Arial"/>
          <w:sz w:val="17"/>
          <w:szCs w:val="17"/>
          <w:color w:val="auto"/>
        </w:rPr>
        <w:t>The Board of each company of the Group is responsible for aligning the risk management established by the Board of Grupo Crédito with the context of each one of them. For that, it establishes a framework for risk appetite, policies and guidelines.</w:t>
      </w:r>
    </w:p>
    <w:p>
      <w:pPr>
        <w:spacing w:after="0" w:line="169" w:lineRule="exact"/>
        <w:rPr>
          <w:rFonts w:ascii="Arial" w:cs="Arial" w:eastAsia="Arial" w:hAnsi="Arial"/>
          <w:sz w:val="17"/>
          <w:szCs w:val="17"/>
          <w:color w:val="auto"/>
        </w:rPr>
      </w:pPr>
    </w:p>
    <w:p>
      <w:pPr>
        <w:ind w:left="1236" w:hanging="304"/>
        <w:spacing w:after="0"/>
        <w:tabs>
          <w:tab w:leader="none" w:pos="1236" w:val="left"/>
        </w:tabs>
        <w:numPr>
          <w:ilvl w:val="2"/>
          <w:numId w:val="168"/>
        </w:numPr>
        <w:rPr>
          <w:rFonts w:ascii="Arial" w:cs="Arial" w:eastAsia="Arial" w:hAnsi="Arial"/>
          <w:sz w:val="17"/>
          <w:szCs w:val="17"/>
          <w:color w:val="auto"/>
        </w:rPr>
      </w:pPr>
      <w:r>
        <w:rPr>
          <w:rFonts w:ascii="Arial" w:cs="Arial" w:eastAsia="Arial" w:hAnsi="Arial"/>
          <w:sz w:val="17"/>
          <w:szCs w:val="17"/>
          <w:color w:val="auto"/>
        </w:rPr>
        <w:t>Credicorp Risk Committee -</w:t>
      </w:r>
    </w:p>
    <w:p>
      <w:pPr>
        <w:spacing w:after="0" w:line="193" w:lineRule="exact"/>
        <w:rPr>
          <w:rFonts w:ascii="Arial" w:cs="Arial" w:eastAsia="Arial" w:hAnsi="Arial"/>
          <w:sz w:val="17"/>
          <w:szCs w:val="17"/>
          <w:color w:val="auto"/>
        </w:rPr>
      </w:pPr>
    </w:p>
    <w:p>
      <w:pPr>
        <w:jc w:val="both"/>
        <w:ind w:left="1236"/>
        <w:spacing w:after="0" w:line="246" w:lineRule="auto"/>
        <w:rPr>
          <w:rFonts w:ascii="Arial" w:cs="Arial" w:eastAsia="Arial" w:hAnsi="Arial"/>
          <w:sz w:val="17"/>
          <w:szCs w:val="17"/>
          <w:color w:val="auto"/>
        </w:rPr>
      </w:pPr>
      <w:r>
        <w:rPr>
          <w:rFonts w:ascii="Arial" w:cs="Arial" w:eastAsia="Arial" w:hAnsi="Arial"/>
          <w:sz w:val="17"/>
          <w:szCs w:val="17"/>
          <w:color w:val="auto"/>
        </w:rPr>
        <w:t>Represents the Credicorp Board of Directors, proposes the levels of risk appetite for Credicorp Ltd. Also, it is aware of the level of compliance of the risk appetite and the level of exposure assumed by Grupo Crédito and Credicorp subsidiaries and the relevant improvements in integral management of risks of said entities.</w:t>
      </w:r>
    </w:p>
    <w:p>
      <w:pPr>
        <w:spacing w:after="0" w:line="344" w:lineRule="exact"/>
        <w:rPr>
          <w:rFonts w:ascii="Arial" w:cs="Arial" w:eastAsia="Arial" w:hAnsi="Arial"/>
          <w:sz w:val="17"/>
          <w:szCs w:val="17"/>
          <w:color w:val="auto"/>
        </w:rPr>
      </w:pPr>
    </w:p>
    <w:p>
      <w:pPr>
        <w:ind w:left="5456" w:hanging="107"/>
        <w:spacing w:after="0"/>
        <w:tabs>
          <w:tab w:leader="none" w:pos="5456" w:val="left"/>
        </w:tabs>
        <w:numPr>
          <w:ilvl w:val="3"/>
          <w:numId w:val="168"/>
        </w:numPr>
        <w:rPr>
          <w:rFonts w:ascii="Arial" w:cs="Arial" w:eastAsia="Arial" w:hAnsi="Arial"/>
          <w:sz w:val="17"/>
          <w:szCs w:val="17"/>
          <w:color w:val="auto"/>
        </w:rPr>
      </w:pPr>
      <w:r>
        <w:rPr>
          <w:rFonts w:ascii="Arial" w:cs="Arial" w:eastAsia="Arial" w:hAnsi="Arial"/>
          <w:sz w:val="17"/>
          <w:szCs w:val="17"/>
          <w:color w:val="auto"/>
        </w:rPr>
        <w:t>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803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6"/>
          </w:cols>
          <w:pgMar w:left="324" w:top="324" w:right="339" w:bottom="1440" w:gutter="0" w:footer="0" w:header="0"/>
        </w:sectPr>
      </w:pPr>
    </w:p>
    <w:bookmarkStart w:id="143" w:name="page144"/>
    <w:bookmarkEnd w:id="143"/>
    <w:p>
      <w:pPr>
        <w:jc w:val="both"/>
        <w:ind w:left="304"/>
        <w:spacing w:after="0" w:line="241" w:lineRule="auto"/>
        <w:rPr>
          <w:sz w:val="20"/>
          <w:szCs w:val="20"/>
          <w:color w:val="auto"/>
        </w:rPr>
      </w:pPr>
      <w:r>
        <w:rPr>
          <w:rFonts w:ascii="Arial" w:cs="Arial" w:eastAsia="Arial" w:hAnsi="Arial"/>
          <w:sz w:val="17"/>
          <w:szCs w:val="17"/>
          <w:color w:val="auto"/>
        </w:rPr>
        <w:t>The Committee will be made up of no less than three directors of Credicorp, at least one of which must be independent. Additionally, the Board of Directors may incorporate as a member one or more directors of Credicorp subsidiaries. Also, the coordinator of the Committee will be the Credicorp Risk Manager,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 criteria assist with the development of the session.</w:t>
      </w:r>
    </w:p>
    <w:p>
      <w:pPr>
        <w:spacing w:after="0" w:line="182" w:lineRule="exact"/>
        <w:rPr>
          <w:sz w:val="20"/>
          <w:szCs w:val="20"/>
          <w:color w:val="auto"/>
        </w:rPr>
      </w:pPr>
    </w:p>
    <w:p>
      <w:pPr>
        <w:ind w:left="304" w:hanging="304"/>
        <w:spacing w:after="0"/>
        <w:tabs>
          <w:tab w:leader="none" w:pos="30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Risk commitee of Grupo Crédito -</w:t>
      </w:r>
    </w:p>
    <w:p>
      <w:pPr>
        <w:spacing w:after="0" w:line="193" w:lineRule="exact"/>
        <w:rPr>
          <w:rFonts w:ascii="Arial" w:cs="Arial" w:eastAsia="Arial" w:hAnsi="Arial"/>
          <w:sz w:val="17"/>
          <w:szCs w:val="17"/>
          <w:color w:val="auto"/>
        </w:rPr>
      </w:pPr>
    </w:p>
    <w:p>
      <w:pPr>
        <w:jc w:val="both"/>
        <w:ind w:left="304"/>
        <w:spacing w:after="0" w:line="246" w:lineRule="auto"/>
        <w:rPr>
          <w:rFonts w:ascii="Arial" w:cs="Arial" w:eastAsia="Arial" w:hAnsi="Arial"/>
          <w:sz w:val="17"/>
          <w:szCs w:val="17"/>
          <w:color w:val="auto"/>
        </w:rPr>
      </w:pPr>
      <w:r>
        <w:rPr>
          <w:rFonts w:ascii="Arial" w:cs="Arial" w:eastAsia="Arial" w:hAnsi="Arial"/>
          <w:sz w:val="17"/>
          <w:szCs w:val="17"/>
          <w:color w:val="auto"/>
        </w:rPr>
        <w:t>Represents the Board of Directors of Grupo Crédito in risk management decision-making. Furthermore, proposes Board of directors of Grupo Crédito the levels of risk appetite. This Committee defines the strategies used for the adequate management of the different types of risks and the supervision of risk appetite, as well as the establishing of principles, policies and general limits.</w:t>
      </w:r>
    </w:p>
    <w:p>
      <w:pPr>
        <w:spacing w:after="0" w:line="175" w:lineRule="exact"/>
        <w:rPr>
          <w:rFonts w:ascii="Arial" w:cs="Arial" w:eastAsia="Arial" w:hAnsi="Arial"/>
          <w:sz w:val="17"/>
          <w:szCs w:val="17"/>
          <w:color w:val="auto"/>
        </w:rPr>
      </w:pPr>
    </w:p>
    <w:p>
      <w:pPr>
        <w:jc w:val="both"/>
        <w:ind w:left="304"/>
        <w:spacing w:after="0" w:line="241" w:lineRule="auto"/>
        <w:rPr>
          <w:rFonts w:ascii="Arial" w:cs="Arial" w:eastAsia="Arial" w:hAnsi="Arial"/>
          <w:sz w:val="17"/>
          <w:szCs w:val="17"/>
          <w:color w:val="auto"/>
        </w:rPr>
      </w:pPr>
      <w:r>
        <w:rPr>
          <w:rFonts w:ascii="Arial" w:cs="Arial" w:eastAsia="Arial" w:hAnsi="Arial"/>
          <w:sz w:val="17"/>
          <w:szCs w:val="17"/>
          <w:color w:val="auto"/>
        </w:rPr>
        <w:t>The Risk Committee is presided by no less than three Board members of Grupo Crédito, at least one of which must be independent. Additionally, the Board of Directors may incorporate as a member one or more directors of the Group. Also, the coordinator of the Committee will be the Risk Manager of Grupo Crédito,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 can assist with the development of the session.</w:t>
      </w:r>
    </w:p>
    <w:p>
      <w:pPr>
        <w:spacing w:after="0" w:line="182" w:lineRule="exact"/>
        <w:rPr>
          <w:rFonts w:ascii="Arial" w:cs="Arial" w:eastAsia="Arial" w:hAnsi="Arial"/>
          <w:sz w:val="17"/>
          <w:szCs w:val="17"/>
          <w:color w:val="auto"/>
        </w:rPr>
      </w:pPr>
    </w:p>
    <w:p>
      <w:pPr>
        <w:ind w:left="304"/>
        <w:spacing w:after="0" w:line="254" w:lineRule="auto"/>
        <w:rPr>
          <w:rFonts w:ascii="Arial" w:cs="Arial" w:eastAsia="Arial" w:hAnsi="Arial"/>
          <w:sz w:val="17"/>
          <w:szCs w:val="17"/>
          <w:color w:val="auto"/>
        </w:rPr>
      </w:pPr>
      <w:r>
        <w:rPr>
          <w:rFonts w:ascii="Arial" w:cs="Arial" w:eastAsia="Arial" w:hAnsi="Arial"/>
          <w:sz w:val="17"/>
          <w:szCs w:val="17"/>
          <w:color w:val="auto"/>
        </w:rPr>
        <w:t>In addition to effectively managing all the risks, the Risk Committee of Grupo Crédito Risk Committee is supported by the following committees which report periodically on all relevant changes or issues relating to the risks being managed:</w:t>
      </w:r>
    </w:p>
    <w:p>
      <w:pPr>
        <w:spacing w:after="0" w:line="169"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Corporate Credit Risk Committees (retail and non-retail)-</w:t>
      </w:r>
    </w:p>
    <w:p>
      <w:pPr>
        <w:spacing w:after="0" w:line="193" w:lineRule="exact"/>
        <w:rPr>
          <w:rFonts w:ascii="Arial" w:cs="Arial" w:eastAsia="Arial" w:hAnsi="Arial"/>
          <w:sz w:val="17"/>
          <w:szCs w:val="17"/>
          <w:color w:val="auto"/>
        </w:rPr>
      </w:pPr>
    </w:p>
    <w:p>
      <w:pPr>
        <w:jc w:val="both"/>
        <w:ind w:left="304"/>
        <w:spacing w:after="0" w:line="242" w:lineRule="auto"/>
        <w:rPr>
          <w:rFonts w:ascii="Arial" w:cs="Arial" w:eastAsia="Arial" w:hAnsi="Arial"/>
          <w:sz w:val="17"/>
          <w:szCs w:val="17"/>
          <w:color w:val="auto"/>
        </w:rPr>
      </w:pPr>
      <w:r>
        <w:rPr>
          <w:rFonts w:ascii="Arial" w:cs="Arial" w:eastAsia="Arial" w:hAnsi="Arial"/>
          <w:sz w:val="17"/>
          <w:szCs w:val="17"/>
          <w:color w:val="auto"/>
        </w:rPr>
        <w:t>The Corporate Credit Risk Committees (retail and non-retail) are responsible for reviewing the tolerance level of the credit risk appetite, the limits of exposure and the actions for the implementation of corrective measures, in case there are deviations. In addition, they propose credit risk management norms and policies within the framework of governance and the organization for the integral management of credit risk. Furthermore, they propose the approval of any changes to the functions described above and important findings to the Grupo Crédito Risk Committee.</w:t>
      </w:r>
    </w:p>
    <w:p>
      <w:pPr>
        <w:spacing w:after="0" w:line="180"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Corporate Committee for Market, Structural, Trading and Liquidity Risks</w:t>
      </w:r>
    </w:p>
    <w:p>
      <w:pPr>
        <w:spacing w:after="0" w:line="193" w:lineRule="exact"/>
        <w:rPr>
          <w:rFonts w:ascii="Arial" w:cs="Arial" w:eastAsia="Arial" w:hAnsi="Arial"/>
          <w:sz w:val="17"/>
          <w:szCs w:val="17"/>
          <w:color w:val="auto"/>
        </w:rPr>
      </w:pPr>
    </w:p>
    <w:p>
      <w:pPr>
        <w:jc w:val="both"/>
        <w:ind w:left="304"/>
        <w:spacing w:after="0" w:line="242" w:lineRule="auto"/>
        <w:rPr>
          <w:rFonts w:ascii="Arial" w:cs="Arial" w:eastAsia="Arial" w:hAnsi="Arial"/>
          <w:sz w:val="17"/>
          <w:szCs w:val="17"/>
          <w:color w:val="auto"/>
        </w:rPr>
      </w:pPr>
      <w:r>
        <w:rPr>
          <w:rFonts w:ascii="Arial" w:cs="Arial" w:eastAsia="Arial" w:hAnsi="Arial"/>
          <w:sz w:val="17"/>
          <w:szCs w:val="17"/>
          <w:color w:val="auto"/>
        </w:rPr>
        <w:t>The Corporate Committee for Market, Structural, Trading and Liquidity Risks is in charge of analyzing and proposing corporate objectives, guidelines and policies for the Management of Market and Liquidity Risks of the Group and the Group's companies. In addition, it monitors the indicators and limits of the market risk appetite and liquidity of the Group and of each one of the companies of the Group. Likewise, it is responsible for escalating managerial decisions above its authority to the Risk Committee of Grupo Crédito.</w:t>
      </w:r>
    </w:p>
    <w:p>
      <w:pPr>
        <w:spacing w:after="0" w:line="180"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Corporate Model Risk Committee –</w:t>
      </w:r>
    </w:p>
    <w:p>
      <w:pPr>
        <w:spacing w:after="0" w:line="193" w:lineRule="exact"/>
        <w:rPr>
          <w:rFonts w:ascii="Arial" w:cs="Arial" w:eastAsia="Arial" w:hAnsi="Arial"/>
          <w:sz w:val="17"/>
          <w:szCs w:val="17"/>
          <w:color w:val="auto"/>
        </w:rPr>
      </w:pPr>
    </w:p>
    <w:p>
      <w:pPr>
        <w:jc w:val="both"/>
        <w:ind w:left="304"/>
        <w:spacing w:after="0" w:line="243" w:lineRule="auto"/>
        <w:rPr>
          <w:rFonts w:ascii="Arial" w:cs="Arial" w:eastAsia="Arial" w:hAnsi="Arial"/>
          <w:sz w:val="17"/>
          <w:szCs w:val="17"/>
          <w:color w:val="auto"/>
        </w:rPr>
      </w:pPr>
      <w:r>
        <w:rPr>
          <w:rFonts w:ascii="Arial" w:cs="Arial" w:eastAsia="Arial" w:hAnsi="Arial"/>
          <w:sz w:val="17"/>
          <w:szCs w:val="17"/>
          <w:color w:val="auto"/>
        </w:rPr>
        <w:t>The Corporate Model Risk Committee is responsible for analyzing and proposing the corrective actions in case there are deviations with respect to the degrees of exposure assumed in the Appetite for Model Risk. Likewise, it proposes the creation and/or modification of the government for model risk management, monitoring its compliance with the same. The Model Risk Committee monitors the Group's data and analytical strategy and the health status</w:t>
      </w:r>
    </w:p>
    <w:p>
      <w:pPr>
        <w:spacing w:after="0" w:line="347" w:lineRule="exact"/>
        <w:rPr>
          <w:rFonts w:ascii="Arial" w:cs="Arial" w:eastAsia="Arial" w:hAnsi="Arial"/>
          <w:sz w:val="17"/>
          <w:szCs w:val="17"/>
          <w:color w:val="auto"/>
        </w:rPr>
      </w:pPr>
    </w:p>
    <w:p>
      <w:pPr>
        <w:ind w:left="4524" w:hanging="107"/>
        <w:spacing w:after="0"/>
        <w:tabs>
          <w:tab w:leader="none" w:pos="4524" w:val="left"/>
        </w:tabs>
        <w:numPr>
          <w:ilvl w:val="1"/>
          <w:numId w:val="169"/>
        </w:numPr>
        <w:rPr>
          <w:rFonts w:ascii="Arial" w:cs="Arial" w:eastAsia="Arial" w:hAnsi="Arial"/>
          <w:sz w:val="17"/>
          <w:szCs w:val="17"/>
          <w:color w:val="auto"/>
        </w:rPr>
      </w:pPr>
      <w:r>
        <w:rPr>
          <w:rFonts w:ascii="Arial" w:cs="Arial" w:eastAsia="Arial" w:hAnsi="Arial"/>
          <w:sz w:val="17"/>
          <w:szCs w:val="17"/>
          <w:color w:val="auto"/>
        </w:rPr>
        <w:t>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40640</wp:posOffset>
            </wp:positionV>
            <wp:extent cx="713803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333" w:right="339" w:bottom="1440" w:gutter="0" w:footer="0" w:header="0"/>
        </w:sectPr>
      </w:pPr>
    </w:p>
    <w:bookmarkStart w:id="144" w:name="page145"/>
    <w:bookmarkEnd w:id="144"/>
    <w:p>
      <w:pPr>
        <w:jc w:val="both"/>
        <w:ind w:left="304"/>
        <w:spacing w:after="0" w:line="254" w:lineRule="auto"/>
        <w:rPr>
          <w:sz w:val="20"/>
          <w:szCs w:val="20"/>
          <w:color w:val="auto"/>
        </w:rPr>
      </w:pPr>
      <w:r>
        <w:rPr>
          <w:rFonts w:ascii="Arial" w:cs="Arial" w:eastAsia="Arial" w:hAnsi="Arial"/>
          <w:sz w:val="17"/>
          <w:szCs w:val="17"/>
          <w:color w:val="auto"/>
        </w:rPr>
        <w:t>of the model portfolio. They are also responsible to inform the Risk Committee of Grupo Crédito on exposures, related to model risk, which involve variations in the risk profile.</w:t>
      </w:r>
    </w:p>
    <w:p>
      <w:pPr>
        <w:spacing w:after="0" w:line="169" w:lineRule="exact"/>
        <w:rPr>
          <w:sz w:val="20"/>
          <w:szCs w:val="20"/>
          <w:color w:val="auto"/>
        </w:rPr>
      </w:pPr>
    </w:p>
    <w:p>
      <w:pPr>
        <w:ind w:left="304"/>
        <w:spacing w:after="0"/>
        <w:rPr>
          <w:sz w:val="20"/>
          <w:szCs w:val="20"/>
          <w:color w:val="auto"/>
        </w:rPr>
      </w:pPr>
      <w:r>
        <w:rPr>
          <w:rFonts w:ascii="Arial" w:cs="Arial" w:eastAsia="Arial" w:hAnsi="Arial"/>
          <w:sz w:val="17"/>
          <w:szCs w:val="17"/>
          <w:color w:val="auto"/>
        </w:rPr>
        <w:t>Corporate Operational Risk Methodology Committee -</w:t>
      </w:r>
    </w:p>
    <w:p>
      <w:pPr>
        <w:spacing w:after="0" w:line="193" w:lineRule="exact"/>
        <w:rPr>
          <w:sz w:val="20"/>
          <w:szCs w:val="20"/>
          <w:color w:val="auto"/>
        </w:rPr>
      </w:pPr>
    </w:p>
    <w:p>
      <w:pPr>
        <w:jc w:val="both"/>
        <w:ind w:left="304"/>
        <w:spacing w:after="0" w:line="246" w:lineRule="auto"/>
        <w:rPr>
          <w:sz w:val="20"/>
          <w:szCs w:val="20"/>
          <w:color w:val="auto"/>
        </w:rPr>
      </w:pPr>
      <w:r>
        <w:rPr>
          <w:rFonts w:ascii="Arial" w:cs="Arial" w:eastAsia="Arial" w:hAnsi="Arial"/>
          <w:sz w:val="17"/>
          <w:szCs w:val="17"/>
          <w:color w:val="auto"/>
        </w:rPr>
        <w:t>The Corporate Methodological Committee of Operational Risk has as main responsibilities to review the main indicators of Operational Risk of the companies of the Credicorp Group, as well as the progress of the methodologies deployed for Operational Risk and Business Continuity. Likewise, share best practices regarding the main challenges faced by the companies of the Group.</w:t>
      </w:r>
    </w:p>
    <w:p>
      <w:pPr>
        <w:spacing w:after="0" w:line="176" w:lineRule="exact"/>
        <w:rPr>
          <w:sz w:val="20"/>
          <w:szCs w:val="20"/>
          <w:color w:val="auto"/>
        </w:rPr>
      </w:pPr>
    </w:p>
    <w:p>
      <w:pPr>
        <w:ind w:left="304" w:hanging="304"/>
        <w:spacing w:after="0"/>
        <w:tabs>
          <w:tab w:leader="none" w:pos="30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Central Risk Management of Credicorp -</w:t>
      </w:r>
    </w:p>
    <w:p>
      <w:pPr>
        <w:spacing w:after="0" w:line="193" w:lineRule="exact"/>
        <w:rPr>
          <w:rFonts w:ascii="Arial" w:cs="Arial" w:eastAsia="Arial" w:hAnsi="Arial"/>
          <w:sz w:val="17"/>
          <w:szCs w:val="17"/>
          <w:color w:val="auto"/>
        </w:rPr>
      </w:pPr>
    </w:p>
    <w:p>
      <w:pPr>
        <w:jc w:val="both"/>
        <w:ind w:left="304"/>
        <w:spacing w:after="0" w:line="243" w:lineRule="auto"/>
        <w:rPr>
          <w:rFonts w:ascii="Arial" w:cs="Arial" w:eastAsia="Arial" w:hAnsi="Arial"/>
          <w:sz w:val="17"/>
          <w:szCs w:val="17"/>
          <w:color w:val="auto"/>
        </w:rPr>
      </w:pPr>
      <w:r>
        <w:rPr>
          <w:rFonts w:ascii="Arial" w:cs="Arial" w:eastAsia="Arial" w:hAnsi="Arial"/>
          <w:sz w:val="17"/>
          <w:szCs w:val="17"/>
          <w:color w:val="auto"/>
        </w:rPr>
        <w:t>The Central Risk Management of Credicorp informs the Credicorp Risk Committee of the level of compliance of the risk appetite and the level of exposure assumed by Grupo Crédito and Credicorp subsidiaries. Likewise, it reports the relevant improvements in the integral risk management of Grupo Crédito and Credicorp subsidiaries. In addition, it proposes to the Credicorp Risk Committee the risk appetite levels for Credicorp Ltd.</w:t>
      </w:r>
    </w:p>
    <w:p>
      <w:pPr>
        <w:spacing w:after="0" w:line="179" w:lineRule="exact"/>
        <w:rPr>
          <w:rFonts w:ascii="Arial" w:cs="Arial" w:eastAsia="Arial" w:hAnsi="Arial"/>
          <w:sz w:val="17"/>
          <w:szCs w:val="17"/>
          <w:color w:val="auto"/>
        </w:rPr>
      </w:pPr>
    </w:p>
    <w:p>
      <w:pPr>
        <w:ind w:left="304" w:hanging="304"/>
        <w:spacing w:after="0"/>
        <w:tabs>
          <w:tab w:leader="none" w:pos="30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Central Risk Management of Grupo Crédito -</w:t>
      </w:r>
    </w:p>
    <w:p>
      <w:pPr>
        <w:spacing w:after="0" w:line="193" w:lineRule="exact"/>
        <w:rPr>
          <w:rFonts w:ascii="Arial" w:cs="Arial" w:eastAsia="Arial" w:hAnsi="Arial"/>
          <w:sz w:val="17"/>
          <w:szCs w:val="17"/>
          <w:color w:val="auto"/>
        </w:rPr>
      </w:pPr>
    </w:p>
    <w:p>
      <w:pPr>
        <w:ind w:left="304" w:right="40"/>
        <w:spacing w:after="0" w:line="241" w:lineRule="auto"/>
        <w:rPr>
          <w:rFonts w:ascii="Arial" w:cs="Arial" w:eastAsia="Arial" w:hAnsi="Arial"/>
          <w:sz w:val="17"/>
          <w:szCs w:val="17"/>
          <w:color w:val="auto"/>
        </w:rPr>
      </w:pPr>
      <w:r>
        <w:rPr>
          <w:rFonts w:ascii="Arial" w:cs="Arial" w:eastAsia="Arial" w:hAnsi="Arial"/>
          <w:sz w:val="17"/>
          <w:szCs w:val="17"/>
          <w:color w:val="auto"/>
        </w:rPr>
        <w:t>The Central Risk Management is responsible for the implementation of policies, procedures, methodologies and the actions to be taken to identify, measure, monitor, mitigate, report and control the different types of risks to which the Group is exposed. In addition, it is responsible for participating in the design and definition of the strategic plans of the business units to ensure that they are aligned within the risk parameters approved by the Board of Directors of Grupo Credito. Likewise, it disseminates the importance of adequate risk management, specifying in each of the units, the role that corresponds to them in the timely identification and definition of the corresponding actions.</w:t>
      </w:r>
    </w:p>
    <w:p>
      <w:pPr>
        <w:spacing w:after="0" w:line="182" w:lineRule="exact"/>
        <w:rPr>
          <w:rFonts w:ascii="Arial" w:cs="Arial" w:eastAsia="Arial" w:hAnsi="Arial"/>
          <w:sz w:val="17"/>
          <w:szCs w:val="17"/>
          <w:color w:val="auto"/>
        </w:rPr>
      </w:pPr>
    </w:p>
    <w:p>
      <w:pPr>
        <w:ind w:left="304" w:right="2420"/>
        <w:spacing w:after="0" w:line="477" w:lineRule="auto"/>
        <w:rPr>
          <w:rFonts w:ascii="Arial" w:cs="Arial" w:eastAsia="Arial" w:hAnsi="Arial"/>
          <w:sz w:val="17"/>
          <w:szCs w:val="17"/>
          <w:color w:val="auto"/>
        </w:rPr>
      </w:pPr>
      <w:r>
        <w:rPr>
          <w:rFonts w:ascii="Arial" w:cs="Arial" w:eastAsia="Arial" w:hAnsi="Arial"/>
          <w:sz w:val="17"/>
          <w:szCs w:val="17"/>
          <w:color w:val="auto"/>
        </w:rPr>
        <w:t>The units of the Central Risk Management that manage risk at the corporate level are the following: Credit Division -</w:t>
      </w:r>
    </w:p>
    <w:p>
      <w:pPr>
        <w:jc w:val="both"/>
        <w:ind w:left="304"/>
        <w:spacing w:after="0" w:line="242" w:lineRule="auto"/>
        <w:rPr>
          <w:rFonts w:ascii="Arial" w:cs="Arial" w:eastAsia="Arial" w:hAnsi="Arial"/>
          <w:sz w:val="17"/>
          <w:szCs w:val="17"/>
          <w:color w:val="auto"/>
        </w:rPr>
      </w:pPr>
      <w:r>
        <w:rPr>
          <w:rFonts w:ascii="Arial" w:cs="Arial" w:eastAsia="Arial" w:hAnsi="Arial"/>
          <w:sz w:val="17"/>
          <w:szCs w:val="17"/>
          <w:color w:val="auto"/>
        </w:rPr>
        <w:t>The Credit Division proposes credit policies and evaluation criteria and credit risk management that the Group assumes with customers in the wholesale segment. It evaluates and authorizes loan proposals until their autonomy and proposes their approval to the higher instances for those that exceed it. These guidelines are established on the basis of the policies set by the Board of Directors of Grupo Crédito, respecting the laws and regulations in force. In addition, it assesses the evolution of the risk of wholesale clients and identifies problematic situations, taking actions to mitigate or resolve them.</w:t>
      </w:r>
    </w:p>
    <w:p>
      <w:pPr>
        <w:spacing w:after="0" w:line="180"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Risk Management Division -</w:t>
      </w:r>
    </w:p>
    <w:p>
      <w:pPr>
        <w:spacing w:after="0" w:line="193" w:lineRule="exact"/>
        <w:rPr>
          <w:rFonts w:ascii="Arial" w:cs="Arial" w:eastAsia="Arial" w:hAnsi="Arial"/>
          <w:sz w:val="17"/>
          <w:szCs w:val="17"/>
          <w:color w:val="auto"/>
        </w:rPr>
      </w:pPr>
    </w:p>
    <w:p>
      <w:pPr>
        <w:jc w:val="both"/>
        <w:ind w:left="304"/>
        <w:spacing w:after="0" w:line="242" w:lineRule="auto"/>
        <w:rPr>
          <w:rFonts w:ascii="Arial" w:cs="Arial" w:eastAsia="Arial" w:hAnsi="Arial"/>
          <w:sz w:val="17"/>
          <w:szCs w:val="17"/>
          <w:color w:val="auto"/>
        </w:rPr>
      </w:pPr>
      <w:r>
        <w:rPr>
          <w:rFonts w:ascii="Arial" w:cs="Arial" w:eastAsia="Arial" w:hAnsi="Arial"/>
          <w:sz w:val="17"/>
          <w:szCs w:val="17"/>
          <w:color w:val="auto"/>
        </w:rPr>
        <w:t>The Risk Management Division is responsible for ensuring that risk management directives and policies comply with the established by the Board of Directors. In addition, it is responsible for supervising the process of risk management and for coordinating with the companies of Credicorp involved in the whole process, promoting homogeneous risk management and aligned with the best practices. It also has the task of informing Board of Directors regarding global exposure and by type of risk, as well as the specific exposure of each company of the group.</w:t>
      </w:r>
    </w:p>
    <w:p>
      <w:pPr>
        <w:spacing w:after="0" w:line="348" w:lineRule="exact"/>
        <w:rPr>
          <w:rFonts w:ascii="Arial" w:cs="Arial" w:eastAsia="Arial" w:hAnsi="Arial"/>
          <w:sz w:val="17"/>
          <w:szCs w:val="17"/>
          <w:color w:val="auto"/>
        </w:rPr>
      </w:pPr>
    </w:p>
    <w:p>
      <w:pPr>
        <w:ind w:left="4524" w:hanging="107"/>
        <w:spacing w:after="0"/>
        <w:tabs>
          <w:tab w:leader="none" w:pos="4524" w:val="left"/>
        </w:tabs>
        <w:numPr>
          <w:ilvl w:val="1"/>
          <w:numId w:val="170"/>
        </w:numPr>
        <w:rPr>
          <w:rFonts w:ascii="Arial" w:cs="Arial" w:eastAsia="Arial" w:hAnsi="Arial"/>
          <w:sz w:val="17"/>
          <w:szCs w:val="17"/>
          <w:color w:val="auto"/>
        </w:rPr>
      </w:pPr>
      <w:r>
        <w:rPr>
          <w:rFonts w:ascii="Arial" w:cs="Arial" w:eastAsia="Arial" w:hAnsi="Arial"/>
          <w:sz w:val="17"/>
          <w:szCs w:val="17"/>
          <w:color w:val="auto"/>
        </w:rPr>
        <w:t>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40640</wp:posOffset>
            </wp:positionV>
            <wp:extent cx="713803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333" w:right="339" w:bottom="1440" w:gutter="0" w:footer="0" w:header="0"/>
        </w:sectPr>
      </w:pPr>
    </w:p>
    <w:bookmarkStart w:id="145" w:name="page146"/>
    <w:bookmarkEnd w:id="145"/>
    <w:p>
      <w:pPr>
        <w:ind w:left="615"/>
        <w:spacing w:after="0"/>
        <w:rPr>
          <w:sz w:val="20"/>
          <w:szCs w:val="20"/>
          <w:color w:val="auto"/>
        </w:rPr>
      </w:pPr>
      <w:r>
        <w:rPr>
          <w:rFonts w:ascii="Arial" w:cs="Arial" w:eastAsia="Arial" w:hAnsi="Arial"/>
          <w:sz w:val="17"/>
          <w:szCs w:val="17"/>
          <w:color w:val="auto"/>
        </w:rPr>
        <w:t>Retail Banking Risk Division -</w:t>
      </w:r>
    </w:p>
    <w:p>
      <w:pPr>
        <w:spacing w:after="0" w:line="193" w:lineRule="exact"/>
        <w:rPr>
          <w:sz w:val="20"/>
          <w:szCs w:val="20"/>
          <w:color w:val="auto"/>
        </w:rPr>
      </w:pPr>
    </w:p>
    <w:p>
      <w:pPr>
        <w:jc w:val="both"/>
        <w:ind w:left="615"/>
        <w:spacing w:after="0" w:line="243" w:lineRule="auto"/>
        <w:rPr>
          <w:sz w:val="20"/>
          <w:szCs w:val="20"/>
          <w:color w:val="auto"/>
        </w:rPr>
      </w:pPr>
      <w:r>
        <w:rPr>
          <w:rFonts w:ascii="Arial" w:cs="Arial" w:eastAsia="Arial" w:hAnsi="Arial"/>
          <w:sz w:val="17"/>
          <w:szCs w:val="17"/>
          <w:color w:val="auto"/>
        </w:rPr>
        <w:t>The Retail Banking Risk Division is responsible for managing the risk profile of the retail portfolio and developing credit policies that are in accordance with the guidelines and risk levels established by Grupo Crédito's Board of Directors. Likewise, it participates in the definition of products and campaigns aligned to these policies, as well as in the design, optimization and integration of credit evaluation tools and income estimation for credit management.</w:t>
      </w:r>
    </w:p>
    <w:p>
      <w:pPr>
        <w:spacing w:after="0" w:line="180" w:lineRule="exact"/>
        <w:rPr>
          <w:sz w:val="20"/>
          <w:szCs w:val="20"/>
          <w:color w:val="auto"/>
        </w:rPr>
      </w:pPr>
    </w:p>
    <w:p>
      <w:pPr>
        <w:jc w:val="both"/>
        <w:ind w:left="615"/>
        <w:spacing w:after="0" w:line="246" w:lineRule="auto"/>
        <w:rPr>
          <w:sz w:val="20"/>
          <w:szCs w:val="20"/>
          <w:color w:val="auto"/>
        </w:rPr>
      </w:pPr>
      <w:r>
        <w:rPr>
          <w:rFonts w:ascii="Arial" w:cs="Arial" w:eastAsia="Arial" w:hAnsi="Arial"/>
          <w:sz w:val="17"/>
          <w:szCs w:val="17"/>
          <w:color w:val="auto"/>
        </w:rPr>
        <w:t>Likewise, there is an active and recurring participation of the BCP Retail Banking Risk Division in MiBanco's Credit Risk and Collections Committee and in the BCB Retail Banking Risk Committee to ensure alignment of best practices in terms of policies and guidelines credit, risk segmentation and credit risk models.</w:t>
      </w:r>
    </w:p>
    <w:p>
      <w:pPr>
        <w:spacing w:after="0" w:line="176" w:lineRule="exact"/>
        <w:rPr>
          <w:sz w:val="20"/>
          <w:szCs w:val="20"/>
          <w:color w:val="auto"/>
        </w:rPr>
      </w:pPr>
    </w:p>
    <w:p>
      <w:pPr>
        <w:ind w:left="615"/>
        <w:spacing w:after="0"/>
        <w:rPr>
          <w:sz w:val="20"/>
          <w:szCs w:val="20"/>
          <w:color w:val="auto"/>
        </w:rPr>
      </w:pPr>
      <w:r>
        <w:rPr>
          <w:rFonts w:ascii="Arial" w:cs="Arial" w:eastAsia="Arial" w:hAnsi="Arial"/>
          <w:sz w:val="17"/>
          <w:szCs w:val="17"/>
          <w:color w:val="auto"/>
        </w:rPr>
        <w:t>Non-financial Risks Division -</w:t>
      </w:r>
    </w:p>
    <w:p>
      <w:pPr>
        <w:spacing w:after="0" w:line="193" w:lineRule="exact"/>
        <w:rPr>
          <w:sz w:val="20"/>
          <w:szCs w:val="20"/>
          <w:color w:val="auto"/>
        </w:rPr>
      </w:pPr>
    </w:p>
    <w:p>
      <w:pPr>
        <w:ind w:left="615" w:right="400"/>
        <w:spacing w:after="0" w:line="242" w:lineRule="auto"/>
        <w:rPr>
          <w:sz w:val="20"/>
          <w:szCs w:val="20"/>
          <w:color w:val="auto"/>
        </w:rPr>
      </w:pPr>
      <w:r>
        <w:rPr>
          <w:rFonts w:ascii="Arial" w:cs="Arial" w:eastAsia="Arial" w:hAnsi="Arial"/>
          <w:sz w:val="17"/>
          <w:szCs w:val="17"/>
          <w:color w:val="auto"/>
        </w:rPr>
        <w:t>The Non-financial Risks Division is responsible for defining a non-financial risks strategy aligned with the objectives and risk appetite set by the Board of Directors of Grupo Crédito. This strategy seeks to strengthen the management process, generate synergies, optimize resources and achieve better results among the units responsible for managing non-financial risks in the Group. Additionally, in order to achieve the objectives defined in the non-financial risks strategy, the Division is responsible for promoting risk culture, developing talent, defining indicators and generating and following-up strategic projects and initiatives.</w:t>
      </w:r>
    </w:p>
    <w:p>
      <w:pPr>
        <w:spacing w:after="0" w:line="180" w:lineRule="exact"/>
        <w:rPr>
          <w:sz w:val="20"/>
          <w:szCs w:val="20"/>
          <w:color w:val="auto"/>
        </w:rPr>
      </w:pPr>
    </w:p>
    <w:p>
      <w:pPr>
        <w:ind w:left="615" w:hanging="304"/>
        <w:spacing w:after="0"/>
        <w:tabs>
          <w:tab w:leader="none" w:pos="615"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Internal Audit Division and Corporate Ethics and Compliance Division -</w:t>
      </w:r>
    </w:p>
    <w:p>
      <w:pPr>
        <w:spacing w:after="0" w:line="193" w:lineRule="exact"/>
        <w:rPr>
          <w:rFonts w:ascii="Arial" w:cs="Arial" w:eastAsia="Arial" w:hAnsi="Arial"/>
          <w:sz w:val="17"/>
          <w:szCs w:val="17"/>
          <w:color w:val="auto"/>
        </w:rPr>
      </w:pPr>
    </w:p>
    <w:p>
      <w:pPr>
        <w:ind w:left="615"/>
        <w:spacing w:after="0" w:line="242" w:lineRule="auto"/>
        <w:rPr>
          <w:rFonts w:ascii="Arial" w:cs="Arial" w:eastAsia="Arial" w:hAnsi="Arial"/>
          <w:sz w:val="17"/>
          <w:szCs w:val="17"/>
          <w:color w:val="auto"/>
        </w:rPr>
      </w:pPr>
      <w:r>
        <w:rPr>
          <w:rFonts w:ascii="Arial" w:cs="Arial" w:eastAsia="Arial" w:hAnsi="Arial"/>
          <w:sz w:val="17"/>
          <w:szCs w:val="17"/>
          <w:color w:val="auto"/>
        </w:rPr>
        <w:t>The Audit Division is in charge of monitoring on an ongoing basis the effectiveness and efficiency of the risk management function in the Group, verifying compliance with regulations, policies, objectives and guidelines set by the Board of Directors, providing agile and timely assurance, advice and analysis based on risk and data. On the other hand, it evaluates sufficiency and integration level of Group’s information and database systems. Finally, it ensures that independence is maintained between the functions of the risk management and business units, for each of the companies of the Group.</w:t>
      </w:r>
    </w:p>
    <w:p>
      <w:pPr>
        <w:spacing w:after="0" w:line="180" w:lineRule="exact"/>
        <w:rPr>
          <w:rFonts w:ascii="Arial" w:cs="Arial" w:eastAsia="Arial" w:hAnsi="Arial"/>
          <w:sz w:val="17"/>
          <w:szCs w:val="17"/>
          <w:color w:val="auto"/>
        </w:rPr>
      </w:pPr>
    </w:p>
    <w:p>
      <w:pPr>
        <w:ind w:left="615" w:right="80"/>
        <w:spacing w:after="0" w:line="246" w:lineRule="auto"/>
        <w:rPr>
          <w:rFonts w:ascii="Arial" w:cs="Arial" w:eastAsia="Arial" w:hAnsi="Arial"/>
          <w:sz w:val="17"/>
          <w:szCs w:val="17"/>
          <w:color w:val="auto"/>
        </w:rPr>
      </w:pPr>
      <w:r>
        <w:rPr>
          <w:rFonts w:ascii="Arial" w:cs="Arial" w:eastAsia="Arial" w:hAnsi="Arial"/>
          <w:sz w:val="17"/>
          <w:szCs w:val="17"/>
          <w:color w:val="auto"/>
        </w:rPr>
        <w:t>The Corporate Compliance and Ethics Division reports to the Board of Directors and is responsible for providing corporate policies to ensure that Group companies specifically comply with regulations that specified them, and the guidelines established in the Code of Ethics.</w:t>
      </w:r>
    </w:p>
    <w:p>
      <w:pPr>
        <w:spacing w:after="0" w:line="175" w:lineRule="exact"/>
        <w:rPr>
          <w:rFonts w:ascii="Arial" w:cs="Arial" w:eastAsia="Arial" w:hAnsi="Arial"/>
          <w:sz w:val="17"/>
          <w:szCs w:val="17"/>
          <w:color w:val="auto"/>
        </w:rPr>
      </w:pPr>
    </w:p>
    <w:p>
      <w:pPr>
        <w:ind w:left="315" w:hanging="315"/>
        <w:spacing w:after="0"/>
        <w:tabs>
          <w:tab w:leader="none" w:pos="31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Risk measurement and reporting systems -</w:t>
      </w:r>
    </w:p>
    <w:p>
      <w:pPr>
        <w:spacing w:after="0" w:line="193" w:lineRule="exact"/>
        <w:rPr>
          <w:rFonts w:ascii="Arial" w:cs="Arial" w:eastAsia="Arial" w:hAnsi="Arial"/>
          <w:sz w:val="17"/>
          <w:szCs w:val="17"/>
          <w:color w:val="auto"/>
        </w:rPr>
      </w:pPr>
    </w:p>
    <w:p>
      <w:pPr>
        <w:ind w:left="315" w:right="160"/>
        <w:spacing w:after="0" w:line="243" w:lineRule="auto"/>
        <w:rPr>
          <w:rFonts w:ascii="Arial" w:cs="Arial" w:eastAsia="Arial" w:hAnsi="Arial"/>
          <w:sz w:val="17"/>
          <w:szCs w:val="17"/>
          <w:color w:val="auto"/>
        </w:rPr>
      </w:pPr>
      <w:r>
        <w:rPr>
          <w:rFonts w:ascii="Arial" w:cs="Arial" w:eastAsia="Arial" w:hAnsi="Arial"/>
          <w:sz w:val="17"/>
          <w:szCs w:val="17"/>
          <w:color w:val="auto"/>
        </w:rPr>
        <w:t>The risk is measured according to models and methodologies developed for the management of each type of risk. Risk reports that allow to monitor at the level added and detailed the different types of risks of each company which is exposed. The system provides the facility to meet the appetite review needs by risk requested by the committees and areas described above; as well as comply with regulatory requirements.</w:t>
      </w:r>
    </w:p>
    <w:p>
      <w:pPr>
        <w:spacing w:after="0" w:line="179" w:lineRule="exact"/>
        <w:rPr>
          <w:rFonts w:ascii="Arial" w:cs="Arial" w:eastAsia="Arial" w:hAnsi="Arial"/>
          <w:sz w:val="17"/>
          <w:szCs w:val="17"/>
          <w:color w:val="auto"/>
        </w:rPr>
      </w:pPr>
    </w:p>
    <w:p>
      <w:pPr>
        <w:ind w:left="315" w:hanging="315"/>
        <w:spacing w:after="0"/>
        <w:tabs>
          <w:tab w:leader="none" w:pos="31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Risk mitigation -</w:t>
      </w:r>
    </w:p>
    <w:p>
      <w:pPr>
        <w:spacing w:after="0" w:line="193" w:lineRule="exact"/>
        <w:rPr>
          <w:rFonts w:ascii="Arial" w:cs="Arial" w:eastAsia="Arial" w:hAnsi="Arial"/>
          <w:sz w:val="17"/>
          <w:szCs w:val="17"/>
          <w:color w:val="auto"/>
        </w:rPr>
      </w:pPr>
    </w:p>
    <w:p>
      <w:pPr>
        <w:ind w:left="315" w:right="260"/>
        <w:spacing w:after="0" w:line="254" w:lineRule="auto"/>
        <w:rPr>
          <w:rFonts w:ascii="Arial" w:cs="Arial" w:eastAsia="Arial" w:hAnsi="Arial"/>
          <w:sz w:val="17"/>
          <w:szCs w:val="17"/>
          <w:color w:val="auto"/>
        </w:rPr>
      </w:pPr>
      <w:r>
        <w:rPr>
          <w:rFonts w:ascii="Arial" w:cs="Arial" w:eastAsia="Arial" w:hAnsi="Arial"/>
          <w:sz w:val="17"/>
          <w:szCs w:val="17"/>
          <w:color w:val="auto"/>
        </w:rPr>
        <w:t>Depending on the type of risk, mitigating instruments are used to reduce its exposure, such as guarantees, derivatives, controls and insurance, among others. Furthermore, it has policies linked to risk appetite and established procedures for each type of risk.</w:t>
      </w:r>
    </w:p>
    <w:p>
      <w:pPr>
        <w:spacing w:after="0" w:line="169"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The Group actively uses guarantees to reduce its credit risks.</w:t>
      </w:r>
    </w:p>
    <w:p>
      <w:pPr>
        <w:spacing w:after="0" w:line="361" w:lineRule="exact"/>
        <w:rPr>
          <w:rFonts w:ascii="Arial" w:cs="Arial" w:eastAsia="Arial" w:hAnsi="Arial"/>
          <w:sz w:val="17"/>
          <w:szCs w:val="17"/>
          <w:color w:val="auto"/>
        </w:rPr>
      </w:pPr>
    </w:p>
    <w:p>
      <w:pPr>
        <w:ind w:left="4835" w:hanging="107"/>
        <w:spacing w:after="0"/>
        <w:tabs>
          <w:tab w:leader="none" w:pos="4835" w:val="left"/>
        </w:tabs>
        <w:numPr>
          <w:ilvl w:val="2"/>
          <w:numId w:val="172"/>
        </w:numPr>
        <w:rPr>
          <w:rFonts w:ascii="Arial" w:cs="Arial" w:eastAsia="Arial" w:hAnsi="Arial"/>
          <w:sz w:val="17"/>
          <w:szCs w:val="17"/>
          <w:color w:val="auto"/>
        </w:rPr>
      </w:pPr>
      <w:r>
        <w:rPr>
          <w:rFonts w:ascii="Arial" w:cs="Arial" w:eastAsia="Arial" w:hAnsi="Arial"/>
          <w:sz w:val="17"/>
          <w:szCs w:val="17"/>
          <w:color w:val="auto"/>
        </w:rPr>
        <w:t>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333" w:right="339" w:bottom="1440" w:gutter="0" w:footer="0" w:header="0"/>
        </w:sectPr>
      </w:pPr>
    </w:p>
    <w:bookmarkStart w:id="146" w:name="page147"/>
    <w:bookmarkEnd w:id="146"/>
    <w:p>
      <w:pPr>
        <w:ind w:left="315" w:hanging="315"/>
        <w:spacing w:after="0"/>
        <w:tabs>
          <w:tab w:leader="none" w:pos="31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Risk appetite -</w:t>
      </w:r>
    </w:p>
    <w:p>
      <w:pPr>
        <w:spacing w:after="0" w:line="193" w:lineRule="exact"/>
        <w:rPr>
          <w:rFonts w:ascii="Arial" w:cs="Arial" w:eastAsia="Arial" w:hAnsi="Arial"/>
          <w:sz w:val="17"/>
          <w:szCs w:val="17"/>
          <w:color w:val="auto"/>
        </w:rPr>
      </w:pPr>
    </w:p>
    <w:p>
      <w:pPr>
        <w:ind w:left="315" w:right="220"/>
        <w:spacing w:after="0" w:line="246" w:lineRule="auto"/>
        <w:rPr>
          <w:rFonts w:ascii="Arial" w:cs="Arial" w:eastAsia="Arial" w:hAnsi="Arial"/>
          <w:sz w:val="17"/>
          <w:szCs w:val="17"/>
          <w:color w:val="auto"/>
        </w:rPr>
      </w:pPr>
      <w:r>
        <w:rPr>
          <w:rFonts w:ascii="Arial" w:cs="Arial" w:eastAsia="Arial" w:hAnsi="Arial"/>
          <w:sz w:val="17"/>
          <w:szCs w:val="17"/>
          <w:color w:val="auto"/>
        </w:rPr>
        <w:t>Based on corporate risk management, The Board of Directors of Grupo Credito approves the risk appetite framework to define the maximum level of risk that the organization is willing to take as it seeks its strategic and financial objectives, maintaining a corporate vision in individual decisions of each entity. This Risk Appetite framework is based on "core" and specific metrics:</w:t>
      </w:r>
    </w:p>
    <w:p>
      <w:pPr>
        <w:spacing w:after="0" w:line="175" w:lineRule="exact"/>
        <w:rPr>
          <w:rFonts w:ascii="Arial" w:cs="Arial" w:eastAsia="Arial" w:hAnsi="Arial"/>
          <w:sz w:val="17"/>
          <w:szCs w:val="17"/>
          <w:color w:val="auto"/>
        </w:rPr>
      </w:pPr>
    </w:p>
    <w:p>
      <w:pPr>
        <w:ind w:left="315" w:right="360"/>
        <w:spacing w:after="0" w:line="254" w:lineRule="auto"/>
        <w:rPr>
          <w:rFonts w:ascii="Arial" w:cs="Arial" w:eastAsia="Arial" w:hAnsi="Arial"/>
          <w:sz w:val="17"/>
          <w:szCs w:val="17"/>
          <w:color w:val="auto"/>
        </w:rPr>
      </w:pPr>
      <w:r>
        <w:rPr>
          <w:rFonts w:ascii="Arial" w:cs="Arial" w:eastAsia="Arial" w:hAnsi="Arial"/>
          <w:sz w:val="17"/>
          <w:szCs w:val="17"/>
          <w:color w:val="auto"/>
        </w:rPr>
        <w:t>“Core” metrics are intended to preserve the organization’s strategic pillars, defined as solvency, liquidity, profit and growth, income stability and balance sheet structure, no financial and cybersecurity risks.</w:t>
      </w:r>
    </w:p>
    <w:p>
      <w:pPr>
        <w:spacing w:after="0" w:line="169" w:lineRule="exact"/>
        <w:rPr>
          <w:rFonts w:ascii="Arial" w:cs="Arial" w:eastAsia="Arial" w:hAnsi="Arial"/>
          <w:sz w:val="17"/>
          <w:szCs w:val="17"/>
          <w:color w:val="auto"/>
        </w:rPr>
      </w:pPr>
    </w:p>
    <w:p>
      <w:pPr>
        <w:ind w:left="315" w:right="220"/>
        <w:spacing w:after="0" w:line="246" w:lineRule="auto"/>
        <w:rPr>
          <w:rFonts w:ascii="Arial" w:cs="Arial" w:eastAsia="Arial" w:hAnsi="Arial"/>
          <w:sz w:val="17"/>
          <w:szCs w:val="17"/>
          <w:color w:val="auto"/>
        </w:rPr>
      </w:pPr>
      <w:r>
        <w:rPr>
          <w:rFonts w:ascii="Arial" w:cs="Arial" w:eastAsia="Arial" w:hAnsi="Arial"/>
          <w:sz w:val="17"/>
          <w:szCs w:val="17"/>
          <w:color w:val="auto"/>
        </w:rPr>
        <w:t>Specific metrics objectives are intended to monitor on a qualitative and quantitative basis the different risks, to which the Group is exposed, as well as define a tolerance threshold of each of those risks, so the risk profile set by the Board is preserved and any risk focus is anticipated on a more granular basis.</w:t>
      </w:r>
    </w:p>
    <w:p>
      <w:pPr>
        <w:spacing w:after="0" w:line="175"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Risk appetite is instrumented through the following elements:</w:t>
      </w:r>
    </w:p>
    <w:p>
      <w:pPr>
        <w:spacing w:after="0" w:line="193" w:lineRule="exact"/>
        <w:rPr>
          <w:rFonts w:ascii="Arial" w:cs="Arial" w:eastAsia="Arial" w:hAnsi="Arial"/>
          <w:sz w:val="17"/>
          <w:szCs w:val="17"/>
          <w:color w:val="auto"/>
        </w:rPr>
      </w:pPr>
    </w:p>
    <w:p>
      <w:pPr>
        <w:ind w:left="535" w:hanging="224"/>
        <w:spacing w:after="0"/>
        <w:tabs>
          <w:tab w:leader="none" w:pos="53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Risk appetite statement: It establishes explicit general principles and the qualitative statements which complement the risk strategy.</w:t>
      </w:r>
    </w:p>
    <w:p>
      <w:pPr>
        <w:spacing w:after="0" w:line="193" w:lineRule="exact"/>
        <w:rPr>
          <w:rFonts w:ascii="Arial" w:cs="Arial" w:eastAsia="Arial" w:hAnsi="Arial"/>
          <w:sz w:val="17"/>
          <w:szCs w:val="17"/>
          <w:color w:val="auto"/>
        </w:rPr>
      </w:pPr>
    </w:p>
    <w:p>
      <w:pPr>
        <w:ind w:left="535" w:hanging="224"/>
        <w:spacing w:after="0"/>
        <w:tabs>
          <w:tab w:leader="none" w:pos="53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Metrics scorecards: These are used to define the levels of risk exposure in the different strategic pillars.</w:t>
      </w:r>
    </w:p>
    <w:p>
      <w:pPr>
        <w:spacing w:after="0" w:line="193" w:lineRule="exact"/>
        <w:rPr>
          <w:rFonts w:ascii="Arial" w:cs="Arial" w:eastAsia="Arial" w:hAnsi="Arial"/>
          <w:sz w:val="17"/>
          <w:szCs w:val="17"/>
          <w:color w:val="auto"/>
        </w:rPr>
      </w:pPr>
    </w:p>
    <w:p>
      <w:pPr>
        <w:ind w:left="535" w:right="280" w:hanging="224"/>
        <w:spacing w:after="0" w:line="254" w:lineRule="auto"/>
        <w:tabs>
          <w:tab w:leader="none" w:pos="53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Limits: They allow control over the risk-taking process within the tolerance threshold established by the Board of Directors. They also provide accountability for the risk-taking process and define guidelines regarding the target risk profile.</w:t>
      </w:r>
    </w:p>
    <w:p>
      <w:pPr>
        <w:spacing w:after="0" w:line="169" w:lineRule="exact"/>
        <w:rPr>
          <w:rFonts w:ascii="Arial" w:cs="Arial" w:eastAsia="Arial" w:hAnsi="Arial"/>
          <w:sz w:val="17"/>
          <w:szCs w:val="17"/>
          <w:color w:val="auto"/>
        </w:rPr>
      </w:pPr>
    </w:p>
    <w:p>
      <w:pPr>
        <w:ind w:left="535" w:hanging="224"/>
        <w:spacing w:after="0" w:line="254" w:lineRule="auto"/>
        <w:tabs>
          <w:tab w:leader="none" w:pos="53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Government scheme: It seeks to guarantee compliance of the framework through different roles and responsibilities assigned to the units involved.</w:t>
      </w:r>
    </w:p>
    <w:p>
      <w:pPr>
        <w:spacing w:after="0" w:line="169" w:lineRule="exact"/>
        <w:rPr>
          <w:sz w:val="20"/>
          <w:szCs w:val="20"/>
          <w:color w:val="auto"/>
        </w:rPr>
      </w:pPr>
    </w:p>
    <w:p>
      <w:pPr>
        <w:ind w:left="315" w:right="540"/>
        <w:spacing w:after="0" w:line="254" w:lineRule="auto"/>
        <w:rPr>
          <w:sz w:val="20"/>
          <w:szCs w:val="20"/>
          <w:color w:val="auto"/>
        </w:rPr>
      </w:pPr>
      <w:r>
        <w:rPr>
          <w:rFonts w:ascii="Arial" w:cs="Arial" w:eastAsia="Arial" w:hAnsi="Arial"/>
          <w:sz w:val="17"/>
          <w:szCs w:val="17"/>
          <w:color w:val="auto"/>
        </w:rPr>
        <w:t>The appetite is integrated into the processes of strategic and capital guidelines, as well as in the definition of the annual budget, facilitating the strategic decision making of the organization.</w:t>
      </w:r>
    </w:p>
    <w:p>
      <w:pPr>
        <w:spacing w:after="0" w:line="169" w:lineRule="exact"/>
        <w:rPr>
          <w:sz w:val="20"/>
          <w:szCs w:val="20"/>
          <w:color w:val="auto"/>
        </w:rPr>
      </w:pPr>
    </w:p>
    <w:p>
      <w:pPr>
        <w:ind w:left="315" w:hanging="315"/>
        <w:spacing w:after="0"/>
        <w:tabs>
          <w:tab w:leader="none" w:pos="31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Risk concentration -</w:t>
      </w:r>
    </w:p>
    <w:p>
      <w:pPr>
        <w:spacing w:after="0" w:line="193" w:lineRule="exact"/>
        <w:rPr>
          <w:rFonts w:ascii="Arial" w:cs="Arial" w:eastAsia="Arial" w:hAnsi="Arial"/>
          <w:sz w:val="17"/>
          <w:szCs w:val="17"/>
          <w:color w:val="auto"/>
        </w:rPr>
      </w:pPr>
    </w:p>
    <w:p>
      <w:pPr>
        <w:ind w:left="315" w:right="500"/>
        <w:spacing w:after="0" w:line="254" w:lineRule="auto"/>
        <w:rPr>
          <w:rFonts w:ascii="Arial" w:cs="Arial" w:eastAsia="Arial" w:hAnsi="Arial"/>
          <w:sz w:val="17"/>
          <w:szCs w:val="17"/>
          <w:color w:val="auto"/>
        </w:rPr>
      </w:pPr>
      <w:r>
        <w:rPr>
          <w:rFonts w:ascii="Arial" w:cs="Arial" w:eastAsia="Arial" w:hAnsi="Arial"/>
          <w:sz w:val="17"/>
          <w:szCs w:val="17"/>
          <w:color w:val="auto"/>
        </w:rPr>
        <w:t>Concentrations arise when a reduced and representative number of all of the counterparties of the Group are engaged in similar business activities, or activities in the same geographic region, or have similar economic and political conditions among others.</w:t>
      </w:r>
    </w:p>
    <w:p>
      <w:pPr>
        <w:spacing w:after="0" w:line="169" w:lineRule="exact"/>
        <w:rPr>
          <w:rFonts w:ascii="Arial" w:cs="Arial" w:eastAsia="Arial" w:hAnsi="Arial"/>
          <w:sz w:val="17"/>
          <w:szCs w:val="17"/>
          <w:color w:val="auto"/>
        </w:rPr>
      </w:pPr>
    </w:p>
    <w:p>
      <w:pPr>
        <w:ind w:left="315" w:right="340"/>
        <w:spacing w:after="0" w:line="254" w:lineRule="auto"/>
        <w:rPr>
          <w:rFonts w:ascii="Arial" w:cs="Arial" w:eastAsia="Arial" w:hAnsi="Arial"/>
          <w:sz w:val="17"/>
          <w:szCs w:val="17"/>
          <w:color w:val="auto"/>
        </w:rPr>
      </w:pPr>
      <w:r>
        <w:rPr>
          <w:rFonts w:ascii="Arial" w:cs="Arial" w:eastAsia="Arial" w:hAnsi="Arial"/>
          <w:sz w:val="17"/>
          <w:szCs w:val="17"/>
          <w:color w:val="auto"/>
        </w:rPr>
        <w:t>In order to avoid excessive concentrations of risk, the policies and procedures include specific guidelines and limits to guarantee a diversified portfolio.</w:t>
      </w:r>
    </w:p>
    <w:p>
      <w:pPr>
        <w:spacing w:after="0" w:line="337" w:lineRule="exact"/>
        <w:rPr>
          <w:rFonts w:ascii="Arial" w:cs="Arial" w:eastAsia="Arial" w:hAnsi="Arial"/>
          <w:sz w:val="17"/>
          <w:szCs w:val="17"/>
          <w:color w:val="auto"/>
        </w:rPr>
      </w:pPr>
    </w:p>
    <w:p>
      <w:pPr>
        <w:ind w:left="4835" w:hanging="107"/>
        <w:spacing w:after="0"/>
        <w:tabs>
          <w:tab w:leader="none" w:pos="4835" w:val="left"/>
        </w:tabs>
        <w:numPr>
          <w:ilvl w:val="1"/>
          <w:numId w:val="174"/>
        </w:numPr>
        <w:rPr>
          <w:rFonts w:ascii="Arial" w:cs="Arial" w:eastAsia="Arial" w:hAnsi="Arial"/>
          <w:sz w:val="17"/>
          <w:szCs w:val="17"/>
          <w:color w:val="auto"/>
        </w:rPr>
      </w:pPr>
      <w:r>
        <w:rPr>
          <w:rFonts w:ascii="Arial" w:cs="Arial" w:eastAsia="Arial" w:hAnsi="Arial"/>
          <w:sz w:val="17"/>
          <w:szCs w:val="17"/>
          <w:color w:val="auto"/>
        </w:rPr>
        <w:t>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575"/>
          </w:cols>
          <w:pgMar w:left="945" w:top="333" w:right="379" w:bottom="1440" w:gutter="0" w:footer="0" w:header="0"/>
        </w:sectPr>
      </w:pPr>
    </w:p>
    <w:bookmarkStart w:id="147" w:name="page148"/>
    <w:bookmarkEnd w:id="147"/>
    <w:p>
      <w:pPr>
        <w:spacing w:after="0"/>
        <w:tabs>
          <w:tab w:leader="none" w:pos="600" w:val="left"/>
        </w:tabs>
        <w:rPr>
          <w:sz w:val="20"/>
          <w:szCs w:val="20"/>
          <w:color w:val="auto"/>
        </w:rPr>
      </w:pPr>
      <w:r>
        <w:rPr>
          <w:rFonts w:ascii="Arial" w:cs="Arial" w:eastAsia="Arial" w:hAnsi="Arial"/>
          <w:sz w:val="17"/>
          <w:szCs w:val="17"/>
          <w:b w:val="1"/>
          <w:bCs w:val="1"/>
          <w:color w:val="auto"/>
        </w:rPr>
        <w:t>34.1</w:t>
        <w:tab/>
        <w:t>Credit risk -</w:t>
      </w:r>
    </w:p>
    <w:p>
      <w:pPr>
        <w:spacing w:after="0" w:line="215" w:lineRule="exact"/>
        <w:rPr>
          <w:sz w:val="20"/>
          <w:szCs w:val="20"/>
          <w:color w:val="auto"/>
        </w:rPr>
      </w:pPr>
    </w:p>
    <w:p>
      <w:pPr>
        <w:ind w:left="940" w:right="280" w:hanging="315"/>
        <w:spacing w:after="0" w:line="254" w:lineRule="auto"/>
        <w:tabs>
          <w:tab w:leader="none" w:pos="9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Group takes on exposure to credit risk, which is the probability of suffering losses caused by debtors or counterparties failing to comply with payment obligations in on or off the balance sheet exposures.</w:t>
      </w:r>
    </w:p>
    <w:p>
      <w:pPr>
        <w:spacing w:after="0" w:line="169" w:lineRule="exact"/>
        <w:rPr>
          <w:rFonts w:ascii="Arial" w:cs="Arial" w:eastAsia="Arial" w:hAnsi="Arial"/>
          <w:sz w:val="17"/>
          <w:szCs w:val="17"/>
          <w:color w:val="auto"/>
        </w:rPr>
      </w:pPr>
    </w:p>
    <w:p>
      <w:pPr>
        <w:ind w:left="940" w:right="100"/>
        <w:spacing w:after="0" w:line="242" w:lineRule="auto"/>
        <w:rPr>
          <w:rFonts w:ascii="Arial" w:cs="Arial" w:eastAsia="Arial" w:hAnsi="Arial"/>
          <w:sz w:val="17"/>
          <w:szCs w:val="17"/>
          <w:color w:val="auto"/>
        </w:rPr>
      </w:pPr>
      <w:r>
        <w:rPr>
          <w:rFonts w:ascii="Arial" w:cs="Arial" w:eastAsia="Arial" w:hAnsi="Arial"/>
          <w:sz w:val="17"/>
          <w:szCs w:val="17"/>
          <w:color w:val="auto"/>
        </w:rPr>
        <w:t>Credit risk is the most important risk for the Group’s business; therefore, Management carefully manages its exposure to credit risk. Credit exposures mainly arise from lending activities that lead to direct loans; they also result from investment activities. There is also credit risk in off-balance sheet financial instruments, such as contingent credits (indirect loans and due from customers on acceptances), which expose Credicorp to risks similar to direct loans. Likewise, credit risk arises from derivative financial instruments that present positive fair values. Finally, all exposure to credit risk (direct or indirect) is mitigated by the control processes and policies.</w:t>
      </w:r>
    </w:p>
    <w:p>
      <w:pPr>
        <w:spacing w:after="0" w:line="180" w:lineRule="exact"/>
        <w:rPr>
          <w:rFonts w:ascii="Arial" w:cs="Arial" w:eastAsia="Arial" w:hAnsi="Arial"/>
          <w:sz w:val="17"/>
          <w:szCs w:val="17"/>
          <w:color w:val="auto"/>
        </w:rPr>
      </w:pPr>
    </w:p>
    <w:p>
      <w:pPr>
        <w:ind w:left="940" w:right="180"/>
        <w:spacing w:after="0" w:line="254" w:lineRule="auto"/>
        <w:rPr>
          <w:rFonts w:ascii="Arial" w:cs="Arial" w:eastAsia="Arial" w:hAnsi="Arial"/>
          <w:sz w:val="17"/>
          <w:szCs w:val="17"/>
          <w:color w:val="auto"/>
        </w:rPr>
      </w:pPr>
      <w:r>
        <w:rPr>
          <w:rFonts w:ascii="Arial" w:cs="Arial" w:eastAsia="Arial" w:hAnsi="Arial"/>
          <w:sz w:val="17"/>
          <w:szCs w:val="17"/>
          <w:color w:val="auto"/>
        </w:rPr>
        <w:t>As part of managing this type of risk, provisions for impairment of its portfolio are assigned as of the date of the statement of financial position.</w:t>
      </w:r>
    </w:p>
    <w:p>
      <w:pPr>
        <w:spacing w:after="0" w:line="169" w:lineRule="exact"/>
        <w:rPr>
          <w:rFonts w:ascii="Arial" w:cs="Arial" w:eastAsia="Arial" w:hAnsi="Arial"/>
          <w:sz w:val="17"/>
          <w:szCs w:val="17"/>
          <w:color w:val="auto"/>
        </w:rPr>
      </w:pPr>
    </w:p>
    <w:p>
      <w:pPr>
        <w:jc w:val="both"/>
        <w:ind w:left="940" w:right="300"/>
        <w:spacing w:after="0" w:line="246" w:lineRule="auto"/>
        <w:rPr>
          <w:rFonts w:ascii="Arial" w:cs="Arial" w:eastAsia="Arial" w:hAnsi="Arial"/>
          <w:sz w:val="17"/>
          <w:szCs w:val="17"/>
          <w:color w:val="auto"/>
        </w:rPr>
      </w:pPr>
      <w:r>
        <w:rPr>
          <w:rFonts w:ascii="Arial" w:cs="Arial" w:eastAsia="Arial" w:hAnsi="Arial"/>
          <w:sz w:val="17"/>
          <w:szCs w:val="17"/>
          <w:color w:val="auto"/>
        </w:rPr>
        <w:t>Credit risk levels are defined based on risk exposure limits, which are frequently monitored. Said limits are established in relation to one debtor or group of debtors, geographical and industry segments. Furthermore, the risk limits by product, industry sector and by geographical segment are approved by the Risk Committee of Credicorp.</w:t>
      </w:r>
    </w:p>
    <w:p>
      <w:pPr>
        <w:spacing w:after="0" w:line="175" w:lineRule="exact"/>
        <w:rPr>
          <w:rFonts w:ascii="Arial" w:cs="Arial" w:eastAsia="Arial" w:hAnsi="Arial"/>
          <w:sz w:val="17"/>
          <w:szCs w:val="17"/>
          <w:color w:val="auto"/>
        </w:rPr>
      </w:pPr>
    </w:p>
    <w:p>
      <w:pPr>
        <w:ind w:left="940" w:right="20"/>
        <w:spacing w:after="0" w:line="246" w:lineRule="auto"/>
        <w:rPr>
          <w:rFonts w:ascii="Arial" w:cs="Arial" w:eastAsia="Arial" w:hAnsi="Arial"/>
          <w:sz w:val="17"/>
          <w:szCs w:val="17"/>
          <w:color w:val="auto"/>
        </w:rPr>
      </w:pPr>
      <w:r>
        <w:rPr>
          <w:rFonts w:ascii="Arial" w:cs="Arial" w:eastAsia="Arial" w:hAnsi="Arial"/>
          <w:sz w:val="17"/>
          <w:szCs w:val="17"/>
          <w:color w:val="auto"/>
        </w:rPr>
        <w:t>Exposure to credit risk is managed through regular analysis of the ability of debtors and potential debtors to meet payments of principal and interest on its obligations and by changing the credit limits when it is appropriate. Other specific control measures are outlined below:</w:t>
      </w:r>
    </w:p>
    <w:p>
      <w:pPr>
        <w:spacing w:after="0" w:line="175" w:lineRule="exact"/>
        <w:rPr>
          <w:rFonts w:ascii="Arial" w:cs="Arial" w:eastAsia="Arial" w:hAnsi="Arial"/>
          <w:sz w:val="17"/>
          <w:szCs w:val="17"/>
          <w:color w:val="auto"/>
        </w:rPr>
      </w:pPr>
    </w:p>
    <w:p>
      <w:pPr>
        <w:ind w:left="1300" w:hanging="364"/>
        <w:spacing w:after="0"/>
        <w:tabs>
          <w:tab w:leader="none" w:pos="13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Collateral -</w:t>
      </w:r>
    </w:p>
    <w:p>
      <w:pPr>
        <w:spacing w:after="0" w:line="193" w:lineRule="exact"/>
        <w:rPr>
          <w:rFonts w:ascii="Arial" w:cs="Arial" w:eastAsia="Arial" w:hAnsi="Arial"/>
          <w:sz w:val="17"/>
          <w:szCs w:val="17"/>
          <w:color w:val="auto"/>
        </w:rPr>
      </w:pPr>
    </w:p>
    <w:p>
      <w:pPr>
        <w:jc w:val="both"/>
        <w:ind w:left="1280"/>
        <w:spacing w:after="0" w:line="246" w:lineRule="auto"/>
        <w:rPr>
          <w:rFonts w:ascii="Arial" w:cs="Arial" w:eastAsia="Arial" w:hAnsi="Arial"/>
          <w:sz w:val="17"/>
          <w:szCs w:val="17"/>
          <w:color w:val="auto"/>
        </w:rPr>
      </w:pPr>
      <w:r>
        <w:rPr>
          <w:rFonts w:ascii="Arial" w:cs="Arial" w:eastAsia="Arial" w:hAnsi="Arial"/>
          <w:sz w:val="17"/>
          <w:szCs w:val="17"/>
          <w:color w:val="auto"/>
        </w:rPr>
        <w:t>The Group employs a range of policies and practices to mitigate credit risk. The most traditional of these is collateralization which is common practice. The Group implements guidelines on the acceptability of specific classes of collateral or credit risk mitigation. The main types of collateral obtained are as follows:</w:t>
      </w:r>
    </w:p>
    <w:p>
      <w:pPr>
        <w:spacing w:after="0" w:line="175" w:lineRule="exact"/>
        <w:rPr>
          <w:rFonts w:ascii="Arial" w:cs="Arial" w:eastAsia="Arial" w:hAnsi="Arial"/>
          <w:sz w:val="17"/>
          <w:szCs w:val="17"/>
          <w:color w:val="auto"/>
        </w:rPr>
      </w:pPr>
    </w:p>
    <w:p>
      <w:pPr>
        <w:ind w:left="1400" w:right="200" w:hanging="127"/>
        <w:spacing w:after="0" w:line="254" w:lineRule="auto"/>
        <w:tabs>
          <w:tab w:leader="none" w:pos="1400" w:val="left"/>
        </w:tabs>
        <w:numPr>
          <w:ilvl w:val="2"/>
          <w:numId w:val="175"/>
        </w:numPr>
        <w:rPr>
          <w:rFonts w:ascii="Arial" w:cs="Arial" w:eastAsia="Arial" w:hAnsi="Arial"/>
          <w:sz w:val="17"/>
          <w:szCs w:val="17"/>
          <w:color w:val="auto"/>
        </w:rPr>
      </w:pPr>
      <w:r>
        <w:rPr>
          <w:rFonts w:ascii="Arial" w:cs="Arial" w:eastAsia="Arial" w:hAnsi="Arial"/>
          <w:sz w:val="17"/>
          <w:szCs w:val="17"/>
          <w:color w:val="auto"/>
        </w:rPr>
        <w:t>For loans and advances, collateral includes, among others, mortgages on residential properties; liens on business assets such as plants, inventory and receivables; and liens on financial instruments such as debt securities and equity securities.</w:t>
      </w:r>
    </w:p>
    <w:p>
      <w:pPr>
        <w:spacing w:after="0" w:line="169" w:lineRule="exact"/>
        <w:rPr>
          <w:rFonts w:ascii="Arial" w:cs="Arial" w:eastAsia="Arial" w:hAnsi="Arial"/>
          <w:sz w:val="17"/>
          <w:szCs w:val="17"/>
          <w:color w:val="auto"/>
        </w:rPr>
      </w:pPr>
    </w:p>
    <w:p>
      <w:pPr>
        <w:ind w:left="1400" w:right="140" w:hanging="127"/>
        <w:spacing w:after="0" w:line="246" w:lineRule="auto"/>
        <w:tabs>
          <w:tab w:leader="none" w:pos="1400" w:val="left"/>
        </w:tabs>
        <w:numPr>
          <w:ilvl w:val="2"/>
          <w:numId w:val="175"/>
        </w:numPr>
        <w:rPr>
          <w:rFonts w:ascii="Arial" w:cs="Arial" w:eastAsia="Arial" w:hAnsi="Arial"/>
          <w:sz w:val="17"/>
          <w:szCs w:val="17"/>
          <w:color w:val="auto"/>
        </w:rPr>
      </w:pPr>
      <w:r>
        <w:rPr>
          <w:rFonts w:ascii="Arial" w:cs="Arial" w:eastAsia="Arial" w:hAnsi="Arial"/>
          <w:sz w:val="17"/>
          <w:szCs w:val="17"/>
          <w:color w:val="auto"/>
        </w:rPr>
        <w:t>Long-term loans and financing to corporate entities are generally guaranteed. Loans to micro business generally have no collateral. In order to minimize credit loss, the Group will seek additional collateral from the counterparty as soon as impairment indicators arise.</w:t>
      </w:r>
    </w:p>
    <w:p>
      <w:pPr>
        <w:spacing w:after="0" w:line="175" w:lineRule="exact"/>
        <w:rPr>
          <w:rFonts w:ascii="Arial" w:cs="Arial" w:eastAsia="Arial" w:hAnsi="Arial"/>
          <w:sz w:val="17"/>
          <w:szCs w:val="17"/>
          <w:color w:val="auto"/>
        </w:rPr>
      </w:pPr>
    </w:p>
    <w:p>
      <w:pPr>
        <w:ind w:left="1400" w:hanging="127"/>
        <w:spacing w:after="0"/>
        <w:tabs>
          <w:tab w:leader="none" w:pos="1400" w:val="left"/>
        </w:tabs>
        <w:numPr>
          <w:ilvl w:val="2"/>
          <w:numId w:val="175"/>
        </w:numPr>
        <w:rPr>
          <w:rFonts w:ascii="Arial" w:cs="Arial" w:eastAsia="Arial" w:hAnsi="Arial"/>
          <w:sz w:val="17"/>
          <w:szCs w:val="17"/>
          <w:color w:val="auto"/>
        </w:rPr>
      </w:pPr>
      <w:r>
        <w:rPr>
          <w:rFonts w:ascii="Arial" w:cs="Arial" w:eastAsia="Arial" w:hAnsi="Arial"/>
          <w:sz w:val="17"/>
          <w:szCs w:val="17"/>
          <w:color w:val="auto"/>
        </w:rPr>
        <w:t>For repurchase agreements and securities lending, collateral consists of fixed income instruments, cash and loans.</w:t>
      </w:r>
    </w:p>
    <w:p>
      <w:pPr>
        <w:spacing w:after="0" w:line="193" w:lineRule="exact"/>
        <w:rPr>
          <w:sz w:val="20"/>
          <w:szCs w:val="20"/>
          <w:color w:val="auto"/>
        </w:rPr>
      </w:pPr>
    </w:p>
    <w:p>
      <w:pPr>
        <w:jc w:val="both"/>
        <w:ind w:left="1280"/>
        <w:spacing w:after="0" w:line="246" w:lineRule="auto"/>
        <w:rPr>
          <w:sz w:val="20"/>
          <w:szCs w:val="20"/>
          <w:color w:val="auto"/>
        </w:rPr>
      </w:pPr>
      <w:r>
        <w:rPr>
          <w:rFonts w:ascii="Arial" w:cs="Arial" w:eastAsia="Arial" w:hAnsi="Arial"/>
          <w:sz w:val="17"/>
          <w:szCs w:val="17"/>
          <w:color w:val="auto"/>
        </w:rPr>
        <w:t>Collateral held as security for financial assets other than loans is determined by the nature of the instrument. Debt securities, treasury and other eligible bills are generally unsecured, with the exception of assets backed securities and similar instruments, which are secured by portfolios of financial instruments.</w:t>
      </w:r>
    </w:p>
    <w:p>
      <w:pPr>
        <w:spacing w:after="0" w:line="176" w:lineRule="exact"/>
        <w:rPr>
          <w:sz w:val="20"/>
          <w:szCs w:val="20"/>
          <w:color w:val="auto"/>
        </w:rPr>
      </w:pPr>
    </w:p>
    <w:p>
      <w:pPr>
        <w:jc w:val="both"/>
        <w:ind w:left="1280"/>
        <w:spacing w:after="0" w:line="246" w:lineRule="auto"/>
        <w:rPr>
          <w:sz w:val="20"/>
          <w:szCs w:val="20"/>
          <w:color w:val="auto"/>
        </w:rPr>
      </w:pPr>
      <w:r>
        <w:rPr>
          <w:rFonts w:ascii="Arial" w:cs="Arial" w:eastAsia="Arial" w:hAnsi="Arial"/>
          <w:sz w:val="17"/>
          <w:szCs w:val="17"/>
          <w:color w:val="auto"/>
        </w:rPr>
        <w:t>Management monitors the market value of collateral, requests additional collateral in accordance with the underlying agreement, and monitors the market value of collateral obtained during its review of the adequacy of the allowance for impairment losses. As part of the Group’s policies, the recovered goods are sold in seniority order. The</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8" w:name="page149"/>
    <w:bookmarkEnd w:id="148"/>
    <w:p>
      <w:pPr>
        <w:ind w:left="655"/>
        <w:spacing w:after="0" w:line="254" w:lineRule="auto"/>
        <w:rPr>
          <w:sz w:val="20"/>
          <w:szCs w:val="20"/>
          <w:color w:val="auto"/>
        </w:rPr>
      </w:pPr>
      <w:r>
        <w:rPr>
          <w:rFonts w:ascii="Arial" w:cs="Arial" w:eastAsia="Arial" w:hAnsi="Arial"/>
          <w:sz w:val="17"/>
          <w:szCs w:val="17"/>
          <w:color w:val="auto"/>
        </w:rPr>
        <w:t>proceeds of the sale are used to reduce or amortize the outstanding credit. In general, the Group does not use recovered assets for its operational purposes.</w:t>
      </w:r>
    </w:p>
    <w:p>
      <w:pPr>
        <w:spacing w:after="0" w:line="169" w:lineRule="exact"/>
        <w:rPr>
          <w:sz w:val="20"/>
          <w:szCs w:val="20"/>
          <w:color w:val="auto"/>
        </w:rPr>
      </w:pPr>
    </w:p>
    <w:p>
      <w:pPr>
        <w:ind w:left="675" w:hanging="364"/>
        <w:spacing w:after="0"/>
        <w:tabs>
          <w:tab w:leader="none" w:pos="675" w:val="left"/>
        </w:tabs>
        <w:numPr>
          <w:ilvl w:val="1"/>
          <w:numId w:val="176"/>
        </w:numPr>
        <w:rPr>
          <w:rFonts w:ascii="Arial" w:cs="Arial" w:eastAsia="Arial" w:hAnsi="Arial"/>
          <w:sz w:val="17"/>
          <w:szCs w:val="17"/>
          <w:color w:val="auto"/>
        </w:rPr>
      </w:pPr>
      <w:r>
        <w:rPr>
          <w:rFonts w:ascii="Arial" w:cs="Arial" w:eastAsia="Arial" w:hAnsi="Arial"/>
          <w:sz w:val="17"/>
          <w:szCs w:val="17"/>
          <w:color w:val="auto"/>
        </w:rPr>
        <w:t>Derivatives -</w:t>
      </w:r>
    </w:p>
    <w:p>
      <w:pPr>
        <w:spacing w:after="0" w:line="193" w:lineRule="exact"/>
        <w:rPr>
          <w:rFonts w:ascii="Arial" w:cs="Arial" w:eastAsia="Arial" w:hAnsi="Arial"/>
          <w:sz w:val="17"/>
          <w:szCs w:val="17"/>
          <w:color w:val="auto"/>
        </w:rPr>
      </w:pPr>
    </w:p>
    <w:p>
      <w:pPr>
        <w:jc w:val="both"/>
        <w:ind w:left="655"/>
        <w:spacing w:after="0" w:line="242" w:lineRule="auto"/>
        <w:rPr>
          <w:rFonts w:ascii="Arial" w:cs="Arial" w:eastAsia="Arial" w:hAnsi="Arial"/>
          <w:sz w:val="17"/>
          <w:szCs w:val="17"/>
          <w:color w:val="auto"/>
        </w:rPr>
      </w:pPr>
      <w:r>
        <w:rPr>
          <w:rFonts w:ascii="Arial" w:cs="Arial" w:eastAsia="Arial" w:hAnsi="Arial"/>
          <w:sz w:val="17"/>
          <w:szCs w:val="17"/>
          <w:color w:val="auto"/>
        </w:rPr>
        <w:t>The amount subject to credit risk is limited to the current and potential fair value of instruments that are favorable to the Group (fair value is positive). In the case of derivatives this is only a small fraction of the contract, or notional values used to express the volume of instruments outstanding. This credit risk exposure is managed as a portion of the total credit limits with customers, together with potential exposures from market movements. Collateral or other security is not usually obtained for this type of risk exposure.</w:t>
      </w:r>
    </w:p>
    <w:p>
      <w:pPr>
        <w:spacing w:after="0" w:line="377" w:lineRule="exact"/>
        <w:rPr>
          <w:rFonts w:ascii="Arial" w:cs="Arial" w:eastAsia="Arial" w:hAnsi="Arial"/>
          <w:sz w:val="17"/>
          <w:szCs w:val="17"/>
          <w:color w:val="auto"/>
        </w:rPr>
      </w:pPr>
    </w:p>
    <w:p>
      <w:pPr>
        <w:ind w:left="675" w:hanging="364"/>
        <w:spacing w:after="0"/>
        <w:tabs>
          <w:tab w:leader="none" w:pos="675" w:val="left"/>
        </w:tabs>
        <w:numPr>
          <w:ilvl w:val="1"/>
          <w:numId w:val="176"/>
        </w:numPr>
        <w:rPr>
          <w:rFonts w:ascii="Arial" w:cs="Arial" w:eastAsia="Arial" w:hAnsi="Arial"/>
          <w:sz w:val="17"/>
          <w:szCs w:val="17"/>
          <w:color w:val="auto"/>
        </w:rPr>
      </w:pPr>
      <w:r>
        <w:rPr>
          <w:rFonts w:ascii="Arial" w:cs="Arial" w:eastAsia="Arial" w:hAnsi="Arial"/>
          <w:sz w:val="17"/>
          <w:szCs w:val="17"/>
          <w:color w:val="auto"/>
        </w:rPr>
        <w:t>Credit-related commitments -</w:t>
      </w:r>
    </w:p>
    <w:p>
      <w:pPr>
        <w:spacing w:after="0" w:line="193" w:lineRule="exact"/>
        <w:rPr>
          <w:rFonts w:ascii="Arial" w:cs="Arial" w:eastAsia="Arial" w:hAnsi="Arial"/>
          <w:sz w:val="17"/>
          <w:szCs w:val="17"/>
          <w:color w:val="auto"/>
        </w:rPr>
      </w:pPr>
    </w:p>
    <w:p>
      <w:pPr>
        <w:jc w:val="both"/>
        <w:ind w:left="655"/>
        <w:spacing w:after="0" w:line="242" w:lineRule="auto"/>
        <w:rPr>
          <w:rFonts w:ascii="Arial" w:cs="Arial" w:eastAsia="Arial" w:hAnsi="Arial"/>
          <w:sz w:val="17"/>
          <w:szCs w:val="17"/>
          <w:color w:val="auto"/>
        </w:rPr>
      </w:pPr>
      <w:r>
        <w:rPr>
          <w:rFonts w:ascii="Arial" w:cs="Arial" w:eastAsia="Arial" w:hAnsi="Arial"/>
          <w:sz w:val="17"/>
          <w:szCs w:val="17"/>
          <w:color w:val="auto"/>
        </w:rPr>
        <w:t>The primary purpose of these instruments is to ensure that funds are available to a customer as required. Guarantees and letters of credit have the same credit risk as direct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80" w:lineRule="exact"/>
        <w:rPr>
          <w:rFonts w:ascii="Arial" w:cs="Arial" w:eastAsia="Arial" w:hAnsi="Arial"/>
          <w:sz w:val="17"/>
          <w:szCs w:val="17"/>
          <w:color w:val="auto"/>
        </w:rPr>
      </w:pPr>
    </w:p>
    <w:p>
      <w:pPr>
        <w:ind w:left="315" w:right="160" w:hanging="315"/>
        <w:spacing w:after="0" w:line="254" w:lineRule="auto"/>
        <w:tabs>
          <w:tab w:leader="none" w:pos="31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maximum exposure to credit risk as of December 31, 2021 and 2020 before the effect of mitigation through any collateral, is the carrying amount of each class of financial assets indicated in Notes 34.8(a), 34.8(b) and the contingent credits detailed in Note 21(a).</w:t>
      </w:r>
    </w:p>
    <w:p>
      <w:pPr>
        <w:spacing w:after="0" w:line="169" w:lineRule="exact"/>
        <w:rPr>
          <w:rFonts w:ascii="Arial" w:cs="Arial" w:eastAsia="Arial" w:hAnsi="Arial"/>
          <w:sz w:val="17"/>
          <w:szCs w:val="17"/>
          <w:color w:val="auto"/>
        </w:rPr>
      </w:pPr>
    </w:p>
    <w:p>
      <w:pPr>
        <w:ind w:left="315" w:hanging="315"/>
        <w:spacing w:after="0"/>
        <w:tabs>
          <w:tab w:leader="none" w:pos="31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Credit risk management for loans -</w:t>
      </w:r>
    </w:p>
    <w:p>
      <w:pPr>
        <w:spacing w:after="0" w:line="193" w:lineRule="exact"/>
        <w:rPr>
          <w:rFonts w:ascii="Arial" w:cs="Arial" w:eastAsia="Arial" w:hAnsi="Arial"/>
          <w:sz w:val="17"/>
          <w:szCs w:val="17"/>
          <w:color w:val="auto"/>
        </w:rPr>
      </w:pPr>
    </w:p>
    <w:p>
      <w:pPr>
        <w:ind w:left="315" w:right="180"/>
        <w:spacing w:after="0" w:line="243" w:lineRule="auto"/>
        <w:rPr>
          <w:rFonts w:ascii="Arial" w:cs="Arial" w:eastAsia="Arial" w:hAnsi="Arial"/>
          <w:sz w:val="17"/>
          <w:szCs w:val="17"/>
          <w:color w:val="auto"/>
        </w:rPr>
      </w:pPr>
      <w:r>
        <w:rPr>
          <w:rFonts w:ascii="Arial" w:cs="Arial" w:eastAsia="Arial" w:hAnsi="Arial"/>
          <w:sz w:val="17"/>
          <w:szCs w:val="17"/>
          <w:color w:val="auto"/>
        </w:rPr>
        <w:t>Credit risk management is mainly based on the rating and scoring internal models of each company of the Group. In Credicorp, quantitative and qualitative analysis are made for each client, regarding their financial position, credit behavior in the financial system and the market in which they operate or are located. This analysis is carried out continuously to characterize the risk profile of each operation and client with a credit position in the Group.</w:t>
      </w:r>
    </w:p>
    <w:p>
      <w:pPr>
        <w:spacing w:after="0" w:line="179" w:lineRule="exact"/>
        <w:rPr>
          <w:rFonts w:ascii="Arial" w:cs="Arial" w:eastAsia="Arial" w:hAnsi="Arial"/>
          <w:sz w:val="17"/>
          <w:szCs w:val="17"/>
          <w:color w:val="auto"/>
        </w:rPr>
      </w:pPr>
    </w:p>
    <w:p>
      <w:pPr>
        <w:ind w:left="315" w:right="840"/>
        <w:spacing w:after="0" w:line="254" w:lineRule="auto"/>
        <w:rPr>
          <w:rFonts w:ascii="Arial" w:cs="Arial" w:eastAsia="Arial" w:hAnsi="Arial"/>
          <w:sz w:val="17"/>
          <w:szCs w:val="17"/>
          <w:color w:val="auto"/>
        </w:rPr>
      </w:pPr>
      <w:r>
        <w:rPr>
          <w:rFonts w:ascii="Arial" w:cs="Arial" w:eastAsia="Arial" w:hAnsi="Arial"/>
          <w:sz w:val="17"/>
          <w:szCs w:val="17"/>
          <w:color w:val="auto"/>
        </w:rPr>
        <w:t>In the Group, a loan is internally classified as past due according to three criteria: the number of days past due based on the contractually agreed due date, the subsidiary and the type of credit. The detail is shown below:</w:t>
      </w:r>
    </w:p>
    <w:p>
      <w:pPr>
        <w:spacing w:after="0" w:line="169"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   Banco de Crédito del Perú, Mibanco y Solución Empresa Administradora Hipotecaria internally classify a loan as past due</w:t>
      </w:r>
    </w:p>
    <w:p>
      <w:pPr>
        <w:spacing w:after="0" w:line="191" w:lineRule="exact"/>
        <w:rPr>
          <w:rFonts w:ascii="Arial" w:cs="Arial" w:eastAsia="Arial" w:hAnsi="Arial"/>
          <w:sz w:val="17"/>
          <w:szCs w:val="17"/>
          <w:color w:val="auto"/>
        </w:rPr>
      </w:pPr>
    </w:p>
    <w:p>
      <w:pPr>
        <w:ind w:left="875" w:hanging="227"/>
        <w:spacing w:after="0"/>
        <w:tabs>
          <w:tab w:leader="none" w:pos="875" w:val="left"/>
        </w:tabs>
        <w:numPr>
          <w:ilvl w:val="2"/>
          <w:numId w:val="177"/>
        </w:numPr>
        <w:rPr>
          <w:rFonts w:ascii="Arial" w:cs="Arial" w:eastAsia="Arial" w:hAnsi="Arial"/>
          <w:sz w:val="17"/>
          <w:szCs w:val="17"/>
          <w:color w:val="auto"/>
        </w:rPr>
      </w:pPr>
      <w:r>
        <w:rPr>
          <w:rFonts w:ascii="Arial" w:cs="Arial" w:eastAsia="Arial" w:hAnsi="Arial"/>
          <w:sz w:val="17"/>
          <w:szCs w:val="17"/>
          <w:color w:val="auto"/>
        </w:rPr>
        <w:t>For corporate, large and medium companies, when it has more than 15 days in arrears.</w:t>
      </w:r>
    </w:p>
    <w:p>
      <w:pPr>
        <w:ind w:left="875" w:hanging="227"/>
        <w:spacing w:after="0" w:line="238" w:lineRule="auto"/>
        <w:tabs>
          <w:tab w:leader="none" w:pos="875" w:val="left"/>
        </w:tabs>
        <w:numPr>
          <w:ilvl w:val="2"/>
          <w:numId w:val="177"/>
        </w:numPr>
        <w:rPr>
          <w:rFonts w:ascii="Arial" w:cs="Arial" w:eastAsia="Arial" w:hAnsi="Arial"/>
          <w:sz w:val="17"/>
          <w:szCs w:val="17"/>
          <w:color w:val="auto"/>
        </w:rPr>
      </w:pPr>
      <w:r>
        <w:rPr>
          <w:rFonts w:ascii="Arial" w:cs="Arial" w:eastAsia="Arial" w:hAnsi="Arial"/>
          <w:sz w:val="17"/>
          <w:szCs w:val="17"/>
          <w:color w:val="auto"/>
        </w:rPr>
        <w:t>For small and microbusiness when it has more than 30 days in arrears.</w:t>
      </w:r>
    </w:p>
    <w:p>
      <w:pPr>
        <w:ind w:left="875" w:hanging="227"/>
        <w:spacing w:after="0" w:line="238" w:lineRule="auto"/>
        <w:tabs>
          <w:tab w:leader="none" w:pos="875" w:val="left"/>
        </w:tabs>
        <w:numPr>
          <w:ilvl w:val="2"/>
          <w:numId w:val="177"/>
        </w:numPr>
        <w:rPr>
          <w:rFonts w:ascii="Arial" w:cs="Arial" w:eastAsia="Arial" w:hAnsi="Arial"/>
          <w:sz w:val="17"/>
          <w:szCs w:val="17"/>
          <w:color w:val="auto"/>
        </w:rPr>
      </w:pPr>
      <w:r>
        <w:rPr>
          <w:rFonts w:ascii="Arial" w:cs="Arial" w:eastAsia="Arial" w:hAnsi="Arial"/>
          <w:sz w:val="17"/>
          <w:szCs w:val="17"/>
          <w:color w:val="auto"/>
        </w:rPr>
        <w:t>For overdrafts when it has more than 30 days in arrears.</w:t>
      </w:r>
    </w:p>
    <w:p>
      <w:pPr>
        <w:ind w:left="875" w:right="260" w:hanging="227"/>
        <w:spacing w:after="0" w:line="254" w:lineRule="auto"/>
        <w:tabs>
          <w:tab w:leader="none" w:pos="875" w:val="left"/>
        </w:tabs>
        <w:numPr>
          <w:ilvl w:val="2"/>
          <w:numId w:val="177"/>
        </w:numPr>
        <w:rPr>
          <w:rFonts w:ascii="Arial" w:cs="Arial" w:eastAsia="Arial" w:hAnsi="Arial"/>
          <w:sz w:val="17"/>
          <w:szCs w:val="17"/>
          <w:color w:val="auto"/>
        </w:rPr>
      </w:pPr>
      <w:r>
        <w:rPr>
          <w:rFonts w:ascii="Arial" w:cs="Arial" w:eastAsia="Arial" w:hAnsi="Arial"/>
          <w:sz w:val="17"/>
          <w:szCs w:val="17"/>
          <w:color w:val="auto"/>
        </w:rPr>
        <w:t>For consumer, mortgage and leasing operations, installments are internally classified as past due when they are between 30 and 90 days in arrears; after 90 days, the pending loan balance is considered past due.</w:t>
      </w:r>
    </w:p>
    <w:p>
      <w:pPr>
        <w:spacing w:after="0" w:line="169" w:lineRule="exact"/>
        <w:rPr>
          <w:sz w:val="20"/>
          <w:szCs w:val="20"/>
          <w:color w:val="auto"/>
        </w:rPr>
      </w:pPr>
    </w:p>
    <w:p>
      <w:pPr>
        <w:ind w:left="615" w:hanging="304"/>
        <w:spacing w:after="0"/>
        <w:tabs>
          <w:tab w:leader="none" w:pos="61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Mibanco Colombia internally classifies a loan as past due:</w:t>
      </w:r>
    </w:p>
    <w:p>
      <w:pPr>
        <w:spacing w:after="0" w:line="191" w:lineRule="exact"/>
        <w:rPr>
          <w:rFonts w:ascii="Arial" w:cs="Arial" w:eastAsia="Arial" w:hAnsi="Arial"/>
          <w:sz w:val="17"/>
          <w:szCs w:val="17"/>
          <w:color w:val="auto"/>
        </w:rPr>
      </w:pPr>
    </w:p>
    <w:p>
      <w:pPr>
        <w:ind w:left="875" w:hanging="227"/>
        <w:spacing w:after="0"/>
        <w:tabs>
          <w:tab w:leader="none" w:pos="87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For commercial loans when it has more than 90 days in arrears.</w:t>
      </w:r>
    </w:p>
    <w:p>
      <w:pPr>
        <w:ind w:left="875" w:hanging="227"/>
        <w:spacing w:after="0" w:line="238" w:lineRule="auto"/>
        <w:tabs>
          <w:tab w:leader="none" w:pos="87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For microbusiness loans when it has more than 60 days in arrears.</w:t>
      </w:r>
    </w:p>
    <w:p>
      <w:pPr>
        <w:ind w:left="875" w:hanging="227"/>
        <w:spacing w:after="0" w:line="238" w:lineRule="auto"/>
        <w:tabs>
          <w:tab w:leader="none" w:pos="87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For consumer loans when it has more than 60 days in arrears.</w:t>
      </w:r>
    </w:p>
    <w:p>
      <w:pPr>
        <w:ind w:left="875" w:hanging="227"/>
        <w:spacing w:after="0"/>
        <w:tabs>
          <w:tab w:leader="none" w:pos="87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For mortgage loans when it has more than 30 days in arrears.</w:t>
      </w:r>
    </w:p>
    <w:p>
      <w:pPr>
        <w:spacing w:after="0" w:line="361" w:lineRule="exact"/>
        <w:rPr>
          <w:rFonts w:ascii="Arial" w:cs="Arial" w:eastAsia="Arial" w:hAnsi="Arial"/>
          <w:sz w:val="17"/>
          <w:szCs w:val="17"/>
          <w:color w:val="auto"/>
        </w:rPr>
      </w:pPr>
    </w:p>
    <w:p>
      <w:pPr>
        <w:ind w:left="4835" w:hanging="107"/>
        <w:spacing w:after="0"/>
        <w:tabs>
          <w:tab w:leader="none" w:pos="4835" w:val="left"/>
        </w:tabs>
        <w:numPr>
          <w:ilvl w:val="2"/>
          <w:numId w:val="178"/>
        </w:numPr>
        <w:rPr>
          <w:rFonts w:ascii="Arial" w:cs="Arial" w:eastAsia="Arial" w:hAnsi="Arial"/>
          <w:sz w:val="17"/>
          <w:szCs w:val="17"/>
          <w:color w:val="auto"/>
        </w:rPr>
      </w:pPr>
      <w:r>
        <w:rPr>
          <w:rFonts w:ascii="Arial" w:cs="Arial" w:eastAsia="Arial" w:hAnsi="Arial"/>
          <w:sz w:val="17"/>
          <w:szCs w:val="17"/>
          <w:color w:val="auto"/>
        </w:rPr>
        <w:t>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713803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333" w:right="339" w:bottom="1440" w:gutter="0" w:footer="0" w:header="0"/>
        </w:sectPr>
      </w:pPr>
    </w:p>
    <w:bookmarkStart w:id="149" w:name="page150"/>
    <w:bookmarkEnd w:id="149"/>
    <w:p>
      <w:pPr>
        <w:ind w:left="380" w:hanging="227"/>
        <w:spacing w:after="0"/>
        <w:tabs>
          <w:tab w:leader="none" w:pos="3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ASB Bank Corp. internally classifies a loan as past due when it has 1 or more days in arrears.</w:t>
      </w:r>
    </w:p>
    <w:p>
      <w:pPr>
        <w:spacing w:after="0" w:line="193" w:lineRule="exact"/>
        <w:rPr>
          <w:rFonts w:ascii="Arial" w:cs="Arial" w:eastAsia="Arial" w:hAnsi="Arial"/>
          <w:sz w:val="17"/>
          <w:szCs w:val="17"/>
          <w:color w:val="auto"/>
        </w:rPr>
      </w:pPr>
    </w:p>
    <w:p>
      <w:pPr>
        <w:ind w:left="160" w:right="1580" w:hanging="7"/>
        <w:spacing w:after="0" w:line="477" w:lineRule="auto"/>
        <w:tabs>
          <w:tab w:leader="none" w:pos="38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Banco de Crédito de Bolivia internally classifies a loan as past due when it has 30 or more days in arrears. Estimate for the expected credit loss -</w:t>
      </w:r>
    </w:p>
    <w:p>
      <w:pPr>
        <w:ind w:left="160" w:right="100"/>
        <w:spacing w:after="0" w:line="246" w:lineRule="auto"/>
        <w:rPr>
          <w:sz w:val="20"/>
          <w:szCs w:val="20"/>
          <w:color w:val="auto"/>
        </w:rPr>
      </w:pPr>
      <w:r>
        <w:rPr>
          <w:rFonts w:ascii="Arial" w:cs="Arial" w:eastAsia="Arial" w:hAnsi="Arial"/>
          <w:sz w:val="17"/>
          <w:szCs w:val="17"/>
          <w:color w:val="auto"/>
        </w:rPr>
        <w:t>The measurement of the expected credit loss is based on the product of the following risk parameters: (i) probability of default (PD), (ii) loss given default (LGD), and (iii) exposure at default (EAD); discounted at the reporting date using the effective interest rate. The definition of the parameters is presented below:</w:t>
      </w:r>
    </w:p>
    <w:p>
      <w:pPr>
        <w:spacing w:after="0" w:line="176" w:lineRule="exact"/>
        <w:rPr>
          <w:sz w:val="20"/>
          <w:szCs w:val="20"/>
          <w:color w:val="auto"/>
        </w:rPr>
      </w:pPr>
    </w:p>
    <w:p>
      <w:pPr>
        <w:ind w:left="380" w:right="220" w:hanging="227"/>
        <w:spacing w:after="0" w:line="243" w:lineRule="auto"/>
        <w:tabs>
          <w:tab w:leader="none" w:pos="3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Probabilidad de incumplimiento (PD): It is a credit rating measure that is given internally to a client with the objective of estimating its probability of default within a specific time horizon. The process of obtaining the PD is carried out considering three main components: (i) the risk observed at the portfolio level, (ii) the macroeconomic perspectives of the main countries where Credicorp operates and (iii) the individual risk of each credit, which It is measured through rating and scoring tools.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Group considers that a financial instrument is in default if it meets the following conditions, according to the type of asset:</w:t>
      </w:r>
    </w:p>
    <w:p>
      <w:pPr>
        <w:spacing w:after="0" w:line="193" w:lineRule="exact"/>
        <w:rPr>
          <w:sz w:val="20"/>
          <w:szCs w:val="20"/>
          <w:color w:val="auto"/>
        </w:rPr>
      </w:pPr>
    </w:p>
    <w:p>
      <w:pPr>
        <w:ind w:left="680" w:right="180" w:hanging="242"/>
        <w:spacing w:after="0" w:line="254" w:lineRule="auto"/>
        <w:tabs>
          <w:tab w:leader="none" w:pos="68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Consumer products, credit card and SME: if the client, at some certain point, presents arrears equal to or greater than 60 days and/or has operations that are refinanced, restructured, in pre-judicial, judicial proceedings or written off.</w:t>
      </w:r>
    </w:p>
    <w:p>
      <w:pPr>
        <w:spacing w:after="0" w:line="169" w:lineRule="exact"/>
        <w:rPr>
          <w:rFonts w:ascii="Arial" w:cs="Arial" w:eastAsia="Arial" w:hAnsi="Arial"/>
          <w:sz w:val="17"/>
          <w:szCs w:val="17"/>
          <w:color w:val="auto"/>
        </w:rPr>
      </w:pPr>
    </w:p>
    <w:p>
      <w:pPr>
        <w:ind w:left="680" w:right="540" w:hanging="242"/>
        <w:spacing w:after="0" w:line="254" w:lineRule="auto"/>
        <w:tabs>
          <w:tab w:leader="none" w:pos="68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Mortgage products: if the client, at some certain point, presents arrears equal to or greater than 120 days and/or has operations that are refinanced, restructured, in pre-judicial, judicial proceedings or written off.</w:t>
      </w:r>
    </w:p>
    <w:p>
      <w:pPr>
        <w:spacing w:after="0" w:line="169" w:lineRule="exact"/>
        <w:rPr>
          <w:rFonts w:ascii="Arial" w:cs="Arial" w:eastAsia="Arial" w:hAnsi="Arial"/>
          <w:sz w:val="17"/>
          <w:szCs w:val="17"/>
          <w:color w:val="auto"/>
        </w:rPr>
      </w:pPr>
    </w:p>
    <w:p>
      <w:pPr>
        <w:ind w:left="680" w:right="120" w:hanging="242"/>
        <w:spacing w:after="0" w:line="241" w:lineRule="auto"/>
        <w:tabs>
          <w:tab w:leader="none" w:pos="68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Commercial products: if the client, at some certain point, is in the Collections portfolio, or has a risk classification of Deficient, Doubtful or Loss, or has operations that are refinanced, in pre-judicial, judicial proceedings or written off. Also, a client can be considered as default if it shows signs of significant qualitative impairment.It should be noted that, for commercial debtors with the highest debt that are classified in default, Risk Management performs an individual review to determine the expected loss in each case, in which it considers: (i) knowledge of the specific situation of the client, (ii) the coverage of real guarantees, (iii) the financial information available, (iv) the conditions of the sector in which the company operates, (v) among others.</w:t>
      </w:r>
    </w:p>
    <w:p>
      <w:pPr>
        <w:spacing w:after="0" w:line="180" w:lineRule="exact"/>
        <w:rPr>
          <w:rFonts w:ascii="Arial" w:cs="Arial" w:eastAsia="Arial" w:hAnsi="Arial"/>
          <w:sz w:val="17"/>
          <w:szCs w:val="17"/>
          <w:color w:val="auto"/>
        </w:rPr>
      </w:pPr>
    </w:p>
    <w:p>
      <w:pPr>
        <w:ind w:left="680" w:hanging="242"/>
        <w:spacing w:after="0" w:line="243" w:lineRule="auto"/>
        <w:tabs>
          <w:tab w:leader="none" w:pos="68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Investments: if the instrument has a default rating according to external rating agencies such as Fitch, Standard &amp; Poor’s or Moody's, or if it has an indicator of arrears equal to or greater than 90 days. In addition, an issuer can be considered as default if it shows signs of significant qualitative impairment or if it is in default according to the definition for Commercial products. When an issuer is classified as default, all its instruments are also classified as Default, that is, in stage 3.</w:t>
      </w:r>
    </w:p>
    <w:p>
      <w:pPr>
        <w:spacing w:after="0" w:line="179" w:lineRule="exact"/>
        <w:rPr>
          <w:rFonts w:ascii="Arial" w:cs="Arial" w:eastAsia="Arial" w:hAnsi="Arial"/>
          <w:sz w:val="17"/>
          <w:szCs w:val="17"/>
          <w:color w:val="auto"/>
        </w:rPr>
      </w:pPr>
    </w:p>
    <w:p>
      <w:pPr>
        <w:ind w:left="380" w:right="160" w:hanging="227"/>
        <w:spacing w:after="0" w:line="254" w:lineRule="auto"/>
        <w:tabs>
          <w:tab w:leader="none" w:pos="3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Loss given default (LGD): this is a measurement which estimates the severity of the loss that would be incurred at the time of the default. It has two approaches in the estimate of the severity of the loss, according to the stage of the client:</w:t>
      </w:r>
    </w:p>
    <w:p>
      <w:pPr>
        <w:spacing w:after="0" w:line="169" w:lineRule="exact"/>
        <w:rPr>
          <w:rFonts w:ascii="Arial" w:cs="Arial" w:eastAsia="Arial" w:hAnsi="Arial"/>
          <w:sz w:val="17"/>
          <w:szCs w:val="17"/>
          <w:color w:val="auto"/>
        </w:rPr>
      </w:pPr>
    </w:p>
    <w:p>
      <w:pPr>
        <w:ind w:left="680" w:right="80" w:hanging="242"/>
        <w:spacing w:after="0" w:line="254" w:lineRule="auto"/>
        <w:tabs>
          <w:tab w:leader="none" w:pos="68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LGD workout: this is the real loss of the clients that arrived at the stage of default. The recoveries and costs of each one of the operations are used to calculate this parameter (includes open and closed recovery processes).</w:t>
      </w:r>
    </w:p>
    <w:p>
      <w:pPr>
        <w:spacing w:after="0" w:line="337" w:lineRule="exact"/>
        <w:rPr>
          <w:rFonts w:ascii="Arial" w:cs="Arial" w:eastAsia="Arial" w:hAnsi="Arial"/>
          <w:sz w:val="17"/>
          <w:szCs w:val="17"/>
          <w:color w:val="auto"/>
        </w:rPr>
      </w:pPr>
    </w:p>
    <w:p>
      <w:pPr>
        <w:ind w:left="4340" w:hanging="107"/>
        <w:spacing w:after="0"/>
        <w:tabs>
          <w:tab w:leader="none" w:pos="4340" w:val="left"/>
        </w:tabs>
        <w:numPr>
          <w:ilvl w:val="2"/>
          <w:numId w:val="181"/>
        </w:numPr>
        <w:rPr>
          <w:rFonts w:ascii="Arial" w:cs="Arial" w:eastAsia="Arial" w:hAnsi="Arial"/>
          <w:sz w:val="17"/>
          <w:szCs w:val="17"/>
          <w:color w:val="auto"/>
        </w:rPr>
      </w:pPr>
      <w:r>
        <w:rPr>
          <w:rFonts w:ascii="Arial" w:cs="Arial" w:eastAsia="Arial" w:hAnsi="Arial"/>
          <w:sz w:val="17"/>
          <w:szCs w:val="17"/>
          <w:color w:val="auto"/>
        </w:rPr>
        <w:t>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40640</wp:posOffset>
            </wp:positionV>
            <wp:extent cx="713803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080"/>
          </w:cols>
          <w:pgMar w:left="1440" w:top="333" w:right="379" w:bottom="1440" w:gutter="0" w:footer="0" w:header="0"/>
        </w:sectPr>
      </w:pPr>
    </w:p>
    <w:bookmarkStart w:id="150" w:name="page151"/>
    <w:bookmarkEnd w:id="150"/>
    <w:p>
      <w:pPr>
        <w:ind w:left="864" w:right="120" w:hanging="242"/>
        <w:spacing w:after="0" w:line="254" w:lineRule="auto"/>
        <w:tabs>
          <w:tab w:leader="none" w:pos="864" w:val="left"/>
        </w:tabs>
        <w:numPr>
          <w:ilvl w:val="1"/>
          <w:numId w:val="182"/>
        </w:numPr>
        <w:rPr>
          <w:rFonts w:ascii="Arial" w:cs="Arial" w:eastAsia="Arial" w:hAnsi="Arial"/>
          <w:sz w:val="17"/>
          <w:szCs w:val="17"/>
          <w:color w:val="auto"/>
        </w:rPr>
      </w:pPr>
      <w:r>
        <w:rPr>
          <w:rFonts w:ascii="Arial" w:cs="Arial" w:eastAsia="Arial" w:hAnsi="Arial"/>
          <w:sz w:val="17"/>
          <w:szCs w:val="17"/>
          <w:color w:val="auto"/>
        </w:rPr>
        <w:t>LGD ELBE (expected loss best estimate): this is the loss of the contracts in a default situation based on the time in arrears of the operation (the longer the operation is in default, the greater will be the loss).</w:t>
      </w:r>
    </w:p>
    <w:p>
      <w:pPr>
        <w:spacing w:after="0" w:line="169" w:lineRule="exact"/>
        <w:rPr>
          <w:rFonts w:ascii="Arial" w:cs="Arial" w:eastAsia="Arial" w:hAnsi="Arial"/>
          <w:sz w:val="17"/>
          <w:szCs w:val="17"/>
          <w:color w:val="auto"/>
        </w:rPr>
      </w:pPr>
    </w:p>
    <w:p>
      <w:pPr>
        <w:ind w:left="564" w:right="180" w:hanging="227"/>
        <w:spacing w:after="0" w:line="254" w:lineRule="auto"/>
        <w:tabs>
          <w:tab w:leader="none" w:pos="56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Exposure at default (EAD): this is a measurement which estimates the exposure at the time of the client’s default, considering changes in future exposure, for example, in the case of prepayments and/or greater utilization of unused credit lines.</w:t>
      </w:r>
    </w:p>
    <w:p>
      <w:pPr>
        <w:spacing w:after="0" w:line="169" w:lineRule="exact"/>
        <w:rPr>
          <w:sz w:val="20"/>
          <w:szCs w:val="20"/>
          <w:color w:val="auto"/>
        </w:rPr>
      </w:pPr>
    </w:p>
    <w:p>
      <w:pPr>
        <w:ind w:left="4" w:right="60"/>
        <w:spacing w:after="0" w:line="246" w:lineRule="auto"/>
        <w:rPr>
          <w:sz w:val="20"/>
          <w:szCs w:val="20"/>
          <w:color w:val="auto"/>
        </w:rPr>
      </w:pPr>
      <w:r>
        <w:rPr>
          <w:rFonts w:ascii="Arial" w:cs="Arial" w:eastAsia="Arial" w:hAnsi="Arial"/>
          <w:sz w:val="17"/>
          <w:szCs w:val="17"/>
          <w:color w:val="auto"/>
        </w:rPr>
        <w:t>The estimate of the risk parameters considers information regarding the actual conditions, as well as the projections of future macroeconomic events and conditions in three scenarios (base, optimistic and pessimistic), which are weighted to obtain the expected credit loss.</w:t>
      </w:r>
    </w:p>
    <w:p>
      <w:pPr>
        <w:spacing w:after="0" w:line="176" w:lineRule="exact"/>
        <w:rPr>
          <w:sz w:val="20"/>
          <w:szCs w:val="20"/>
          <w:color w:val="auto"/>
        </w:rPr>
      </w:pPr>
    </w:p>
    <w:p>
      <w:pPr>
        <w:ind w:left="4"/>
        <w:spacing w:after="0" w:line="246" w:lineRule="auto"/>
        <w:rPr>
          <w:sz w:val="20"/>
          <w:szCs w:val="20"/>
          <w:color w:val="auto"/>
        </w:rPr>
      </w:pPr>
      <w:r>
        <w:rPr>
          <w:rFonts w:ascii="Arial" w:cs="Arial" w:eastAsia="Arial" w:hAnsi="Arial"/>
          <w:sz w:val="17"/>
          <w:szCs w:val="17"/>
          <w:color w:val="auto"/>
        </w:rPr>
        <w:t>The fundamental difference between the expected credit loss of a loan allocated in stage 1 and stage 2 is the PD’s time horizon. The estimates in stage 1 use a PD with a maximum time horizon of 12 months, while those in stage 2 use a PD measured for the remaining lifetime of the instrument. The estimates in stage 3 are carried out based on an LGD “best estimate”.</w:t>
      </w:r>
    </w:p>
    <w:p>
      <w:pPr>
        <w:spacing w:after="0" w:line="176" w:lineRule="exact"/>
        <w:rPr>
          <w:sz w:val="20"/>
          <w:szCs w:val="20"/>
          <w:color w:val="auto"/>
        </w:rPr>
      </w:pPr>
    </w:p>
    <w:p>
      <w:pPr>
        <w:ind w:left="4" w:right="120"/>
        <w:spacing w:after="0" w:line="254" w:lineRule="auto"/>
        <w:rPr>
          <w:sz w:val="20"/>
          <w:szCs w:val="20"/>
          <w:color w:val="auto"/>
        </w:rPr>
      </w:pPr>
      <w:r>
        <w:rPr>
          <w:rFonts w:ascii="Arial" w:cs="Arial" w:eastAsia="Arial" w:hAnsi="Arial"/>
          <w:sz w:val="17"/>
          <w:szCs w:val="17"/>
          <w:color w:val="auto"/>
        </w:rPr>
        <w:t>For those portfolios that are not material and/or do not have specific credit scoring models, the option was to extrapolate the expected credit loss ratio of portfolios with comparable characteristics.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main methodological calibrations made in the internal credit risk models during 2022 were:</w:t>
      </w:r>
    </w:p>
    <w:p>
      <w:pPr>
        <w:spacing w:after="0" w:line="193" w:lineRule="exact"/>
        <w:rPr>
          <w:sz w:val="20"/>
          <w:szCs w:val="20"/>
          <w:color w:val="auto"/>
        </w:rPr>
      </w:pPr>
    </w:p>
    <w:p>
      <w:pPr>
        <w:ind w:left="364" w:right="440" w:hanging="364"/>
        <w:spacing w:after="0" w:line="254" w:lineRule="auto"/>
        <w:tabs>
          <w:tab w:leader="none" w:pos="36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PD models: in accordance with our internal governance scheme, throughout 2022 we still monitor the performance of the PD models and implement the necessary calibrations to maintain a proper measurement of the credit risk of our loan portfolio.</w:t>
      </w:r>
    </w:p>
    <w:p>
      <w:pPr>
        <w:spacing w:after="0" w:line="169" w:lineRule="exact"/>
        <w:rPr>
          <w:rFonts w:ascii="Arial" w:cs="Arial" w:eastAsia="Arial" w:hAnsi="Arial"/>
          <w:sz w:val="17"/>
          <w:szCs w:val="17"/>
          <w:color w:val="auto"/>
        </w:rPr>
      </w:pPr>
    </w:p>
    <w:p>
      <w:pPr>
        <w:ind w:left="364" w:right="280" w:hanging="364"/>
        <w:spacing w:after="0" w:line="243" w:lineRule="auto"/>
        <w:tabs>
          <w:tab w:leader="none" w:pos="36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LGD models: throughout 2022, we calibrated in a comprehensive manner the LGD models of the Retail and SME portfolios in order to maintain an adequate level of precision in estimating the loss at the time of default. This calibration included the use of data comprising the observed behavior during the pandemic, the updating of the methodological assumptions and certain revisions to improve the consideration of the guarantees of impaired mortgage loans in the measurement of the recovery rate.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Prospective information -</w:t>
      </w:r>
    </w:p>
    <w:p>
      <w:pPr>
        <w:spacing w:after="0" w:line="193" w:lineRule="exact"/>
        <w:rPr>
          <w:sz w:val="20"/>
          <w:szCs w:val="20"/>
          <w:color w:val="auto"/>
        </w:rPr>
      </w:pPr>
    </w:p>
    <w:p>
      <w:pPr>
        <w:jc w:val="both"/>
        <w:ind w:left="4"/>
        <w:spacing w:after="0" w:line="248" w:lineRule="auto"/>
        <w:rPr>
          <w:sz w:val="20"/>
          <w:szCs w:val="20"/>
          <w:color w:val="auto"/>
        </w:rPr>
      </w:pPr>
      <w:r>
        <w:rPr>
          <w:rFonts w:ascii="Arial" w:cs="Arial" w:eastAsia="Arial" w:hAnsi="Arial"/>
          <w:sz w:val="17"/>
          <w:szCs w:val="17"/>
          <w:color w:val="auto"/>
        </w:rPr>
        <w:t>The measurement of the expected credit loss for each stage and the evaluation of significant increase in credit risk consider information on previous events and current conditions, as well as reasonable projections based on future events and economic conditions.</w:t>
      </w:r>
    </w:p>
    <w:p>
      <w:pPr>
        <w:spacing w:after="0" w:line="373" w:lineRule="exact"/>
        <w:rPr>
          <w:sz w:val="20"/>
          <w:szCs w:val="20"/>
          <w:color w:val="auto"/>
        </w:rPr>
      </w:pPr>
    </w:p>
    <w:p>
      <w:pPr>
        <w:jc w:val="both"/>
        <w:ind w:left="4"/>
        <w:spacing w:after="0" w:line="242" w:lineRule="auto"/>
        <w:rPr>
          <w:sz w:val="20"/>
          <w:szCs w:val="20"/>
          <w:color w:val="auto"/>
        </w:rPr>
      </w:pPr>
      <w:r>
        <w:rPr>
          <w:rFonts w:ascii="Arial" w:cs="Arial" w:eastAsia="Arial" w:hAnsi="Arial"/>
          <w:sz w:val="17"/>
          <w:szCs w:val="17"/>
          <w:color w:val="auto"/>
        </w:rPr>
        <w:t>For the estimation of the risk parameters (PD, LGD, EAD), used in the calculation of the expected credit loss in Phase 1 and Phase 2, the significance of the macroeconomic variables (or their variations) that have greater influence in each portfolio. which give a better prospective and systemic vision to the estimation, based on econometric techniques. Each macroeconomic scenario used in the calculation of the expected credit loss considers projections of relevant macroeconomic variables, such as the gross domestic product (GDP), terms of trade, inflation, among others, for a period of 3 years and a long-term projection.</w:t>
      </w:r>
    </w:p>
    <w:p>
      <w:pPr>
        <w:spacing w:after="0" w:line="180" w:lineRule="exact"/>
        <w:rPr>
          <w:sz w:val="20"/>
          <w:szCs w:val="20"/>
          <w:color w:val="auto"/>
        </w:rPr>
      </w:pPr>
    </w:p>
    <w:p>
      <w:pPr>
        <w:jc w:val="both"/>
        <w:ind w:left="4"/>
        <w:spacing w:after="0" w:line="242" w:lineRule="auto"/>
        <w:rPr>
          <w:sz w:val="20"/>
          <w:szCs w:val="20"/>
          <w:color w:val="auto"/>
        </w:rPr>
      </w:pPr>
      <w:r>
        <w:rPr>
          <w:rFonts w:ascii="Arial" w:cs="Arial" w:eastAsia="Arial" w:hAnsi="Arial"/>
          <w:sz w:val="17"/>
          <w:szCs w:val="17"/>
          <w:color w:val="auto"/>
        </w:rPr>
        <w:t>The expected credit loss is a weighted estimate that considers three future macroeconomic scenarios (base, optimistic, pessimistic). These scenarios, as well as the probability of occurrence of each one, are projections provided by the internal team of Economic Studies and approved by Senior Management; these projections are made for the main countries where Credicorp operates. The design of the scenarios is reviewed quarterly. All considered scenarios are applied to portfolios subject to expected credit loss with the same probabilities.</w:t>
      </w:r>
    </w:p>
    <w:p>
      <w:pPr>
        <w:spacing w:after="0" w:line="348" w:lineRule="exact"/>
        <w:rPr>
          <w:sz w:val="20"/>
          <w:szCs w:val="20"/>
          <w:color w:val="auto"/>
        </w:rPr>
      </w:pPr>
    </w:p>
    <w:p>
      <w:pPr>
        <w:ind w:left="4424"/>
        <w:spacing w:after="0"/>
        <w:rPr>
          <w:sz w:val="20"/>
          <w:szCs w:val="20"/>
          <w:color w:val="auto"/>
        </w:rPr>
      </w:pPr>
      <w:r>
        <w:rPr>
          <w:rFonts w:ascii="Arial" w:cs="Arial" w:eastAsia="Arial" w:hAnsi="Arial"/>
          <w:sz w:val="17"/>
          <w:szCs w:val="17"/>
          <w:color w:val="auto"/>
        </w:rPr>
        <w:t>- 146 -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40640</wp:posOffset>
            </wp:positionV>
            <wp:extent cx="713803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333" w:right="339" w:bottom="1440" w:gutter="0" w:footer="0" w:header="0"/>
        </w:sectPr>
      </w:pPr>
    </w:p>
    <w:bookmarkStart w:id="151" w:name="page152"/>
    <w:bookmarkEnd w:id="151"/>
    <w:p>
      <w:pPr>
        <w:ind w:left="4"/>
        <w:spacing w:after="0"/>
        <w:rPr>
          <w:sz w:val="20"/>
          <w:szCs w:val="20"/>
          <w:color w:val="auto"/>
        </w:rPr>
      </w:pPr>
      <w:r>
        <w:rPr>
          <w:rFonts w:ascii="Arial" w:cs="Arial" w:eastAsia="Arial" w:hAnsi="Arial"/>
          <w:sz w:val="17"/>
          <w:szCs w:val="17"/>
          <w:color w:val="auto"/>
        </w:rPr>
        <w:t>Changes from one stage to another:</w:t>
      </w:r>
    </w:p>
    <w:p>
      <w:pPr>
        <w:spacing w:after="0" w:line="193"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The classification of an instrument as stage 1 or stage 2 depends on the concept of "significant increase in credit risk" at the reporting date compared to the origin date. This classification is updated monthly. As the IFRS 9 states, this classification depends on the following criteria:</w:t>
      </w:r>
    </w:p>
    <w:p>
      <w:pPr>
        <w:spacing w:after="0" w:line="175" w:lineRule="exact"/>
        <w:rPr>
          <w:sz w:val="20"/>
          <w:szCs w:val="20"/>
          <w:color w:val="auto"/>
        </w:rPr>
      </w:pPr>
    </w:p>
    <w:p>
      <w:pPr>
        <w:ind w:left="364" w:hanging="364"/>
        <w:spacing w:after="0"/>
        <w:tabs>
          <w:tab w:leader="none" w:pos="36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 account is classified in stage 2 if it has more than 30 days in arrears.</w:t>
      </w:r>
    </w:p>
    <w:p>
      <w:pPr>
        <w:ind w:left="364" w:right="280" w:hanging="364"/>
        <w:spacing w:after="0" w:line="238" w:lineRule="auto"/>
        <w:tabs>
          <w:tab w:leader="none" w:pos="36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Additionally, significant risk increase thresholds were established based on absolute and relative thresholds that depend on the level of risk in which the instrument originated. The thresholds differ for each of the portfolios considered.</w:t>
      </w:r>
    </w:p>
    <w:p>
      <w:pPr>
        <w:ind w:left="364" w:right="240" w:hanging="364"/>
        <w:spacing w:after="0" w:line="254" w:lineRule="auto"/>
        <w:tabs>
          <w:tab w:leader="none" w:pos="36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Additional qualitative reviews are carried out based on the risk segmentation used in the management of Retail Banking and an individual review is carried out in Wholesale Banking.</w:t>
      </w:r>
    </w:p>
    <w:p>
      <w:pPr>
        <w:spacing w:after="0" w:line="169"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Additionally, all those accounts classified as default at the reporting date, according to the definition used by the Group, are considered as stage 3.</w:t>
      </w:r>
    </w:p>
    <w:p>
      <w:pPr>
        <w:spacing w:after="0" w:line="169" w:lineRule="exact"/>
        <w:rPr>
          <w:sz w:val="20"/>
          <w:szCs w:val="20"/>
          <w:color w:val="auto"/>
        </w:rPr>
      </w:pPr>
    </w:p>
    <w:p>
      <w:pPr>
        <w:jc w:val="both"/>
        <w:ind w:left="4"/>
        <w:spacing w:after="0" w:line="254" w:lineRule="auto"/>
        <w:rPr>
          <w:sz w:val="20"/>
          <w:szCs w:val="20"/>
          <w:color w:val="auto"/>
        </w:rPr>
      </w:pPr>
      <w:r>
        <w:rPr>
          <w:rFonts w:ascii="Arial" w:cs="Arial" w:eastAsia="Arial" w:hAnsi="Arial"/>
          <w:sz w:val="17"/>
          <w:szCs w:val="17"/>
          <w:color w:val="auto"/>
        </w:rPr>
        <w:t>Evaluations of significant increase in credit risk from initial recognition and credit impairment are carried out independently on each reporting date.</w:t>
      </w:r>
    </w:p>
    <w:p>
      <w:pPr>
        <w:spacing w:after="0" w:line="169" w:lineRule="exact"/>
        <w:rPr>
          <w:sz w:val="20"/>
          <w:szCs w:val="20"/>
          <w:color w:val="auto"/>
        </w:rPr>
      </w:pPr>
    </w:p>
    <w:p>
      <w:pPr>
        <w:jc w:val="both"/>
        <w:ind w:left="4"/>
        <w:spacing w:after="0" w:line="243" w:lineRule="auto"/>
        <w:rPr>
          <w:sz w:val="20"/>
          <w:szCs w:val="20"/>
          <w:color w:val="auto"/>
        </w:rPr>
      </w:pPr>
      <w:r>
        <w:rPr>
          <w:rFonts w:ascii="Arial" w:cs="Arial" w:eastAsia="Arial" w:hAnsi="Arial"/>
          <w:sz w:val="17"/>
          <w:szCs w:val="17"/>
          <w:color w:val="auto"/>
        </w:rPr>
        <w:t>Wholesale banking assets can be moved in both directions from one stage to another; in this regard, a financial asset that migrated to stage 2 will return to stage 1 if its credit risk did not increase significantly from its initial recognition until a subsequent reporting period. Likewise, an asset that is in stage 3 will return to stage 2 if the asset is no longer considered to be impaired (according to our definition of default) during a certain number of subsequent reporting periods.</w:t>
      </w:r>
    </w:p>
    <w:p>
      <w:pPr>
        <w:spacing w:after="0" w:line="180" w:lineRule="exact"/>
        <w:rPr>
          <w:sz w:val="20"/>
          <w:szCs w:val="20"/>
          <w:color w:val="auto"/>
        </w:rPr>
      </w:pPr>
    </w:p>
    <w:p>
      <w:pPr>
        <w:jc w:val="both"/>
        <w:ind w:left="4"/>
        <w:spacing w:after="0" w:line="243" w:lineRule="auto"/>
        <w:rPr>
          <w:sz w:val="20"/>
          <w:szCs w:val="20"/>
          <w:color w:val="auto"/>
        </w:rPr>
      </w:pPr>
      <w:r>
        <w:rPr>
          <w:rFonts w:ascii="Arial" w:cs="Arial" w:eastAsia="Arial" w:hAnsi="Arial"/>
          <w:sz w:val="17"/>
          <w:szCs w:val="17"/>
          <w:color w:val="auto"/>
        </w:rPr>
        <w:t>On the other hand, Retail Banking assets that migrated to Phase 2 will return to Phase 1 if their credit risk has not increased significantly since initial recognition during a certain number of subsequent reporting periods (cure period). In the case of assets housed in Phase 3, these will not return to Phase 2 except for refinanced loans, which will return to Phase 2 if good payment behavior is demonstrated during a certain number of subsequent reporting periods.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color w:val="auto"/>
        </w:rPr>
        <w:t>Expected life -</w:t>
      </w:r>
    </w:p>
    <w:p>
      <w:pPr>
        <w:spacing w:after="0" w:line="193" w:lineRule="exact"/>
        <w:rPr>
          <w:sz w:val="20"/>
          <w:szCs w:val="20"/>
          <w:color w:val="auto"/>
        </w:rPr>
      </w:pPr>
    </w:p>
    <w:p>
      <w:pPr>
        <w:jc w:val="both"/>
        <w:ind w:left="4"/>
        <w:spacing w:after="0" w:line="243" w:lineRule="auto"/>
        <w:rPr>
          <w:sz w:val="20"/>
          <w:szCs w:val="20"/>
          <w:color w:val="auto"/>
        </w:rPr>
      </w:pPr>
      <w:r>
        <w:rPr>
          <w:rFonts w:ascii="Arial" w:cs="Arial" w:eastAsia="Arial" w:hAnsi="Arial"/>
          <w:sz w:val="17"/>
          <w:szCs w:val="17"/>
          <w:color w:val="auto"/>
        </w:rPr>
        <w:t>For the instruments in stage 2 or 3, the allowance for loan losses will cover the expected credit loss during the expected time of the remaining lifetime of the instrument. For most instruments, the expected life is limited to the remaining contractual life, adjusted by expected anticipated payments. In the case of revolving products, a statistical analysis was carried out to determine what would be the expected life period.</w:t>
      </w:r>
    </w:p>
    <w:p>
      <w:pPr>
        <w:spacing w:after="0" w:line="348" w:lineRule="exact"/>
        <w:rPr>
          <w:sz w:val="20"/>
          <w:szCs w:val="20"/>
          <w:color w:val="auto"/>
        </w:rPr>
      </w:pPr>
    </w:p>
    <w:p>
      <w:pPr>
        <w:ind w:left="4424"/>
        <w:spacing w:after="0"/>
        <w:rPr>
          <w:sz w:val="20"/>
          <w:szCs w:val="20"/>
          <w:color w:val="auto"/>
        </w:rPr>
      </w:pPr>
      <w:r>
        <w:rPr>
          <w:rFonts w:ascii="Arial" w:cs="Arial" w:eastAsia="Arial" w:hAnsi="Arial"/>
          <w:sz w:val="17"/>
          <w:szCs w:val="17"/>
          <w:color w:val="auto"/>
        </w:rPr>
        <w:t>- 147 -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40640</wp:posOffset>
            </wp:positionV>
            <wp:extent cx="713803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333" w:right="339" w:bottom="1440" w:gutter="0" w:footer="0" w:header="0"/>
        </w:sectPr>
      </w:pPr>
    </w:p>
    <w:bookmarkStart w:id="152" w:name="page153"/>
    <w:bookmarkEnd w:id="152"/>
    <w:p>
      <w:pPr>
        <w:jc w:val="both"/>
        <w:spacing w:after="0" w:line="246" w:lineRule="auto"/>
        <w:rPr>
          <w:sz w:val="20"/>
          <w:szCs w:val="20"/>
          <w:color w:val="auto"/>
        </w:rPr>
      </w:pPr>
      <w:r>
        <w:rPr>
          <w:rFonts w:ascii="Arial" w:cs="Arial" w:eastAsia="Arial" w:hAnsi="Arial"/>
          <w:sz w:val="17"/>
          <w:szCs w:val="17"/>
          <w:color w:val="auto"/>
        </w:rPr>
        <w:t>The following is a summary of the direct credits classified into three important groups and their respective allowance for loan losses for each type of loan; it is important to note that impaired loans are loans in default that are in stage 3. Additionally, it should be noted that, in accordance with IFRS 7, the total balance of the loan is considered overdue when the debtor has failed to make a payment at its contractual maturity.</w:t>
      </w:r>
    </w:p>
    <w:p>
      <w:pPr>
        <w:spacing w:after="0" w:line="176" w:lineRule="exact"/>
        <w:rPr>
          <w:sz w:val="20"/>
          <w:szCs w:val="20"/>
          <w:color w:val="auto"/>
        </w:rPr>
      </w:pPr>
    </w:p>
    <w:p>
      <w:pPr>
        <w:ind w:left="320" w:hanging="316"/>
        <w:spacing w:after="0" w:line="238" w:lineRule="auto"/>
        <w:tabs>
          <w:tab w:leader="none" w:pos="3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Loans neither past due nor impaired, which comprise those direct loans which currently do not have characteristics of delay in payments and which are not in default.</w:t>
      </w:r>
    </w:p>
    <w:p>
      <w:pPr>
        <w:ind w:left="320" w:hanging="316"/>
        <w:spacing w:after="0" w:line="238" w:lineRule="auto"/>
        <w:tabs>
          <w:tab w:leader="none" w:pos="3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Past due but not impaired loans, which comprise all of the direct loans of customers who are not in default but have failed to make a payment at its contractual maturity, according to IFRS 7.</w:t>
      </w:r>
    </w:p>
    <w:p>
      <w:pPr>
        <w:ind w:left="320" w:hanging="316"/>
        <w:spacing w:after="0"/>
        <w:tabs>
          <w:tab w:leader="none" w:pos="3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Impaired loans, those direct loans considered to be in stage 3 or default, as detailed in Note 34.1(c).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60" w:type="dxa"/>
            <w:vAlign w:val="bottom"/>
            <w:vMerge w:val="restart"/>
          </w:tcPr>
          <w:p>
            <w:pPr>
              <w:spacing w:after="0"/>
              <w:rPr>
                <w:sz w:val="20"/>
                <w:szCs w:val="20"/>
                <w:color w:val="auto"/>
              </w:rPr>
            </w:pPr>
            <w:r>
              <w:rPr>
                <w:rFonts w:ascii="Arial" w:cs="Arial" w:eastAsia="Arial" w:hAnsi="Arial"/>
                <w:sz w:val="17"/>
                <w:szCs w:val="17"/>
                <w:b w:val="1"/>
                <w:bCs w:val="1"/>
                <w:color w:val="auto"/>
              </w:rPr>
              <w:t>Commercial loans</w:t>
            </w:r>
          </w:p>
        </w:tc>
        <w:tc>
          <w:tcPr>
            <w:tcW w:w="1180" w:type="dxa"/>
            <w:vAlign w:val="bottom"/>
            <w:gridSpan w:val="2"/>
          </w:tcPr>
          <w:p>
            <w:pPr>
              <w:ind w:left="16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3"/>
          </w:tcPr>
          <w:p>
            <w:pPr>
              <w:ind w:left="160"/>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rPr>
              <w:t>Stage 1</w:t>
            </w:r>
          </w:p>
        </w:tc>
        <w:tc>
          <w:tcPr>
            <w:tcW w:w="108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rPr>
              <w:t>Stage 2</w:t>
            </w:r>
          </w:p>
        </w:tc>
        <w:tc>
          <w:tcPr>
            <w:tcW w:w="108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rPr>
              <w:t>Stage 3</w:t>
            </w:r>
          </w:p>
        </w:tc>
        <w:tc>
          <w:tcPr>
            <w:tcW w:w="1020" w:type="dxa"/>
            <w:vAlign w:val="bottom"/>
            <w:tcBorders>
              <w:top w:val="single" w:sz="8" w:color="auto"/>
            </w:tcBorders>
          </w:tcPr>
          <w:p>
            <w:pPr>
              <w:jc w:val="right"/>
              <w:ind w:right="534"/>
              <w:spacing w:after="0" w:line="187" w:lineRule="exact"/>
              <w:rPr>
                <w:sz w:val="20"/>
                <w:szCs w:val="20"/>
                <w:color w:val="auto"/>
              </w:rPr>
            </w:pPr>
            <w:r>
              <w:rPr>
                <w:rFonts w:ascii="Arial" w:cs="Arial" w:eastAsia="Arial" w:hAnsi="Arial"/>
                <w:sz w:val="17"/>
                <w:szCs w:val="17"/>
                <w:b w:val="1"/>
                <w:bCs w:val="1"/>
                <w:color w:val="auto"/>
                <w:w w:val="93"/>
              </w:rPr>
              <w:t>Total</w:t>
            </w:r>
          </w:p>
        </w:tc>
        <w:tc>
          <w:tcPr>
            <w:tcW w:w="160" w:type="dxa"/>
            <w:vAlign w:val="bottom"/>
          </w:tcPr>
          <w:p>
            <w:pPr>
              <w:spacing w:after="0"/>
              <w:rPr>
                <w:sz w:val="16"/>
                <w:szCs w:val="16"/>
                <w:color w:val="auto"/>
              </w:rPr>
            </w:pPr>
          </w:p>
        </w:tc>
        <w:tc>
          <w:tcPr>
            <w:tcW w:w="1180" w:type="dxa"/>
            <w:vAlign w:val="bottom"/>
            <w:tcBorders>
              <w:top w:val="single" w:sz="8" w:color="auto"/>
            </w:tcBorders>
            <w:gridSpan w:val="3"/>
          </w:tcPr>
          <w:p>
            <w:pPr>
              <w:spacing w:after="0" w:line="187" w:lineRule="exact"/>
              <w:rPr>
                <w:sz w:val="20"/>
                <w:szCs w:val="20"/>
                <w:color w:val="auto"/>
              </w:rPr>
            </w:pPr>
            <w:r>
              <w:rPr>
                <w:rFonts w:ascii="Arial" w:cs="Arial" w:eastAsia="Arial" w:hAnsi="Arial"/>
                <w:sz w:val="17"/>
                <w:szCs w:val="17"/>
                <w:b w:val="1"/>
                <w:bCs w:val="1"/>
                <w:color w:val="auto"/>
              </w:rPr>
              <w:t>Stage 1</w:t>
            </w:r>
          </w:p>
        </w:tc>
        <w:tc>
          <w:tcPr>
            <w:tcW w:w="920" w:type="dxa"/>
            <w:vAlign w:val="bottom"/>
            <w:tcBorders>
              <w:top w:val="single" w:sz="8" w:color="auto"/>
            </w:tcBorders>
          </w:tcPr>
          <w:p>
            <w:pPr>
              <w:jc w:val="right"/>
              <w:ind w:right="214"/>
              <w:spacing w:after="0" w:line="187" w:lineRule="exact"/>
              <w:rPr>
                <w:sz w:val="20"/>
                <w:szCs w:val="20"/>
                <w:color w:val="auto"/>
              </w:rPr>
            </w:pPr>
            <w:r>
              <w:rPr>
                <w:rFonts w:ascii="Arial" w:cs="Arial" w:eastAsia="Arial" w:hAnsi="Arial"/>
                <w:sz w:val="17"/>
                <w:szCs w:val="17"/>
                <w:b w:val="1"/>
                <w:bCs w:val="1"/>
                <w:color w:val="auto"/>
                <w:w w:val="99"/>
              </w:rPr>
              <w:t>Stage 2</w:t>
            </w:r>
          </w:p>
        </w:tc>
        <w:tc>
          <w:tcPr>
            <w:tcW w:w="1080" w:type="dxa"/>
            <w:vAlign w:val="bottom"/>
            <w:tcBorders>
              <w:top w:val="single" w:sz="8" w:color="auto"/>
            </w:tcBorders>
            <w:gridSpan w:val="2"/>
          </w:tcPr>
          <w:p>
            <w:pPr>
              <w:jc w:val="right"/>
              <w:ind w:right="234"/>
              <w:spacing w:after="0" w:line="187" w:lineRule="exact"/>
              <w:rPr>
                <w:sz w:val="20"/>
                <w:szCs w:val="20"/>
                <w:color w:val="auto"/>
              </w:rPr>
            </w:pPr>
            <w:r>
              <w:rPr>
                <w:rFonts w:ascii="Arial" w:cs="Arial" w:eastAsia="Arial" w:hAnsi="Arial"/>
                <w:sz w:val="17"/>
                <w:szCs w:val="17"/>
                <w:b w:val="1"/>
                <w:bCs w:val="1"/>
                <w:color w:val="auto"/>
              </w:rPr>
              <w:t>Stage 3</w:t>
            </w:r>
          </w:p>
        </w:tc>
        <w:tc>
          <w:tcPr>
            <w:tcW w:w="1180" w:type="dxa"/>
            <w:vAlign w:val="bottom"/>
            <w:tcBorders>
              <w:top w:val="single" w:sz="8" w:color="auto"/>
            </w:tcBorders>
            <w:gridSpan w:val="2"/>
          </w:tcPr>
          <w:p>
            <w:pPr>
              <w:jc w:val="right"/>
              <w:ind w:right="554"/>
              <w:spacing w:after="0" w:line="187" w:lineRule="exact"/>
              <w:rPr>
                <w:sz w:val="20"/>
                <w:szCs w:val="20"/>
                <w:color w:val="auto"/>
              </w:rPr>
            </w:pPr>
            <w:r>
              <w:rPr>
                <w:rFonts w:ascii="Arial" w:cs="Arial" w:eastAsia="Arial" w:hAnsi="Arial"/>
                <w:sz w:val="17"/>
                <w:szCs w:val="17"/>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auto"/>
              </w:rPr>
              <w:t>Neither past due nor</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760" w:type="dxa"/>
            <w:vAlign w:val="bottom"/>
            <w:vMerge w:val="continue"/>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66,885,472</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6,848,298</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73,733,770</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69,831,342</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8,987,668</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78,819,010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auto"/>
              </w:rPr>
              <w:t>impaired</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17"/>
                <w:szCs w:val="17"/>
                <w:color w:val="auto"/>
              </w:rPr>
              <w:t>Past due but not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804,155</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691,215</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1,495,370</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542,210</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739,183</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1,281,393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auto"/>
              </w:rPr>
              <w:t>impaired</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20"/>
                <w:szCs w:val="20"/>
                <w:color w:val="auto"/>
              </w:rPr>
            </w:pPr>
            <w:r>
              <w:rPr>
                <w:rFonts w:ascii="Arial" w:cs="Arial" w:eastAsia="Arial" w:hAnsi="Arial"/>
                <w:sz w:val="17"/>
                <w:szCs w:val="17"/>
                <w:color w:val="auto"/>
              </w:rPr>
              <w:t>Impaired</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6,439,760</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6,439,760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6,906,547</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6,906,547</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line="187" w:lineRule="exact"/>
              <w:rPr>
                <w:sz w:val="20"/>
                <w:szCs w:val="20"/>
                <w:color w:val="auto"/>
              </w:rPr>
            </w:pPr>
            <w:r>
              <w:rPr>
                <w:rFonts w:ascii="Arial" w:cs="Arial" w:eastAsia="Arial" w:hAnsi="Arial"/>
                <w:sz w:val="17"/>
                <w:szCs w:val="17"/>
                <w:b w:val="1"/>
                <w:bCs w:val="1"/>
                <w:color w:val="auto"/>
              </w:rPr>
              <w:t>Gross</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67,689,627</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7,539,513</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6,439,760</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81,668,900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70,373,552</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9,726,851</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6,906,547</w:t>
            </w:r>
          </w:p>
        </w:tc>
        <w:tc>
          <w:tcPr>
            <w:tcW w:w="14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87,006,950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Arial" w:cs="Arial" w:eastAsia="Arial" w:hAnsi="Arial"/>
                <w:sz w:val="17"/>
                <w:szCs w:val="17"/>
                <w:color w:val="auto"/>
              </w:rPr>
              <w:t>Less: Provision for</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503,651</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489,381</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2,260,569</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3,253,601</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554,018</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636,875</w:t>
            </w: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auto"/>
              </w:rPr>
              <w:t>2,206,979</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3,397,872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760" w:type="dxa"/>
            <w:vAlign w:val="bottom"/>
            <w:vMerge w:val="restart"/>
          </w:tcPr>
          <w:p>
            <w:pPr>
              <w:spacing w:after="0"/>
              <w:rPr>
                <w:sz w:val="20"/>
                <w:szCs w:val="20"/>
                <w:color w:val="auto"/>
              </w:rPr>
            </w:pPr>
            <w:r>
              <w:rPr>
                <w:rFonts w:ascii="Arial" w:cs="Arial" w:eastAsia="Arial" w:hAnsi="Arial"/>
                <w:sz w:val="17"/>
                <w:szCs w:val="17"/>
                <w:color w:val="auto"/>
              </w:rPr>
              <w:t>loan losses</w:t>
            </w:r>
          </w:p>
        </w:tc>
        <w:tc>
          <w:tcPr>
            <w:tcW w:w="1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line="187" w:lineRule="exact"/>
              <w:rPr>
                <w:sz w:val="20"/>
                <w:szCs w:val="20"/>
                <w:color w:val="auto"/>
              </w:rPr>
            </w:pPr>
            <w:r>
              <w:rPr>
                <w:rFonts w:ascii="Arial" w:cs="Arial" w:eastAsia="Arial" w:hAnsi="Arial"/>
                <w:sz w:val="17"/>
                <w:szCs w:val="17"/>
                <w:b w:val="1"/>
                <w:bCs w:val="1"/>
                <w:color w:val="auto"/>
              </w:rPr>
              <w:t>Total, net</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67,185,976</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7,050,132</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4,179,191</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78,415,299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69,819,534</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9,089,976</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4,699,568</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83,609,078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1760" w:type="dxa"/>
            <w:vAlign w:val="bottom"/>
          </w:tcPr>
          <w:p>
            <w:pPr>
              <w:spacing w:after="0"/>
              <w:rPr>
                <w:sz w:val="20"/>
                <w:szCs w:val="20"/>
                <w:color w:val="auto"/>
              </w:rPr>
            </w:pPr>
            <w:r>
              <w:rPr>
                <w:rFonts w:ascii="Arial" w:cs="Arial" w:eastAsia="Arial" w:hAnsi="Arial"/>
                <w:sz w:val="17"/>
                <w:szCs w:val="17"/>
                <w:b w:val="1"/>
                <w:bCs w:val="1"/>
                <w:color w:val="auto"/>
              </w:rPr>
              <w:t>Residential mortgage</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60" w:type="dxa"/>
            <w:vAlign w:val="bottom"/>
          </w:tcPr>
          <w:p>
            <w:pPr>
              <w:spacing w:after="0"/>
              <w:rPr>
                <w:sz w:val="20"/>
                <w:szCs w:val="20"/>
                <w:color w:val="auto"/>
              </w:rPr>
            </w:pPr>
            <w:r>
              <w:rPr>
                <w:rFonts w:ascii="Arial" w:cs="Arial" w:eastAsia="Arial" w:hAnsi="Arial"/>
                <w:sz w:val="17"/>
                <w:szCs w:val="17"/>
                <w:b w:val="1"/>
                <w:bCs w:val="1"/>
                <w:color w:val="auto"/>
              </w:rPr>
              <w:t>loans</w:t>
            </w:r>
          </w:p>
        </w:tc>
        <w:tc>
          <w:tcPr>
            <w:tcW w:w="1340" w:type="dxa"/>
            <w:vAlign w:val="bottom"/>
            <w:gridSpan w:val="3"/>
          </w:tcPr>
          <w:p>
            <w:pPr>
              <w:ind w:left="160"/>
              <w:spacing w:after="0"/>
              <w:rPr>
                <w:sz w:val="20"/>
                <w:szCs w:val="20"/>
                <w:color w:val="auto"/>
              </w:rPr>
            </w:pPr>
            <w:r>
              <w:rPr>
                <w:rFonts w:ascii="Arial" w:cs="Arial" w:eastAsia="Arial" w:hAnsi="Arial"/>
                <w:sz w:val="17"/>
                <w:szCs w:val="17"/>
                <w:b w:val="1"/>
                <w:bCs w:val="1"/>
                <w:color w:val="auto"/>
              </w:rPr>
              <w:t>Stage 1</w:t>
            </w:r>
          </w:p>
        </w:tc>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Stage 2</w:t>
            </w:r>
          </w:p>
        </w:tc>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Stage 3</w:t>
            </w:r>
          </w:p>
        </w:tc>
        <w:tc>
          <w:tcPr>
            <w:tcW w:w="1020" w:type="dxa"/>
            <w:vAlign w:val="bottom"/>
          </w:tcPr>
          <w:p>
            <w:pPr>
              <w:jc w:val="right"/>
              <w:ind w:right="534"/>
              <w:spacing w:after="0"/>
              <w:rPr>
                <w:sz w:val="20"/>
                <w:szCs w:val="20"/>
                <w:color w:val="auto"/>
              </w:rPr>
            </w:pPr>
            <w:r>
              <w:rPr>
                <w:rFonts w:ascii="Arial" w:cs="Arial" w:eastAsia="Arial" w:hAnsi="Arial"/>
                <w:sz w:val="17"/>
                <w:szCs w:val="17"/>
                <w:b w:val="1"/>
                <w:bCs w:val="1"/>
                <w:color w:val="auto"/>
                <w:w w:val="93"/>
              </w:rPr>
              <w:t>Total</w:t>
            </w:r>
          </w:p>
        </w:tc>
        <w:tc>
          <w:tcPr>
            <w:tcW w:w="1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Stage 1</w:t>
            </w:r>
          </w:p>
        </w:tc>
        <w:tc>
          <w:tcPr>
            <w:tcW w:w="920" w:type="dxa"/>
            <w:vAlign w:val="bottom"/>
          </w:tcPr>
          <w:p>
            <w:pPr>
              <w:jc w:val="right"/>
              <w:ind w:right="214"/>
              <w:spacing w:after="0"/>
              <w:rPr>
                <w:sz w:val="20"/>
                <w:szCs w:val="20"/>
                <w:color w:val="auto"/>
              </w:rPr>
            </w:pPr>
            <w:r>
              <w:rPr>
                <w:rFonts w:ascii="Arial" w:cs="Arial" w:eastAsia="Arial" w:hAnsi="Arial"/>
                <w:sz w:val="17"/>
                <w:szCs w:val="17"/>
                <w:b w:val="1"/>
                <w:bCs w:val="1"/>
                <w:color w:val="auto"/>
                <w:w w:val="99"/>
              </w:rPr>
              <w:t>Stage 2</w:t>
            </w:r>
          </w:p>
        </w:tc>
        <w:tc>
          <w:tcPr>
            <w:tcW w:w="1080" w:type="dxa"/>
            <w:vAlign w:val="bottom"/>
            <w:gridSpan w:val="2"/>
          </w:tcPr>
          <w:p>
            <w:pPr>
              <w:jc w:val="right"/>
              <w:ind w:right="234"/>
              <w:spacing w:after="0"/>
              <w:rPr>
                <w:sz w:val="20"/>
                <w:szCs w:val="20"/>
                <w:color w:val="auto"/>
              </w:rPr>
            </w:pPr>
            <w:r>
              <w:rPr>
                <w:rFonts w:ascii="Arial" w:cs="Arial" w:eastAsia="Arial" w:hAnsi="Arial"/>
                <w:sz w:val="17"/>
                <w:szCs w:val="17"/>
                <w:b w:val="1"/>
                <w:bCs w:val="1"/>
                <w:color w:val="auto"/>
              </w:rPr>
              <w:t>Stage 3</w:t>
            </w:r>
          </w:p>
        </w:tc>
        <w:tc>
          <w:tcPr>
            <w:tcW w:w="1180" w:type="dxa"/>
            <w:vAlign w:val="bottom"/>
            <w:gridSpan w:val="2"/>
          </w:tcPr>
          <w:p>
            <w:pPr>
              <w:jc w:val="right"/>
              <w:ind w:right="554"/>
              <w:spacing w:after="0"/>
              <w:rPr>
                <w:sz w:val="20"/>
                <w:szCs w:val="20"/>
                <w:color w:val="auto"/>
              </w:rPr>
            </w:pPr>
            <w:r>
              <w:rPr>
                <w:rFonts w:ascii="Arial" w:cs="Arial" w:eastAsia="Arial" w:hAnsi="Arial"/>
                <w:sz w:val="17"/>
                <w:szCs w:val="17"/>
                <w:b w:val="1"/>
                <w:bCs w:val="1"/>
                <w:color w:val="auto"/>
              </w:rPr>
              <w:t>Total</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auto"/>
              </w:rPr>
              <w:t>Neither past due nor</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760" w:type="dxa"/>
            <w:vAlign w:val="bottom"/>
            <w:vMerge w:val="continue"/>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18,213,711</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2,747,557</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20,961,268</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18,446,261</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1,466,878</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19,913,139</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auto"/>
              </w:rPr>
              <w:t>impaired</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17"/>
                <w:szCs w:val="17"/>
                <w:color w:val="auto"/>
              </w:rPr>
              <w:t>Past due but not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426,722</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459,525</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886,247</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255,928</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291,247</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547,175</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auto"/>
              </w:rPr>
              <w:t>impaired</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20"/>
                <w:szCs w:val="20"/>
                <w:color w:val="auto"/>
              </w:rPr>
            </w:pPr>
            <w:r>
              <w:rPr>
                <w:rFonts w:ascii="Arial" w:cs="Arial" w:eastAsia="Arial" w:hAnsi="Arial"/>
                <w:sz w:val="17"/>
                <w:szCs w:val="17"/>
                <w:color w:val="auto"/>
              </w:rPr>
              <w:t>Impaired</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1,388,060</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1,388,060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1,371,146</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1,371,146</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line="187" w:lineRule="exact"/>
              <w:rPr>
                <w:sz w:val="20"/>
                <w:szCs w:val="20"/>
                <w:color w:val="auto"/>
              </w:rPr>
            </w:pPr>
            <w:r>
              <w:rPr>
                <w:rFonts w:ascii="Arial" w:cs="Arial" w:eastAsia="Arial" w:hAnsi="Arial"/>
                <w:sz w:val="17"/>
                <w:szCs w:val="17"/>
                <w:b w:val="1"/>
                <w:bCs w:val="1"/>
                <w:color w:val="auto"/>
              </w:rPr>
              <w:t>Gross</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18,640,433</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3,207,082</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1,388,060</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23,235,575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18,702,189</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1,758,125</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1,371,146</w:t>
            </w:r>
          </w:p>
        </w:tc>
        <w:tc>
          <w:tcPr>
            <w:tcW w:w="14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21,831,460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Arial" w:cs="Arial" w:eastAsia="Arial" w:hAnsi="Arial"/>
                <w:sz w:val="17"/>
                <w:szCs w:val="17"/>
                <w:color w:val="auto"/>
              </w:rPr>
              <w:t>Less: Provision for</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83,536</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126,834</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757,778</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968,148</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76,706</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97,388</w:t>
            </w: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auto"/>
              </w:rPr>
              <w:t>800,639</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974,733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760" w:type="dxa"/>
            <w:vAlign w:val="bottom"/>
            <w:vMerge w:val="restart"/>
          </w:tcPr>
          <w:p>
            <w:pPr>
              <w:spacing w:after="0"/>
              <w:rPr>
                <w:sz w:val="20"/>
                <w:szCs w:val="20"/>
                <w:color w:val="auto"/>
              </w:rPr>
            </w:pPr>
            <w:r>
              <w:rPr>
                <w:rFonts w:ascii="Arial" w:cs="Arial" w:eastAsia="Arial" w:hAnsi="Arial"/>
                <w:sz w:val="17"/>
                <w:szCs w:val="17"/>
                <w:color w:val="auto"/>
              </w:rPr>
              <w:t>loan losses</w:t>
            </w:r>
          </w:p>
        </w:tc>
        <w:tc>
          <w:tcPr>
            <w:tcW w:w="1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line="187" w:lineRule="exact"/>
              <w:rPr>
                <w:sz w:val="20"/>
                <w:szCs w:val="20"/>
                <w:color w:val="auto"/>
              </w:rPr>
            </w:pPr>
            <w:r>
              <w:rPr>
                <w:rFonts w:ascii="Arial" w:cs="Arial" w:eastAsia="Arial" w:hAnsi="Arial"/>
                <w:sz w:val="17"/>
                <w:szCs w:val="17"/>
                <w:b w:val="1"/>
                <w:bCs w:val="1"/>
                <w:color w:val="auto"/>
              </w:rPr>
              <w:t>Total, net</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18,556,897</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3,080,248</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630,282</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22,267,427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18,625,483</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1,660,737</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570,507</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20,856,727</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1760" w:type="dxa"/>
            <w:vAlign w:val="bottom"/>
          </w:tcPr>
          <w:p>
            <w:pPr>
              <w:spacing w:after="0"/>
              <w:rPr>
                <w:sz w:val="20"/>
                <w:szCs w:val="20"/>
                <w:color w:val="auto"/>
              </w:rPr>
            </w:pPr>
            <w:r>
              <w:rPr>
                <w:rFonts w:ascii="Arial" w:cs="Arial" w:eastAsia="Arial" w:hAnsi="Arial"/>
                <w:sz w:val="17"/>
                <w:szCs w:val="17"/>
                <w:b w:val="1"/>
                <w:bCs w:val="1"/>
                <w:color w:val="auto"/>
              </w:rPr>
              <w:t>Microbusiness loans</w:t>
            </w:r>
          </w:p>
        </w:tc>
        <w:tc>
          <w:tcPr>
            <w:tcW w:w="1340" w:type="dxa"/>
            <w:vAlign w:val="bottom"/>
            <w:gridSpan w:val="3"/>
          </w:tcPr>
          <w:p>
            <w:pPr>
              <w:ind w:left="160"/>
              <w:spacing w:after="0"/>
              <w:rPr>
                <w:sz w:val="20"/>
                <w:szCs w:val="20"/>
                <w:color w:val="auto"/>
              </w:rPr>
            </w:pPr>
            <w:r>
              <w:rPr>
                <w:rFonts w:ascii="Arial" w:cs="Arial" w:eastAsia="Arial" w:hAnsi="Arial"/>
                <w:sz w:val="17"/>
                <w:szCs w:val="17"/>
                <w:b w:val="1"/>
                <w:bCs w:val="1"/>
                <w:color w:val="auto"/>
              </w:rPr>
              <w:t>Stage 1</w:t>
            </w:r>
          </w:p>
        </w:tc>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Stage 2</w:t>
            </w:r>
          </w:p>
        </w:tc>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Stage 3</w:t>
            </w:r>
          </w:p>
        </w:tc>
        <w:tc>
          <w:tcPr>
            <w:tcW w:w="1020" w:type="dxa"/>
            <w:vAlign w:val="bottom"/>
          </w:tcPr>
          <w:p>
            <w:pPr>
              <w:jc w:val="right"/>
              <w:ind w:right="534"/>
              <w:spacing w:after="0"/>
              <w:rPr>
                <w:sz w:val="20"/>
                <w:szCs w:val="20"/>
                <w:color w:val="auto"/>
              </w:rPr>
            </w:pPr>
            <w:r>
              <w:rPr>
                <w:rFonts w:ascii="Arial" w:cs="Arial" w:eastAsia="Arial" w:hAnsi="Arial"/>
                <w:sz w:val="17"/>
                <w:szCs w:val="17"/>
                <w:b w:val="1"/>
                <w:bCs w:val="1"/>
                <w:color w:val="auto"/>
                <w:w w:val="93"/>
              </w:rPr>
              <w:t>Total</w:t>
            </w:r>
          </w:p>
        </w:tc>
        <w:tc>
          <w:tcPr>
            <w:tcW w:w="1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Stage 1</w:t>
            </w:r>
          </w:p>
        </w:tc>
        <w:tc>
          <w:tcPr>
            <w:tcW w:w="920" w:type="dxa"/>
            <w:vAlign w:val="bottom"/>
          </w:tcPr>
          <w:p>
            <w:pPr>
              <w:jc w:val="right"/>
              <w:ind w:right="214"/>
              <w:spacing w:after="0"/>
              <w:rPr>
                <w:sz w:val="20"/>
                <w:szCs w:val="20"/>
                <w:color w:val="auto"/>
              </w:rPr>
            </w:pPr>
            <w:r>
              <w:rPr>
                <w:rFonts w:ascii="Arial" w:cs="Arial" w:eastAsia="Arial" w:hAnsi="Arial"/>
                <w:sz w:val="17"/>
                <w:szCs w:val="17"/>
                <w:b w:val="1"/>
                <w:bCs w:val="1"/>
                <w:color w:val="auto"/>
                <w:w w:val="99"/>
              </w:rPr>
              <w:t>Stage 2</w:t>
            </w:r>
          </w:p>
        </w:tc>
        <w:tc>
          <w:tcPr>
            <w:tcW w:w="1080" w:type="dxa"/>
            <w:vAlign w:val="bottom"/>
            <w:gridSpan w:val="2"/>
          </w:tcPr>
          <w:p>
            <w:pPr>
              <w:jc w:val="right"/>
              <w:ind w:right="234"/>
              <w:spacing w:after="0"/>
              <w:rPr>
                <w:sz w:val="20"/>
                <w:szCs w:val="20"/>
                <w:color w:val="auto"/>
              </w:rPr>
            </w:pPr>
            <w:r>
              <w:rPr>
                <w:rFonts w:ascii="Arial" w:cs="Arial" w:eastAsia="Arial" w:hAnsi="Arial"/>
                <w:sz w:val="17"/>
                <w:szCs w:val="17"/>
                <w:b w:val="1"/>
                <w:bCs w:val="1"/>
                <w:color w:val="auto"/>
              </w:rPr>
              <w:t>Stage 3</w:t>
            </w:r>
          </w:p>
        </w:tc>
        <w:tc>
          <w:tcPr>
            <w:tcW w:w="1180" w:type="dxa"/>
            <w:vAlign w:val="bottom"/>
            <w:gridSpan w:val="2"/>
          </w:tcPr>
          <w:p>
            <w:pPr>
              <w:jc w:val="right"/>
              <w:ind w:right="554"/>
              <w:spacing w:after="0"/>
              <w:rPr>
                <w:sz w:val="20"/>
                <w:szCs w:val="20"/>
                <w:color w:val="auto"/>
              </w:rPr>
            </w:pPr>
            <w:r>
              <w:rPr>
                <w:rFonts w:ascii="Arial" w:cs="Arial" w:eastAsia="Arial" w:hAnsi="Arial"/>
                <w:sz w:val="17"/>
                <w:szCs w:val="17"/>
                <w:b w:val="1"/>
                <w:bCs w:val="1"/>
                <w:color w:val="auto"/>
              </w:rPr>
              <w:t>Total</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auto"/>
              </w:rPr>
              <w:t>Neither past due nor</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760" w:type="dxa"/>
            <w:vAlign w:val="bottom"/>
            <w:vMerge w:val="continue"/>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13,128,339</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6,452,839</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19,581,178</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10,616,608</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8,349,028</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18,965,636</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auto"/>
              </w:rPr>
              <w:t>impaired</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17"/>
                <w:szCs w:val="17"/>
                <w:color w:val="auto"/>
              </w:rPr>
              <w:t>Past due but not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236,253</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813,423</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1,049,676</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134,473</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576,320</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710,793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auto"/>
              </w:rPr>
              <w:t>impaired</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20"/>
                <w:szCs w:val="20"/>
                <w:color w:val="auto"/>
              </w:rPr>
            </w:pPr>
            <w:r>
              <w:rPr>
                <w:rFonts w:ascii="Arial" w:cs="Arial" w:eastAsia="Arial" w:hAnsi="Arial"/>
                <w:sz w:val="17"/>
                <w:szCs w:val="17"/>
                <w:color w:val="auto"/>
              </w:rPr>
              <w:t>Impaired</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1,741,439</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1,741,439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1,906,172</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1,906,172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line="187" w:lineRule="exact"/>
              <w:rPr>
                <w:sz w:val="20"/>
                <w:szCs w:val="20"/>
                <w:color w:val="auto"/>
              </w:rPr>
            </w:pPr>
            <w:r>
              <w:rPr>
                <w:rFonts w:ascii="Arial" w:cs="Arial" w:eastAsia="Arial" w:hAnsi="Arial"/>
                <w:sz w:val="17"/>
                <w:szCs w:val="17"/>
                <w:b w:val="1"/>
                <w:bCs w:val="1"/>
                <w:color w:val="auto"/>
              </w:rPr>
              <w:t>Gross</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13,364,592</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7,266,262</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1,741,439</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22,372,293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10,751,081</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8,925,348</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1,906,172</w:t>
            </w:r>
          </w:p>
        </w:tc>
        <w:tc>
          <w:tcPr>
            <w:tcW w:w="14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21,582,601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Arial" w:cs="Arial" w:eastAsia="Arial" w:hAnsi="Arial"/>
                <w:sz w:val="17"/>
                <w:szCs w:val="17"/>
                <w:color w:val="auto"/>
              </w:rPr>
              <w:t>Less: Provision for</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315,837</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540,906</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1,113,145</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1,969,888</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434,049</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625,252</w:t>
            </w: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auto"/>
              </w:rPr>
              <w:t>1,148,629</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2,207,930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760" w:type="dxa"/>
            <w:vAlign w:val="bottom"/>
            <w:vMerge w:val="restart"/>
          </w:tcPr>
          <w:p>
            <w:pPr>
              <w:spacing w:after="0"/>
              <w:rPr>
                <w:sz w:val="20"/>
                <w:szCs w:val="20"/>
                <w:color w:val="auto"/>
              </w:rPr>
            </w:pPr>
            <w:r>
              <w:rPr>
                <w:rFonts w:ascii="Arial" w:cs="Arial" w:eastAsia="Arial" w:hAnsi="Arial"/>
                <w:sz w:val="17"/>
                <w:szCs w:val="17"/>
                <w:color w:val="auto"/>
              </w:rPr>
              <w:t>loan losses</w:t>
            </w:r>
          </w:p>
        </w:tc>
        <w:tc>
          <w:tcPr>
            <w:tcW w:w="1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line="187" w:lineRule="exact"/>
              <w:rPr>
                <w:sz w:val="20"/>
                <w:szCs w:val="20"/>
                <w:color w:val="auto"/>
              </w:rPr>
            </w:pPr>
            <w:r>
              <w:rPr>
                <w:rFonts w:ascii="Arial" w:cs="Arial" w:eastAsia="Arial" w:hAnsi="Arial"/>
                <w:sz w:val="17"/>
                <w:szCs w:val="17"/>
                <w:b w:val="1"/>
                <w:bCs w:val="1"/>
                <w:color w:val="auto"/>
              </w:rPr>
              <w:t>Total, net</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13,048,755</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6,725,356</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628,294</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20,402,405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10,317,032</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8,300,096</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757,543</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19,374,671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1760" w:type="dxa"/>
            <w:vAlign w:val="bottom"/>
          </w:tcPr>
          <w:p>
            <w:pPr>
              <w:spacing w:after="0"/>
              <w:rPr>
                <w:sz w:val="20"/>
                <w:szCs w:val="20"/>
                <w:color w:val="auto"/>
              </w:rPr>
            </w:pPr>
            <w:r>
              <w:rPr>
                <w:rFonts w:ascii="Arial" w:cs="Arial" w:eastAsia="Arial" w:hAnsi="Arial"/>
                <w:sz w:val="17"/>
                <w:szCs w:val="17"/>
                <w:b w:val="1"/>
                <w:bCs w:val="1"/>
                <w:color w:val="auto"/>
              </w:rPr>
              <w:t>Consumer loans</w:t>
            </w:r>
          </w:p>
        </w:tc>
        <w:tc>
          <w:tcPr>
            <w:tcW w:w="1340" w:type="dxa"/>
            <w:vAlign w:val="bottom"/>
            <w:gridSpan w:val="3"/>
          </w:tcPr>
          <w:p>
            <w:pPr>
              <w:ind w:left="160"/>
              <w:spacing w:after="0"/>
              <w:rPr>
                <w:sz w:val="20"/>
                <w:szCs w:val="20"/>
                <w:color w:val="auto"/>
              </w:rPr>
            </w:pPr>
            <w:r>
              <w:rPr>
                <w:rFonts w:ascii="Arial" w:cs="Arial" w:eastAsia="Arial" w:hAnsi="Arial"/>
                <w:sz w:val="17"/>
                <w:szCs w:val="17"/>
                <w:b w:val="1"/>
                <w:bCs w:val="1"/>
                <w:color w:val="auto"/>
              </w:rPr>
              <w:t>Stage 1</w:t>
            </w:r>
          </w:p>
        </w:tc>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Stage 2</w:t>
            </w:r>
          </w:p>
        </w:tc>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Stage 3</w:t>
            </w:r>
          </w:p>
        </w:tc>
        <w:tc>
          <w:tcPr>
            <w:tcW w:w="1020" w:type="dxa"/>
            <w:vAlign w:val="bottom"/>
          </w:tcPr>
          <w:p>
            <w:pPr>
              <w:jc w:val="right"/>
              <w:ind w:right="534"/>
              <w:spacing w:after="0"/>
              <w:rPr>
                <w:sz w:val="20"/>
                <w:szCs w:val="20"/>
                <w:color w:val="auto"/>
              </w:rPr>
            </w:pPr>
            <w:r>
              <w:rPr>
                <w:rFonts w:ascii="Arial" w:cs="Arial" w:eastAsia="Arial" w:hAnsi="Arial"/>
                <w:sz w:val="17"/>
                <w:szCs w:val="17"/>
                <w:b w:val="1"/>
                <w:bCs w:val="1"/>
                <w:color w:val="auto"/>
                <w:w w:val="93"/>
              </w:rPr>
              <w:t>Total</w:t>
            </w:r>
          </w:p>
        </w:tc>
        <w:tc>
          <w:tcPr>
            <w:tcW w:w="1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Stage 1</w:t>
            </w:r>
          </w:p>
        </w:tc>
        <w:tc>
          <w:tcPr>
            <w:tcW w:w="920" w:type="dxa"/>
            <w:vAlign w:val="bottom"/>
          </w:tcPr>
          <w:p>
            <w:pPr>
              <w:jc w:val="right"/>
              <w:ind w:right="214"/>
              <w:spacing w:after="0"/>
              <w:rPr>
                <w:sz w:val="20"/>
                <w:szCs w:val="20"/>
                <w:color w:val="auto"/>
              </w:rPr>
            </w:pPr>
            <w:r>
              <w:rPr>
                <w:rFonts w:ascii="Arial" w:cs="Arial" w:eastAsia="Arial" w:hAnsi="Arial"/>
                <w:sz w:val="17"/>
                <w:szCs w:val="17"/>
                <w:b w:val="1"/>
                <w:bCs w:val="1"/>
                <w:color w:val="auto"/>
                <w:w w:val="99"/>
              </w:rPr>
              <w:t>Stage 2</w:t>
            </w:r>
          </w:p>
        </w:tc>
        <w:tc>
          <w:tcPr>
            <w:tcW w:w="1080" w:type="dxa"/>
            <w:vAlign w:val="bottom"/>
            <w:gridSpan w:val="2"/>
          </w:tcPr>
          <w:p>
            <w:pPr>
              <w:jc w:val="right"/>
              <w:ind w:right="234"/>
              <w:spacing w:after="0"/>
              <w:rPr>
                <w:sz w:val="20"/>
                <w:szCs w:val="20"/>
                <w:color w:val="auto"/>
              </w:rPr>
            </w:pPr>
            <w:r>
              <w:rPr>
                <w:rFonts w:ascii="Arial" w:cs="Arial" w:eastAsia="Arial" w:hAnsi="Arial"/>
                <w:sz w:val="17"/>
                <w:szCs w:val="17"/>
                <w:b w:val="1"/>
                <w:bCs w:val="1"/>
                <w:color w:val="auto"/>
              </w:rPr>
              <w:t>Stage 3</w:t>
            </w:r>
          </w:p>
        </w:tc>
        <w:tc>
          <w:tcPr>
            <w:tcW w:w="1180" w:type="dxa"/>
            <w:vAlign w:val="bottom"/>
            <w:gridSpan w:val="2"/>
          </w:tcPr>
          <w:p>
            <w:pPr>
              <w:jc w:val="right"/>
              <w:ind w:right="554"/>
              <w:spacing w:after="0"/>
              <w:rPr>
                <w:sz w:val="20"/>
                <w:szCs w:val="20"/>
                <w:color w:val="auto"/>
              </w:rPr>
            </w:pPr>
            <w:r>
              <w:rPr>
                <w:rFonts w:ascii="Arial" w:cs="Arial" w:eastAsia="Arial" w:hAnsi="Arial"/>
                <w:sz w:val="17"/>
                <w:szCs w:val="17"/>
                <w:b w:val="1"/>
                <w:bCs w:val="1"/>
                <w:color w:val="auto"/>
              </w:rPr>
              <w:t>Total</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auto"/>
              </w:rPr>
              <w:t>Neither past due nor</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760" w:type="dxa"/>
            <w:vAlign w:val="bottom"/>
            <w:vMerge w:val="continue"/>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15,136,571</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3,029,538</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18,166,109</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11,870,584</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2,718,498</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14,589,082</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auto"/>
              </w:rPr>
              <w:t>impaired</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17"/>
                <w:szCs w:val="17"/>
                <w:color w:val="auto"/>
              </w:rPr>
              <w:t>Past due but not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205,944</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442,066</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648,010</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104,821</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202,577</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307,398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auto"/>
              </w:rPr>
              <w:t>impaired</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20"/>
                <w:szCs w:val="20"/>
                <w:color w:val="auto"/>
              </w:rPr>
            </w:pPr>
            <w:r>
              <w:rPr>
                <w:rFonts w:ascii="Arial" w:cs="Arial" w:eastAsia="Arial" w:hAnsi="Arial"/>
                <w:sz w:val="17"/>
                <w:szCs w:val="17"/>
                <w:color w:val="auto"/>
              </w:rPr>
              <w:t>Impaired</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1,099,382</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1,099,382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1,099,328</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1,099,328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line="187" w:lineRule="exact"/>
              <w:rPr>
                <w:sz w:val="20"/>
                <w:szCs w:val="20"/>
                <w:color w:val="auto"/>
              </w:rPr>
            </w:pPr>
            <w:r>
              <w:rPr>
                <w:rFonts w:ascii="Arial" w:cs="Arial" w:eastAsia="Arial" w:hAnsi="Arial"/>
                <w:sz w:val="17"/>
                <w:szCs w:val="17"/>
                <w:b w:val="1"/>
                <w:bCs w:val="1"/>
                <w:color w:val="auto"/>
              </w:rPr>
              <w:t>Gross</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15,342,515</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3,471,604</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1,099,382</w:t>
            </w:r>
          </w:p>
        </w:tc>
        <w:tc>
          <w:tcPr>
            <w:tcW w:w="1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19,913,501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11,975,405</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2,921,075</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1,099,328</w:t>
            </w:r>
          </w:p>
        </w:tc>
        <w:tc>
          <w:tcPr>
            <w:tcW w:w="14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15,995,808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Arial" w:cs="Arial" w:eastAsia="Arial" w:hAnsi="Arial"/>
                <w:sz w:val="17"/>
                <w:szCs w:val="17"/>
                <w:color w:val="auto"/>
              </w:rPr>
              <w:t>Less: Provision for</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300,321</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439,572</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940,872</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1,680,765</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317,595</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637,762</w:t>
            </w: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auto"/>
              </w:rPr>
              <w:t>941,416</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1,896,773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760" w:type="dxa"/>
            <w:vAlign w:val="bottom"/>
            <w:vMerge w:val="restart"/>
          </w:tcPr>
          <w:p>
            <w:pPr>
              <w:spacing w:after="0"/>
              <w:rPr>
                <w:sz w:val="20"/>
                <w:szCs w:val="20"/>
                <w:color w:val="auto"/>
              </w:rPr>
            </w:pPr>
            <w:r>
              <w:rPr>
                <w:rFonts w:ascii="Arial" w:cs="Arial" w:eastAsia="Arial" w:hAnsi="Arial"/>
                <w:sz w:val="17"/>
                <w:szCs w:val="17"/>
                <w:color w:val="auto"/>
              </w:rPr>
              <w:t>loan losses</w:t>
            </w:r>
          </w:p>
        </w:tc>
        <w:tc>
          <w:tcPr>
            <w:tcW w:w="1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line="187" w:lineRule="exact"/>
              <w:rPr>
                <w:sz w:val="20"/>
                <w:szCs w:val="20"/>
                <w:color w:val="auto"/>
              </w:rPr>
            </w:pPr>
            <w:r>
              <w:rPr>
                <w:rFonts w:ascii="Arial" w:cs="Arial" w:eastAsia="Arial" w:hAnsi="Arial"/>
                <w:sz w:val="17"/>
                <w:szCs w:val="17"/>
                <w:b w:val="1"/>
                <w:bCs w:val="1"/>
                <w:color w:val="auto"/>
              </w:rPr>
              <w:t>Total, net</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15,042,194</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3,032,032</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158,510</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18,232,736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11,657,810</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2,283,313</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157,912</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14,099,035</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1760" w:type="dxa"/>
            <w:vAlign w:val="bottom"/>
          </w:tcPr>
          <w:p>
            <w:pPr>
              <w:spacing w:after="0"/>
              <w:rPr>
                <w:sz w:val="20"/>
                <w:szCs w:val="20"/>
                <w:color w:val="auto"/>
              </w:rPr>
            </w:pPr>
            <w:r>
              <w:rPr>
                <w:rFonts w:ascii="Arial" w:cs="Arial" w:eastAsia="Arial" w:hAnsi="Arial"/>
                <w:sz w:val="17"/>
                <w:szCs w:val="17"/>
                <w:b w:val="1"/>
                <w:bCs w:val="1"/>
                <w:color w:val="auto"/>
              </w:rPr>
              <w:t>Consolidated of</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60" w:type="dxa"/>
            <w:vAlign w:val="bottom"/>
          </w:tcPr>
          <w:p>
            <w:pPr>
              <w:spacing w:after="0"/>
              <w:rPr>
                <w:sz w:val="20"/>
                <w:szCs w:val="20"/>
                <w:color w:val="auto"/>
              </w:rPr>
            </w:pPr>
            <w:r>
              <w:rPr>
                <w:rFonts w:ascii="Arial" w:cs="Arial" w:eastAsia="Arial" w:hAnsi="Arial"/>
                <w:sz w:val="17"/>
                <w:szCs w:val="17"/>
                <w:b w:val="1"/>
                <w:bCs w:val="1"/>
                <w:color w:val="auto"/>
              </w:rPr>
              <w:t>loans</w:t>
            </w:r>
          </w:p>
        </w:tc>
        <w:tc>
          <w:tcPr>
            <w:tcW w:w="1340" w:type="dxa"/>
            <w:vAlign w:val="bottom"/>
            <w:gridSpan w:val="3"/>
          </w:tcPr>
          <w:p>
            <w:pPr>
              <w:ind w:left="160"/>
              <w:spacing w:after="0"/>
              <w:rPr>
                <w:sz w:val="20"/>
                <w:szCs w:val="20"/>
                <w:color w:val="auto"/>
              </w:rPr>
            </w:pPr>
            <w:r>
              <w:rPr>
                <w:rFonts w:ascii="Arial" w:cs="Arial" w:eastAsia="Arial" w:hAnsi="Arial"/>
                <w:sz w:val="17"/>
                <w:szCs w:val="17"/>
                <w:b w:val="1"/>
                <w:bCs w:val="1"/>
                <w:color w:val="auto"/>
              </w:rPr>
              <w:t>Stage 1</w:t>
            </w:r>
          </w:p>
        </w:tc>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Stage 2</w:t>
            </w:r>
          </w:p>
        </w:tc>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Stage 3</w:t>
            </w:r>
          </w:p>
        </w:tc>
        <w:tc>
          <w:tcPr>
            <w:tcW w:w="1020" w:type="dxa"/>
            <w:vAlign w:val="bottom"/>
          </w:tcPr>
          <w:p>
            <w:pPr>
              <w:jc w:val="right"/>
              <w:ind w:right="534"/>
              <w:spacing w:after="0"/>
              <w:rPr>
                <w:sz w:val="20"/>
                <w:szCs w:val="20"/>
                <w:color w:val="auto"/>
              </w:rPr>
            </w:pPr>
            <w:r>
              <w:rPr>
                <w:rFonts w:ascii="Arial" w:cs="Arial" w:eastAsia="Arial" w:hAnsi="Arial"/>
                <w:sz w:val="17"/>
                <w:szCs w:val="17"/>
                <w:b w:val="1"/>
                <w:bCs w:val="1"/>
                <w:color w:val="auto"/>
                <w:w w:val="93"/>
              </w:rPr>
              <w:t>Total</w:t>
            </w:r>
          </w:p>
        </w:tc>
        <w:tc>
          <w:tcPr>
            <w:tcW w:w="1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Stage 1</w:t>
            </w:r>
          </w:p>
        </w:tc>
        <w:tc>
          <w:tcPr>
            <w:tcW w:w="920" w:type="dxa"/>
            <w:vAlign w:val="bottom"/>
          </w:tcPr>
          <w:p>
            <w:pPr>
              <w:jc w:val="right"/>
              <w:ind w:right="214"/>
              <w:spacing w:after="0"/>
              <w:rPr>
                <w:sz w:val="20"/>
                <w:szCs w:val="20"/>
                <w:color w:val="auto"/>
              </w:rPr>
            </w:pPr>
            <w:r>
              <w:rPr>
                <w:rFonts w:ascii="Arial" w:cs="Arial" w:eastAsia="Arial" w:hAnsi="Arial"/>
                <w:sz w:val="17"/>
                <w:szCs w:val="17"/>
                <w:b w:val="1"/>
                <w:bCs w:val="1"/>
                <w:color w:val="auto"/>
                <w:w w:val="99"/>
              </w:rPr>
              <w:t>Stage 2</w:t>
            </w:r>
          </w:p>
        </w:tc>
        <w:tc>
          <w:tcPr>
            <w:tcW w:w="1080" w:type="dxa"/>
            <w:vAlign w:val="bottom"/>
            <w:gridSpan w:val="2"/>
          </w:tcPr>
          <w:p>
            <w:pPr>
              <w:jc w:val="right"/>
              <w:ind w:right="234"/>
              <w:spacing w:after="0"/>
              <w:rPr>
                <w:sz w:val="20"/>
                <w:szCs w:val="20"/>
                <w:color w:val="auto"/>
              </w:rPr>
            </w:pPr>
            <w:r>
              <w:rPr>
                <w:rFonts w:ascii="Arial" w:cs="Arial" w:eastAsia="Arial" w:hAnsi="Arial"/>
                <w:sz w:val="17"/>
                <w:szCs w:val="17"/>
                <w:b w:val="1"/>
                <w:bCs w:val="1"/>
                <w:color w:val="auto"/>
              </w:rPr>
              <w:t>Stage 3</w:t>
            </w:r>
          </w:p>
        </w:tc>
        <w:tc>
          <w:tcPr>
            <w:tcW w:w="1180" w:type="dxa"/>
            <w:vAlign w:val="bottom"/>
            <w:gridSpan w:val="2"/>
          </w:tcPr>
          <w:p>
            <w:pPr>
              <w:jc w:val="right"/>
              <w:ind w:right="554"/>
              <w:spacing w:after="0"/>
              <w:rPr>
                <w:sz w:val="20"/>
                <w:szCs w:val="20"/>
                <w:color w:val="auto"/>
              </w:rPr>
            </w:pPr>
            <w:r>
              <w:rPr>
                <w:rFonts w:ascii="Arial" w:cs="Arial" w:eastAsia="Arial" w:hAnsi="Arial"/>
                <w:sz w:val="17"/>
                <w:szCs w:val="17"/>
                <w:b w:val="1"/>
                <w:bCs w:val="1"/>
                <w:color w:val="auto"/>
              </w:rPr>
              <w:t>Total</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auto"/>
              </w:rPr>
              <w:t>Total gross direct</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760" w:type="dxa"/>
            <w:vAlign w:val="bottom"/>
            <w:vMerge w:val="continue"/>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115,037,167</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w w:val="98"/>
              </w:rPr>
              <w:t>21,484,461</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10,668,641</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147,190,269</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111,802,227</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w w:val="98"/>
              </w:rPr>
              <w:t>23,331,399</w:t>
            </w: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auto"/>
              </w:rPr>
              <w:t>11,283,193</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146,416,819</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auto"/>
              </w:rPr>
              <w:t>loans, Note 7(a)</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17"/>
                <w:szCs w:val="17"/>
                <w:color w:val="auto"/>
              </w:rPr>
              <w:t>Total credit losses,</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1,203,345</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1,596,693</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5,072,364</w:t>
            </w: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7,872,402</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rPr>
              <w:t>1,382,368</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1,997,277</w:t>
            </w: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auto"/>
              </w:rPr>
              <w:t>5,097,663</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8,477,308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760" w:type="dxa"/>
            <w:vAlign w:val="bottom"/>
            <w:vMerge w:val="restart"/>
          </w:tcPr>
          <w:p>
            <w:pPr>
              <w:spacing w:after="0"/>
              <w:rPr>
                <w:sz w:val="20"/>
                <w:szCs w:val="20"/>
                <w:color w:val="auto"/>
              </w:rPr>
            </w:pPr>
            <w:r>
              <w:rPr>
                <w:rFonts w:ascii="Arial" w:cs="Arial" w:eastAsia="Arial" w:hAnsi="Arial"/>
                <w:sz w:val="17"/>
                <w:szCs w:val="17"/>
                <w:color w:val="auto"/>
              </w:rPr>
              <w:t>Note 7(a)</w:t>
            </w: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line="187" w:lineRule="exact"/>
              <w:rPr>
                <w:sz w:val="20"/>
                <w:szCs w:val="20"/>
                <w:color w:val="auto"/>
              </w:rPr>
            </w:pPr>
            <w:r>
              <w:rPr>
                <w:rFonts w:ascii="Arial" w:cs="Arial" w:eastAsia="Arial" w:hAnsi="Arial"/>
                <w:sz w:val="17"/>
                <w:szCs w:val="17"/>
                <w:b w:val="1"/>
                <w:bCs w:val="1"/>
                <w:color w:val="auto"/>
              </w:rPr>
              <w:t>Total net direct loans</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113,833,822</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98"/>
              </w:rPr>
              <w:t>19,887,768</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5,596,277</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139,317,867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99"/>
              </w:rPr>
              <w:t>110,419,859</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98"/>
              </w:rPr>
              <w:t>21,334,122</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6,185,530</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137,939,511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3"/>
        </w:trPr>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334"/>
              <w:spacing w:after="0"/>
              <w:rPr>
                <w:sz w:val="20"/>
                <w:szCs w:val="20"/>
                <w:color w:val="auto"/>
              </w:rPr>
            </w:pPr>
            <w:r>
              <w:rPr>
                <w:rFonts w:ascii="Arial" w:cs="Arial" w:eastAsia="Arial" w:hAnsi="Arial"/>
                <w:sz w:val="17"/>
                <w:szCs w:val="17"/>
                <w:color w:val="auto"/>
              </w:rPr>
              <w:t>- 148 -</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53" w:name="page154"/>
    <w:bookmarkEnd w:id="153"/>
    <w:p>
      <w:pPr>
        <w:ind w:left="8"/>
        <w:spacing w:after="0"/>
        <w:rPr>
          <w:sz w:val="20"/>
          <w:szCs w:val="20"/>
          <w:color w:val="auto"/>
        </w:rPr>
      </w:pPr>
      <w:r>
        <w:rPr>
          <w:rFonts w:ascii="Arial" w:cs="Arial" w:eastAsia="Arial" w:hAnsi="Arial"/>
          <w:sz w:val="17"/>
          <w:szCs w:val="17"/>
          <w:color w:val="auto"/>
        </w:rPr>
        <w:t>The general explanation of the variations in the allowance for loan losses is found in Note 7(c).</w:t>
      </w:r>
    </w:p>
    <w:p>
      <w:pPr>
        <w:spacing w:after="0" w:line="193" w:lineRule="exact"/>
        <w:rPr>
          <w:sz w:val="20"/>
          <w:szCs w:val="20"/>
          <w:color w:val="auto"/>
        </w:rPr>
      </w:pPr>
    </w:p>
    <w:p>
      <w:pPr>
        <w:ind w:left="8"/>
        <w:spacing w:after="0" w:line="254" w:lineRule="auto"/>
        <w:rPr>
          <w:sz w:val="20"/>
          <w:szCs w:val="20"/>
          <w:color w:val="auto"/>
        </w:rPr>
      </w:pPr>
      <w:r>
        <w:rPr>
          <w:rFonts w:ascii="Arial" w:cs="Arial" w:eastAsia="Arial" w:hAnsi="Arial"/>
          <w:sz w:val="17"/>
          <w:szCs w:val="17"/>
          <w:color w:val="auto"/>
        </w:rPr>
        <w:t>At Credicorp, we separate renegotiated loans into two groups, focusing on operations that have suffered a significant increase in credit risk since their disbursement, which has generated modifications to the original loan agreement. Both groups are defined below:</w:t>
      </w:r>
    </w:p>
    <w:p>
      <w:pPr>
        <w:spacing w:after="0" w:line="169" w:lineRule="exact"/>
        <w:rPr>
          <w:sz w:val="20"/>
          <w:szCs w:val="20"/>
          <w:color w:val="auto"/>
        </w:rPr>
      </w:pPr>
    </w:p>
    <w:p>
      <w:pPr>
        <w:ind w:left="368" w:right="160" w:hanging="368"/>
        <w:spacing w:after="0" w:line="238" w:lineRule="auto"/>
        <w:tabs>
          <w:tab w:leader="none" w:pos="36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Refinanced loans: these are loans that have undergone modifications in the initial loan agreement (term and interest rate), according to the accounting definition.</w:t>
      </w:r>
    </w:p>
    <w:p>
      <w:pPr>
        <w:ind w:left="368" w:right="400" w:hanging="368"/>
        <w:spacing w:after="0" w:line="243" w:lineRule="auto"/>
        <w:tabs>
          <w:tab w:leader="none" w:pos="36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Renegotiated loans due to the COVID-19 pandemic: these are loans for which, due to the pandemic, the SBS and other local regulators have established that certain benefits be granted, and that Credicorp has also voluntarily granted to its clients (grace periods, debt consolidation, etc.), which were not in the initial credit agreements. It should be noted that these loans were granted mainly during 2020 and 2021.</w:t>
      </w:r>
    </w:p>
    <w:p>
      <w:pPr>
        <w:spacing w:after="0" w:line="180" w:lineRule="exact"/>
        <w:rPr>
          <w:sz w:val="20"/>
          <w:szCs w:val="20"/>
          <w:color w:val="auto"/>
        </w:rPr>
      </w:pPr>
    </w:p>
    <w:p>
      <w:pPr>
        <w:jc w:val="both"/>
        <w:ind w:left="8"/>
        <w:spacing w:after="0" w:line="243" w:lineRule="auto"/>
        <w:rPr>
          <w:sz w:val="20"/>
          <w:szCs w:val="20"/>
          <w:color w:val="auto"/>
        </w:rPr>
      </w:pPr>
      <w:r>
        <w:rPr>
          <w:rFonts w:ascii="Arial" w:cs="Arial" w:eastAsia="Arial" w:hAnsi="Arial"/>
          <w:sz w:val="17"/>
          <w:szCs w:val="17"/>
          <w:color w:val="auto"/>
        </w:rPr>
        <w:t>The amount of the gross balance of the portfolio and provision of the renegotiated credits of Credicorp is shown below. The presentation is made for each of the two groups defined above and by opening the balances by stage. It should be noted that for the construction of the tables, the information of the three subsidiaries that concentrate more than 95.0 percent of the balance of renegotiated loans (BCP, Mibanco and BCB) has been considered.</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7"/>
          <w:szCs w:val="17"/>
          <w:color w:val="auto"/>
        </w:rPr>
        <w:t>As of December 31, 2022, and 2021, renegotiated loans and their expected credit loss are composed as follows:</w:t>
      </w:r>
    </w:p>
    <w:p>
      <w:pPr>
        <w:spacing w:after="0" w:line="171" w:lineRule="exact"/>
        <w:rPr>
          <w:sz w:val="20"/>
          <w:szCs w:val="20"/>
          <w:color w:val="auto"/>
        </w:rPr>
      </w:pPr>
    </w:p>
    <w:tbl>
      <w:tblPr>
        <w:tblLayout w:type="fixed"/>
        <w:tblInd w:w="68" w:type="dxa"/>
        <w:tblCellMar>
          <w:top w:w="0" w:type="dxa"/>
          <w:left w:w="0" w:type="dxa"/>
          <w:bottom w:w="0" w:type="dxa"/>
          <w:right w:w="0" w:type="dxa"/>
        </w:tblCellMar>
      </w:tblPr>
      <w:tr>
        <w:trPr>
          <w:trHeight w:val="217"/>
        </w:trPr>
        <w:tc>
          <w:tcPr>
            <w:tcW w:w="11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7"/>
                <w:szCs w:val="17"/>
                <w:b w:val="1"/>
                <w:bCs w:val="1"/>
                <w:color w:val="auto"/>
              </w:rPr>
              <w:t>2022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7"/>
                <w:szCs w:val="17"/>
                <w:b w:val="1"/>
                <w:bCs w:val="1"/>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4"/>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top w:val="single" w:sz="8" w:color="auto"/>
            </w:tcBorders>
            <w:gridSpan w:val="3"/>
          </w:tcPr>
          <w:p>
            <w:pPr>
              <w:ind w:left="60"/>
              <w:spacing w:after="0" w:line="164" w:lineRule="exact"/>
              <w:rPr>
                <w:sz w:val="20"/>
                <w:szCs w:val="20"/>
                <w:color w:val="auto"/>
              </w:rPr>
            </w:pPr>
            <w:r>
              <w:rPr>
                <w:rFonts w:ascii="Arial" w:cs="Arial" w:eastAsia="Arial" w:hAnsi="Arial"/>
                <w:sz w:val="17"/>
                <w:szCs w:val="17"/>
                <w:b w:val="1"/>
                <w:bCs w:val="1"/>
                <w:color w:val="auto"/>
              </w:rPr>
              <w:t>Refinanced</w:t>
            </w:r>
          </w:p>
        </w:tc>
        <w:tc>
          <w:tcPr>
            <w:tcW w:w="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4"/>
          </w:tcPr>
          <w:p>
            <w:pPr>
              <w:ind w:left="20"/>
              <w:spacing w:after="0" w:line="164" w:lineRule="exact"/>
              <w:rPr>
                <w:sz w:val="20"/>
                <w:szCs w:val="20"/>
                <w:color w:val="auto"/>
              </w:rPr>
            </w:pPr>
            <w:r>
              <w:rPr>
                <w:rFonts w:ascii="Arial" w:cs="Arial" w:eastAsia="Arial" w:hAnsi="Arial"/>
                <w:sz w:val="17"/>
                <w:szCs w:val="17"/>
                <w:b w:val="1"/>
                <w:bCs w:val="1"/>
                <w:color w:val="auto"/>
              </w:rPr>
              <w:t>Allowance for</w:t>
            </w:r>
          </w:p>
        </w:tc>
        <w:tc>
          <w:tcPr>
            <w:tcW w:w="1540" w:type="dxa"/>
            <w:vAlign w:val="bottom"/>
            <w:tcBorders>
              <w:top w:val="single" w:sz="8" w:color="auto"/>
            </w:tcBorders>
            <w:gridSpan w:val="3"/>
          </w:tcPr>
          <w:p>
            <w:pPr>
              <w:ind w:left="40"/>
              <w:spacing w:after="0" w:line="164" w:lineRule="exact"/>
              <w:rPr>
                <w:sz w:val="20"/>
                <w:szCs w:val="20"/>
                <w:color w:val="auto"/>
              </w:rPr>
            </w:pPr>
            <w:r>
              <w:rPr>
                <w:rFonts w:ascii="Arial" w:cs="Arial" w:eastAsia="Arial" w:hAnsi="Arial"/>
                <w:sz w:val="17"/>
                <w:szCs w:val="17"/>
                <w:b w:val="1"/>
                <w:bCs w:val="1"/>
                <w:color w:val="auto"/>
              </w:rPr>
              <w:t>Refinanced</w:t>
            </w:r>
          </w:p>
        </w:tc>
        <w:tc>
          <w:tcPr>
            <w:tcW w:w="1280" w:type="dxa"/>
            <w:vAlign w:val="bottom"/>
            <w:tcBorders>
              <w:top w:val="single" w:sz="8" w:color="auto"/>
            </w:tcBorders>
            <w:gridSpan w:val="2"/>
          </w:tcPr>
          <w:p>
            <w:pPr>
              <w:ind w:left="40"/>
              <w:spacing w:after="0" w:line="164" w:lineRule="exact"/>
              <w:rPr>
                <w:sz w:val="20"/>
                <w:szCs w:val="20"/>
                <w:color w:val="auto"/>
              </w:rPr>
            </w:pPr>
            <w:r>
              <w:rPr>
                <w:rFonts w:ascii="Arial" w:cs="Arial" w:eastAsia="Arial" w:hAnsi="Arial"/>
                <w:sz w:val="17"/>
                <w:szCs w:val="17"/>
                <w:b w:val="1"/>
                <w:bCs w:val="1"/>
                <w:color w:val="auto"/>
              </w:rPr>
              <w:t>Allowance for</w:t>
            </w:r>
          </w:p>
        </w:tc>
        <w:tc>
          <w:tcPr>
            <w:tcW w:w="180" w:type="dxa"/>
            <w:vAlign w:val="bottom"/>
            <w:tcBorders>
              <w:top w:val="single" w:sz="8" w:color="auto"/>
            </w:tcBorders>
          </w:tcPr>
          <w:p>
            <w:pPr>
              <w:spacing w:after="0"/>
              <w:rPr>
                <w:sz w:val="14"/>
                <w:szCs w:val="14"/>
                <w:color w:val="auto"/>
              </w:rPr>
            </w:pPr>
          </w:p>
        </w:tc>
      </w:tr>
      <w:tr>
        <w:trPr>
          <w:trHeight w:val="217"/>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b w:val="1"/>
                <w:bCs w:val="1"/>
                <w:color w:val="auto"/>
              </w:rPr>
              <w:t>loans</w:t>
            </w:r>
          </w:p>
        </w:tc>
        <w:tc>
          <w:tcPr>
            <w:tcW w:w="40" w:type="dxa"/>
            <w:vAlign w:val="bottom"/>
          </w:tcPr>
          <w:p>
            <w:pPr>
              <w:spacing w:after="0"/>
              <w:rPr>
                <w:sz w:val="18"/>
                <w:szCs w:val="18"/>
                <w:color w:val="auto"/>
              </w:rPr>
            </w:pPr>
          </w:p>
        </w:tc>
        <w:tc>
          <w:tcPr>
            <w:tcW w:w="1440" w:type="dxa"/>
            <w:vAlign w:val="bottom"/>
            <w:gridSpan w:val="4"/>
          </w:tcPr>
          <w:p>
            <w:pPr>
              <w:ind w:left="20"/>
              <w:spacing w:after="0"/>
              <w:rPr>
                <w:sz w:val="20"/>
                <w:szCs w:val="20"/>
                <w:color w:val="auto"/>
              </w:rPr>
            </w:pPr>
            <w:r>
              <w:rPr>
                <w:rFonts w:ascii="Arial" w:cs="Arial" w:eastAsia="Arial" w:hAnsi="Arial"/>
                <w:sz w:val="17"/>
                <w:szCs w:val="17"/>
                <w:b w:val="1"/>
                <w:bCs w:val="1"/>
                <w:color w:val="auto"/>
              </w:rPr>
              <w:t>loan losses</w:t>
            </w:r>
          </w:p>
        </w:tc>
        <w:tc>
          <w:tcPr>
            <w:tcW w:w="1540" w:type="dxa"/>
            <w:vAlign w:val="bottom"/>
            <w:gridSpan w:val="3"/>
          </w:tcPr>
          <w:p>
            <w:pPr>
              <w:ind w:left="40"/>
              <w:spacing w:after="0"/>
              <w:rPr>
                <w:sz w:val="20"/>
                <w:szCs w:val="20"/>
                <w:color w:val="auto"/>
              </w:rPr>
            </w:pPr>
            <w:r>
              <w:rPr>
                <w:rFonts w:ascii="Arial" w:cs="Arial" w:eastAsia="Arial" w:hAnsi="Arial"/>
                <w:sz w:val="17"/>
                <w:szCs w:val="17"/>
                <w:b w:val="1"/>
                <w:bCs w:val="1"/>
                <w:color w:val="auto"/>
              </w:rPr>
              <w:t>loans</w:t>
            </w:r>
          </w:p>
        </w:tc>
        <w:tc>
          <w:tcPr>
            <w:tcW w:w="1280" w:type="dxa"/>
            <w:vAlign w:val="bottom"/>
            <w:gridSpan w:val="2"/>
          </w:tcPr>
          <w:p>
            <w:pPr>
              <w:ind w:left="40"/>
              <w:spacing w:after="0"/>
              <w:rPr>
                <w:sz w:val="20"/>
                <w:szCs w:val="20"/>
                <w:color w:val="auto"/>
              </w:rPr>
            </w:pPr>
            <w:r>
              <w:rPr>
                <w:rFonts w:ascii="Arial" w:cs="Arial" w:eastAsia="Arial" w:hAnsi="Arial"/>
                <w:sz w:val="17"/>
                <w:szCs w:val="17"/>
                <w:b w:val="1"/>
                <w:bCs w:val="1"/>
                <w:color w:val="auto"/>
              </w:rPr>
              <w:t>loan losses</w:t>
            </w:r>
          </w:p>
        </w:tc>
        <w:tc>
          <w:tcPr>
            <w:tcW w:w="18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1160" w:type="dxa"/>
            <w:vAlign w:val="bottom"/>
          </w:tcPr>
          <w:p>
            <w:pPr>
              <w:spacing w:after="0"/>
              <w:rPr>
                <w:sz w:val="20"/>
                <w:szCs w:val="20"/>
                <w:color w:val="auto"/>
              </w:rPr>
            </w:pPr>
            <w:r>
              <w:rPr>
                <w:rFonts w:ascii="Arial" w:cs="Arial" w:eastAsia="Arial" w:hAnsi="Arial"/>
                <w:sz w:val="17"/>
                <w:szCs w:val="17"/>
                <w:color w:val="auto"/>
              </w:rPr>
              <w:t>Stage 1</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67,619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702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60,420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1,097</w:t>
            </w:r>
          </w:p>
        </w:tc>
        <w:tc>
          <w:tcPr>
            <w:tcW w:w="180" w:type="dxa"/>
            <w:vAlign w:val="bottom"/>
          </w:tcPr>
          <w:p>
            <w:pPr>
              <w:spacing w:after="0"/>
              <w:rPr>
                <w:sz w:val="24"/>
                <w:szCs w:val="24"/>
                <w:color w:val="auto"/>
              </w:rPr>
            </w:pPr>
          </w:p>
        </w:tc>
      </w:tr>
      <w:tr>
        <w:trPr>
          <w:trHeight w:val="194"/>
        </w:trPr>
        <w:tc>
          <w:tcPr>
            <w:tcW w:w="1160" w:type="dxa"/>
            <w:vAlign w:val="bottom"/>
          </w:tcPr>
          <w:p>
            <w:pPr>
              <w:spacing w:after="0" w:line="194" w:lineRule="exact"/>
              <w:rPr>
                <w:sz w:val="20"/>
                <w:szCs w:val="20"/>
                <w:color w:val="auto"/>
              </w:rPr>
            </w:pPr>
            <w:r>
              <w:rPr>
                <w:rFonts w:ascii="Arial" w:cs="Arial" w:eastAsia="Arial" w:hAnsi="Arial"/>
                <w:sz w:val="17"/>
                <w:szCs w:val="17"/>
                <w:color w:val="auto"/>
              </w:rPr>
              <w:t>Stage 2</w:t>
            </w:r>
          </w:p>
        </w:tc>
        <w:tc>
          <w:tcPr>
            <w:tcW w:w="1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23,157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1,698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44,861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10,617</w:t>
            </w:r>
          </w:p>
        </w:tc>
        <w:tc>
          <w:tcPr>
            <w:tcW w:w="180" w:type="dxa"/>
            <w:vAlign w:val="bottom"/>
          </w:tcPr>
          <w:p>
            <w:pPr>
              <w:spacing w:after="0"/>
              <w:rPr>
                <w:sz w:val="16"/>
                <w:szCs w:val="16"/>
                <w:color w:val="auto"/>
              </w:rPr>
            </w:pPr>
          </w:p>
        </w:tc>
      </w:tr>
      <w:tr>
        <w:trPr>
          <w:trHeight w:val="195"/>
        </w:trPr>
        <w:tc>
          <w:tcPr>
            <w:tcW w:w="1160" w:type="dxa"/>
            <w:vAlign w:val="bottom"/>
          </w:tcPr>
          <w:p>
            <w:pPr>
              <w:spacing w:after="0"/>
              <w:rPr>
                <w:sz w:val="20"/>
                <w:szCs w:val="20"/>
                <w:color w:val="auto"/>
              </w:rPr>
            </w:pPr>
            <w:r>
              <w:rPr>
                <w:rFonts w:ascii="Arial" w:cs="Arial" w:eastAsia="Arial" w:hAnsi="Arial"/>
                <w:sz w:val="17"/>
                <w:szCs w:val="17"/>
                <w:color w:val="auto"/>
              </w:rPr>
              <w:t>Stage 3</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1,999,383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863,751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1,681,057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936,994</w:t>
            </w:r>
          </w:p>
        </w:tc>
        <w:tc>
          <w:tcPr>
            <w:tcW w:w="180" w:type="dxa"/>
            <w:vAlign w:val="bottom"/>
          </w:tcPr>
          <w:p>
            <w:pPr>
              <w:spacing w:after="0"/>
              <w:rPr>
                <w:sz w:val="16"/>
                <w:szCs w:val="16"/>
                <w:color w:val="auto"/>
              </w:rPr>
            </w:pPr>
          </w:p>
        </w:tc>
      </w:tr>
      <w:tr>
        <w:trPr>
          <w:trHeight w:val="193"/>
        </w:trPr>
        <w:tc>
          <w:tcPr>
            <w:tcW w:w="116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2,090,159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Borders>
              <w:top w:val="single" w:sz="8" w:color="auto"/>
              <w:bottom w:val="single" w:sz="8" w:color="auto"/>
            </w:tcBorders>
            <w:gridSpan w:val="2"/>
          </w:tcPr>
          <w:p>
            <w:pPr>
              <w:jc w:val="right"/>
              <w:spacing w:after="0" w:line="187" w:lineRule="exact"/>
              <w:rPr>
                <w:sz w:val="20"/>
                <w:szCs w:val="20"/>
                <w:color w:val="auto"/>
              </w:rPr>
            </w:pPr>
            <w:r>
              <w:rPr>
                <w:rFonts w:ascii="Arial" w:cs="Arial" w:eastAsia="Arial" w:hAnsi="Arial"/>
                <w:sz w:val="17"/>
                <w:szCs w:val="17"/>
                <w:color w:val="auto"/>
              </w:rPr>
              <w:t>866,151</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1,786,338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bottom w:val="single" w:sz="8" w:color="auto"/>
            </w:tcBorders>
            <w:gridSpan w:val="2"/>
          </w:tcPr>
          <w:p>
            <w:pPr>
              <w:jc w:val="right"/>
              <w:spacing w:after="0" w:line="187" w:lineRule="exact"/>
              <w:rPr>
                <w:sz w:val="20"/>
                <w:szCs w:val="20"/>
                <w:color w:val="auto"/>
              </w:rPr>
            </w:pPr>
            <w:r>
              <w:rPr>
                <w:rFonts w:ascii="Arial" w:cs="Arial" w:eastAsia="Arial" w:hAnsi="Arial"/>
                <w:sz w:val="17"/>
                <w:szCs w:val="17"/>
                <w:color w:val="auto"/>
              </w:rPr>
              <w:t>948,708</w:t>
            </w:r>
          </w:p>
        </w:tc>
        <w:tc>
          <w:tcPr>
            <w:tcW w:w="180" w:type="dxa"/>
            <w:vAlign w:val="bottom"/>
          </w:tcPr>
          <w:p>
            <w:pPr>
              <w:spacing w:after="0"/>
              <w:rPr>
                <w:sz w:val="16"/>
                <w:szCs w:val="16"/>
                <w:color w:val="auto"/>
              </w:rPr>
            </w:pPr>
          </w:p>
        </w:tc>
      </w:tr>
      <w:tr>
        <w:trPr>
          <w:trHeight w:val="401"/>
        </w:trPr>
        <w:tc>
          <w:tcPr>
            <w:tcW w:w="1160" w:type="dxa"/>
            <w:vAlign w:val="bottom"/>
          </w:tcPr>
          <w:p>
            <w:pPr>
              <w:spacing w:after="0"/>
              <w:rPr>
                <w:sz w:val="24"/>
                <w:szCs w:val="2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2022</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2021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64"/>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tcPr>
          <w:p>
            <w:pPr>
              <w:ind w:left="40"/>
              <w:spacing w:after="0" w:line="164" w:lineRule="exact"/>
              <w:rPr>
                <w:sz w:val="20"/>
                <w:szCs w:val="20"/>
                <w:color w:val="auto"/>
              </w:rPr>
            </w:pPr>
            <w:r>
              <w:rPr>
                <w:rFonts w:ascii="Arial" w:cs="Arial" w:eastAsia="Arial" w:hAnsi="Arial"/>
                <w:sz w:val="17"/>
                <w:szCs w:val="17"/>
                <w:b w:val="1"/>
                <w:bCs w:val="1"/>
                <w:color w:val="auto"/>
              </w:rPr>
              <w:t>Allowance</w:t>
            </w: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4"/>
        </w:trPr>
        <w:tc>
          <w:tcPr>
            <w:tcW w:w="1160" w:type="dxa"/>
            <w:vAlign w:val="bottom"/>
          </w:tcPr>
          <w:p>
            <w:pPr>
              <w:spacing w:after="0"/>
              <w:rPr>
                <w:sz w:val="16"/>
                <w:szCs w:val="16"/>
                <w:color w:val="auto"/>
              </w:rPr>
            </w:pPr>
          </w:p>
        </w:tc>
        <w:tc>
          <w:tcPr>
            <w:tcW w:w="1600" w:type="dxa"/>
            <w:vAlign w:val="bottom"/>
            <w:gridSpan w:val="4"/>
          </w:tcPr>
          <w:p>
            <w:pPr>
              <w:ind w:left="60"/>
              <w:spacing w:after="0" w:line="194" w:lineRule="exact"/>
              <w:rPr>
                <w:sz w:val="20"/>
                <w:szCs w:val="20"/>
                <w:color w:val="auto"/>
              </w:rPr>
            </w:pPr>
            <w:r>
              <w:rPr>
                <w:rFonts w:ascii="Arial" w:cs="Arial" w:eastAsia="Arial" w:hAnsi="Arial"/>
                <w:sz w:val="17"/>
                <w:szCs w:val="17"/>
                <w:b w:val="1"/>
                <w:bCs w:val="1"/>
                <w:color w:val="auto"/>
              </w:rPr>
              <w:t>Renegotiated</w:t>
            </w:r>
          </w:p>
        </w:tc>
        <w:tc>
          <w:tcPr>
            <w:tcW w:w="40" w:type="dxa"/>
            <w:vAlign w:val="bottom"/>
          </w:tcPr>
          <w:p>
            <w:pPr>
              <w:spacing w:after="0"/>
              <w:rPr>
                <w:sz w:val="16"/>
                <w:szCs w:val="16"/>
                <w:color w:val="auto"/>
              </w:rPr>
            </w:pPr>
          </w:p>
        </w:tc>
        <w:tc>
          <w:tcPr>
            <w:tcW w:w="1440" w:type="dxa"/>
            <w:vAlign w:val="bottom"/>
            <w:gridSpan w:val="4"/>
          </w:tcPr>
          <w:p>
            <w:pPr>
              <w:ind w:left="40"/>
              <w:spacing w:after="0" w:line="194" w:lineRule="exact"/>
              <w:rPr>
                <w:sz w:val="20"/>
                <w:szCs w:val="20"/>
                <w:color w:val="auto"/>
              </w:rPr>
            </w:pPr>
            <w:r>
              <w:rPr>
                <w:rFonts w:ascii="Arial" w:cs="Arial" w:eastAsia="Arial" w:hAnsi="Arial"/>
                <w:sz w:val="17"/>
                <w:szCs w:val="17"/>
                <w:b w:val="1"/>
                <w:bCs w:val="1"/>
                <w:color w:val="auto"/>
              </w:rPr>
              <w:t>for loan</w:t>
            </w:r>
          </w:p>
        </w:tc>
        <w:tc>
          <w:tcPr>
            <w:tcW w:w="1540" w:type="dxa"/>
            <w:vAlign w:val="bottom"/>
            <w:gridSpan w:val="3"/>
          </w:tcPr>
          <w:p>
            <w:pPr>
              <w:spacing w:after="0" w:line="194" w:lineRule="exact"/>
              <w:rPr>
                <w:sz w:val="20"/>
                <w:szCs w:val="20"/>
                <w:color w:val="auto"/>
              </w:rPr>
            </w:pPr>
            <w:r>
              <w:rPr>
                <w:rFonts w:ascii="Arial" w:cs="Arial" w:eastAsia="Arial" w:hAnsi="Arial"/>
                <w:sz w:val="17"/>
                <w:szCs w:val="17"/>
                <w:b w:val="1"/>
                <w:bCs w:val="1"/>
                <w:color w:val="auto"/>
              </w:rPr>
              <w:t>Renegotiated</w:t>
            </w:r>
          </w:p>
        </w:tc>
        <w:tc>
          <w:tcPr>
            <w:tcW w:w="40" w:type="dxa"/>
            <w:vAlign w:val="bottom"/>
          </w:tcPr>
          <w:p>
            <w:pPr>
              <w:spacing w:after="0"/>
              <w:rPr>
                <w:sz w:val="16"/>
                <w:szCs w:val="16"/>
                <w:color w:val="auto"/>
              </w:rPr>
            </w:pPr>
          </w:p>
        </w:tc>
        <w:tc>
          <w:tcPr>
            <w:tcW w:w="1240" w:type="dxa"/>
            <w:vAlign w:val="bottom"/>
          </w:tcPr>
          <w:p>
            <w:pPr>
              <w:ind w:left="60"/>
              <w:spacing w:after="0" w:line="194" w:lineRule="exact"/>
              <w:rPr>
                <w:sz w:val="20"/>
                <w:szCs w:val="20"/>
                <w:color w:val="auto"/>
              </w:rPr>
            </w:pPr>
            <w:r>
              <w:rPr>
                <w:rFonts w:ascii="Arial" w:cs="Arial" w:eastAsia="Arial" w:hAnsi="Arial"/>
                <w:sz w:val="17"/>
                <w:szCs w:val="17"/>
                <w:b w:val="1"/>
                <w:bCs w:val="1"/>
                <w:color w:val="auto"/>
              </w:rPr>
              <w:t>Allowance for</w:t>
            </w:r>
          </w:p>
        </w:tc>
        <w:tc>
          <w:tcPr>
            <w:tcW w:w="180" w:type="dxa"/>
            <w:vAlign w:val="bottom"/>
          </w:tcPr>
          <w:p>
            <w:pPr>
              <w:spacing w:after="0"/>
              <w:rPr>
                <w:sz w:val="16"/>
                <w:szCs w:val="16"/>
                <w:color w:val="auto"/>
              </w:rPr>
            </w:pPr>
          </w:p>
        </w:tc>
      </w:tr>
      <w:tr>
        <w:trPr>
          <w:trHeight w:val="217"/>
        </w:trPr>
        <w:tc>
          <w:tcPr>
            <w:tcW w:w="1160" w:type="dxa"/>
            <w:vAlign w:val="bottom"/>
          </w:tcPr>
          <w:p>
            <w:pPr>
              <w:spacing w:after="0"/>
              <w:rPr>
                <w:sz w:val="18"/>
                <w:szCs w:val="18"/>
                <w:color w:val="auto"/>
              </w:rPr>
            </w:pPr>
          </w:p>
        </w:tc>
        <w:tc>
          <w:tcPr>
            <w:tcW w:w="1600" w:type="dxa"/>
            <w:vAlign w:val="bottom"/>
            <w:gridSpan w:val="4"/>
          </w:tcPr>
          <w:p>
            <w:pPr>
              <w:ind w:left="60"/>
              <w:spacing w:after="0"/>
              <w:rPr>
                <w:sz w:val="20"/>
                <w:szCs w:val="20"/>
                <w:color w:val="auto"/>
              </w:rPr>
            </w:pPr>
            <w:r>
              <w:rPr>
                <w:rFonts w:ascii="Arial" w:cs="Arial" w:eastAsia="Arial" w:hAnsi="Arial"/>
                <w:sz w:val="17"/>
                <w:szCs w:val="17"/>
                <w:b w:val="1"/>
                <w:bCs w:val="1"/>
                <w:color w:val="auto"/>
              </w:rPr>
              <w:t>loans COVID</w:t>
            </w:r>
          </w:p>
        </w:tc>
        <w:tc>
          <w:tcPr>
            <w:tcW w:w="40" w:type="dxa"/>
            <w:vAlign w:val="bottom"/>
          </w:tcPr>
          <w:p>
            <w:pPr>
              <w:spacing w:after="0"/>
              <w:rPr>
                <w:sz w:val="18"/>
                <w:szCs w:val="18"/>
                <w:color w:val="auto"/>
              </w:rPr>
            </w:pPr>
          </w:p>
        </w:tc>
        <w:tc>
          <w:tcPr>
            <w:tcW w:w="1440" w:type="dxa"/>
            <w:vAlign w:val="bottom"/>
            <w:gridSpan w:val="4"/>
          </w:tcPr>
          <w:p>
            <w:pPr>
              <w:ind w:left="40"/>
              <w:spacing w:after="0"/>
              <w:rPr>
                <w:sz w:val="20"/>
                <w:szCs w:val="20"/>
                <w:color w:val="auto"/>
              </w:rPr>
            </w:pPr>
            <w:r>
              <w:rPr>
                <w:rFonts w:ascii="Arial" w:cs="Arial" w:eastAsia="Arial" w:hAnsi="Arial"/>
                <w:sz w:val="17"/>
                <w:szCs w:val="17"/>
                <w:b w:val="1"/>
                <w:bCs w:val="1"/>
                <w:color w:val="auto"/>
              </w:rPr>
              <w:t>losses</w:t>
            </w:r>
          </w:p>
        </w:tc>
        <w:tc>
          <w:tcPr>
            <w:tcW w:w="1540" w:type="dxa"/>
            <w:vAlign w:val="bottom"/>
            <w:gridSpan w:val="3"/>
          </w:tcPr>
          <w:p>
            <w:pPr>
              <w:spacing w:after="0"/>
              <w:rPr>
                <w:sz w:val="20"/>
                <w:szCs w:val="20"/>
                <w:color w:val="auto"/>
              </w:rPr>
            </w:pPr>
            <w:r>
              <w:rPr>
                <w:rFonts w:ascii="Arial" w:cs="Arial" w:eastAsia="Arial" w:hAnsi="Arial"/>
                <w:sz w:val="17"/>
                <w:szCs w:val="17"/>
                <w:b w:val="1"/>
                <w:bCs w:val="1"/>
                <w:color w:val="auto"/>
              </w:rPr>
              <w:t>loans COVID</w:t>
            </w:r>
          </w:p>
        </w:tc>
        <w:tc>
          <w:tcPr>
            <w:tcW w:w="4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7"/>
                <w:szCs w:val="17"/>
                <w:b w:val="1"/>
                <w:bCs w:val="1"/>
                <w:color w:val="auto"/>
              </w:rPr>
              <w:t>loan losses</w:t>
            </w:r>
          </w:p>
        </w:tc>
        <w:tc>
          <w:tcPr>
            <w:tcW w:w="18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46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S/(000)</w:t>
            </w:r>
          </w:p>
        </w:tc>
        <w:tc>
          <w:tcPr>
            <w:tcW w:w="160" w:type="dxa"/>
            <w:vAlign w:val="bottom"/>
            <w:gridSpan w:val="2"/>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1160" w:type="dxa"/>
            <w:vAlign w:val="bottom"/>
          </w:tcPr>
          <w:p>
            <w:pPr>
              <w:spacing w:after="0"/>
              <w:rPr>
                <w:sz w:val="20"/>
                <w:szCs w:val="20"/>
                <w:color w:val="auto"/>
              </w:rPr>
            </w:pPr>
            <w:r>
              <w:rPr>
                <w:rFonts w:ascii="Arial" w:cs="Arial" w:eastAsia="Arial" w:hAnsi="Arial"/>
                <w:sz w:val="17"/>
                <w:szCs w:val="17"/>
                <w:color w:val="auto"/>
              </w:rPr>
              <w:t>Stage 1</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5,137,915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60,660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10,747,826</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178,357</w:t>
            </w:r>
          </w:p>
        </w:tc>
        <w:tc>
          <w:tcPr>
            <w:tcW w:w="180" w:type="dxa"/>
            <w:vAlign w:val="bottom"/>
          </w:tcPr>
          <w:p>
            <w:pPr>
              <w:spacing w:after="0"/>
              <w:rPr>
                <w:sz w:val="24"/>
                <w:szCs w:val="24"/>
                <w:color w:val="auto"/>
              </w:rPr>
            </w:pPr>
          </w:p>
        </w:tc>
      </w:tr>
      <w:tr>
        <w:trPr>
          <w:trHeight w:val="194"/>
        </w:trPr>
        <w:tc>
          <w:tcPr>
            <w:tcW w:w="1160" w:type="dxa"/>
            <w:vAlign w:val="bottom"/>
          </w:tcPr>
          <w:p>
            <w:pPr>
              <w:spacing w:after="0" w:line="194" w:lineRule="exact"/>
              <w:rPr>
                <w:sz w:val="20"/>
                <w:szCs w:val="20"/>
                <w:color w:val="auto"/>
              </w:rPr>
            </w:pPr>
            <w:r>
              <w:rPr>
                <w:rFonts w:ascii="Arial" w:cs="Arial" w:eastAsia="Arial" w:hAnsi="Arial"/>
                <w:sz w:val="17"/>
                <w:szCs w:val="17"/>
                <w:color w:val="auto"/>
              </w:rPr>
              <w:t>Stage 2</w:t>
            </w:r>
          </w:p>
        </w:tc>
        <w:tc>
          <w:tcPr>
            <w:tcW w:w="1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2,544,631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211,866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5,440,274</w:t>
            </w:r>
          </w:p>
        </w:tc>
        <w:tc>
          <w:tcPr>
            <w:tcW w:w="120" w:type="dxa"/>
            <w:vAlign w:val="bottom"/>
          </w:tcPr>
          <w:p>
            <w:pPr>
              <w:spacing w:after="0"/>
              <w:rPr>
                <w:sz w:val="16"/>
                <w:szCs w:val="16"/>
                <w:color w:val="auto"/>
              </w:rPr>
            </w:pPr>
          </w:p>
        </w:tc>
        <w:tc>
          <w:tcPr>
            <w:tcW w:w="1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666,092</w:t>
            </w:r>
          </w:p>
        </w:tc>
        <w:tc>
          <w:tcPr>
            <w:tcW w:w="180" w:type="dxa"/>
            <w:vAlign w:val="bottom"/>
          </w:tcPr>
          <w:p>
            <w:pPr>
              <w:spacing w:after="0"/>
              <w:rPr>
                <w:sz w:val="16"/>
                <w:szCs w:val="16"/>
                <w:color w:val="auto"/>
              </w:rPr>
            </w:pPr>
          </w:p>
        </w:tc>
      </w:tr>
      <w:tr>
        <w:trPr>
          <w:trHeight w:val="195"/>
        </w:trPr>
        <w:tc>
          <w:tcPr>
            <w:tcW w:w="1160" w:type="dxa"/>
            <w:vAlign w:val="bottom"/>
          </w:tcPr>
          <w:p>
            <w:pPr>
              <w:spacing w:after="0"/>
              <w:rPr>
                <w:sz w:val="20"/>
                <w:szCs w:val="20"/>
                <w:color w:val="auto"/>
              </w:rPr>
            </w:pPr>
            <w:r>
              <w:rPr>
                <w:rFonts w:ascii="Arial" w:cs="Arial" w:eastAsia="Arial" w:hAnsi="Arial"/>
                <w:sz w:val="17"/>
                <w:szCs w:val="17"/>
                <w:color w:val="auto"/>
              </w:rPr>
              <w:t>Stage 3</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2,023,938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1,268,559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2,752,914</w:t>
            </w: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1,567,504</w:t>
            </w:r>
          </w:p>
        </w:tc>
        <w:tc>
          <w:tcPr>
            <w:tcW w:w="180" w:type="dxa"/>
            <w:vAlign w:val="bottom"/>
          </w:tcPr>
          <w:p>
            <w:pPr>
              <w:spacing w:after="0"/>
              <w:rPr>
                <w:sz w:val="16"/>
                <w:szCs w:val="16"/>
                <w:color w:val="auto"/>
              </w:rPr>
            </w:pPr>
          </w:p>
        </w:tc>
      </w:tr>
      <w:tr>
        <w:trPr>
          <w:trHeight w:val="193"/>
        </w:trPr>
        <w:tc>
          <w:tcPr>
            <w:tcW w:w="116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420" w:type="dxa"/>
            <w:vAlign w:val="bottom"/>
            <w:tcBorders>
              <w:top w:val="single" w:sz="8" w:color="auto"/>
              <w:bottom w:val="single" w:sz="8" w:color="auto"/>
            </w:tcBorders>
            <w:gridSpan w:val="2"/>
          </w:tcPr>
          <w:p>
            <w:pPr>
              <w:jc w:val="right"/>
              <w:spacing w:after="0" w:line="187" w:lineRule="exact"/>
              <w:rPr>
                <w:sz w:val="20"/>
                <w:szCs w:val="20"/>
                <w:color w:val="auto"/>
              </w:rPr>
            </w:pPr>
            <w:r>
              <w:rPr>
                <w:rFonts w:ascii="Arial" w:cs="Arial" w:eastAsia="Arial" w:hAnsi="Arial"/>
                <w:sz w:val="17"/>
                <w:szCs w:val="17"/>
                <w:color w:val="auto"/>
              </w:rPr>
              <w:t>9,706,484</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1,541,085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2"/>
          </w:tcPr>
          <w:p>
            <w:pPr>
              <w:jc w:val="right"/>
              <w:ind w:right="60"/>
              <w:spacing w:after="0" w:line="187" w:lineRule="exact"/>
              <w:rPr>
                <w:sz w:val="20"/>
                <w:szCs w:val="20"/>
                <w:color w:val="auto"/>
              </w:rPr>
            </w:pPr>
            <w:r>
              <w:rPr>
                <w:rFonts w:ascii="Arial" w:cs="Arial" w:eastAsia="Arial" w:hAnsi="Arial"/>
                <w:sz w:val="17"/>
                <w:szCs w:val="17"/>
                <w:color w:val="auto"/>
              </w:rPr>
              <w:t>18,941,014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2,411,953</w:t>
            </w:r>
          </w:p>
        </w:tc>
        <w:tc>
          <w:tcPr>
            <w:tcW w:w="180" w:type="dxa"/>
            <w:vAlign w:val="bottom"/>
          </w:tcPr>
          <w:p>
            <w:pPr>
              <w:spacing w:after="0"/>
              <w:rPr>
                <w:sz w:val="16"/>
                <w:szCs w:val="16"/>
                <w:color w:val="auto"/>
              </w:rPr>
            </w:pPr>
          </w:p>
        </w:tc>
      </w:tr>
    </w:tbl>
    <w:p>
      <w:pPr>
        <w:spacing w:after="0" w:line="193" w:lineRule="exact"/>
        <w:rPr>
          <w:sz w:val="20"/>
          <w:szCs w:val="20"/>
          <w:color w:val="auto"/>
        </w:rPr>
      </w:pPr>
    </w:p>
    <w:p>
      <w:pPr>
        <w:ind w:left="8"/>
        <w:spacing w:after="0" w:line="254" w:lineRule="auto"/>
        <w:rPr>
          <w:sz w:val="20"/>
          <w:szCs w:val="20"/>
          <w:color w:val="auto"/>
        </w:rPr>
      </w:pPr>
      <w:r>
        <w:rPr>
          <w:rFonts w:ascii="Arial" w:cs="Arial" w:eastAsia="Arial" w:hAnsi="Arial"/>
          <w:sz w:val="17"/>
          <w:szCs w:val="17"/>
          <w:color w:val="auto"/>
        </w:rPr>
        <w:t>The detail of the gross amount of impaired direct loans by type of loan, together with the fair value of the related collateral and the amounts of its allowance for loan losses, are as follows:</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67"/>
        </w:trPr>
        <w:tc>
          <w:tcPr>
            <w:tcW w:w="14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tcPr>
          <w:p>
            <w:pPr>
              <w:ind w:left="40"/>
              <w:spacing w:after="0" w:line="137" w:lineRule="exact"/>
              <w:rPr>
                <w:sz w:val="20"/>
                <w:szCs w:val="20"/>
                <w:color w:val="auto"/>
              </w:rPr>
            </w:pPr>
            <w:r>
              <w:rPr>
                <w:rFonts w:ascii="Arial" w:cs="Arial" w:eastAsia="Arial" w:hAnsi="Arial"/>
                <w:sz w:val="14"/>
                <w:szCs w:val="14"/>
                <w:b w:val="1"/>
                <w:bCs w:val="1"/>
                <w:color w:val="auto"/>
              </w:rPr>
              <w:t>Residential</w:t>
            </w:r>
          </w:p>
        </w:tc>
        <w:tc>
          <w:tcPr>
            <w:tcW w:w="9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b w:val="1"/>
                <w:bCs w:val="1"/>
                <w:color w:val="auto"/>
              </w:rPr>
              <w:t>Residential</w:t>
            </w: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1440" w:type="dxa"/>
            <w:vAlign w:val="bottom"/>
          </w:tcPr>
          <w:p>
            <w:pPr>
              <w:spacing w:after="0"/>
              <w:rPr>
                <w:sz w:val="13"/>
                <w:szCs w:val="13"/>
                <w:color w:val="auto"/>
              </w:rPr>
            </w:pPr>
          </w:p>
        </w:tc>
        <w:tc>
          <w:tcPr>
            <w:tcW w:w="9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Commercial</w:t>
            </w: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mortgage</w:t>
            </w:r>
          </w:p>
        </w:tc>
        <w:tc>
          <w:tcPr>
            <w:tcW w:w="1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Microbusiness</w:t>
            </w:r>
          </w:p>
        </w:tc>
        <w:tc>
          <w:tcPr>
            <w:tcW w:w="8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Consumer</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7"/>
              </w:rPr>
              <w:t>Commercial</w:t>
            </w:r>
          </w:p>
        </w:tc>
        <w:tc>
          <w:tcPr>
            <w:tcW w:w="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mortgage</w:t>
            </w:r>
          </w:p>
        </w:tc>
        <w:tc>
          <w:tcPr>
            <w:tcW w:w="980" w:type="dxa"/>
            <w:vAlign w:val="bottom"/>
          </w:tcPr>
          <w:p>
            <w:pPr>
              <w:spacing w:after="0" w:line="155" w:lineRule="exact"/>
              <w:rPr>
                <w:sz w:val="20"/>
                <w:szCs w:val="20"/>
                <w:color w:val="auto"/>
              </w:rPr>
            </w:pPr>
            <w:r>
              <w:rPr>
                <w:rFonts w:ascii="Arial" w:cs="Arial" w:eastAsia="Arial" w:hAnsi="Arial"/>
                <w:sz w:val="14"/>
                <w:szCs w:val="14"/>
                <w:b w:val="1"/>
                <w:bCs w:val="1"/>
                <w:color w:val="auto"/>
                <w:w w:val="97"/>
              </w:rPr>
              <w:t>Microbusiness</w:t>
            </w:r>
          </w:p>
        </w:tc>
        <w:tc>
          <w:tcPr>
            <w:tcW w:w="88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Consumer</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4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loans</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loans</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loans</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loans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loans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loans</w:t>
            </w:r>
          </w:p>
        </w:tc>
        <w:tc>
          <w:tcPr>
            <w:tcW w:w="980" w:type="dxa"/>
            <w:vAlign w:val="bottom"/>
          </w:tcPr>
          <w:p>
            <w:pPr>
              <w:spacing w:after="0"/>
              <w:rPr>
                <w:sz w:val="20"/>
                <w:szCs w:val="20"/>
                <w:color w:val="auto"/>
              </w:rPr>
            </w:pPr>
            <w:r>
              <w:rPr>
                <w:rFonts w:ascii="Arial" w:cs="Arial" w:eastAsia="Arial" w:hAnsi="Arial"/>
                <w:sz w:val="14"/>
                <w:szCs w:val="14"/>
                <w:b w:val="1"/>
                <w:bCs w:val="1"/>
                <w:color w:val="auto"/>
              </w:rPr>
              <w:t>loans</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loans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53"/>
        </w:trPr>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3"/>
                <w:szCs w:val="13"/>
                <w:color w:val="auto"/>
              </w:rPr>
            </w:pPr>
          </w:p>
        </w:tc>
      </w:tr>
      <w:tr>
        <w:trPr>
          <w:trHeight w:val="155"/>
        </w:trPr>
        <w:tc>
          <w:tcPr>
            <w:tcW w:w="1440" w:type="dxa"/>
            <w:vAlign w:val="bottom"/>
          </w:tcPr>
          <w:p>
            <w:pPr>
              <w:spacing w:after="0" w:line="155" w:lineRule="exact"/>
              <w:rPr>
                <w:sz w:val="20"/>
                <w:szCs w:val="20"/>
                <w:color w:val="auto"/>
              </w:rPr>
            </w:pPr>
            <w:r>
              <w:rPr>
                <w:rFonts w:ascii="Arial" w:cs="Arial" w:eastAsia="Arial" w:hAnsi="Arial"/>
                <w:sz w:val="14"/>
                <w:szCs w:val="14"/>
                <w:color w:val="auto"/>
              </w:rPr>
              <w:t>Impaired loans</w:t>
            </w:r>
          </w:p>
        </w:tc>
        <w:tc>
          <w:tcPr>
            <w:tcW w:w="9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6,439,760</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1,388,060</w:t>
            </w:r>
          </w:p>
        </w:tc>
        <w:tc>
          <w:tcPr>
            <w:tcW w:w="80" w:type="dxa"/>
            <w:vAlign w:val="bottom"/>
          </w:tcPr>
          <w:p>
            <w:pPr>
              <w:spacing w:after="0"/>
              <w:rPr>
                <w:sz w:val="13"/>
                <w:szCs w:val="13"/>
                <w:color w:val="auto"/>
              </w:rPr>
            </w:pPr>
          </w:p>
        </w:tc>
        <w:tc>
          <w:tcPr>
            <w:tcW w:w="1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1,741,439</w:t>
            </w:r>
          </w:p>
        </w:tc>
        <w:tc>
          <w:tcPr>
            <w:tcW w:w="8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1,099,382</w:t>
            </w: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6"/>
              </w:rPr>
              <w:t>10,668,641</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6,906,547</w:t>
            </w:r>
          </w:p>
        </w:tc>
        <w:tc>
          <w:tcPr>
            <w:tcW w:w="100" w:type="dxa"/>
            <w:vAlign w:val="bottom"/>
          </w:tcPr>
          <w:p>
            <w:pPr>
              <w:spacing w:after="0"/>
              <w:rPr>
                <w:sz w:val="13"/>
                <w:szCs w:val="13"/>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1,371,146</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1,906,172</w:t>
            </w:r>
          </w:p>
        </w:tc>
        <w:tc>
          <w:tcPr>
            <w:tcW w:w="88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1,099,328</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6"/>
              </w:rPr>
              <w:t>11,283,193</w:t>
            </w:r>
          </w:p>
        </w:tc>
      </w:tr>
      <w:tr>
        <w:trPr>
          <w:trHeight w:val="155"/>
        </w:trPr>
        <w:tc>
          <w:tcPr>
            <w:tcW w:w="1440" w:type="dxa"/>
            <w:vAlign w:val="bottom"/>
          </w:tcPr>
          <w:p>
            <w:pPr>
              <w:spacing w:after="0" w:line="155" w:lineRule="exact"/>
              <w:rPr>
                <w:sz w:val="20"/>
                <w:szCs w:val="20"/>
                <w:color w:val="auto"/>
              </w:rPr>
            </w:pPr>
            <w:r>
              <w:rPr>
                <w:rFonts w:ascii="Arial" w:cs="Arial" w:eastAsia="Arial" w:hAnsi="Arial"/>
                <w:sz w:val="14"/>
                <w:szCs w:val="14"/>
                <w:color w:val="auto"/>
              </w:rPr>
              <w:t>Fair value of collateral</w:t>
            </w:r>
          </w:p>
        </w:tc>
        <w:tc>
          <w:tcPr>
            <w:tcW w:w="9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5,646,832</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1,204,144</w:t>
            </w:r>
          </w:p>
        </w:tc>
        <w:tc>
          <w:tcPr>
            <w:tcW w:w="80" w:type="dxa"/>
            <w:vAlign w:val="bottom"/>
          </w:tcPr>
          <w:p>
            <w:pPr>
              <w:spacing w:after="0"/>
              <w:rPr>
                <w:sz w:val="13"/>
                <w:szCs w:val="13"/>
                <w:color w:val="auto"/>
              </w:rPr>
            </w:pPr>
          </w:p>
        </w:tc>
        <w:tc>
          <w:tcPr>
            <w:tcW w:w="1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440,715</w:t>
            </w:r>
          </w:p>
        </w:tc>
        <w:tc>
          <w:tcPr>
            <w:tcW w:w="8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279,380</w:t>
            </w: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7,571,071</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6,298,966</w:t>
            </w:r>
          </w:p>
        </w:tc>
        <w:tc>
          <w:tcPr>
            <w:tcW w:w="100" w:type="dxa"/>
            <w:vAlign w:val="bottom"/>
          </w:tcPr>
          <w:p>
            <w:pPr>
              <w:spacing w:after="0"/>
              <w:rPr>
                <w:sz w:val="13"/>
                <w:szCs w:val="13"/>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1,181,979</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486,477</w:t>
            </w:r>
          </w:p>
        </w:tc>
        <w:tc>
          <w:tcPr>
            <w:tcW w:w="88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279,861</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8,247,283</w:t>
            </w:r>
          </w:p>
        </w:tc>
      </w:tr>
      <w:tr>
        <w:trPr>
          <w:trHeight w:val="155"/>
        </w:trPr>
        <w:tc>
          <w:tcPr>
            <w:tcW w:w="1440" w:type="dxa"/>
            <w:vAlign w:val="bottom"/>
          </w:tcPr>
          <w:p>
            <w:pPr>
              <w:spacing w:after="0" w:line="155" w:lineRule="exact"/>
              <w:rPr>
                <w:sz w:val="20"/>
                <w:szCs w:val="20"/>
                <w:color w:val="auto"/>
              </w:rPr>
            </w:pPr>
            <w:r>
              <w:rPr>
                <w:rFonts w:ascii="Arial" w:cs="Arial" w:eastAsia="Arial" w:hAnsi="Arial"/>
                <w:sz w:val="14"/>
                <w:szCs w:val="14"/>
                <w:color w:val="auto"/>
              </w:rPr>
              <w:t>Provision for credit</w:t>
            </w:r>
          </w:p>
        </w:tc>
        <w:tc>
          <w:tcPr>
            <w:tcW w:w="9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2,260,569</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757,778</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940,872</w:t>
            </w: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5,072,364</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440" w:type="dxa"/>
            <w:vAlign w:val="bottom"/>
          </w:tcPr>
          <w:p>
            <w:pPr>
              <w:spacing w:after="0"/>
              <w:rPr>
                <w:sz w:val="20"/>
                <w:szCs w:val="20"/>
                <w:color w:val="auto"/>
              </w:rPr>
            </w:pPr>
            <w:r>
              <w:rPr>
                <w:rFonts w:ascii="Arial" w:cs="Arial" w:eastAsia="Arial" w:hAnsi="Arial"/>
                <w:sz w:val="14"/>
                <w:szCs w:val="14"/>
                <w:color w:val="auto"/>
              </w:rPr>
              <w:t>losses</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1,113,145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2,206,979</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800,639</w:t>
            </w:r>
          </w:p>
        </w:tc>
        <w:tc>
          <w:tcPr>
            <w:tcW w:w="980" w:type="dxa"/>
            <w:vAlign w:val="bottom"/>
          </w:tcPr>
          <w:p>
            <w:pPr>
              <w:jc w:val="right"/>
              <w:spacing w:after="0"/>
              <w:rPr>
                <w:sz w:val="20"/>
                <w:szCs w:val="20"/>
                <w:color w:val="auto"/>
              </w:rPr>
            </w:pPr>
            <w:r>
              <w:rPr>
                <w:rFonts w:ascii="Arial" w:cs="Arial" w:eastAsia="Arial" w:hAnsi="Arial"/>
                <w:sz w:val="14"/>
                <w:szCs w:val="14"/>
                <w:color w:val="auto"/>
              </w:rPr>
              <w:t>1,148,628</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941,416</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5,097,662</w:t>
            </w:r>
          </w:p>
        </w:tc>
      </w:tr>
    </w:tbl>
    <w:p>
      <w:pPr>
        <w:spacing w:after="0" w:line="348" w:lineRule="exact"/>
        <w:rPr>
          <w:sz w:val="20"/>
          <w:szCs w:val="20"/>
          <w:color w:val="auto"/>
        </w:rPr>
      </w:pPr>
    </w:p>
    <w:p>
      <w:pPr>
        <w:ind w:left="4748"/>
        <w:spacing w:after="0"/>
        <w:rPr>
          <w:sz w:val="20"/>
          <w:szCs w:val="20"/>
          <w:color w:val="auto"/>
        </w:rPr>
      </w:pPr>
      <w:r>
        <w:rPr>
          <w:rFonts w:ascii="Arial" w:cs="Arial" w:eastAsia="Arial" w:hAnsi="Arial"/>
          <w:sz w:val="17"/>
          <w:szCs w:val="17"/>
          <w:color w:val="auto"/>
        </w:rPr>
        <w:t>- 149 -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40640</wp:posOffset>
            </wp:positionV>
            <wp:extent cx="713803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8"/>
          </w:cols>
          <w:pgMar w:left="932" w:top="333" w:right="339" w:bottom="1440" w:gutter="0" w:footer="0" w:header="0"/>
        </w:sectPr>
      </w:pPr>
    </w:p>
    <w:bookmarkStart w:id="154" w:name="page155"/>
    <w:bookmarkEnd w:id="154"/>
    <w:p>
      <w:pPr>
        <w:ind w:left="320"/>
        <w:spacing w:after="0"/>
        <w:rPr>
          <w:sz w:val="20"/>
          <w:szCs w:val="20"/>
          <w:color w:val="auto"/>
        </w:rPr>
      </w:pPr>
      <w:r>
        <w:rPr>
          <w:rFonts w:ascii="Arial" w:cs="Arial" w:eastAsia="Arial" w:hAnsi="Arial"/>
          <w:sz w:val="17"/>
          <w:szCs w:val="17"/>
          <w:color w:val="auto"/>
        </w:rPr>
        <w:t>On the other hand, the breakdown of direct loans classified by maturity is shown below, according to the following criteria:</w:t>
      </w:r>
    </w:p>
    <w:p>
      <w:pPr>
        <w:spacing w:after="0" w:line="193" w:lineRule="exact"/>
        <w:rPr>
          <w:sz w:val="20"/>
          <w:szCs w:val="20"/>
          <w:color w:val="auto"/>
        </w:rPr>
      </w:pPr>
    </w:p>
    <w:p>
      <w:pPr>
        <w:ind w:left="720" w:right="220" w:hanging="354"/>
        <w:spacing w:after="0" w:line="238" w:lineRule="auto"/>
        <w:tabs>
          <w:tab w:leader="none" w:pos="7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Current loans, which comprise those direct loans which do not currently have characteristics of delay in payment, nor are they in default or stage 3, according to the rules of IFRS 9.</w:t>
      </w:r>
    </w:p>
    <w:p>
      <w:pPr>
        <w:ind w:left="720" w:right="180" w:hanging="354"/>
        <w:spacing w:after="0" w:line="238" w:lineRule="auto"/>
        <w:tabs>
          <w:tab w:leader="none" w:pos="7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Current but impaired loans, which comprise those direct loans which do not currently have characteristics of delay in payment, but are in default or stage 3, according to IFRS 9.</w:t>
      </w:r>
    </w:p>
    <w:p>
      <w:pPr>
        <w:ind w:left="720" w:right="180" w:hanging="354"/>
        <w:spacing w:after="0" w:line="238" w:lineRule="auto"/>
        <w:tabs>
          <w:tab w:leader="none" w:pos="7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Loans with payment delay of one day or more but that are not past due according to our internal guidelines, which comprise those direct loans of customers who have failed to make a payment at its contractual maturity, that is, with at least one day past due. However, the days of delay in payment are insufficient to be considered as past due under the Group’s internal criteria.</w:t>
      </w:r>
    </w:p>
    <w:p>
      <w:pPr>
        <w:spacing w:after="0" w:line="1" w:lineRule="exact"/>
        <w:rPr>
          <w:rFonts w:ascii="Arial" w:cs="Arial" w:eastAsia="Arial" w:hAnsi="Arial"/>
          <w:sz w:val="17"/>
          <w:szCs w:val="17"/>
          <w:color w:val="auto"/>
        </w:rPr>
      </w:pPr>
    </w:p>
    <w:p>
      <w:pPr>
        <w:ind w:left="720" w:hanging="354"/>
        <w:spacing w:after="0"/>
        <w:tabs>
          <w:tab w:leader="none" w:pos="7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Past due loans under internal criteria.</w:t>
      </w:r>
    </w:p>
    <w:p>
      <w:pPr>
        <w:spacing w:after="0" w:line="193" w:lineRule="exact"/>
        <w:rPr>
          <w:sz w:val="20"/>
          <w:szCs w:val="20"/>
          <w:color w:val="auto"/>
        </w:rPr>
      </w:pPr>
    </w:p>
    <w:p>
      <w:pPr>
        <w:ind w:left="320" w:right="40"/>
        <w:spacing w:after="0" w:line="254" w:lineRule="auto"/>
        <w:rPr>
          <w:sz w:val="20"/>
          <w:szCs w:val="20"/>
          <w:color w:val="auto"/>
        </w:rPr>
      </w:pPr>
      <w:r>
        <w:rPr>
          <w:rFonts w:ascii="Arial" w:cs="Arial" w:eastAsia="Arial" w:hAnsi="Arial"/>
          <w:sz w:val="17"/>
          <w:szCs w:val="17"/>
          <w:color w:val="auto"/>
        </w:rPr>
        <w:t>The total of the concepts: loans with a delay of payment from the first day and the amounts of the internal overdue loans reflect the totality of "past due" loans consistent with IFRS 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 w:type="dxa"/>
            <w:vAlign w:val="bottom"/>
          </w:tcPr>
          <w:p>
            <w:pPr>
              <w:spacing w:after="0"/>
              <w:rPr>
                <w:sz w:val="14"/>
                <w:szCs w:val="14"/>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7" w:lineRule="exact"/>
              <w:rPr>
                <w:sz w:val="20"/>
                <w:szCs w:val="20"/>
                <w:color w:val="auto"/>
              </w:rPr>
            </w:pPr>
            <w:r>
              <w:rPr>
                <w:rFonts w:ascii="Arial" w:cs="Arial" w:eastAsia="Arial" w:hAnsi="Arial"/>
                <w:sz w:val="14"/>
                <w:szCs w:val="14"/>
                <w:b w:val="1"/>
                <w:bCs w:val="1"/>
                <w:color w:val="auto"/>
              </w:rPr>
              <w:t>Loans with</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3"/>
          </w:tcPr>
          <w:p>
            <w:pPr>
              <w:ind w:left="160"/>
              <w:spacing w:after="0" w:line="137" w:lineRule="exact"/>
              <w:rPr>
                <w:sz w:val="20"/>
                <w:szCs w:val="20"/>
                <w:color w:val="auto"/>
              </w:rPr>
            </w:pPr>
            <w:r>
              <w:rPr>
                <w:rFonts w:ascii="Arial" w:cs="Arial" w:eastAsia="Arial" w:hAnsi="Arial"/>
                <w:sz w:val="14"/>
                <w:szCs w:val="14"/>
                <w:b w:val="1"/>
                <w:bCs w:val="1"/>
                <w:color w:val="auto"/>
              </w:rPr>
              <w:t>Loans with</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delays in</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delays in</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payments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of one day</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of one day</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or more</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or more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but not</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but not</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considered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Current</w:t>
            </w: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considered</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past</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but</w:t>
            </w:r>
          </w:p>
        </w:tc>
        <w:tc>
          <w:tcPr>
            <w:tcW w:w="9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internal</w:t>
            </w:r>
          </w:p>
        </w:tc>
        <w:tc>
          <w:tcPr>
            <w:tcW w:w="96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Internal</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past</w:t>
            </w:r>
          </w:p>
        </w:tc>
        <w:tc>
          <w:tcPr>
            <w:tcW w:w="840" w:type="dxa"/>
            <w:vAlign w:val="bottom"/>
          </w:tcPr>
          <w:p>
            <w:pPr>
              <w:spacing w:after="0"/>
              <w:rPr>
                <w:sz w:val="13"/>
                <w:szCs w:val="13"/>
                <w:color w:val="auto"/>
              </w:rPr>
            </w:pPr>
          </w:p>
        </w:tc>
        <w:tc>
          <w:tcPr>
            <w:tcW w:w="8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but</w:t>
            </w: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internal</w:t>
            </w:r>
          </w:p>
        </w:tc>
        <w:tc>
          <w:tcPr>
            <w:tcW w:w="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Internal</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due</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Current</w:t>
            </w: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impaired</w:t>
            </w:r>
          </w:p>
        </w:tc>
        <w:tc>
          <w:tcPr>
            <w:tcW w:w="9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overdue</w:t>
            </w:r>
          </w:p>
        </w:tc>
        <w:tc>
          <w:tcPr>
            <w:tcW w:w="96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overdue</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due under</w:t>
            </w:r>
          </w:p>
        </w:tc>
        <w:tc>
          <w:tcPr>
            <w:tcW w:w="840" w:type="dxa"/>
            <w:vAlign w:val="bottom"/>
          </w:tcPr>
          <w:p>
            <w:pPr>
              <w:spacing w:after="0" w:line="155" w:lineRule="exact"/>
              <w:rPr>
                <w:sz w:val="20"/>
                <w:szCs w:val="20"/>
                <w:color w:val="auto"/>
              </w:rPr>
            </w:pPr>
            <w:r>
              <w:rPr>
                <w:rFonts w:ascii="Arial" w:cs="Arial" w:eastAsia="Arial" w:hAnsi="Arial"/>
                <w:sz w:val="14"/>
                <w:szCs w:val="14"/>
                <w:b w:val="1"/>
                <w:bCs w:val="1"/>
                <w:color w:val="auto"/>
              </w:rPr>
              <w:t>Current</w:t>
            </w:r>
          </w:p>
        </w:tc>
        <w:tc>
          <w:tcPr>
            <w:tcW w:w="8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impaired</w:t>
            </w: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overdue</w:t>
            </w:r>
          </w:p>
        </w:tc>
        <w:tc>
          <w:tcPr>
            <w:tcW w:w="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overdue</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under</w:t>
            </w: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loans</w:t>
            </w:r>
          </w:p>
        </w:tc>
        <w:tc>
          <w:tcPr>
            <w:tcW w:w="660" w:type="dxa"/>
            <w:vAlign w:val="bottom"/>
          </w:tcPr>
          <w:p>
            <w:pPr>
              <w:spacing w:after="0"/>
              <w:rPr>
                <w:sz w:val="20"/>
                <w:szCs w:val="20"/>
                <w:color w:val="auto"/>
              </w:rPr>
            </w:pPr>
            <w:r>
              <w:rPr>
                <w:rFonts w:ascii="Arial" w:cs="Arial" w:eastAsia="Arial" w:hAnsi="Arial"/>
                <w:sz w:val="14"/>
                <w:szCs w:val="14"/>
                <w:b w:val="1"/>
                <w:bCs w:val="1"/>
                <w:color w:val="auto"/>
              </w:rPr>
              <w:t>loans</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loans</w:t>
            </w: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rPr>
              <w:t>loans</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IFRS 7</w:t>
            </w:r>
          </w:p>
        </w:tc>
        <w:tc>
          <w:tcPr>
            <w:tcW w:w="840" w:type="dxa"/>
            <w:vAlign w:val="bottom"/>
          </w:tcPr>
          <w:p>
            <w:pPr>
              <w:spacing w:after="0"/>
              <w:rPr>
                <w:sz w:val="20"/>
                <w:szCs w:val="20"/>
                <w:color w:val="auto"/>
              </w:rPr>
            </w:pPr>
            <w:r>
              <w:rPr>
                <w:rFonts w:ascii="Arial" w:cs="Arial" w:eastAsia="Arial" w:hAnsi="Arial"/>
                <w:sz w:val="14"/>
                <w:szCs w:val="14"/>
                <w:b w:val="1"/>
                <w:bCs w:val="1"/>
                <w:color w:val="auto"/>
              </w:rPr>
              <w:t>loans</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loans</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loans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loans</w:t>
            </w:r>
          </w:p>
        </w:tc>
        <w:tc>
          <w:tcPr>
            <w:tcW w:w="8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IFRS 7</w:t>
            </w:r>
          </w:p>
        </w:tc>
        <w:tc>
          <w:tcPr>
            <w:tcW w:w="0" w:type="dxa"/>
            <w:vAlign w:val="bottom"/>
          </w:tcPr>
          <w:p>
            <w:pPr>
              <w:spacing w:after="0"/>
              <w:rPr>
                <w:sz w:val="1"/>
                <w:szCs w:val="1"/>
                <w:color w:val="auto"/>
              </w:rPr>
            </w:pPr>
          </w:p>
        </w:tc>
      </w:tr>
      <w:tr>
        <w:trPr>
          <w:trHeight w:val="174"/>
        </w:trPr>
        <w:tc>
          <w:tcPr>
            <w:tcW w:w="700" w:type="dxa"/>
            <w:vAlign w:val="bottom"/>
            <w:vMerge w:val="restart"/>
          </w:tcPr>
          <w:p>
            <w:pPr>
              <w:spacing w:after="0"/>
              <w:rPr>
                <w:sz w:val="20"/>
                <w:szCs w:val="20"/>
                <w:color w:val="auto"/>
              </w:rPr>
            </w:pPr>
            <w:r>
              <w:rPr>
                <w:rFonts w:ascii="Arial" w:cs="Arial" w:eastAsia="Arial" w:hAnsi="Arial"/>
                <w:sz w:val="14"/>
                <w:szCs w:val="14"/>
                <w:color w:val="auto"/>
              </w:rPr>
              <w:t>Neither</w:t>
            </w:r>
          </w:p>
        </w:tc>
        <w:tc>
          <w:tcPr>
            <w:tcW w:w="8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34"/>
        </w:trPr>
        <w:tc>
          <w:tcPr>
            <w:tcW w:w="70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160"/>
              <w:spacing w:after="0" w:line="155" w:lineRule="exact"/>
              <w:rPr>
                <w:sz w:val="20"/>
                <w:szCs w:val="20"/>
                <w:color w:val="auto"/>
              </w:rPr>
            </w:pPr>
            <w:r>
              <w:rPr>
                <w:rFonts w:ascii="Arial" w:cs="Arial" w:eastAsia="Arial" w:hAnsi="Arial"/>
                <w:sz w:val="14"/>
                <w:szCs w:val="14"/>
                <w:color w:val="auto"/>
                <w:w w:val="96"/>
              </w:rPr>
              <w:t>past due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160"/>
              <w:spacing w:after="0" w:line="155" w:lineRule="exact"/>
              <w:rPr>
                <w:sz w:val="20"/>
                <w:szCs w:val="20"/>
                <w:color w:val="auto"/>
              </w:rPr>
            </w:pPr>
            <w:r>
              <w:rPr>
                <w:rFonts w:ascii="Arial" w:cs="Arial" w:eastAsia="Arial" w:hAnsi="Arial"/>
                <w:sz w:val="14"/>
                <w:szCs w:val="14"/>
                <w:color w:val="auto"/>
              </w:rPr>
              <w:t>nor</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80" w:type="dxa"/>
            <w:vAlign w:val="bottom"/>
            <w:gridSpan w:val="3"/>
          </w:tcPr>
          <w:p>
            <w:pPr>
              <w:ind w:left="160"/>
              <w:spacing w:after="0" w:line="155" w:lineRule="exact"/>
              <w:rPr>
                <w:sz w:val="20"/>
                <w:szCs w:val="20"/>
                <w:color w:val="auto"/>
              </w:rPr>
            </w:pPr>
            <w:r>
              <w:rPr>
                <w:rFonts w:ascii="Arial" w:cs="Arial" w:eastAsia="Arial" w:hAnsi="Arial"/>
                <w:sz w:val="14"/>
                <w:szCs w:val="14"/>
                <w:color w:val="auto"/>
              </w:rPr>
              <w:t>impaired 132,442,147</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178</w:t>
            </w: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w w:val="97"/>
              </w:rPr>
              <w:t>132,442,325</w:t>
            </w: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178</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w w:val="97"/>
              </w:rPr>
              <w:t>132,273,846</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13,021</w:t>
            </w: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w w:val="97"/>
              </w:rPr>
              <w:t>132,286,867</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13,021</w:t>
            </w:r>
          </w:p>
        </w:tc>
        <w:tc>
          <w:tcPr>
            <w:tcW w:w="0" w:type="dxa"/>
            <w:vAlign w:val="bottom"/>
          </w:tcPr>
          <w:p>
            <w:pPr>
              <w:spacing w:after="0"/>
              <w:rPr>
                <w:sz w:val="1"/>
                <w:szCs w:val="1"/>
                <w:color w:val="auto"/>
              </w:rPr>
            </w:pPr>
          </w:p>
        </w:tc>
      </w:tr>
      <w:tr>
        <w:trPr>
          <w:trHeight w:val="155"/>
        </w:trPr>
        <w:tc>
          <w:tcPr>
            <w:tcW w:w="700" w:type="dxa"/>
            <w:vAlign w:val="bottom"/>
          </w:tcPr>
          <w:p>
            <w:pPr>
              <w:spacing w:after="0" w:line="155" w:lineRule="exact"/>
              <w:rPr>
                <w:sz w:val="20"/>
                <w:szCs w:val="20"/>
                <w:color w:val="auto"/>
              </w:rPr>
            </w:pPr>
            <w:r>
              <w:rPr>
                <w:rFonts w:ascii="Arial" w:cs="Arial" w:eastAsia="Arial" w:hAnsi="Arial"/>
                <w:sz w:val="14"/>
                <w:szCs w:val="14"/>
                <w:color w:val="auto"/>
              </w:rPr>
              <w:t>Past due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160"/>
              <w:spacing w:after="0" w:line="155" w:lineRule="exact"/>
              <w:rPr>
                <w:sz w:val="20"/>
                <w:szCs w:val="20"/>
                <w:color w:val="auto"/>
              </w:rPr>
            </w:pPr>
            <w:r>
              <w:rPr>
                <w:rFonts w:ascii="Arial" w:cs="Arial" w:eastAsia="Arial" w:hAnsi="Arial"/>
                <w:sz w:val="14"/>
                <w:szCs w:val="14"/>
                <w:color w:val="auto"/>
              </w:rPr>
              <w:t>but not</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160"/>
              <w:spacing w:after="0" w:line="155" w:lineRule="exact"/>
              <w:rPr>
                <w:sz w:val="20"/>
                <w:szCs w:val="20"/>
                <w:color w:val="auto"/>
              </w:rPr>
            </w:pPr>
            <w:r>
              <w:rPr>
                <w:rFonts w:ascii="Arial" w:cs="Arial" w:eastAsia="Arial" w:hAnsi="Arial"/>
                <w:sz w:val="14"/>
                <w:szCs w:val="14"/>
                <w:color w:val="auto"/>
                <w:w w:val="96"/>
              </w:rPr>
              <w:t>impaired</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3,504,999</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574,304</w:t>
            </w: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4,079,303</w:t>
            </w: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4,079,304</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2,400,329</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446,430</w:t>
            </w: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2,846,759</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2,846,759</w:t>
            </w:r>
          </w:p>
        </w:tc>
        <w:tc>
          <w:tcPr>
            <w:tcW w:w="0" w:type="dxa"/>
            <w:vAlign w:val="bottom"/>
          </w:tcPr>
          <w:p>
            <w:pPr>
              <w:spacing w:after="0"/>
              <w:rPr>
                <w:sz w:val="1"/>
                <w:szCs w:val="1"/>
                <w:color w:val="auto"/>
              </w:rPr>
            </w:pPr>
          </w:p>
        </w:tc>
      </w:tr>
      <w:tr>
        <w:trPr>
          <w:trHeight w:val="155"/>
        </w:trPr>
        <w:tc>
          <w:tcPr>
            <w:tcW w:w="700" w:type="dxa"/>
            <w:vAlign w:val="bottom"/>
          </w:tcPr>
          <w:p>
            <w:pPr>
              <w:spacing w:after="0" w:line="155" w:lineRule="exact"/>
              <w:rPr>
                <w:sz w:val="20"/>
                <w:szCs w:val="20"/>
                <w:color w:val="auto"/>
              </w:rPr>
            </w:pPr>
            <w:r>
              <w:rPr>
                <w:rFonts w:ascii="Arial" w:cs="Arial" w:eastAsia="Arial" w:hAnsi="Arial"/>
                <w:sz w:val="14"/>
                <w:szCs w:val="14"/>
                <w:color w:val="auto"/>
              </w:rPr>
              <w:t>Impaired</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00" w:type="dxa"/>
            <w:vAlign w:val="bottom"/>
          </w:tcPr>
          <w:p>
            <w:pPr>
              <w:ind w:left="160"/>
              <w:spacing w:after="0" w:line="151" w:lineRule="exact"/>
              <w:rPr>
                <w:sz w:val="20"/>
                <w:szCs w:val="20"/>
                <w:color w:val="auto"/>
              </w:rPr>
            </w:pPr>
            <w:r>
              <w:rPr>
                <w:rFonts w:ascii="Arial" w:cs="Arial" w:eastAsia="Arial" w:hAnsi="Arial"/>
                <w:sz w:val="14"/>
                <w:szCs w:val="14"/>
                <w:color w:val="auto"/>
              </w:rPr>
              <w:t>debt</w:t>
            </w: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6"/>
              </w:rPr>
              <w:t>4,461,962</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827,340</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6"/>
              </w:rPr>
              <w:t>5,379,339</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10,668,641</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6,206,680</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6"/>
              </w:rPr>
              <w:t>5,357,744</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822,461</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6"/>
              </w:rPr>
              <w:t>5,102,988</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11,283,193</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9"/>
              </w:rPr>
              <w:t>5,925,449</w:t>
            </w:r>
          </w:p>
        </w:tc>
        <w:tc>
          <w:tcPr>
            <w:tcW w:w="0" w:type="dxa"/>
            <w:vAlign w:val="bottom"/>
          </w:tcPr>
          <w:p>
            <w:pPr>
              <w:spacing w:after="0"/>
              <w:rPr>
                <w:sz w:val="1"/>
                <w:szCs w:val="1"/>
                <w:color w:val="auto"/>
              </w:rPr>
            </w:pPr>
          </w:p>
        </w:tc>
      </w:tr>
      <w:tr>
        <w:trPr>
          <w:trHeight w:val="154"/>
        </w:trPr>
        <w:tc>
          <w:tcPr>
            <w:tcW w:w="700" w:type="dxa"/>
            <w:vAlign w:val="bottom"/>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132,442,147</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4,461,962</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4,332,339</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5,953,821</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147,190,269</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10,286,161</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132,273,846</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5,357,744</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3,222,790</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5,562,439</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146,416,819</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8,785,229</w:t>
            </w:r>
          </w:p>
        </w:tc>
        <w:tc>
          <w:tcPr>
            <w:tcW w:w="0" w:type="dxa"/>
            <w:vAlign w:val="bottom"/>
          </w:tcPr>
          <w:p>
            <w:pPr>
              <w:spacing w:after="0"/>
              <w:rPr>
                <w:sz w:val="1"/>
                <w:szCs w:val="1"/>
                <w:color w:val="auto"/>
              </w:rPr>
            </w:pPr>
          </w:p>
        </w:tc>
      </w:tr>
    </w:tbl>
    <w:p>
      <w:pPr>
        <w:spacing w:after="0" w:line="37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- 150 -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55" w:name="page156"/>
    <w:bookmarkEnd w:id="155"/>
    <w:p>
      <w:pPr>
        <w:ind w:left="320"/>
        <w:spacing w:after="0"/>
        <w:rPr>
          <w:sz w:val="20"/>
          <w:szCs w:val="20"/>
          <w:color w:val="auto"/>
        </w:rPr>
      </w:pPr>
      <w:r>
        <w:rPr>
          <w:rFonts w:ascii="Arial" w:cs="Arial" w:eastAsia="Arial" w:hAnsi="Arial"/>
          <w:sz w:val="17"/>
          <w:szCs w:val="17"/>
          <w:color w:val="auto"/>
        </w:rPr>
        <w:t>The classification of loans by type of loan and maturity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tcPr>
          <w:p>
            <w:pPr>
              <w:spacing w:after="0"/>
              <w:rPr>
                <w:sz w:val="14"/>
                <w:szCs w:val="1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Arial" w:cs="Arial" w:eastAsia="Arial" w:hAnsi="Arial"/>
                <w:sz w:val="14"/>
                <w:szCs w:val="14"/>
                <w:b w:val="1"/>
                <w:bCs w:val="1"/>
                <w:color w:val="auto"/>
              </w:rPr>
              <w:t>Loans with</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Arial" w:cs="Arial" w:eastAsia="Arial" w:hAnsi="Arial"/>
                <w:sz w:val="14"/>
                <w:szCs w:val="14"/>
                <w:b w:val="1"/>
                <w:bCs w:val="1"/>
                <w:color w:val="auto"/>
              </w:rPr>
              <w:t>Loans with</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delays in</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delays in</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payments of</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payments of</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one day or</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one day or</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more but not</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more but not</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Current</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considered</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Current</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considered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but</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internal</w:t>
            </w:r>
          </w:p>
        </w:tc>
        <w:tc>
          <w:tcPr>
            <w:tcW w:w="9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Internal</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but</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internal</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Internal</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Current</w:t>
            </w:r>
          </w:p>
        </w:tc>
        <w:tc>
          <w:tcPr>
            <w:tcW w:w="9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impaired</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overdue</w:t>
            </w:r>
          </w:p>
        </w:tc>
        <w:tc>
          <w:tcPr>
            <w:tcW w:w="9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overdue</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Current</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impaired</w:t>
            </w: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overdue</w:t>
            </w: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overdue</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w:t>
            </w:r>
          </w:p>
        </w:tc>
        <w:tc>
          <w:tcPr>
            <w:tcW w:w="8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440" w:type="dxa"/>
            <w:vAlign w:val="bottom"/>
          </w:tcPr>
          <w:p>
            <w:pPr>
              <w:spacing w:after="0"/>
              <w:rPr>
                <w:sz w:val="13"/>
                <w:szCs w:val="13"/>
                <w:color w:val="auto"/>
              </w:rPr>
            </w:pPr>
          </w:p>
        </w:tc>
        <w:tc>
          <w:tcPr>
            <w:tcW w:w="92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6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9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6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920" w:type="dxa"/>
            <w:vAlign w:val="bottom"/>
            <w:tcBorders>
              <w:top w:val="single" w:sz="8" w:color="auto"/>
            </w:tcBorders>
          </w:tcPr>
          <w:p>
            <w:pPr>
              <w:jc w:val="right"/>
              <w:ind w:right="331"/>
              <w:spacing w:after="0" w:line="153" w:lineRule="exact"/>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3"/>
                <w:szCs w:val="13"/>
                <w:color w:val="auto"/>
              </w:rPr>
            </w:pPr>
          </w:p>
        </w:tc>
        <w:tc>
          <w:tcPr>
            <w:tcW w:w="88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9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jc w:val="right"/>
              <w:ind w:right="311"/>
              <w:spacing w:after="0" w:line="153" w:lineRule="exact"/>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55"/>
        </w:trPr>
        <w:tc>
          <w:tcPr>
            <w:tcW w:w="1440" w:type="dxa"/>
            <w:vAlign w:val="bottom"/>
          </w:tcPr>
          <w:p>
            <w:pPr>
              <w:spacing w:after="0" w:line="155" w:lineRule="exact"/>
              <w:rPr>
                <w:sz w:val="20"/>
                <w:szCs w:val="20"/>
                <w:color w:val="auto"/>
              </w:rPr>
            </w:pPr>
            <w:r>
              <w:rPr>
                <w:rFonts w:ascii="Arial" w:cs="Arial" w:eastAsia="Arial" w:hAnsi="Arial"/>
                <w:sz w:val="14"/>
                <w:szCs w:val="14"/>
                <w:color w:val="auto"/>
              </w:rPr>
              <w:t>Commercial loans</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73,733,752</w:t>
            </w: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3,115,029</w:t>
            </w: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1,496,743</w:t>
            </w: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3,323,376</w:t>
            </w: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81,668,900</w:t>
            </w:r>
          </w:p>
        </w:tc>
        <w:tc>
          <w:tcPr>
            <w:tcW w:w="1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78,815,254</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3,627,246</w:t>
            </w: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1,362,487</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3,201,963</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87,006,950</w:t>
            </w:r>
          </w:p>
        </w:tc>
        <w:tc>
          <w:tcPr>
            <w:tcW w:w="0" w:type="dxa"/>
            <w:vAlign w:val="bottom"/>
          </w:tcPr>
          <w:p>
            <w:pPr>
              <w:spacing w:after="0"/>
              <w:rPr>
                <w:sz w:val="1"/>
                <w:szCs w:val="1"/>
                <w:color w:val="auto"/>
              </w:rPr>
            </w:pPr>
          </w:p>
        </w:tc>
      </w:tr>
      <w:tr>
        <w:trPr>
          <w:trHeight w:val="155"/>
        </w:trPr>
        <w:tc>
          <w:tcPr>
            <w:tcW w:w="1440" w:type="dxa"/>
            <w:vAlign w:val="bottom"/>
          </w:tcPr>
          <w:p>
            <w:pPr>
              <w:spacing w:after="0" w:line="155" w:lineRule="exact"/>
              <w:rPr>
                <w:sz w:val="20"/>
                <w:szCs w:val="20"/>
                <w:color w:val="auto"/>
              </w:rPr>
            </w:pPr>
            <w:r>
              <w:rPr>
                <w:rFonts w:ascii="Arial" w:cs="Arial" w:eastAsia="Arial" w:hAnsi="Arial"/>
                <w:sz w:val="14"/>
                <w:szCs w:val="14"/>
                <w:color w:val="auto"/>
              </w:rPr>
              <w:t>Residential mortgage</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20,961,268</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506,639</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1,076,953</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690,715</w:t>
            </w: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23,235,575</w:t>
            </w:r>
          </w:p>
        </w:tc>
        <w:tc>
          <w:tcPr>
            <w:tcW w:w="1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19,913,139</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581,358</w:t>
            </w: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731,821</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605,142</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21,831,460</w:t>
            </w:r>
          </w:p>
        </w:tc>
        <w:tc>
          <w:tcPr>
            <w:tcW w:w="0" w:type="dxa"/>
            <w:vAlign w:val="bottom"/>
          </w:tcPr>
          <w:p>
            <w:pPr>
              <w:spacing w:after="0"/>
              <w:rPr>
                <w:sz w:val="1"/>
                <w:szCs w:val="1"/>
                <w:color w:val="auto"/>
              </w:rPr>
            </w:pPr>
          </w:p>
        </w:tc>
      </w:tr>
      <w:tr>
        <w:trPr>
          <w:trHeight w:val="87"/>
        </w:trPr>
        <w:tc>
          <w:tcPr>
            <w:tcW w:w="1440" w:type="dxa"/>
            <w:vAlign w:val="bottom"/>
            <w:vMerge w:val="restart"/>
          </w:tcPr>
          <w:p>
            <w:pPr>
              <w:ind w:left="160"/>
              <w:spacing w:after="0" w:line="155" w:lineRule="exact"/>
              <w:rPr>
                <w:sz w:val="20"/>
                <w:szCs w:val="20"/>
                <w:color w:val="auto"/>
              </w:rPr>
            </w:pPr>
            <w:r>
              <w:rPr>
                <w:rFonts w:ascii="Arial" w:cs="Arial" w:eastAsia="Arial" w:hAnsi="Arial"/>
                <w:sz w:val="14"/>
                <w:szCs w:val="14"/>
                <w:color w:val="auto"/>
              </w:rPr>
              <w:t>loans</w:t>
            </w:r>
          </w:p>
        </w:tc>
        <w:tc>
          <w:tcPr>
            <w:tcW w:w="9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line="155" w:lineRule="exact"/>
              <w:rPr>
                <w:sz w:val="20"/>
                <w:szCs w:val="20"/>
                <w:color w:val="auto"/>
              </w:rPr>
            </w:pPr>
            <w:r>
              <w:rPr>
                <w:rFonts w:ascii="Arial" w:cs="Arial" w:eastAsia="Arial" w:hAnsi="Arial"/>
                <w:sz w:val="14"/>
                <w:szCs w:val="14"/>
                <w:color w:val="auto"/>
              </w:rPr>
              <w:t>Microbusiness loans</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19,581,019</w:t>
            </w: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365,265</w:t>
            </w: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950,477</w:t>
            </w: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1,475,532</w:t>
            </w: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22,372,293</w:t>
            </w:r>
          </w:p>
        </w:tc>
        <w:tc>
          <w:tcPr>
            <w:tcW w:w="1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18,956,460</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524,064</w:t>
            </w: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683,183</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1,418,894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21,582,601</w:t>
            </w:r>
          </w:p>
        </w:tc>
        <w:tc>
          <w:tcPr>
            <w:tcW w:w="0" w:type="dxa"/>
            <w:vAlign w:val="bottom"/>
          </w:tcPr>
          <w:p>
            <w:pPr>
              <w:spacing w:after="0"/>
              <w:rPr>
                <w:sz w:val="1"/>
                <w:szCs w:val="1"/>
                <w:color w:val="auto"/>
              </w:rPr>
            </w:pPr>
          </w:p>
        </w:tc>
      </w:tr>
      <w:tr>
        <w:trPr>
          <w:trHeight w:val="151"/>
        </w:trPr>
        <w:tc>
          <w:tcPr>
            <w:tcW w:w="1440" w:type="dxa"/>
            <w:vAlign w:val="bottom"/>
          </w:tcPr>
          <w:p>
            <w:pPr>
              <w:spacing w:after="0" w:line="151" w:lineRule="exact"/>
              <w:rPr>
                <w:sz w:val="20"/>
                <w:szCs w:val="20"/>
                <w:color w:val="auto"/>
              </w:rPr>
            </w:pPr>
            <w:r>
              <w:rPr>
                <w:rFonts w:ascii="Arial" w:cs="Arial" w:eastAsia="Arial" w:hAnsi="Arial"/>
                <w:sz w:val="14"/>
                <w:szCs w:val="14"/>
                <w:color w:val="auto"/>
              </w:rPr>
              <w:t>Consumer loans</w:t>
            </w:r>
          </w:p>
        </w:tc>
        <w:tc>
          <w:tcPr>
            <w:tcW w:w="9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18,166,108</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475,029</w:t>
            </w:r>
          </w:p>
        </w:tc>
        <w:tc>
          <w:tcPr>
            <w:tcW w:w="14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808,166</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464,198</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19,913,501</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14,588,993</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625,076</w:t>
            </w:r>
          </w:p>
        </w:tc>
        <w:tc>
          <w:tcPr>
            <w:tcW w:w="14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445,299</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336,440</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15,995,808</w:t>
            </w:r>
          </w:p>
        </w:tc>
        <w:tc>
          <w:tcPr>
            <w:tcW w:w="0" w:type="dxa"/>
            <w:vAlign w:val="bottom"/>
          </w:tcPr>
          <w:p>
            <w:pPr>
              <w:spacing w:after="0"/>
              <w:rPr>
                <w:sz w:val="1"/>
                <w:szCs w:val="1"/>
                <w:color w:val="auto"/>
              </w:rPr>
            </w:pPr>
          </w:p>
        </w:tc>
      </w:tr>
      <w:tr>
        <w:trPr>
          <w:trHeight w:val="154"/>
        </w:trPr>
        <w:tc>
          <w:tcPr>
            <w:tcW w:w="1440" w:type="dxa"/>
            <w:vAlign w:val="bottom"/>
          </w:tcPr>
          <w:p>
            <w:pPr>
              <w:spacing w:after="0" w:line="149" w:lineRule="exact"/>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132,442,147</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4,461,962</w:t>
            </w:r>
          </w:p>
        </w:tc>
        <w:tc>
          <w:tcPr>
            <w:tcW w:w="14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4,332,339</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5,953,821</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147,190,269</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132,273,846</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5,357,744</w:t>
            </w:r>
          </w:p>
        </w:tc>
        <w:tc>
          <w:tcPr>
            <w:tcW w:w="14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3,222,790</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5,562,439</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146,416,819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Macroeconomic scenario -</w:t>
      </w:r>
    </w:p>
    <w:p>
      <w:pPr>
        <w:spacing w:after="0" w:line="193" w:lineRule="exact"/>
        <w:rPr>
          <w:sz w:val="20"/>
          <w:szCs w:val="20"/>
          <w:color w:val="auto"/>
        </w:rPr>
      </w:pPr>
    </w:p>
    <w:p>
      <w:pPr>
        <w:jc w:val="both"/>
        <w:ind w:left="320"/>
        <w:spacing w:after="0" w:line="241" w:lineRule="auto"/>
        <w:rPr>
          <w:sz w:val="20"/>
          <w:szCs w:val="20"/>
          <w:color w:val="auto"/>
        </w:rPr>
      </w:pPr>
      <w:r>
        <w:rPr>
          <w:rFonts w:ascii="Arial" w:cs="Arial" w:eastAsia="Arial" w:hAnsi="Arial"/>
          <w:sz w:val="17"/>
          <w:szCs w:val="17"/>
          <w:color w:val="auto"/>
        </w:rPr>
        <w:t>The expected credit loss is a weighted estimate of three macroeconomic scenarios: base, optimistic and pessimistic, that are calculated with macroeconomic projections provided by the internal team of Economic Studies and approved by the Senior Management. The local and international information flows available during the analysis period are used to feed projections, which reflect the fact that Peru is a small and open economy, and in this context approximately 60.0 percent of the volatility in economic growth is driven by external factors, including terms of trade, the growth of Peru’s trading partners; and the external interest rates. Information on each of these factors is gathered to construct each scenario for the next three years.</w:t>
      </w:r>
    </w:p>
    <w:p>
      <w:pPr>
        <w:spacing w:after="0" w:line="182" w:lineRule="exact"/>
        <w:rPr>
          <w:sz w:val="20"/>
          <w:szCs w:val="20"/>
          <w:color w:val="auto"/>
        </w:rPr>
      </w:pPr>
    </w:p>
    <w:p>
      <w:pPr>
        <w:jc w:val="both"/>
        <w:ind w:left="320"/>
        <w:spacing w:after="0" w:line="254" w:lineRule="auto"/>
        <w:rPr>
          <w:sz w:val="20"/>
          <w:szCs w:val="20"/>
          <w:color w:val="auto"/>
        </w:rPr>
      </w:pPr>
      <w:r>
        <w:rPr>
          <w:rFonts w:ascii="Arial" w:cs="Arial" w:eastAsia="Arial" w:hAnsi="Arial"/>
          <w:sz w:val="17"/>
          <w:szCs w:val="17"/>
          <w:color w:val="auto"/>
        </w:rPr>
        <w:t>The variables mentioned above, together with local variables (fiscal and monetary variables), are incorporated in the economic models. In this regard two types of models are used:</w:t>
      </w:r>
    </w:p>
    <w:p>
      <w:pPr>
        <w:spacing w:after="0" w:line="168" w:lineRule="exact"/>
        <w:rPr>
          <w:sz w:val="20"/>
          <w:szCs w:val="20"/>
          <w:color w:val="auto"/>
        </w:rPr>
      </w:pPr>
    </w:p>
    <w:p>
      <w:pPr>
        <w:ind w:left="720" w:hanging="354"/>
        <w:spacing w:after="0"/>
        <w:tabs>
          <w:tab w:leader="none" w:pos="7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Structural projection model.</w:t>
      </w:r>
    </w:p>
    <w:p>
      <w:pPr>
        <w:ind w:left="720" w:hanging="354"/>
        <w:spacing w:after="0"/>
        <w:tabs>
          <w:tab w:leader="none" w:pos="7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Financial programming model.</w:t>
      </w:r>
    </w:p>
    <w:p>
      <w:pPr>
        <w:spacing w:after="0" w:line="193" w:lineRule="exact"/>
        <w:rPr>
          <w:sz w:val="20"/>
          <w:szCs w:val="20"/>
          <w:color w:val="auto"/>
        </w:rPr>
      </w:pPr>
    </w:p>
    <w:p>
      <w:pPr>
        <w:jc w:val="both"/>
        <w:ind w:left="320"/>
        <w:spacing w:after="0" w:line="246" w:lineRule="auto"/>
        <w:rPr>
          <w:sz w:val="20"/>
          <w:szCs w:val="20"/>
          <w:color w:val="auto"/>
        </w:rPr>
      </w:pPr>
      <w:r>
        <w:rPr>
          <w:rFonts w:ascii="Arial" w:cs="Arial" w:eastAsia="Arial" w:hAnsi="Arial"/>
          <w:sz w:val="17"/>
          <w:szCs w:val="17"/>
          <w:color w:val="auto"/>
        </w:rPr>
        <w:t>The first one is a dynamic stochastic general equilibrium model, which is constructed with expectations. The second is built with the main identities of national accounts in accordance with the financial programming methodology designed by the IMF (International Monetary Fund) and the methodologies used by a battery of econometric models.</w:t>
      </w:r>
    </w:p>
    <w:p>
      <w:pPr>
        <w:spacing w:after="0" w:line="176" w:lineRule="exact"/>
        <w:rPr>
          <w:sz w:val="20"/>
          <w:szCs w:val="20"/>
          <w:color w:val="auto"/>
        </w:rPr>
      </w:pPr>
    </w:p>
    <w:p>
      <w:pPr>
        <w:ind w:left="320"/>
        <w:spacing w:after="0" w:line="254" w:lineRule="auto"/>
        <w:rPr>
          <w:sz w:val="20"/>
          <w:szCs w:val="20"/>
          <w:color w:val="auto"/>
        </w:rPr>
      </w:pPr>
      <w:r>
        <w:rPr>
          <w:rFonts w:ascii="Arial" w:cs="Arial" w:eastAsia="Arial" w:hAnsi="Arial"/>
          <w:sz w:val="17"/>
          <w:szCs w:val="17"/>
          <w:color w:val="auto"/>
        </w:rPr>
        <w:t>Through this process, projections of GDP growth, inflation, exchange rate and other macroeconomic variables are obtained for the years 2022, 2023 and 2024. We expect GDP to grow around 2.3 percent in 2023 (2.8 percent by 2022) due to:</w:t>
      </w:r>
    </w:p>
    <w:p>
      <w:pPr>
        <w:spacing w:after="0" w:line="169" w:lineRule="exact"/>
        <w:rPr>
          <w:sz w:val="20"/>
          <w:szCs w:val="20"/>
          <w:color w:val="auto"/>
        </w:rPr>
      </w:pPr>
    </w:p>
    <w:p>
      <w:pPr>
        <w:ind w:left="460" w:hanging="146"/>
        <w:spacing w:after="0"/>
        <w:tabs>
          <w:tab w:leader="none" w:pos="4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Lower global growth.</w:t>
      </w:r>
    </w:p>
    <w:p>
      <w:pPr>
        <w:spacing w:after="0" w:line="193" w:lineRule="exact"/>
        <w:rPr>
          <w:rFonts w:ascii="Arial" w:cs="Arial" w:eastAsia="Arial" w:hAnsi="Arial"/>
          <w:sz w:val="17"/>
          <w:szCs w:val="17"/>
          <w:color w:val="auto"/>
        </w:rPr>
      </w:pPr>
    </w:p>
    <w:p>
      <w:pPr>
        <w:ind w:left="500" w:hanging="186"/>
        <w:spacing w:after="0"/>
        <w:tabs>
          <w:tab w:leader="none" w:pos="5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Lagged effect on activity as a result of monetary tightening (increase this year in interest rates in dollars and soles by the Central Banks).</w:t>
      </w:r>
    </w:p>
    <w:p>
      <w:pPr>
        <w:spacing w:after="0" w:line="193" w:lineRule="exact"/>
        <w:rPr>
          <w:rFonts w:ascii="Arial" w:cs="Arial" w:eastAsia="Arial" w:hAnsi="Arial"/>
          <w:sz w:val="17"/>
          <w:szCs w:val="17"/>
          <w:color w:val="auto"/>
        </w:rPr>
      </w:pPr>
    </w:p>
    <w:p>
      <w:pPr>
        <w:ind w:left="540" w:hanging="226"/>
        <w:spacing w:after="0"/>
        <w:tabs>
          <w:tab w:leader="none" w:pos="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Accumulated inflation 2021-2023 close to 20 percent that erodes the purchasing power of the consumer.</w:t>
      </w:r>
    </w:p>
    <w:p>
      <w:pPr>
        <w:spacing w:after="0" w:line="193" w:lineRule="exact"/>
        <w:rPr>
          <w:rFonts w:ascii="Arial" w:cs="Arial" w:eastAsia="Arial" w:hAnsi="Arial"/>
          <w:sz w:val="17"/>
          <w:szCs w:val="17"/>
          <w:color w:val="auto"/>
        </w:rPr>
      </w:pPr>
    </w:p>
    <w:p>
      <w:pPr>
        <w:ind w:left="540" w:hanging="226"/>
        <w:spacing w:after="0"/>
        <w:tabs>
          <w:tab w:leader="none" w:pos="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Drop in public investment due to the change of subnational authorities.</w:t>
      </w:r>
    </w:p>
    <w:p>
      <w:pPr>
        <w:spacing w:after="0" w:line="193" w:lineRule="exact"/>
        <w:rPr>
          <w:rFonts w:ascii="Arial" w:cs="Arial" w:eastAsia="Arial" w:hAnsi="Arial"/>
          <w:sz w:val="17"/>
          <w:szCs w:val="17"/>
          <w:color w:val="auto"/>
        </w:rPr>
      </w:pPr>
    </w:p>
    <w:p>
      <w:pPr>
        <w:ind w:left="500" w:hanging="186"/>
        <w:spacing w:after="0"/>
        <w:tabs>
          <w:tab w:leader="none" w:pos="5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Deterioration of private investment in the absence of large new projects and weak business expectations.</w:t>
      </w:r>
    </w:p>
    <w:p>
      <w:pPr>
        <w:spacing w:after="0" w:line="193" w:lineRule="exact"/>
        <w:rPr>
          <w:rFonts w:ascii="Arial" w:cs="Arial" w:eastAsia="Arial" w:hAnsi="Arial"/>
          <w:sz w:val="17"/>
          <w:szCs w:val="17"/>
          <w:color w:val="auto"/>
        </w:rPr>
      </w:pPr>
    </w:p>
    <w:p>
      <w:pPr>
        <w:ind w:left="540" w:hanging="226"/>
        <w:spacing w:after="0"/>
        <w:tabs>
          <w:tab w:leader="none" w:pos="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Post-Covid-19 rebound effect is exhausted and is limited almost only to international inbound tourism.</w:t>
      </w:r>
    </w:p>
    <w:p>
      <w:pPr>
        <w:spacing w:after="0" w:line="361" w:lineRule="exact"/>
        <w:rPr>
          <w:rFonts w:ascii="Arial" w:cs="Arial" w:eastAsia="Arial" w:hAnsi="Arial"/>
          <w:sz w:val="17"/>
          <w:szCs w:val="17"/>
          <w:color w:val="auto"/>
        </w:rPr>
      </w:pPr>
    </w:p>
    <w:p>
      <w:pPr>
        <w:ind w:left="5460" w:hanging="107"/>
        <w:spacing w:after="0"/>
        <w:tabs>
          <w:tab w:leader="none" w:pos="546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151 -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803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6" w:name="page157"/>
    <w:bookmarkEnd w:id="156"/>
    <w:p>
      <w:pPr>
        <w:jc w:val="both"/>
        <w:ind w:left="320"/>
        <w:spacing w:after="0" w:line="243" w:lineRule="auto"/>
        <w:rPr>
          <w:sz w:val="20"/>
          <w:szCs w:val="20"/>
          <w:color w:val="auto"/>
        </w:rPr>
      </w:pPr>
      <w:r>
        <w:rPr>
          <w:rFonts w:ascii="Arial" w:cs="Arial" w:eastAsia="Arial" w:hAnsi="Arial"/>
          <w:sz w:val="17"/>
          <w:szCs w:val="17"/>
          <w:color w:val="auto"/>
        </w:rPr>
        <w:t>For the period 2022 -2024, probabilities of 50.0 percent, 25.0 percent, and 25.0 percent were considered for the baseline, optimistic, and pessimistic scenarios, respectively (60.0 percent, 30.0 percent, and 10.0 percent, respectively, at the end of December 2021). The probabilities assigned to each scenario and the projections are validated through a fanchart analysis, which uses the probability function to identify and analyze:</w:t>
      </w:r>
    </w:p>
    <w:p>
      <w:pPr>
        <w:spacing w:after="0" w:line="180" w:lineRule="exact"/>
        <w:rPr>
          <w:sz w:val="20"/>
          <w:szCs w:val="20"/>
          <w:color w:val="auto"/>
        </w:rPr>
      </w:pPr>
    </w:p>
    <w:p>
      <w:pPr>
        <w:ind w:left="460" w:hanging="146"/>
        <w:spacing w:after="0"/>
        <w:tabs>
          <w:tab w:leader="none" w:pos="4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central tendency of the projections.</w:t>
      </w:r>
    </w:p>
    <w:p>
      <w:pPr>
        <w:spacing w:after="0" w:line="193" w:lineRule="exact"/>
        <w:rPr>
          <w:rFonts w:ascii="Arial" w:cs="Arial" w:eastAsia="Arial" w:hAnsi="Arial"/>
          <w:sz w:val="17"/>
          <w:szCs w:val="17"/>
          <w:color w:val="auto"/>
        </w:rPr>
      </w:pPr>
    </w:p>
    <w:p>
      <w:pPr>
        <w:ind w:left="500" w:hanging="186"/>
        <w:spacing w:after="0"/>
        <w:tabs>
          <w:tab w:leader="none" w:pos="5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dispersion that is expected around this value, and values higher or lower than the central value more or less probable.</w:t>
      </w:r>
    </w:p>
    <w:p>
      <w:pPr>
        <w:spacing w:after="0" w:line="193" w:lineRule="exact"/>
        <w:rPr>
          <w:sz w:val="20"/>
          <w:szCs w:val="20"/>
          <w:color w:val="auto"/>
        </w:rPr>
      </w:pPr>
    </w:p>
    <w:p>
      <w:pPr>
        <w:ind w:left="320"/>
        <w:spacing w:after="0" w:line="254" w:lineRule="auto"/>
        <w:rPr>
          <w:sz w:val="20"/>
          <w:szCs w:val="20"/>
          <w:color w:val="auto"/>
        </w:rPr>
      </w:pPr>
      <w:r>
        <w:rPr>
          <w:rFonts w:ascii="Arial" w:cs="Arial" w:eastAsia="Arial" w:hAnsi="Arial"/>
          <w:sz w:val="17"/>
          <w:szCs w:val="17"/>
          <w:color w:val="auto"/>
        </w:rPr>
        <w:t>The following table provides a comparison between the carrying amount of allowance for loan losses for direct loans, indirect loans and due from customers on banker’s acceptances, and its estimation under three scenarios: base, optimistic and pessimistic.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2021</w:t>
            </w:r>
          </w:p>
        </w:tc>
        <w:tc>
          <w:tcPr>
            <w:tcW w:w="5080" w:type="dxa"/>
            <w:vAlign w:val="bottom"/>
          </w:tcPr>
          <w:p>
            <w:pPr>
              <w:spacing w:after="0"/>
              <w:rPr>
                <w:sz w:val="18"/>
                <w:szCs w:val="18"/>
                <w:color w:val="auto"/>
              </w:rPr>
            </w:pPr>
          </w:p>
        </w:tc>
      </w:tr>
      <w:tr>
        <w:trPr>
          <w:trHeight w:val="223"/>
        </w:trPr>
        <w:tc>
          <w:tcPr>
            <w:tcW w:w="330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7"/>
                <w:szCs w:val="17"/>
                <w:b w:val="1"/>
                <w:bCs w:val="1"/>
                <w:color w:val="auto"/>
              </w:rPr>
              <w:t>S/(000)</w:t>
            </w:r>
          </w:p>
        </w:tc>
        <w:tc>
          <w:tcPr>
            <w:tcW w:w="5080" w:type="dxa"/>
            <w:vAlign w:val="bottom"/>
          </w:tcPr>
          <w:p>
            <w:pPr>
              <w:spacing w:after="0"/>
              <w:rPr>
                <w:sz w:val="19"/>
                <w:szCs w:val="19"/>
                <w:color w:val="auto"/>
              </w:rPr>
            </w:pPr>
          </w:p>
        </w:tc>
      </w:tr>
      <w:tr>
        <w:trPr>
          <w:trHeight w:val="366"/>
        </w:trPr>
        <w:tc>
          <w:tcPr>
            <w:tcW w:w="3300" w:type="dxa"/>
            <w:vAlign w:val="bottom"/>
          </w:tcPr>
          <w:p>
            <w:pPr>
              <w:ind w:left="360"/>
              <w:spacing w:after="0"/>
              <w:rPr>
                <w:sz w:val="20"/>
                <w:szCs w:val="20"/>
                <w:color w:val="auto"/>
              </w:rPr>
            </w:pPr>
            <w:r>
              <w:rPr>
                <w:rFonts w:ascii="Arial" w:cs="Arial" w:eastAsia="Arial" w:hAnsi="Arial"/>
                <w:sz w:val="17"/>
                <w:szCs w:val="17"/>
                <w:b w:val="1"/>
                <w:bCs w:val="1"/>
                <w:color w:val="auto"/>
              </w:rPr>
              <w:t>Carrying amount</w:t>
            </w:r>
          </w:p>
        </w:tc>
        <w:tc>
          <w:tcPr>
            <w:tcW w:w="1320" w:type="dxa"/>
            <w:vAlign w:val="bottom"/>
          </w:tcPr>
          <w:p>
            <w:pPr>
              <w:jc w:val="right"/>
              <w:spacing w:after="0"/>
              <w:rPr>
                <w:sz w:val="20"/>
                <w:szCs w:val="20"/>
                <w:color w:val="auto"/>
              </w:rPr>
            </w:pPr>
            <w:r>
              <w:rPr>
                <w:rFonts w:ascii="Arial" w:cs="Arial" w:eastAsia="Arial" w:hAnsi="Arial"/>
                <w:sz w:val="17"/>
                <w:szCs w:val="17"/>
                <w:color w:val="auto"/>
              </w:rPr>
              <w:t>8,530,986</w:t>
            </w:r>
          </w:p>
        </w:tc>
        <w:tc>
          <w:tcPr>
            <w:tcW w:w="220" w:type="dxa"/>
            <w:vAlign w:val="bottom"/>
          </w:tcPr>
          <w:p>
            <w:pPr>
              <w:spacing w:after="0"/>
              <w:rPr>
                <w:sz w:val="24"/>
                <w:szCs w:val="24"/>
                <w:color w:val="auto"/>
              </w:rPr>
            </w:pPr>
          </w:p>
        </w:tc>
        <w:tc>
          <w:tcPr>
            <w:tcW w:w="1320" w:type="dxa"/>
            <w:vAlign w:val="bottom"/>
          </w:tcPr>
          <w:p>
            <w:pPr>
              <w:ind w:left="500"/>
              <w:spacing w:after="0"/>
              <w:rPr>
                <w:sz w:val="20"/>
                <w:szCs w:val="20"/>
                <w:color w:val="auto"/>
              </w:rPr>
            </w:pPr>
            <w:r>
              <w:rPr>
                <w:rFonts w:ascii="Arial" w:cs="Arial" w:eastAsia="Arial" w:hAnsi="Arial"/>
                <w:sz w:val="17"/>
                <w:szCs w:val="17"/>
                <w:color w:val="auto"/>
              </w:rPr>
              <w:t>9,071,011</w:t>
            </w:r>
          </w:p>
        </w:tc>
        <w:tc>
          <w:tcPr>
            <w:tcW w:w="5080" w:type="dxa"/>
            <w:vAlign w:val="bottom"/>
          </w:tcPr>
          <w:p>
            <w:pPr>
              <w:spacing w:after="0"/>
              <w:rPr>
                <w:sz w:val="24"/>
                <w:szCs w:val="24"/>
                <w:color w:val="auto"/>
              </w:rPr>
            </w:pPr>
          </w:p>
        </w:tc>
      </w:tr>
      <w:tr>
        <w:trPr>
          <w:trHeight w:val="375"/>
        </w:trPr>
        <w:tc>
          <w:tcPr>
            <w:tcW w:w="3300" w:type="dxa"/>
            <w:vAlign w:val="bottom"/>
          </w:tcPr>
          <w:p>
            <w:pPr>
              <w:ind w:left="360"/>
              <w:spacing w:after="0"/>
              <w:rPr>
                <w:sz w:val="20"/>
                <w:szCs w:val="20"/>
                <w:color w:val="auto"/>
              </w:rPr>
            </w:pPr>
            <w:r>
              <w:rPr>
                <w:rFonts w:ascii="Arial" w:cs="Arial" w:eastAsia="Arial" w:hAnsi="Arial"/>
                <w:sz w:val="17"/>
                <w:szCs w:val="17"/>
                <w:b w:val="1"/>
                <w:bCs w:val="1"/>
                <w:color w:val="auto"/>
              </w:rPr>
              <w:t>Scenarios: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94"/>
        </w:trPr>
        <w:tc>
          <w:tcPr>
            <w:tcW w:w="3300" w:type="dxa"/>
            <w:vAlign w:val="bottom"/>
          </w:tcPr>
          <w:p>
            <w:pPr>
              <w:ind w:left="520"/>
              <w:spacing w:after="0" w:line="194" w:lineRule="exact"/>
              <w:rPr>
                <w:sz w:val="20"/>
                <w:szCs w:val="20"/>
                <w:color w:val="auto"/>
              </w:rPr>
            </w:pPr>
            <w:r>
              <w:rPr>
                <w:rFonts w:ascii="Arial" w:cs="Arial" w:eastAsia="Arial" w:hAnsi="Arial"/>
                <w:sz w:val="17"/>
                <w:szCs w:val="17"/>
                <w:color w:val="auto"/>
              </w:rPr>
              <w:t>Optimistic</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8,457,825</w:t>
            </w:r>
          </w:p>
        </w:tc>
        <w:tc>
          <w:tcPr>
            <w:tcW w:w="220" w:type="dxa"/>
            <w:vAlign w:val="bottom"/>
          </w:tcPr>
          <w:p>
            <w:pPr>
              <w:spacing w:after="0"/>
              <w:rPr>
                <w:sz w:val="16"/>
                <w:szCs w:val="16"/>
                <w:color w:val="auto"/>
              </w:rPr>
            </w:pPr>
          </w:p>
        </w:tc>
        <w:tc>
          <w:tcPr>
            <w:tcW w:w="1320" w:type="dxa"/>
            <w:vAlign w:val="bottom"/>
          </w:tcPr>
          <w:p>
            <w:pPr>
              <w:ind w:left="500"/>
              <w:spacing w:after="0" w:line="194" w:lineRule="exact"/>
              <w:rPr>
                <w:sz w:val="20"/>
                <w:szCs w:val="20"/>
                <w:color w:val="auto"/>
              </w:rPr>
            </w:pPr>
            <w:r>
              <w:rPr>
                <w:rFonts w:ascii="Arial" w:cs="Arial" w:eastAsia="Arial" w:hAnsi="Arial"/>
                <w:sz w:val="17"/>
                <w:szCs w:val="17"/>
                <w:color w:val="auto"/>
              </w:rPr>
              <w:t>9,014,409</w:t>
            </w:r>
          </w:p>
        </w:tc>
        <w:tc>
          <w:tcPr>
            <w:tcW w:w="5080" w:type="dxa"/>
            <w:vAlign w:val="bottom"/>
          </w:tcPr>
          <w:p>
            <w:pPr>
              <w:spacing w:after="0"/>
              <w:rPr>
                <w:sz w:val="16"/>
                <w:szCs w:val="16"/>
                <w:color w:val="auto"/>
              </w:rPr>
            </w:pPr>
          </w:p>
        </w:tc>
      </w:tr>
      <w:tr>
        <w:trPr>
          <w:trHeight w:val="194"/>
        </w:trPr>
        <w:tc>
          <w:tcPr>
            <w:tcW w:w="3300" w:type="dxa"/>
            <w:vAlign w:val="bottom"/>
          </w:tcPr>
          <w:p>
            <w:pPr>
              <w:ind w:left="520"/>
              <w:spacing w:after="0" w:line="194" w:lineRule="exact"/>
              <w:rPr>
                <w:sz w:val="20"/>
                <w:szCs w:val="20"/>
                <w:color w:val="auto"/>
              </w:rPr>
            </w:pPr>
            <w:r>
              <w:rPr>
                <w:rFonts w:ascii="Arial" w:cs="Arial" w:eastAsia="Arial" w:hAnsi="Arial"/>
                <w:sz w:val="17"/>
                <w:szCs w:val="17"/>
                <w:color w:val="auto"/>
              </w:rPr>
              <w:t>Base Case</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8,517,295</w:t>
            </w:r>
          </w:p>
        </w:tc>
        <w:tc>
          <w:tcPr>
            <w:tcW w:w="220" w:type="dxa"/>
            <w:vAlign w:val="bottom"/>
          </w:tcPr>
          <w:p>
            <w:pPr>
              <w:spacing w:after="0"/>
              <w:rPr>
                <w:sz w:val="16"/>
                <w:szCs w:val="16"/>
                <w:color w:val="auto"/>
              </w:rPr>
            </w:pPr>
          </w:p>
        </w:tc>
        <w:tc>
          <w:tcPr>
            <w:tcW w:w="1320" w:type="dxa"/>
            <w:vAlign w:val="bottom"/>
          </w:tcPr>
          <w:p>
            <w:pPr>
              <w:ind w:left="500"/>
              <w:spacing w:after="0" w:line="194" w:lineRule="exact"/>
              <w:rPr>
                <w:sz w:val="20"/>
                <w:szCs w:val="20"/>
                <w:color w:val="auto"/>
              </w:rPr>
            </w:pPr>
            <w:r>
              <w:rPr>
                <w:rFonts w:ascii="Arial" w:cs="Arial" w:eastAsia="Arial" w:hAnsi="Arial"/>
                <w:sz w:val="17"/>
                <w:szCs w:val="17"/>
                <w:color w:val="auto"/>
              </w:rPr>
              <w:t>9,078,873</w:t>
            </w:r>
          </w:p>
        </w:tc>
        <w:tc>
          <w:tcPr>
            <w:tcW w:w="5080" w:type="dxa"/>
            <w:vAlign w:val="bottom"/>
          </w:tcPr>
          <w:p>
            <w:pPr>
              <w:spacing w:after="0"/>
              <w:rPr>
                <w:sz w:val="16"/>
                <w:szCs w:val="16"/>
                <w:color w:val="auto"/>
              </w:rPr>
            </w:pPr>
          </w:p>
        </w:tc>
      </w:tr>
      <w:tr>
        <w:trPr>
          <w:trHeight w:val="208"/>
        </w:trPr>
        <w:tc>
          <w:tcPr>
            <w:tcW w:w="3300" w:type="dxa"/>
            <w:vAlign w:val="bottom"/>
          </w:tcPr>
          <w:p>
            <w:pPr>
              <w:ind w:left="520"/>
              <w:spacing w:after="0"/>
              <w:rPr>
                <w:sz w:val="20"/>
                <w:szCs w:val="20"/>
                <w:color w:val="auto"/>
              </w:rPr>
            </w:pPr>
            <w:r>
              <w:rPr>
                <w:rFonts w:ascii="Arial" w:cs="Arial" w:eastAsia="Arial" w:hAnsi="Arial"/>
                <w:sz w:val="17"/>
                <w:szCs w:val="17"/>
                <w:color w:val="auto"/>
              </w:rPr>
              <w:t>Pessimistic</w:t>
            </w:r>
          </w:p>
        </w:tc>
        <w:tc>
          <w:tcPr>
            <w:tcW w:w="1320" w:type="dxa"/>
            <w:vAlign w:val="bottom"/>
          </w:tcPr>
          <w:p>
            <w:pPr>
              <w:jc w:val="right"/>
              <w:spacing w:after="0"/>
              <w:rPr>
                <w:sz w:val="20"/>
                <w:szCs w:val="20"/>
                <w:color w:val="auto"/>
              </w:rPr>
            </w:pPr>
            <w:r>
              <w:rPr>
                <w:rFonts w:ascii="Arial" w:cs="Arial" w:eastAsia="Arial" w:hAnsi="Arial"/>
                <w:sz w:val="17"/>
                <w:szCs w:val="17"/>
                <w:color w:val="auto"/>
              </w:rPr>
              <w:t>8,631,531</w:t>
            </w:r>
          </w:p>
        </w:tc>
        <w:tc>
          <w:tcPr>
            <w:tcW w:w="220" w:type="dxa"/>
            <w:vAlign w:val="bottom"/>
          </w:tcPr>
          <w:p>
            <w:pPr>
              <w:spacing w:after="0"/>
              <w:rPr>
                <w:sz w:val="18"/>
                <w:szCs w:val="18"/>
                <w:color w:val="auto"/>
              </w:rPr>
            </w:pPr>
          </w:p>
        </w:tc>
        <w:tc>
          <w:tcPr>
            <w:tcW w:w="1320" w:type="dxa"/>
            <w:vAlign w:val="bottom"/>
          </w:tcPr>
          <w:p>
            <w:pPr>
              <w:ind w:left="500"/>
              <w:spacing w:after="0"/>
              <w:rPr>
                <w:sz w:val="20"/>
                <w:szCs w:val="20"/>
                <w:color w:val="auto"/>
              </w:rPr>
            </w:pPr>
            <w:r>
              <w:rPr>
                <w:rFonts w:ascii="Arial" w:cs="Arial" w:eastAsia="Arial" w:hAnsi="Arial"/>
                <w:sz w:val="17"/>
                <w:szCs w:val="17"/>
                <w:color w:val="auto"/>
              </w:rPr>
              <w:t>9,173,730</w:t>
            </w:r>
          </w:p>
        </w:tc>
        <w:tc>
          <w:tcPr>
            <w:tcW w:w="5080" w:type="dxa"/>
            <w:vAlign w:val="bottom"/>
          </w:tcPr>
          <w:p>
            <w:pPr>
              <w:spacing w:after="0"/>
              <w:rPr>
                <w:sz w:val="18"/>
                <w:szCs w:val="18"/>
                <w:color w:val="auto"/>
              </w:rPr>
            </w:pPr>
          </w:p>
        </w:tc>
      </w:tr>
      <w:tr>
        <w:trPr>
          <w:trHeight w:val="557"/>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ind w:left="520"/>
              <w:spacing w:after="0"/>
              <w:rPr>
                <w:sz w:val="20"/>
                <w:szCs w:val="20"/>
                <w:color w:val="auto"/>
              </w:rPr>
            </w:pPr>
            <w:r>
              <w:rPr>
                <w:rFonts w:ascii="Arial" w:cs="Arial" w:eastAsia="Arial" w:hAnsi="Arial"/>
                <w:sz w:val="17"/>
                <w:szCs w:val="17"/>
                <w:color w:val="auto"/>
              </w:rPr>
              <w:t>- 152 -</w:t>
            </w:r>
          </w:p>
        </w:tc>
        <w:tc>
          <w:tcPr>
            <w:tcW w:w="5080" w:type="dxa"/>
            <w:vAlign w:val="bottom"/>
          </w:tcPr>
          <w:p>
            <w:pPr>
              <w:spacing w:after="0"/>
              <w:rPr>
                <w:sz w:val="24"/>
                <w:szCs w:val="24"/>
                <w:color w:val="auto"/>
              </w:rPr>
            </w:pPr>
          </w:p>
        </w:tc>
      </w:tr>
      <w:tr>
        <w:trPr>
          <w:trHeight w:val="58"/>
        </w:trPr>
        <w:tc>
          <w:tcPr>
            <w:tcW w:w="3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0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3" w:right="339" w:bottom="1440" w:gutter="0" w:footer="0" w:header="0"/>
        </w:sectPr>
      </w:pPr>
    </w:p>
    <w:bookmarkStart w:id="157" w:name="page158"/>
    <w:bookmarkEnd w:id="157"/>
    <w:p>
      <w:pPr>
        <w:ind w:left="940" w:hanging="315"/>
        <w:spacing w:after="0"/>
        <w:tabs>
          <w:tab w:leader="none" w:pos="94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Credit risk management on reverse repurchase agreements and securities borrowing -</w:t>
      </w:r>
    </w:p>
    <w:p>
      <w:pPr>
        <w:spacing w:after="0" w:line="193" w:lineRule="exact"/>
        <w:rPr>
          <w:rFonts w:ascii="Arial" w:cs="Arial" w:eastAsia="Arial" w:hAnsi="Arial"/>
          <w:sz w:val="17"/>
          <w:szCs w:val="17"/>
          <w:color w:val="auto"/>
        </w:rPr>
      </w:pPr>
    </w:p>
    <w:p>
      <w:pPr>
        <w:ind w:left="940" w:right="40"/>
        <w:spacing w:after="0" w:line="254" w:lineRule="auto"/>
        <w:rPr>
          <w:rFonts w:ascii="Arial" w:cs="Arial" w:eastAsia="Arial" w:hAnsi="Arial"/>
          <w:sz w:val="17"/>
          <w:szCs w:val="17"/>
          <w:color w:val="auto"/>
        </w:rPr>
      </w:pPr>
      <w:r>
        <w:rPr>
          <w:rFonts w:ascii="Arial" w:cs="Arial" w:eastAsia="Arial" w:hAnsi="Arial"/>
          <w:sz w:val="17"/>
          <w:szCs w:val="17"/>
          <w:color w:val="auto"/>
        </w:rPr>
        <w:t>Most of these operations are performed by Credicorp Capital. The Group has implemented credit limits for each counterparty and most of transactions are collateralized with investment grade financial instruments and financial instruments issued by Governments.</w:t>
      </w:r>
    </w:p>
    <w:p>
      <w:pPr>
        <w:spacing w:after="0" w:line="169" w:lineRule="exact"/>
        <w:rPr>
          <w:rFonts w:ascii="Arial" w:cs="Arial" w:eastAsia="Arial" w:hAnsi="Arial"/>
          <w:sz w:val="17"/>
          <w:szCs w:val="17"/>
          <w:color w:val="auto"/>
        </w:rPr>
      </w:pPr>
    </w:p>
    <w:p>
      <w:pPr>
        <w:ind w:left="940" w:hanging="315"/>
        <w:spacing w:after="0"/>
        <w:tabs>
          <w:tab w:leader="none" w:pos="94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Credit risk management on investments -</w:t>
      </w:r>
    </w:p>
    <w:p>
      <w:pPr>
        <w:spacing w:after="0" w:line="193" w:lineRule="exact"/>
        <w:rPr>
          <w:rFonts w:ascii="Arial" w:cs="Arial" w:eastAsia="Arial" w:hAnsi="Arial"/>
          <w:sz w:val="17"/>
          <w:szCs w:val="17"/>
          <w:color w:val="auto"/>
        </w:rPr>
      </w:pPr>
    </w:p>
    <w:p>
      <w:pPr>
        <w:ind w:left="940" w:right="260"/>
        <w:spacing w:after="0" w:line="243" w:lineRule="auto"/>
        <w:rPr>
          <w:rFonts w:ascii="Arial" w:cs="Arial" w:eastAsia="Arial" w:hAnsi="Arial"/>
          <w:sz w:val="17"/>
          <w:szCs w:val="17"/>
          <w:color w:val="auto"/>
        </w:rPr>
      </w:pPr>
      <w:r>
        <w:rPr>
          <w:rFonts w:ascii="Arial" w:cs="Arial" w:eastAsia="Arial" w:hAnsi="Arial"/>
          <w:sz w:val="17"/>
          <w:szCs w:val="17"/>
          <w:color w:val="auto"/>
        </w:rPr>
        <w:t>The Group evaluates the credit risk identified of each of the investments, disclosing the risk rating granted to them by a risk rating agency. For investments traded in Peru, risk ratings used are those provided by the three most prestigious Peruvian rating agencies (authorized by Peruvian regulator) and for investments traded abroad, the risk-ratings used are those provided by the three most prestigious international rating agencies.</w:t>
      </w:r>
    </w:p>
    <w:p>
      <w:pPr>
        <w:spacing w:after="0" w:line="179" w:lineRule="exact"/>
        <w:rPr>
          <w:rFonts w:ascii="Arial" w:cs="Arial" w:eastAsia="Arial" w:hAnsi="Arial"/>
          <w:sz w:val="17"/>
          <w:szCs w:val="17"/>
          <w:color w:val="auto"/>
        </w:rPr>
      </w:pPr>
    </w:p>
    <w:p>
      <w:pPr>
        <w:ind w:left="940" w:right="440"/>
        <w:spacing w:after="0" w:line="254" w:lineRule="auto"/>
        <w:rPr>
          <w:rFonts w:ascii="Arial" w:cs="Arial" w:eastAsia="Arial" w:hAnsi="Arial"/>
          <w:sz w:val="17"/>
          <w:szCs w:val="17"/>
          <w:color w:val="auto"/>
        </w:rPr>
      </w:pPr>
      <w:r>
        <w:rPr>
          <w:rFonts w:ascii="Arial" w:cs="Arial" w:eastAsia="Arial" w:hAnsi="Arial"/>
          <w:sz w:val="17"/>
          <w:szCs w:val="17"/>
          <w:color w:val="auto"/>
        </w:rPr>
        <w:t>In the event that any subsidiary uses a risk-rating prepared by any other risk rating agency, said risk-ratings are standardized with those provided by the above-mentioned institutions for consolidation purposes.</w:t>
      </w:r>
    </w:p>
    <w:p>
      <w:pPr>
        <w:spacing w:after="0" w:line="169" w:lineRule="exact"/>
        <w:rPr>
          <w:sz w:val="20"/>
          <w:szCs w:val="20"/>
          <w:color w:val="auto"/>
        </w:rPr>
      </w:pPr>
    </w:p>
    <w:p>
      <w:pPr>
        <w:ind w:left="940"/>
        <w:spacing w:after="0" w:line="254" w:lineRule="auto"/>
        <w:rPr>
          <w:sz w:val="20"/>
          <w:szCs w:val="20"/>
          <w:color w:val="auto"/>
        </w:rPr>
      </w:pPr>
      <w:r>
        <w:rPr>
          <w:rFonts w:ascii="Arial" w:cs="Arial" w:eastAsia="Arial" w:hAnsi="Arial"/>
          <w:sz w:val="17"/>
          <w:szCs w:val="17"/>
          <w:color w:val="auto"/>
        </w:rPr>
        <w:t>The following table shows the analysis of the risk-rating of the investments at fair value through profit or loss, at fair value through other comprehensive income and amortized cost provided by the institutions referred to above: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gridSpan w:val="2"/>
          </w:tcPr>
          <w:p>
            <w:pPr>
              <w:ind w:left="4640"/>
              <w:spacing w:after="0"/>
              <w:rPr>
                <w:sz w:val="20"/>
                <w:szCs w:val="20"/>
                <w:color w:val="auto"/>
              </w:rPr>
            </w:pPr>
            <w:r>
              <w:rPr>
                <w:rFonts w:ascii="Arial" w:cs="Arial" w:eastAsia="Arial" w:hAnsi="Arial"/>
                <w:sz w:val="17"/>
                <w:szCs w:val="17"/>
                <w:b w:val="1"/>
                <w:bCs w:val="1"/>
                <w:color w:val="auto"/>
              </w:rPr>
              <w:t>2022</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4"/>
        </w:trPr>
        <w:tc>
          <w:tcPr>
            <w:tcW w:w="4540" w:type="dxa"/>
            <w:vAlign w:val="bottom"/>
          </w:tcPr>
          <w:p>
            <w:pPr>
              <w:spacing w:after="0"/>
              <w:rPr>
                <w:sz w:val="14"/>
                <w:szCs w:val="14"/>
                <w:color w:val="auto"/>
              </w:rPr>
            </w:pPr>
          </w:p>
        </w:tc>
        <w:tc>
          <w:tcPr>
            <w:tcW w:w="700" w:type="dxa"/>
            <w:vAlign w:val="bottom"/>
            <w:tcBorders>
              <w:top w:val="single" w:sz="8" w:color="auto"/>
            </w:tcBorders>
          </w:tcPr>
          <w:p>
            <w:pPr>
              <w:ind w:left="100"/>
              <w:spacing w:after="0" w:line="164" w:lineRule="exact"/>
              <w:rPr>
                <w:sz w:val="20"/>
                <w:szCs w:val="20"/>
                <w:color w:val="auto"/>
              </w:rPr>
            </w:pPr>
            <w:r>
              <w:rPr>
                <w:rFonts w:ascii="Arial" w:cs="Arial" w:eastAsia="Arial" w:hAnsi="Arial"/>
                <w:sz w:val="17"/>
                <w:szCs w:val="17"/>
                <w:b w:val="1"/>
                <w:bCs w:val="1"/>
                <w:color w:val="auto"/>
              </w:rPr>
              <w:t>S/(000)</w:t>
            </w:r>
          </w:p>
        </w:tc>
        <w:tc>
          <w:tcPr>
            <w:tcW w:w="10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854"/>
              <w:spacing w:after="0" w:line="164"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4"/>
                <w:szCs w:val="14"/>
                <w:color w:val="auto"/>
              </w:rPr>
            </w:pPr>
          </w:p>
        </w:tc>
        <w:tc>
          <w:tcPr>
            <w:tcW w:w="1940" w:type="dxa"/>
            <w:vAlign w:val="bottom"/>
            <w:tcBorders>
              <w:top w:val="single" w:sz="8" w:color="auto"/>
            </w:tcBorders>
            <w:gridSpan w:val="2"/>
          </w:tcPr>
          <w:p>
            <w:pPr>
              <w:ind w:left="80"/>
              <w:spacing w:after="0" w:line="164" w:lineRule="exact"/>
              <w:rPr>
                <w:sz w:val="20"/>
                <w:szCs w:val="20"/>
                <w:color w:val="auto"/>
              </w:rPr>
            </w:pPr>
            <w:r>
              <w:rPr>
                <w:rFonts w:ascii="Arial" w:cs="Arial" w:eastAsia="Arial" w:hAnsi="Arial"/>
                <w:sz w:val="17"/>
                <w:szCs w:val="17"/>
                <w:b w:val="1"/>
                <w:bCs w:val="1"/>
                <w:color w:val="auto"/>
              </w:rPr>
              <w:t>S/(000)</w:t>
            </w:r>
          </w:p>
        </w:tc>
        <w:tc>
          <w:tcPr>
            <w:tcW w:w="1200" w:type="dxa"/>
            <w:vAlign w:val="bottom"/>
            <w:tcBorders>
              <w:top w:val="single" w:sz="8" w:color="auto"/>
            </w:tcBorders>
          </w:tcPr>
          <w:p>
            <w:pPr>
              <w:jc w:val="right"/>
              <w:ind w:right="874"/>
              <w:spacing w:after="0" w:line="164" w:lineRule="exact"/>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r>
      <w:tr>
        <w:trPr>
          <w:trHeight w:val="216"/>
        </w:trPr>
        <w:tc>
          <w:tcPr>
            <w:tcW w:w="5240" w:type="dxa"/>
            <w:vAlign w:val="bottom"/>
            <w:gridSpan w:val="2"/>
          </w:tcPr>
          <w:p>
            <w:pPr>
              <w:ind w:left="940"/>
              <w:spacing w:after="0"/>
              <w:rPr>
                <w:sz w:val="20"/>
                <w:szCs w:val="20"/>
                <w:color w:val="auto"/>
              </w:rPr>
            </w:pPr>
            <w:r>
              <w:rPr>
                <w:rFonts w:ascii="Arial" w:cs="Arial" w:eastAsia="Arial" w:hAnsi="Arial"/>
                <w:sz w:val="17"/>
                <w:szCs w:val="17"/>
                <w:b w:val="1"/>
                <w:bCs w:val="1"/>
                <w:color w:val="auto"/>
              </w:rPr>
              <w:t>Instruments rated in Peru:</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5240" w:type="dxa"/>
            <w:vAlign w:val="bottom"/>
            <w:gridSpan w:val="2"/>
          </w:tcPr>
          <w:p>
            <w:pPr>
              <w:ind w:left="940"/>
              <w:spacing w:after="0" w:line="194" w:lineRule="exact"/>
              <w:rPr>
                <w:sz w:val="20"/>
                <w:szCs w:val="20"/>
                <w:color w:val="auto"/>
              </w:rPr>
            </w:pPr>
            <w:r>
              <w:rPr>
                <w:rFonts w:ascii="Arial" w:cs="Arial" w:eastAsia="Arial" w:hAnsi="Arial"/>
                <w:sz w:val="17"/>
                <w:szCs w:val="17"/>
                <w:color w:val="auto"/>
              </w:rPr>
              <w:t>AAA</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242,679</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0.5</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303,831</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0.6</w:t>
            </w:r>
          </w:p>
        </w:tc>
        <w:tc>
          <w:tcPr>
            <w:tcW w:w="180" w:type="dxa"/>
            <w:vAlign w:val="bottom"/>
          </w:tcPr>
          <w:p>
            <w:pPr>
              <w:spacing w:after="0"/>
              <w:rPr>
                <w:sz w:val="16"/>
                <w:szCs w:val="16"/>
                <w:color w:val="auto"/>
              </w:rPr>
            </w:pPr>
          </w:p>
        </w:tc>
      </w:tr>
      <w:tr>
        <w:trPr>
          <w:trHeight w:val="194"/>
        </w:trPr>
        <w:tc>
          <w:tcPr>
            <w:tcW w:w="5240" w:type="dxa"/>
            <w:vAlign w:val="bottom"/>
            <w:gridSpan w:val="2"/>
          </w:tcPr>
          <w:p>
            <w:pPr>
              <w:ind w:left="940"/>
              <w:spacing w:after="0" w:line="194" w:lineRule="exact"/>
              <w:rPr>
                <w:sz w:val="20"/>
                <w:szCs w:val="20"/>
                <w:color w:val="auto"/>
              </w:rPr>
            </w:pPr>
            <w:r>
              <w:rPr>
                <w:rFonts w:ascii="Arial" w:cs="Arial" w:eastAsia="Arial" w:hAnsi="Arial"/>
                <w:sz w:val="17"/>
                <w:szCs w:val="17"/>
                <w:color w:val="auto"/>
              </w:rPr>
              <w:t>AA- a AA+</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311,810</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0.7</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62,287</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0.1</w:t>
            </w:r>
          </w:p>
        </w:tc>
        <w:tc>
          <w:tcPr>
            <w:tcW w:w="180" w:type="dxa"/>
            <w:vAlign w:val="bottom"/>
          </w:tcPr>
          <w:p>
            <w:pPr>
              <w:spacing w:after="0"/>
              <w:rPr>
                <w:sz w:val="16"/>
                <w:szCs w:val="16"/>
                <w:color w:val="auto"/>
              </w:rPr>
            </w:pPr>
          </w:p>
        </w:tc>
      </w:tr>
      <w:tr>
        <w:trPr>
          <w:trHeight w:val="194"/>
        </w:trPr>
        <w:tc>
          <w:tcPr>
            <w:tcW w:w="5240" w:type="dxa"/>
            <w:vAlign w:val="bottom"/>
            <w:gridSpan w:val="2"/>
          </w:tcPr>
          <w:p>
            <w:pPr>
              <w:ind w:left="940"/>
              <w:spacing w:after="0" w:line="194" w:lineRule="exact"/>
              <w:rPr>
                <w:sz w:val="20"/>
                <w:szCs w:val="20"/>
                <w:color w:val="auto"/>
              </w:rPr>
            </w:pPr>
            <w:r>
              <w:rPr>
                <w:rFonts w:ascii="Arial" w:cs="Arial" w:eastAsia="Arial" w:hAnsi="Arial"/>
                <w:sz w:val="17"/>
                <w:szCs w:val="17"/>
                <w:color w:val="auto"/>
              </w:rPr>
              <w:t>A- to A+ (i)</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1,931,461</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4.3</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5,182</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5240" w:type="dxa"/>
            <w:vAlign w:val="bottom"/>
            <w:gridSpan w:val="2"/>
          </w:tcPr>
          <w:p>
            <w:pPr>
              <w:ind w:left="940"/>
              <w:spacing w:after="0" w:line="194" w:lineRule="exact"/>
              <w:rPr>
                <w:sz w:val="20"/>
                <w:szCs w:val="20"/>
                <w:color w:val="auto"/>
              </w:rPr>
            </w:pPr>
            <w:r>
              <w:rPr>
                <w:rFonts w:ascii="Arial" w:cs="Arial" w:eastAsia="Arial" w:hAnsi="Arial"/>
                <w:sz w:val="17"/>
                <w:szCs w:val="17"/>
                <w:color w:val="auto"/>
              </w:rPr>
              <w:t>BBB- to BBB+</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18,828,927</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41.5</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21,050,591</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43.1</w:t>
            </w:r>
          </w:p>
        </w:tc>
        <w:tc>
          <w:tcPr>
            <w:tcW w:w="180" w:type="dxa"/>
            <w:vAlign w:val="bottom"/>
          </w:tcPr>
          <w:p>
            <w:pPr>
              <w:spacing w:after="0"/>
              <w:rPr>
                <w:sz w:val="16"/>
                <w:szCs w:val="16"/>
                <w:color w:val="auto"/>
              </w:rPr>
            </w:pPr>
          </w:p>
        </w:tc>
      </w:tr>
      <w:tr>
        <w:trPr>
          <w:trHeight w:val="194"/>
        </w:trPr>
        <w:tc>
          <w:tcPr>
            <w:tcW w:w="5240" w:type="dxa"/>
            <w:vAlign w:val="bottom"/>
            <w:gridSpan w:val="2"/>
          </w:tcPr>
          <w:p>
            <w:pPr>
              <w:ind w:left="940"/>
              <w:spacing w:after="0" w:line="194" w:lineRule="exact"/>
              <w:rPr>
                <w:sz w:val="20"/>
                <w:szCs w:val="20"/>
                <w:color w:val="auto"/>
              </w:rPr>
            </w:pPr>
            <w:r>
              <w:rPr>
                <w:rFonts w:ascii="Arial" w:cs="Arial" w:eastAsia="Arial" w:hAnsi="Arial"/>
                <w:sz w:val="17"/>
                <w:szCs w:val="17"/>
                <w:color w:val="auto"/>
              </w:rPr>
              <w:t>BB- to BB+</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454,480</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694,398</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1.4</w:t>
            </w:r>
          </w:p>
        </w:tc>
        <w:tc>
          <w:tcPr>
            <w:tcW w:w="180" w:type="dxa"/>
            <w:vAlign w:val="bottom"/>
          </w:tcPr>
          <w:p>
            <w:pPr>
              <w:spacing w:after="0"/>
              <w:rPr>
                <w:sz w:val="16"/>
                <w:szCs w:val="16"/>
                <w:color w:val="auto"/>
              </w:rPr>
            </w:pPr>
          </w:p>
        </w:tc>
      </w:tr>
      <w:tr>
        <w:trPr>
          <w:trHeight w:val="208"/>
        </w:trPr>
        <w:tc>
          <w:tcPr>
            <w:tcW w:w="5240" w:type="dxa"/>
            <w:vAlign w:val="bottom"/>
            <w:gridSpan w:val="2"/>
          </w:tcPr>
          <w:p>
            <w:pPr>
              <w:ind w:left="940"/>
              <w:spacing w:after="0"/>
              <w:rPr>
                <w:sz w:val="20"/>
                <w:szCs w:val="20"/>
                <w:color w:val="auto"/>
              </w:rPr>
            </w:pPr>
            <w:r>
              <w:rPr>
                <w:rFonts w:ascii="Arial" w:cs="Arial" w:eastAsia="Arial" w:hAnsi="Arial"/>
                <w:sz w:val="17"/>
                <w:szCs w:val="17"/>
                <w:color w:val="auto"/>
              </w:rPr>
              <w:t>Lower and equal to +B</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4"/>
              <w:spacing w:after="0"/>
              <w:rPr>
                <w:sz w:val="20"/>
                <w:szCs w:val="20"/>
                <w:color w:val="auto"/>
              </w:rPr>
            </w:pPr>
            <w:r>
              <w:rPr>
                <w:rFonts w:ascii="Arial" w:cs="Arial" w:eastAsia="Arial" w:hAnsi="Arial"/>
                <w:sz w:val="17"/>
                <w:szCs w:val="17"/>
                <w:color w:val="auto"/>
              </w:rPr>
              <w:t>82,395</w:t>
            </w:r>
          </w:p>
        </w:tc>
        <w:tc>
          <w:tcPr>
            <w:tcW w:w="24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0.2</w:t>
            </w:r>
          </w:p>
        </w:tc>
        <w:tc>
          <w:tcPr>
            <w:tcW w:w="180" w:type="dxa"/>
            <w:vAlign w:val="bottom"/>
          </w:tcPr>
          <w:p>
            <w:pPr>
              <w:spacing w:after="0"/>
              <w:rPr>
                <w:sz w:val="18"/>
                <w:szCs w:val="18"/>
                <w:color w:val="auto"/>
              </w:rPr>
            </w:pPr>
          </w:p>
        </w:tc>
      </w:tr>
      <w:tr>
        <w:trPr>
          <w:trHeight w:val="375"/>
        </w:trPr>
        <w:tc>
          <w:tcPr>
            <w:tcW w:w="5240" w:type="dxa"/>
            <w:vAlign w:val="bottom"/>
            <w:gridSpan w:val="2"/>
          </w:tcPr>
          <w:p>
            <w:pPr>
              <w:ind w:left="940"/>
              <w:spacing w:after="0"/>
              <w:rPr>
                <w:sz w:val="20"/>
                <w:szCs w:val="20"/>
                <w:color w:val="auto"/>
              </w:rPr>
            </w:pPr>
            <w:r>
              <w:rPr>
                <w:rFonts w:ascii="Arial" w:cs="Arial" w:eastAsia="Arial" w:hAnsi="Arial"/>
                <w:sz w:val="17"/>
                <w:szCs w:val="17"/>
                <w:color w:val="auto"/>
              </w:rPr>
              <w:t>Unrated:</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5240" w:type="dxa"/>
            <w:vAlign w:val="bottom"/>
            <w:gridSpan w:val="2"/>
          </w:tcPr>
          <w:p>
            <w:pPr>
              <w:ind w:left="1120"/>
              <w:spacing w:after="0" w:line="194" w:lineRule="exact"/>
              <w:rPr>
                <w:sz w:val="20"/>
                <w:szCs w:val="20"/>
                <w:color w:val="auto"/>
              </w:rPr>
            </w:pPr>
            <w:r>
              <w:rPr>
                <w:rFonts w:ascii="Arial" w:cs="Arial" w:eastAsia="Arial" w:hAnsi="Arial"/>
                <w:sz w:val="17"/>
                <w:szCs w:val="17"/>
                <w:color w:val="auto"/>
              </w:rPr>
              <w:t>BCRP certificates of deposit (ii)</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7,019,479</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15.5</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9,448,574</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19.3</w:t>
            </w:r>
          </w:p>
        </w:tc>
        <w:tc>
          <w:tcPr>
            <w:tcW w:w="180" w:type="dxa"/>
            <w:vAlign w:val="bottom"/>
          </w:tcPr>
          <w:p>
            <w:pPr>
              <w:spacing w:after="0"/>
              <w:rPr>
                <w:sz w:val="16"/>
                <w:szCs w:val="16"/>
                <w:color w:val="auto"/>
              </w:rPr>
            </w:pPr>
          </w:p>
        </w:tc>
      </w:tr>
      <w:tr>
        <w:trPr>
          <w:trHeight w:val="194"/>
        </w:trPr>
        <w:tc>
          <w:tcPr>
            <w:tcW w:w="5240" w:type="dxa"/>
            <w:vAlign w:val="bottom"/>
            <w:gridSpan w:val="2"/>
          </w:tcPr>
          <w:p>
            <w:pPr>
              <w:ind w:left="1120"/>
              <w:spacing w:after="0" w:line="194" w:lineRule="exact"/>
              <w:rPr>
                <w:sz w:val="20"/>
                <w:szCs w:val="20"/>
                <w:color w:val="auto"/>
              </w:rPr>
            </w:pPr>
            <w:r>
              <w:rPr>
                <w:rFonts w:ascii="Arial" w:cs="Arial" w:eastAsia="Arial" w:hAnsi="Arial"/>
                <w:sz w:val="17"/>
                <w:szCs w:val="17"/>
                <w:color w:val="auto"/>
              </w:rPr>
              <w:t>Listed and unlisted securities</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344,842</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0.8</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384,243</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0.8</w:t>
            </w:r>
          </w:p>
        </w:tc>
        <w:tc>
          <w:tcPr>
            <w:tcW w:w="180" w:type="dxa"/>
            <w:vAlign w:val="bottom"/>
          </w:tcPr>
          <w:p>
            <w:pPr>
              <w:spacing w:after="0"/>
              <w:rPr>
                <w:sz w:val="16"/>
                <w:szCs w:val="16"/>
                <w:color w:val="auto"/>
              </w:rPr>
            </w:pPr>
          </w:p>
        </w:tc>
      </w:tr>
      <w:tr>
        <w:trPr>
          <w:trHeight w:val="194"/>
        </w:trPr>
        <w:tc>
          <w:tcPr>
            <w:tcW w:w="5240" w:type="dxa"/>
            <w:vAlign w:val="bottom"/>
            <w:gridSpan w:val="2"/>
          </w:tcPr>
          <w:p>
            <w:pPr>
              <w:ind w:left="1120"/>
              <w:spacing w:after="0" w:line="194" w:lineRule="exact"/>
              <w:rPr>
                <w:sz w:val="20"/>
                <w:szCs w:val="20"/>
                <w:color w:val="auto"/>
              </w:rPr>
            </w:pPr>
            <w:r>
              <w:rPr>
                <w:rFonts w:ascii="Arial" w:cs="Arial" w:eastAsia="Arial" w:hAnsi="Arial"/>
                <w:sz w:val="17"/>
                <w:szCs w:val="17"/>
                <w:color w:val="auto"/>
              </w:rPr>
              <w:t>Restricted mutual funds</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351,317</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0.8</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365,954</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0.7</w:t>
            </w:r>
          </w:p>
        </w:tc>
        <w:tc>
          <w:tcPr>
            <w:tcW w:w="180" w:type="dxa"/>
            <w:vAlign w:val="bottom"/>
          </w:tcPr>
          <w:p>
            <w:pPr>
              <w:spacing w:after="0"/>
              <w:rPr>
                <w:sz w:val="16"/>
                <w:szCs w:val="16"/>
                <w:color w:val="auto"/>
              </w:rPr>
            </w:pPr>
          </w:p>
        </w:tc>
      </w:tr>
      <w:tr>
        <w:trPr>
          <w:trHeight w:val="194"/>
        </w:trPr>
        <w:tc>
          <w:tcPr>
            <w:tcW w:w="5240" w:type="dxa"/>
            <w:vAlign w:val="bottom"/>
            <w:gridSpan w:val="2"/>
          </w:tcPr>
          <w:p>
            <w:pPr>
              <w:ind w:left="1120"/>
              <w:spacing w:after="0" w:line="194" w:lineRule="exact"/>
              <w:rPr>
                <w:sz w:val="20"/>
                <w:szCs w:val="20"/>
                <w:color w:val="auto"/>
              </w:rPr>
            </w:pPr>
            <w:r>
              <w:rPr>
                <w:rFonts w:ascii="Arial" w:cs="Arial" w:eastAsia="Arial" w:hAnsi="Arial"/>
                <w:sz w:val="17"/>
                <w:szCs w:val="17"/>
                <w:color w:val="auto"/>
              </w:rPr>
              <w:t>Investment funds</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628,476</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1.4</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295,480</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0.6</w:t>
            </w:r>
          </w:p>
        </w:tc>
        <w:tc>
          <w:tcPr>
            <w:tcW w:w="180" w:type="dxa"/>
            <w:vAlign w:val="bottom"/>
          </w:tcPr>
          <w:p>
            <w:pPr>
              <w:spacing w:after="0"/>
              <w:rPr>
                <w:sz w:val="16"/>
                <w:szCs w:val="16"/>
                <w:color w:val="auto"/>
              </w:rPr>
            </w:pPr>
          </w:p>
        </w:tc>
      </w:tr>
      <w:tr>
        <w:trPr>
          <w:trHeight w:val="194"/>
        </w:trPr>
        <w:tc>
          <w:tcPr>
            <w:tcW w:w="5240" w:type="dxa"/>
            <w:vAlign w:val="bottom"/>
            <w:gridSpan w:val="2"/>
          </w:tcPr>
          <w:p>
            <w:pPr>
              <w:ind w:left="1120"/>
              <w:spacing w:after="0" w:line="194" w:lineRule="exact"/>
              <w:rPr>
                <w:sz w:val="20"/>
                <w:szCs w:val="20"/>
                <w:color w:val="auto"/>
              </w:rPr>
            </w:pPr>
            <w:r>
              <w:rPr>
                <w:rFonts w:ascii="Arial" w:cs="Arial" w:eastAsia="Arial" w:hAnsi="Arial"/>
                <w:sz w:val="17"/>
                <w:szCs w:val="17"/>
                <w:color w:val="auto"/>
              </w:rPr>
              <w:t>Mutual funds</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76,111</w:t>
            </w:r>
          </w:p>
        </w:tc>
        <w:tc>
          <w:tcPr>
            <w:tcW w:w="260" w:type="dxa"/>
            <w:vAlign w:val="bottom"/>
          </w:tcPr>
          <w:p>
            <w:pPr>
              <w:spacing w:after="0"/>
              <w:rPr>
                <w:sz w:val="16"/>
                <w:szCs w:val="16"/>
                <w:color w:val="auto"/>
              </w:rPr>
            </w:pPr>
          </w:p>
        </w:tc>
        <w:tc>
          <w:tcPr>
            <w:tcW w:w="11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0.2</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20,672</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4"/>
        </w:trPr>
        <w:tc>
          <w:tcPr>
            <w:tcW w:w="5240" w:type="dxa"/>
            <w:vAlign w:val="bottom"/>
            <w:gridSpan w:val="2"/>
          </w:tcPr>
          <w:p>
            <w:pPr>
              <w:ind w:left="1120"/>
              <w:spacing w:after="0" w:line="194" w:lineRule="exact"/>
              <w:rPr>
                <w:sz w:val="20"/>
                <w:szCs w:val="20"/>
                <w:color w:val="auto"/>
              </w:rPr>
            </w:pPr>
            <w:r>
              <w:rPr>
                <w:rFonts w:ascii="Arial" w:cs="Arial" w:eastAsia="Arial" w:hAnsi="Arial"/>
                <w:sz w:val="17"/>
                <w:szCs w:val="17"/>
                <w:color w:val="auto"/>
              </w:rPr>
              <w:t>Hedge funds</w:t>
            </w:r>
          </w:p>
        </w:tc>
        <w:tc>
          <w:tcPr>
            <w:tcW w:w="126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w:t>
            </w: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24,275</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195"/>
        </w:trPr>
        <w:tc>
          <w:tcPr>
            <w:tcW w:w="5240" w:type="dxa"/>
            <w:vAlign w:val="bottom"/>
            <w:gridSpan w:val="2"/>
          </w:tcPr>
          <w:p>
            <w:pPr>
              <w:ind w:left="1120"/>
              <w:spacing w:after="0"/>
              <w:rPr>
                <w:sz w:val="20"/>
                <w:szCs w:val="20"/>
                <w:color w:val="auto"/>
              </w:rPr>
            </w:pPr>
            <w:r>
              <w:rPr>
                <w:rFonts w:ascii="Arial" w:cs="Arial" w:eastAsia="Arial" w:hAnsi="Arial"/>
                <w:sz w:val="17"/>
                <w:szCs w:val="17"/>
                <w:color w:val="auto"/>
              </w:rPr>
              <w:t>Other instruments</w:t>
            </w:r>
          </w:p>
        </w:tc>
        <w:tc>
          <w:tcPr>
            <w:tcW w:w="1000" w:type="dxa"/>
            <w:vAlign w:val="bottom"/>
          </w:tcPr>
          <w:p>
            <w:pPr>
              <w:jc w:val="right"/>
              <w:spacing w:after="0"/>
              <w:rPr>
                <w:sz w:val="20"/>
                <w:szCs w:val="20"/>
                <w:color w:val="auto"/>
              </w:rPr>
            </w:pPr>
            <w:r>
              <w:rPr>
                <w:rFonts w:ascii="Arial" w:cs="Arial" w:eastAsia="Arial" w:hAnsi="Arial"/>
                <w:sz w:val="17"/>
                <w:szCs w:val="17"/>
                <w:color w:val="auto"/>
              </w:rPr>
              <w:t>237,174</w:t>
            </w:r>
          </w:p>
        </w:tc>
        <w:tc>
          <w:tcPr>
            <w:tcW w:w="260" w:type="dxa"/>
            <w:vAlign w:val="bottom"/>
          </w:tcPr>
          <w:p>
            <w:pPr>
              <w:spacing w:after="0"/>
              <w:rPr>
                <w:sz w:val="16"/>
                <w:szCs w:val="16"/>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6"/>
                <w:szCs w:val="16"/>
                <w:color w:val="auto"/>
              </w:rPr>
            </w:pPr>
          </w:p>
        </w:tc>
        <w:tc>
          <w:tcPr>
            <w:tcW w:w="1700" w:type="dxa"/>
            <w:vAlign w:val="bottom"/>
          </w:tcPr>
          <w:p>
            <w:pPr>
              <w:jc w:val="right"/>
              <w:ind w:right="14"/>
              <w:spacing w:after="0"/>
              <w:rPr>
                <w:sz w:val="20"/>
                <w:szCs w:val="20"/>
                <w:color w:val="auto"/>
              </w:rPr>
            </w:pPr>
            <w:r>
              <w:rPr>
                <w:rFonts w:ascii="Arial" w:cs="Arial" w:eastAsia="Arial" w:hAnsi="Arial"/>
                <w:sz w:val="17"/>
                <w:szCs w:val="17"/>
                <w:color w:val="auto"/>
              </w:rPr>
              <w:t>39,035</w:t>
            </w:r>
          </w:p>
        </w:tc>
        <w:tc>
          <w:tcPr>
            <w:tcW w:w="240" w:type="dxa"/>
            <w:vAlign w:val="bottom"/>
          </w:tcPr>
          <w:p>
            <w:pPr>
              <w:spacing w:after="0"/>
              <w:rPr>
                <w:sz w:val="16"/>
                <w:szCs w:val="16"/>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6"/>
                <w:szCs w:val="16"/>
                <w:color w:val="auto"/>
              </w:rPr>
            </w:pPr>
          </w:p>
        </w:tc>
      </w:tr>
      <w:tr>
        <w:trPr>
          <w:trHeight w:val="187"/>
        </w:trPr>
        <w:tc>
          <w:tcPr>
            <w:tcW w:w="4540" w:type="dxa"/>
            <w:vAlign w:val="bottom"/>
          </w:tcPr>
          <w:p>
            <w:pPr>
              <w:ind w:left="940"/>
              <w:spacing w:after="0" w:line="187" w:lineRule="exact"/>
              <w:rPr>
                <w:sz w:val="20"/>
                <w:szCs w:val="20"/>
                <w:color w:val="auto"/>
              </w:rPr>
            </w:pPr>
            <w:r>
              <w:rPr>
                <w:rFonts w:ascii="Arial" w:cs="Arial" w:eastAsia="Arial" w:hAnsi="Arial"/>
                <w:sz w:val="17"/>
                <w:szCs w:val="17"/>
                <w:b w:val="1"/>
                <w:bCs w:val="1"/>
                <w:color w:val="auto"/>
              </w:rPr>
              <w:t>Subtotal</w:t>
            </w:r>
          </w:p>
        </w:tc>
        <w:tc>
          <w:tcPr>
            <w:tcW w:w="7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30,426,756</w:t>
            </w:r>
          </w:p>
        </w:tc>
        <w:tc>
          <w:tcPr>
            <w:tcW w:w="26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67.2</w:t>
            </w:r>
          </w:p>
        </w:tc>
        <w:tc>
          <w:tcPr>
            <w:tcW w:w="24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32,776,917</w:t>
            </w:r>
          </w:p>
        </w:tc>
        <w:tc>
          <w:tcPr>
            <w:tcW w:w="2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66.9</w:t>
            </w:r>
          </w:p>
        </w:tc>
        <w:tc>
          <w:tcPr>
            <w:tcW w:w="180" w:type="dxa"/>
            <w:vAlign w:val="bottom"/>
          </w:tcPr>
          <w:p>
            <w:pPr>
              <w:spacing w:after="0"/>
              <w:rPr>
                <w:sz w:val="16"/>
                <w:szCs w:val="16"/>
                <w:color w:val="auto"/>
              </w:rPr>
            </w:pPr>
          </w:p>
        </w:tc>
      </w:tr>
      <w:tr>
        <w:trPr>
          <w:trHeight w:val="369"/>
        </w:trPr>
        <w:tc>
          <w:tcPr>
            <w:tcW w:w="4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jc w:val="right"/>
              <w:ind w:right="274"/>
              <w:spacing w:after="0"/>
              <w:rPr>
                <w:sz w:val="20"/>
                <w:szCs w:val="20"/>
                <w:color w:val="auto"/>
              </w:rPr>
            </w:pPr>
            <w:r>
              <w:rPr>
                <w:rFonts w:ascii="Arial" w:cs="Arial" w:eastAsia="Arial" w:hAnsi="Arial"/>
                <w:sz w:val="17"/>
                <w:szCs w:val="17"/>
                <w:color w:val="auto"/>
              </w:rPr>
              <w:t>- 153 -</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4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3"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gridSpan w:val="2"/>
          </w:tcPr>
          <w:p>
            <w:pPr>
              <w:ind w:left="3700"/>
              <w:spacing w:after="0"/>
              <w:rPr>
                <w:sz w:val="20"/>
                <w:szCs w:val="20"/>
                <w:color w:val="auto"/>
              </w:rPr>
            </w:pPr>
            <w:r>
              <w:rPr>
                <w:rFonts w:ascii="Arial" w:cs="Arial" w:eastAsia="Arial" w:hAnsi="Arial"/>
                <w:sz w:val="17"/>
                <w:szCs w:val="17"/>
                <w:b w:val="1"/>
                <w:bCs w:val="1"/>
                <w:color w:val="auto"/>
              </w:rPr>
              <w:t>2022</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64"/>
        </w:trPr>
        <w:tc>
          <w:tcPr>
            <w:tcW w:w="3600" w:type="dxa"/>
            <w:vAlign w:val="bottom"/>
          </w:tcPr>
          <w:p>
            <w:pPr>
              <w:spacing w:after="0"/>
              <w:rPr>
                <w:sz w:val="14"/>
                <w:szCs w:val="14"/>
                <w:color w:val="auto"/>
              </w:rPr>
            </w:pPr>
          </w:p>
        </w:tc>
        <w:tc>
          <w:tcPr>
            <w:tcW w:w="700" w:type="dxa"/>
            <w:vAlign w:val="bottom"/>
            <w:tcBorders>
              <w:top w:val="single" w:sz="8" w:color="auto"/>
            </w:tcBorders>
          </w:tcPr>
          <w:p>
            <w:pPr>
              <w:ind w:left="100"/>
              <w:spacing w:after="0" w:line="164" w:lineRule="exact"/>
              <w:rPr>
                <w:sz w:val="20"/>
                <w:szCs w:val="20"/>
                <w:color w:val="auto"/>
              </w:rPr>
            </w:pPr>
            <w:r>
              <w:rPr>
                <w:rFonts w:ascii="Arial" w:cs="Arial" w:eastAsia="Arial" w:hAnsi="Arial"/>
                <w:sz w:val="17"/>
                <w:szCs w:val="17"/>
                <w:b w:val="1"/>
                <w:bCs w:val="1"/>
                <w:color w:val="auto"/>
              </w:rPr>
              <w:t>S/(000)</w:t>
            </w: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874"/>
              <w:spacing w:after="0" w:line="164"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4"/>
                <w:szCs w:val="14"/>
                <w:color w:val="auto"/>
              </w:rPr>
            </w:pPr>
          </w:p>
        </w:tc>
        <w:tc>
          <w:tcPr>
            <w:tcW w:w="1940" w:type="dxa"/>
            <w:vAlign w:val="bottom"/>
            <w:tcBorders>
              <w:top w:val="single" w:sz="8" w:color="auto"/>
            </w:tcBorders>
            <w:gridSpan w:val="2"/>
          </w:tcPr>
          <w:p>
            <w:pPr>
              <w:ind w:left="80"/>
              <w:spacing w:after="0" w:line="164" w:lineRule="exact"/>
              <w:rPr>
                <w:sz w:val="20"/>
                <w:szCs w:val="20"/>
                <w:color w:val="auto"/>
              </w:rPr>
            </w:pPr>
            <w:r>
              <w:rPr>
                <w:rFonts w:ascii="Arial" w:cs="Arial" w:eastAsia="Arial" w:hAnsi="Arial"/>
                <w:sz w:val="17"/>
                <w:szCs w:val="17"/>
                <w:b w:val="1"/>
                <w:bCs w:val="1"/>
                <w:color w:val="auto"/>
              </w:rPr>
              <w:t>S/(000)</w:t>
            </w:r>
          </w:p>
        </w:tc>
        <w:tc>
          <w:tcPr>
            <w:tcW w:w="1200" w:type="dxa"/>
            <w:vAlign w:val="bottom"/>
            <w:tcBorders>
              <w:top w:val="single" w:sz="8" w:color="auto"/>
            </w:tcBorders>
          </w:tcPr>
          <w:p>
            <w:pPr>
              <w:jc w:val="right"/>
              <w:ind w:right="874"/>
              <w:spacing w:after="0" w:line="164" w:lineRule="exact"/>
              <w:rPr>
                <w:sz w:val="20"/>
                <w:szCs w:val="20"/>
                <w:color w:val="auto"/>
              </w:rPr>
            </w:pPr>
            <w:r>
              <w:rPr>
                <w:rFonts w:ascii="Arial" w:cs="Arial" w:eastAsia="Arial" w:hAnsi="Arial"/>
                <w:sz w:val="17"/>
                <w:szCs w:val="17"/>
                <w:b w:val="1"/>
                <w:bCs w:val="1"/>
                <w:color w:val="auto"/>
              </w:rPr>
              <w:t>%</w:t>
            </w:r>
          </w:p>
        </w:tc>
      </w:tr>
      <w:tr>
        <w:trPr>
          <w:trHeight w:val="216"/>
        </w:trPr>
        <w:tc>
          <w:tcPr>
            <w:tcW w:w="4300" w:type="dxa"/>
            <w:vAlign w:val="bottom"/>
            <w:gridSpan w:val="2"/>
          </w:tcPr>
          <w:p>
            <w:pPr>
              <w:spacing w:after="0"/>
              <w:rPr>
                <w:sz w:val="20"/>
                <w:szCs w:val="20"/>
                <w:color w:val="auto"/>
              </w:rPr>
            </w:pPr>
            <w:r>
              <w:rPr>
                <w:rFonts w:ascii="Arial" w:cs="Arial" w:eastAsia="Arial" w:hAnsi="Arial"/>
                <w:sz w:val="17"/>
                <w:szCs w:val="17"/>
                <w:b w:val="1"/>
                <w:bCs w:val="1"/>
                <w:color w:val="auto"/>
              </w:rPr>
              <w:t>Instruments rated abroad: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4"/>
        </w:trPr>
        <w:tc>
          <w:tcPr>
            <w:tcW w:w="4300" w:type="dxa"/>
            <w:vAlign w:val="bottom"/>
            <w:gridSpan w:val="2"/>
          </w:tcPr>
          <w:p>
            <w:pPr>
              <w:spacing w:after="0" w:line="194" w:lineRule="exact"/>
              <w:rPr>
                <w:sz w:val="20"/>
                <w:szCs w:val="20"/>
                <w:color w:val="auto"/>
              </w:rPr>
            </w:pPr>
            <w:r>
              <w:rPr>
                <w:rFonts w:ascii="Arial" w:cs="Arial" w:eastAsia="Arial" w:hAnsi="Arial"/>
                <w:sz w:val="17"/>
                <w:szCs w:val="17"/>
                <w:color w:val="auto"/>
              </w:rPr>
              <w:t>AAA</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2,313,750</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5.1</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1,723,289</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3.5</w:t>
            </w:r>
          </w:p>
        </w:tc>
      </w:tr>
      <w:tr>
        <w:trPr>
          <w:trHeight w:val="194"/>
        </w:trPr>
        <w:tc>
          <w:tcPr>
            <w:tcW w:w="4300" w:type="dxa"/>
            <w:vAlign w:val="bottom"/>
            <w:gridSpan w:val="2"/>
          </w:tcPr>
          <w:p>
            <w:pPr>
              <w:spacing w:after="0" w:line="194" w:lineRule="exact"/>
              <w:rPr>
                <w:sz w:val="20"/>
                <w:szCs w:val="20"/>
                <w:color w:val="auto"/>
              </w:rPr>
            </w:pPr>
            <w:r>
              <w:rPr>
                <w:rFonts w:ascii="Arial" w:cs="Arial" w:eastAsia="Arial" w:hAnsi="Arial"/>
                <w:sz w:val="17"/>
                <w:szCs w:val="17"/>
                <w:color w:val="auto"/>
              </w:rPr>
              <w:t>AA- a AA+</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1,201,340</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2.6</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1,508,978</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3.1</w:t>
            </w:r>
          </w:p>
        </w:tc>
      </w:tr>
      <w:tr>
        <w:trPr>
          <w:trHeight w:val="194"/>
        </w:trPr>
        <w:tc>
          <w:tcPr>
            <w:tcW w:w="4300" w:type="dxa"/>
            <w:vAlign w:val="bottom"/>
            <w:gridSpan w:val="2"/>
          </w:tcPr>
          <w:p>
            <w:pPr>
              <w:spacing w:after="0" w:line="194" w:lineRule="exact"/>
              <w:rPr>
                <w:sz w:val="20"/>
                <w:szCs w:val="20"/>
                <w:color w:val="auto"/>
              </w:rPr>
            </w:pPr>
            <w:r>
              <w:rPr>
                <w:rFonts w:ascii="Arial" w:cs="Arial" w:eastAsia="Arial" w:hAnsi="Arial"/>
                <w:sz w:val="17"/>
                <w:szCs w:val="17"/>
                <w:color w:val="auto"/>
              </w:rPr>
              <w:t>A- to A+</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1,356,963</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3.0</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2,172,071</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4.4</w:t>
            </w:r>
          </w:p>
        </w:tc>
      </w:tr>
      <w:tr>
        <w:trPr>
          <w:trHeight w:val="194"/>
        </w:trPr>
        <w:tc>
          <w:tcPr>
            <w:tcW w:w="4300" w:type="dxa"/>
            <w:vAlign w:val="bottom"/>
            <w:gridSpan w:val="2"/>
          </w:tcPr>
          <w:p>
            <w:pPr>
              <w:spacing w:after="0" w:line="194" w:lineRule="exact"/>
              <w:rPr>
                <w:sz w:val="20"/>
                <w:szCs w:val="20"/>
                <w:color w:val="auto"/>
              </w:rPr>
            </w:pPr>
            <w:r>
              <w:rPr>
                <w:rFonts w:ascii="Arial" w:cs="Arial" w:eastAsia="Arial" w:hAnsi="Arial"/>
                <w:sz w:val="17"/>
                <w:szCs w:val="17"/>
                <w:color w:val="auto"/>
              </w:rPr>
              <w:t>BBB- to BBB+</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4,322,363</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9.5</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4,642,916</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9.5</w:t>
            </w:r>
          </w:p>
        </w:tc>
      </w:tr>
      <w:tr>
        <w:trPr>
          <w:trHeight w:val="194"/>
        </w:trPr>
        <w:tc>
          <w:tcPr>
            <w:tcW w:w="4300" w:type="dxa"/>
            <w:vAlign w:val="bottom"/>
            <w:gridSpan w:val="2"/>
          </w:tcPr>
          <w:p>
            <w:pPr>
              <w:spacing w:after="0" w:line="194" w:lineRule="exact"/>
              <w:rPr>
                <w:sz w:val="20"/>
                <w:szCs w:val="20"/>
                <w:color w:val="auto"/>
              </w:rPr>
            </w:pPr>
            <w:r>
              <w:rPr>
                <w:rFonts w:ascii="Arial" w:cs="Arial" w:eastAsia="Arial" w:hAnsi="Arial"/>
                <w:sz w:val="17"/>
                <w:szCs w:val="17"/>
                <w:color w:val="auto"/>
              </w:rPr>
              <w:t>BB- to BB+</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2,790,835</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6.1</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3,357,991</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6.9</w:t>
            </w:r>
          </w:p>
        </w:tc>
      </w:tr>
      <w:tr>
        <w:trPr>
          <w:trHeight w:val="208"/>
        </w:trPr>
        <w:tc>
          <w:tcPr>
            <w:tcW w:w="4300" w:type="dxa"/>
            <w:vAlign w:val="bottom"/>
            <w:gridSpan w:val="2"/>
          </w:tcPr>
          <w:p>
            <w:pPr>
              <w:spacing w:after="0"/>
              <w:rPr>
                <w:sz w:val="20"/>
                <w:szCs w:val="20"/>
                <w:color w:val="auto"/>
              </w:rPr>
            </w:pPr>
            <w:r>
              <w:rPr>
                <w:rFonts w:ascii="Arial" w:cs="Arial" w:eastAsia="Arial" w:hAnsi="Arial"/>
                <w:sz w:val="17"/>
                <w:szCs w:val="17"/>
                <w:color w:val="auto"/>
              </w:rPr>
              <w:t>Lower and equal to +B</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132,760</w:t>
            </w:r>
          </w:p>
        </w:tc>
        <w:tc>
          <w:tcPr>
            <w:tcW w:w="24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0.3</w:t>
            </w:r>
          </w:p>
        </w:tc>
        <w:tc>
          <w:tcPr>
            <w:tcW w:w="240" w:type="dxa"/>
            <w:vAlign w:val="bottom"/>
          </w:tcPr>
          <w:p>
            <w:pPr>
              <w:spacing w:after="0"/>
              <w:rPr>
                <w:sz w:val="18"/>
                <w:szCs w:val="18"/>
                <w:color w:val="auto"/>
              </w:rPr>
            </w:pPr>
          </w:p>
        </w:tc>
        <w:tc>
          <w:tcPr>
            <w:tcW w:w="1700" w:type="dxa"/>
            <w:vAlign w:val="bottom"/>
          </w:tcPr>
          <w:p>
            <w:pPr>
              <w:jc w:val="right"/>
              <w:ind w:right="14"/>
              <w:spacing w:after="0"/>
              <w:rPr>
                <w:sz w:val="20"/>
                <w:szCs w:val="20"/>
                <w:color w:val="auto"/>
              </w:rPr>
            </w:pPr>
            <w:r>
              <w:rPr>
                <w:rFonts w:ascii="Arial" w:cs="Arial" w:eastAsia="Arial" w:hAnsi="Arial"/>
                <w:sz w:val="17"/>
                <w:szCs w:val="17"/>
                <w:color w:val="auto"/>
              </w:rPr>
              <w:t>119,379</w:t>
            </w:r>
          </w:p>
        </w:tc>
        <w:tc>
          <w:tcPr>
            <w:tcW w:w="24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0.2</w:t>
            </w:r>
          </w:p>
        </w:tc>
      </w:tr>
      <w:tr>
        <w:trPr>
          <w:trHeight w:val="375"/>
        </w:trPr>
        <w:tc>
          <w:tcPr>
            <w:tcW w:w="4300" w:type="dxa"/>
            <w:vAlign w:val="bottom"/>
            <w:gridSpan w:val="2"/>
          </w:tcPr>
          <w:p>
            <w:pPr>
              <w:spacing w:after="0"/>
              <w:rPr>
                <w:sz w:val="20"/>
                <w:szCs w:val="20"/>
                <w:color w:val="auto"/>
              </w:rPr>
            </w:pPr>
            <w:r>
              <w:rPr>
                <w:rFonts w:ascii="Arial" w:cs="Arial" w:eastAsia="Arial" w:hAnsi="Arial"/>
                <w:sz w:val="17"/>
                <w:szCs w:val="17"/>
                <w:color w:val="auto"/>
              </w:rPr>
              <w:t>Unrated:</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4"/>
        </w:trPr>
        <w:tc>
          <w:tcPr>
            <w:tcW w:w="43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Listed and unlisted securities</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34,182</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0.1</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84,428</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0.2</w:t>
            </w:r>
          </w:p>
        </w:tc>
      </w:tr>
      <w:tr>
        <w:trPr>
          <w:trHeight w:val="194"/>
        </w:trPr>
        <w:tc>
          <w:tcPr>
            <w:tcW w:w="43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Mutual funds</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1,505,939</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3.3</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1,553,561</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3.2</w:t>
            </w:r>
          </w:p>
        </w:tc>
      </w:tr>
      <w:tr>
        <w:trPr>
          <w:trHeight w:val="194"/>
        </w:trPr>
        <w:tc>
          <w:tcPr>
            <w:tcW w:w="43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Participations of RAL funds</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167,781</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0.4</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323,139</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0.7</w:t>
            </w:r>
          </w:p>
        </w:tc>
      </w:tr>
      <w:tr>
        <w:trPr>
          <w:trHeight w:val="194"/>
        </w:trPr>
        <w:tc>
          <w:tcPr>
            <w:tcW w:w="43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Investment funds</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257,098</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0.6</w:t>
            </w:r>
          </w:p>
        </w:tc>
        <w:tc>
          <w:tcPr>
            <w:tcW w:w="240" w:type="dxa"/>
            <w:vAlign w:val="bottom"/>
          </w:tcPr>
          <w:p>
            <w:pPr>
              <w:spacing w:after="0"/>
              <w:rPr>
                <w:sz w:val="16"/>
                <w:szCs w:val="16"/>
                <w:color w:val="auto"/>
              </w:rPr>
            </w:pP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236,367</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0.5</w:t>
            </w:r>
          </w:p>
        </w:tc>
      </w:tr>
      <w:tr>
        <w:trPr>
          <w:trHeight w:val="194"/>
        </w:trPr>
        <w:tc>
          <w:tcPr>
            <w:tcW w:w="43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Hedge funds</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280</w:t>
            </w:r>
          </w:p>
        </w:tc>
        <w:tc>
          <w:tcPr>
            <w:tcW w:w="240" w:type="dxa"/>
            <w:vAlign w:val="bottom"/>
          </w:tcPr>
          <w:p>
            <w:pPr>
              <w:spacing w:after="0"/>
              <w:rPr>
                <w:sz w:val="16"/>
                <w:szCs w:val="16"/>
                <w:color w:val="auto"/>
              </w:rPr>
            </w:pPr>
          </w:p>
        </w:tc>
        <w:tc>
          <w:tcPr>
            <w:tcW w:w="144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w:t>
            </w:r>
          </w:p>
        </w:tc>
        <w:tc>
          <w:tcPr>
            <w:tcW w:w="17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152,541</w:t>
            </w:r>
          </w:p>
        </w:tc>
        <w:tc>
          <w:tcPr>
            <w:tcW w:w="240" w:type="dxa"/>
            <w:vAlign w:val="bottom"/>
          </w:tcPr>
          <w:p>
            <w:pPr>
              <w:spacing w:after="0"/>
              <w:rPr>
                <w:sz w:val="16"/>
                <w:szCs w:val="16"/>
                <w:color w:val="auto"/>
              </w:rPr>
            </w:pPr>
          </w:p>
        </w:tc>
        <w:tc>
          <w:tcPr>
            <w:tcW w:w="12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0.3</w:t>
            </w:r>
          </w:p>
        </w:tc>
      </w:tr>
      <w:tr>
        <w:trPr>
          <w:trHeight w:val="195"/>
        </w:trPr>
        <w:tc>
          <w:tcPr>
            <w:tcW w:w="4300" w:type="dxa"/>
            <w:vAlign w:val="bottom"/>
            <w:gridSpan w:val="2"/>
          </w:tcPr>
          <w:p>
            <w:pPr>
              <w:ind w:left="180"/>
              <w:spacing w:after="0"/>
              <w:rPr>
                <w:sz w:val="20"/>
                <w:szCs w:val="20"/>
                <w:color w:val="auto"/>
              </w:rPr>
            </w:pPr>
            <w:r>
              <w:rPr>
                <w:rFonts w:ascii="Arial" w:cs="Arial" w:eastAsia="Arial" w:hAnsi="Arial"/>
                <w:sz w:val="17"/>
                <w:szCs w:val="17"/>
                <w:color w:val="auto"/>
              </w:rPr>
              <w:t>Other instruments</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921,177</w:t>
            </w:r>
          </w:p>
        </w:tc>
        <w:tc>
          <w:tcPr>
            <w:tcW w:w="240" w:type="dxa"/>
            <w:vAlign w:val="bottom"/>
          </w:tcPr>
          <w:p>
            <w:pPr>
              <w:spacing w:after="0"/>
              <w:rPr>
                <w:sz w:val="16"/>
                <w:szCs w:val="16"/>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6"/>
                <w:szCs w:val="16"/>
                <w:color w:val="auto"/>
              </w:rPr>
            </w:pPr>
          </w:p>
        </w:tc>
        <w:tc>
          <w:tcPr>
            <w:tcW w:w="1700" w:type="dxa"/>
            <w:vAlign w:val="bottom"/>
          </w:tcPr>
          <w:p>
            <w:pPr>
              <w:jc w:val="right"/>
              <w:ind w:right="14"/>
              <w:spacing w:after="0"/>
              <w:rPr>
                <w:sz w:val="20"/>
                <w:szCs w:val="20"/>
                <w:color w:val="auto"/>
              </w:rPr>
            </w:pPr>
            <w:r>
              <w:rPr>
                <w:rFonts w:ascii="Arial" w:cs="Arial" w:eastAsia="Arial" w:hAnsi="Arial"/>
                <w:sz w:val="17"/>
                <w:szCs w:val="17"/>
                <w:color w:val="auto"/>
              </w:rPr>
              <w:t>300,963</w:t>
            </w:r>
          </w:p>
        </w:tc>
        <w:tc>
          <w:tcPr>
            <w:tcW w:w="240" w:type="dxa"/>
            <w:vAlign w:val="bottom"/>
          </w:tcPr>
          <w:p>
            <w:pPr>
              <w:spacing w:after="0"/>
              <w:rPr>
                <w:sz w:val="16"/>
                <w:szCs w:val="16"/>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0.6</w:t>
            </w:r>
          </w:p>
        </w:tc>
      </w:tr>
      <w:tr>
        <w:trPr>
          <w:trHeight w:val="187"/>
        </w:trPr>
        <w:tc>
          <w:tcPr>
            <w:tcW w:w="3600" w:type="dxa"/>
            <w:vAlign w:val="bottom"/>
          </w:tcPr>
          <w:p>
            <w:pPr>
              <w:spacing w:after="0" w:line="187" w:lineRule="exact"/>
              <w:rPr>
                <w:sz w:val="20"/>
                <w:szCs w:val="20"/>
                <w:color w:val="auto"/>
              </w:rPr>
            </w:pPr>
            <w:r>
              <w:rPr>
                <w:rFonts w:ascii="Arial" w:cs="Arial" w:eastAsia="Arial" w:hAnsi="Arial"/>
                <w:sz w:val="17"/>
                <w:szCs w:val="17"/>
                <w:b w:val="1"/>
                <w:bCs w:val="1"/>
                <w:color w:val="auto"/>
              </w:rPr>
              <w:t>Subtotal</w:t>
            </w:r>
          </w:p>
        </w:tc>
        <w:tc>
          <w:tcPr>
            <w:tcW w:w="7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15,004,468</w:t>
            </w:r>
          </w:p>
        </w:tc>
        <w:tc>
          <w:tcPr>
            <w:tcW w:w="2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32.8</w:t>
            </w:r>
          </w:p>
        </w:tc>
        <w:tc>
          <w:tcPr>
            <w:tcW w:w="24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16,175,623</w:t>
            </w:r>
          </w:p>
        </w:tc>
        <w:tc>
          <w:tcPr>
            <w:tcW w:w="2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33.1</w:t>
            </w:r>
          </w:p>
        </w:tc>
      </w:tr>
      <w:tr>
        <w:trPr>
          <w:trHeight w:val="193"/>
        </w:trPr>
        <w:tc>
          <w:tcPr>
            <w:tcW w:w="360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45,431,224</w:t>
            </w:r>
          </w:p>
        </w:tc>
        <w:tc>
          <w:tcPr>
            <w:tcW w:w="240" w:type="dxa"/>
            <w:vAlign w:val="bottom"/>
          </w:tcPr>
          <w:p>
            <w:pPr>
              <w:spacing w:after="0"/>
              <w:rPr>
                <w:sz w:val="16"/>
                <w:szCs w:val="16"/>
                <w:color w:val="auto"/>
              </w:rPr>
            </w:pPr>
          </w:p>
        </w:tc>
        <w:tc>
          <w:tcPr>
            <w:tcW w:w="120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100.0</w:t>
            </w:r>
          </w:p>
        </w:tc>
        <w:tc>
          <w:tcPr>
            <w:tcW w:w="240" w:type="dxa"/>
            <w:vAlign w:val="bottom"/>
          </w:tcPr>
          <w:p>
            <w:pPr>
              <w:spacing w:after="0"/>
              <w:rPr>
                <w:sz w:val="16"/>
                <w:szCs w:val="16"/>
                <w:color w:val="auto"/>
              </w:rPr>
            </w:pPr>
          </w:p>
        </w:tc>
        <w:tc>
          <w:tcPr>
            <w:tcW w:w="170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48,952,540</w:t>
            </w:r>
          </w:p>
        </w:tc>
        <w:tc>
          <w:tcPr>
            <w:tcW w:w="240" w:type="dxa"/>
            <w:vAlign w:val="bottom"/>
          </w:tcPr>
          <w:p>
            <w:pPr>
              <w:spacing w:after="0"/>
              <w:rPr>
                <w:sz w:val="16"/>
                <w:szCs w:val="16"/>
                <w:color w:val="auto"/>
              </w:rPr>
            </w:pPr>
          </w:p>
        </w:tc>
        <w:tc>
          <w:tcPr>
            <w:tcW w:w="1200" w:type="dxa"/>
            <w:vAlign w:val="bottom"/>
            <w:tcBorders>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100.0</w:t>
            </w:r>
          </w:p>
        </w:tc>
      </w:tr>
    </w:tbl>
    <w:p>
      <w:pPr>
        <w:spacing w:after="0" w:line="193" w:lineRule="exact"/>
        <w:rPr>
          <w:sz w:val="20"/>
          <w:szCs w:val="20"/>
          <w:color w:val="auto"/>
        </w:rPr>
      </w:pPr>
    </w:p>
    <w:p>
      <w:pPr>
        <w:ind w:left="620" w:hanging="313"/>
        <w:spacing w:after="0"/>
        <w:tabs>
          <w:tab w:leader="none" w:pos="6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increase in the balance is mainly due to the acquisition of new financial instruments rated A- to A+.</w:t>
      </w:r>
    </w:p>
    <w:p>
      <w:pPr>
        <w:spacing w:after="0" w:line="193" w:lineRule="exact"/>
        <w:rPr>
          <w:rFonts w:ascii="Arial" w:cs="Arial" w:eastAsia="Arial" w:hAnsi="Arial"/>
          <w:sz w:val="17"/>
          <w:szCs w:val="17"/>
          <w:color w:val="auto"/>
        </w:rPr>
      </w:pPr>
    </w:p>
    <w:p>
      <w:pPr>
        <w:ind w:left="620" w:hanging="313"/>
        <w:spacing w:after="0"/>
        <w:tabs>
          <w:tab w:leader="none" w:pos="6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decrease in the balance is mainly due to the maturity of these instruments, see notes, 6(a)(vi) and 6(b)(iii).</w:t>
      </w:r>
    </w:p>
    <w:p>
      <w:pPr>
        <w:spacing w:after="0" w:line="19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It is worth mentioning that the change in the risk-rating of the investments has had an impact on the measurement of the expected loss.</w:t>
      </w:r>
    </w:p>
    <w:p>
      <w:pPr>
        <w:spacing w:after="0" w:line="35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- 154 -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0"/>
          </w:cols>
          <w:pgMar w:left="1260" w:top="118" w:right="339" w:bottom="1440" w:gutter="0" w:footer="0" w:header="0"/>
        </w:sectPr>
      </w:pPr>
    </w:p>
    <w:bookmarkStart w:id="159" w:name="page160"/>
    <w:bookmarkEnd w:id="159"/>
    <w:p>
      <w:pPr>
        <w:ind w:left="315" w:hanging="315"/>
        <w:spacing w:after="0"/>
        <w:tabs>
          <w:tab w:leader="none" w:pos="31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Concentration of financial instruments exposed to credit risk -</w:t>
      </w:r>
    </w:p>
    <w:p>
      <w:pPr>
        <w:spacing w:after="0" w:line="192" w:lineRule="exact"/>
        <w:rPr>
          <w:sz w:val="20"/>
          <w:szCs w:val="20"/>
          <w:color w:val="auto"/>
        </w:rPr>
      </w:pPr>
    </w:p>
    <w:p>
      <w:pPr>
        <w:ind w:left="315"/>
        <w:spacing w:after="0" w:line="254" w:lineRule="auto"/>
        <w:rPr>
          <w:sz w:val="20"/>
          <w:szCs w:val="20"/>
          <w:color w:val="auto"/>
        </w:rPr>
      </w:pPr>
      <w:r>
        <w:rPr>
          <w:rFonts w:ascii="Arial" w:cs="Arial" w:eastAsia="Arial" w:hAnsi="Arial"/>
          <w:sz w:val="17"/>
          <w:szCs w:val="17"/>
          <w:color w:val="auto"/>
        </w:rPr>
        <w:t>As of December 31, 2022 and 2021, financial instruments with exposure to credit risk were distributed considering the following economic sectors:</w:t>
      </w:r>
    </w:p>
    <w:p>
      <w:pPr>
        <w:spacing w:after="0" w:line="150" w:lineRule="exact"/>
        <w:rPr>
          <w:sz w:val="20"/>
          <w:szCs w:val="20"/>
          <w:color w:val="auto"/>
        </w:rPr>
      </w:pPr>
    </w:p>
    <w:tbl>
      <w:tblPr>
        <w:tblLayout w:type="fixed"/>
        <w:tblInd w:w="315" w:type="dxa"/>
        <w:tblCellMar>
          <w:top w:w="0" w:type="dxa"/>
          <w:left w:w="0" w:type="dxa"/>
          <w:bottom w:w="0" w:type="dxa"/>
          <w:right w:w="0" w:type="dxa"/>
        </w:tblCellMar>
      </w:tblPr>
      <w:tr>
        <w:trPr>
          <w:trHeight w:val="149"/>
        </w:trPr>
        <w:tc>
          <w:tcPr>
            <w:tcW w:w="1360" w:type="dxa"/>
            <w:vAlign w:val="bottom"/>
          </w:tcPr>
          <w:p>
            <w:pPr>
              <w:spacing w:after="0"/>
              <w:rPr>
                <w:sz w:val="12"/>
                <w:szCs w:val="1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740" w:type="dxa"/>
            <w:vAlign w:val="bottom"/>
            <w:gridSpan w:val="2"/>
          </w:tcPr>
          <w:p>
            <w:pPr>
              <w:spacing w:after="0" w:line="103" w:lineRule="exact"/>
              <w:rPr>
                <w:sz w:val="20"/>
                <w:szCs w:val="20"/>
                <w:color w:val="auto"/>
              </w:rPr>
            </w:pPr>
            <w:r>
              <w:rPr>
                <w:rFonts w:ascii="Arial" w:cs="Arial" w:eastAsia="Arial" w:hAnsi="Arial"/>
                <w:sz w:val="11"/>
                <w:szCs w:val="11"/>
                <w:b w:val="1"/>
                <w:bCs w:val="1"/>
                <w:color w:val="auto"/>
              </w:rPr>
              <w:t>At fair value</w:t>
            </w: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spacing w:after="0" w:line="103" w:lineRule="exact"/>
              <w:rPr>
                <w:sz w:val="20"/>
                <w:szCs w:val="20"/>
                <w:color w:val="auto"/>
              </w:rPr>
            </w:pPr>
            <w:r>
              <w:rPr>
                <w:rFonts w:ascii="Arial" w:cs="Arial" w:eastAsia="Arial" w:hAnsi="Arial"/>
                <w:sz w:val="11"/>
                <w:szCs w:val="11"/>
                <w:b w:val="1"/>
                <w:bCs w:val="1"/>
                <w:color w:val="auto"/>
              </w:rPr>
              <w:t>At fair value</w:t>
            </w: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through profit for loss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At fair value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through profit for loss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At fair value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740" w:type="dxa"/>
            <w:vAlign w:val="bottom"/>
            <w:gridSpan w:val="2"/>
          </w:tcPr>
          <w:p>
            <w:pPr>
              <w:spacing w:after="0" w:line="103" w:lineRule="exact"/>
              <w:rPr>
                <w:sz w:val="20"/>
                <w:szCs w:val="20"/>
                <w:color w:val="auto"/>
              </w:rPr>
            </w:pPr>
            <w:r>
              <w:rPr>
                <w:rFonts w:ascii="Arial" w:cs="Arial" w:eastAsia="Arial" w:hAnsi="Arial"/>
                <w:sz w:val="11"/>
                <w:szCs w:val="11"/>
                <w:b w:val="1"/>
                <w:bCs w:val="1"/>
                <w:color w:val="auto"/>
              </w:rPr>
              <w:t>Held for</w:t>
            </w: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spacing w:after="0" w:line="103" w:lineRule="exact"/>
              <w:rPr>
                <w:sz w:val="20"/>
                <w:szCs w:val="20"/>
                <w:color w:val="auto"/>
              </w:rPr>
            </w:pPr>
            <w:r>
              <w:rPr>
                <w:rFonts w:ascii="Arial" w:cs="Arial" w:eastAsia="Arial" w:hAnsi="Arial"/>
                <w:sz w:val="11"/>
                <w:szCs w:val="11"/>
                <w:b w:val="1"/>
                <w:bCs w:val="1"/>
                <w:color w:val="auto"/>
              </w:rPr>
              <w:t>Held for</w:t>
            </w: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trading,</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Financial</w:t>
            </w:r>
          </w:p>
        </w:tc>
        <w:tc>
          <w:tcPr>
            <w:tcW w:w="11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through other</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trading,</w:t>
            </w:r>
          </w:p>
        </w:tc>
        <w:tc>
          <w:tcPr>
            <w:tcW w:w="700" w:type="dxa"/>
            <w:vAlign w:val="bottom"/>
          </w:tcPr>
          <w:p>
            <w:pPr>
              <w:spacing w:after="0"/>
              <w:rPr>
                <w:sz w:val="11"/>
                <w:szCs w:val="11"/>
                <w:color w:val="auto"/>
              </w:rPr>
            </w:pPr>
          </w:p>
        </w:tc>
        <w:tc>
          <w:tcPr>
            <w:tcW w:w="10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Financial</w:t>
            </w:r>
          </w:p>
        </w:tc>
        <w:tc>
          <w:tcPr>
            <w:tcW w:w="10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through other</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hedging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Designated</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assets at</w:t>
            </w:r>
          </w:p>
        </w:tc>
        <w:tc>
          <w:tcPr>
            <w:tcW w:w="11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comprehensive</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hedging</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Designated</w:t>
            </w:r>
          </w:p>
        </w:tc>
        <w:tc>
          <w:tcPr>
            <w:tcW w:w="10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assets at</w:t>
            </w:r>
          </w:p>
        </w:tc>
        <w:tc>
          <w:tcPr>
            <w:tcW w:w="10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comprehensive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and others</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at</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amortized</w:t>
            </w:r>
          </w:p>
        </w:tc>
        <w:tc>
          <w:tcPr>
            <w:tcW w:w="11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income</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and others</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at</w:t>
            </w:r>
          </w:p>
        </w:tc>
        <w:tc>
          <w:tcPr>
            <w:tcW w:w="10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amortized</w:t>
            </w:r>
          </w:p>
        </w:tc>
        <w:tc>
          <w:tcPr>
            <w:tcW w:w="10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income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inception</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investments</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640" w:type="dxa"/>
            <w:vAlign w:val="bottom"/>
          </w:tcPr>
          <w:p>
            <w:pPr>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inception</w:t>
            </w:r>
          </w:p>
        </w:tc>
        <w:tc>
          <w:tcPr>
            <w:tcW w:w="1020" w:type="dxa"/>
            <w:vAlign w:val="bottom"/>
            <w:gridSpan w:val="3"/>
          </w:tcPr>
          <w:p>
            <w:pPr>
              <w:ind w:left="140"/>
              <w:spacing w:after="0"/>
              <w:rPr>
                <w:sz w:val="20"/>
                <w:szCs w:val="20"/>
                <w:color w:val="auto"/>
              </w:rPr>
            </w:pPr>
            <w:r>
              <w:rPr>
                <w:rFonts w:ascii="Arial" w:cs="Arial" w:eastAsia="Arial" w:hAnsi="Arial"/>
                <w:sz w:val="12"/>
                <w:szCs w:val="12"/>
                <w:b w:val="1"/>
                <w:bCs w:val="1"/>
                <w:color w:val="auto"/>
              </w:rPr>
              <w:t>cost</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investments</w:t>
            </w:r>
          </w:p>
        </w:tc>
        <w:tc>
          <w:tcPr>
            <w:tcW w:w="7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2"/>
                <w:szCs w:val="12"/>
                <w:color w:val="auto"/>
              </w:rPr>
              <w:t>Central Reserve Bank</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24,157,868</w:t>
            </w:r>
          </w:p>
        </w:tc>
        <w:tc>
          <w:tcPr>
            <w:tcW w:w="1040" w:type="dxa"/>
            <w:vAlign w:val="bottom"/>
            <w:gridSpan w:val="2"/>
            <w:vMerge w:val="restart"/>
          </w:tcPr>
          <w:p>
            <w:pPr>
              <w:jc w:val="right"/>
              <w:spacing w:after="0"/>
              <w:rPr>
                <w:sz w:val="20"/>
                <w:szCs w:val="20"/>
                <w:color w:val="auto"/>
              </w:rPr>
            </w:pPr>
            <w:r>
              <w:rPr>
                <w:rFonts w:ascii="Arial" w:cs="Arial" w:eastAsia="Arial" w:hAnsi="Arial"/>
                <w:sz w:val="12"/>
                <w:szCs w:val="12"/>
                <w:color w:val="auto"/>
              </w:rPr>
              <w:t>7,019,479</w:t>
            </w:r>
          </w:p>
        </w:tc>
        <w:tc>
          <w:tcPr>
            <w:tcW w:w="14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31,177,347</w:t>
            </w:r>
          </w:p>
        </w:tc>
        <w:tc>
          <w:tcPr>
            <w:tcW w:w="14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1,243,890</w:t>
            </w:r>
          </w:p>
        </w:tc>
        <w:tc>
          <w:tcPr>
            <w:tcW w:w="14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25,687,934</w:t>
            </w:r>
          </w:p>
        </w:tc>
        <w:tc>
          <w:tcPr>
            <w:tcW w:w="1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8,337,430</w:t>
            </w:r>
          </w:p>
        </w:tc>
        <w:tc>
          <w:tcPr>
            <w:tcW w:w="14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35,269,254</w:t>
            </w:r>
          </w:p>
        </w:tc>
        <w:tc>
          <w:tcPr>
            <w:tcW w:w="0" w:type="dxa"/>
            <w:vAlign w:val="bottom"/>
          </w:tcPr>
          <w:p>
            <w:pPr>
              <w:spacing w:after="0"/>
              <w:rPr>
                <w:sz w:val="1"/>
                <w:szCs w:val="1"/>
                <w:color w:val="auto"/>
              </w:rPr>
            </w:pPr>
          </w:p>
        </w:tc>
      </w:tr>
      <w:tr>
        <w:trPr>
          <w:trHeight w:val="81"/>
        </w:trPr>
        <w:tc>
          <w:tcPr>
            <w:tcW w:w="1360" w:type="dxa"/>
            <w:vAlign w:val="bottom"/>
            <w:vMerge w:val="restart"/>
          </w:tcPr>
          <w:p>
            <w:pPr>
              <w:spacing w:after="0" w:line="130" w:lineRule="exact"/>
              <w:rPr>
                <w:sz w:val="20"/>
                <w:szCs w:val="20"/>
                <w:color w:val="auto"/>
              </w:rPr>
            </w:pPr>
            <w:r>
              <w:rPr>
                <w:rFonts w:ascii="Arial" w:cs="Arial" w:eastAsia="Arial" w:hAnsi="Arial"/>
                <w:sz w:val="12"/>
                <w:szCs w:val="12"/>
                <w:color w:val="auto"/>
              </w:rPr>
              <w:t>of Peru</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Financial services</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3,866,108</w:t>
            </w:r>
          </w:p>
        </w:tc>
        <w:tc>
          <w:tcPr>
            <w:tcW w:w="10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312,993</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15,503,612</w:t>
            </w:r>
          </w:p>
        </w:tc>
        <w:tc>
          <w:tcPr>
            <w:tcW w:w="10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4,311,513</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23,994,226</w:t>
            </w: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3,722,668</w:t>
            </w:r>
          </w:p>
        </w:tc>
        <w:tc>
          <w:tcPr>
            <w:tcW w:w="1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284,119</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18,726,408</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2"/>
                <w:szCs w:val="12"/>
                <w:color w:val="auto"/>
              </w:rPr>
              <w:t>5,659,672</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28,392,867</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Commerce</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17,992</w:t>
            </w:r>
          </w:p>
        </w:tc>
        <w:tc>
          <w:tcPr>
            <w:tcW w:w="10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28</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26,448,551</w:t>
            </w:r>
          </w:p>
        </w:tc>
        <w:tc>
          <w:tcPr>
            <w:tcW w:w="10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1,412,625</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27,879,196</w:t>
            </w: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51,436</w:t>
            </w:r>
          </w:p>
        </w:tc>
        <w:tc>
          <w:tcPr>
            <w:tcW w:w="1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4,610</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26,716,462</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2"/>
                <w:szCs w:val="12"/>
                <w:color w:val="auto"/>
              </w:rPr>
              <w:t>1,484,116</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28,256,624</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Manufacturing</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139,321</w:t>
            </w:r>
          </w:p>
        </w:tc>
        <w:tc>
          <w:tcPr>
            <w:tcW w:w="10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35,435</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23,541,034</w:t>
            </w:r>
          </w:p>
        </w:tc>
        <w:tc>
          <w:tcPr>
            <w:tcW w:w="10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1,697,174</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25,412,964</w:t>
            </w: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180,666</w:t>
            </w:r>
          </w:p>
        </w:tc>
        <w:tc>
          <w:tcPr>
            <w:tcW w:w="1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193,091</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22,713,289</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2"/>
                <w:szCs w:val="12"/>
                <w:color w:val="auto"/>
              </w:rPr>
              <w:t>2,236,216</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25,323,262</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Government and</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826,279</w:t>
            </w:r>
          </w:p>
        </w:tc>
        <w:tc>
          <w:tcPr>
            <w:tcW w:w="1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207</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10,318,450</w:t>
            </w:r>
          </w:p>
        </w:tc>
        <w:tc>
          <w:tcPr>
            <w:tcW w:w="1040" w:type="dxa"/>
            <w:vAlign w:val="bottom"/>
            <w:gridSpan w:val="2"/>
            <w:vMerge w:val="restart"/>
          </w:tcPr>
          <w:p>
            <w:pPr>
              <w:jc w:val="right"/>
              <w:spacing w:after="0"/>
              <w:rPr>
                <w:sz w:val="20"/>
                <w:szCs w:val="20"/>
                <w:color w:val="auto"/>
              </w:rPr>
            </w:pPr>
            <w:r>
              <w:rPr>
                <w:rFonts w:ascii="Arial" w:cs="Arial" w:eastAsia="Arial" w:hAnsi="Arial"/>
                <w:sz w:val="12"/>
                <w:szCs w:val="12"/>
                <w:color w:val="auto"/>
              </w:rPr>
              <w:t>9,547,356</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20,692,292</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1,605,754</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9,516</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8,142,978</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10,225,797</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19,984,045</w:t>
            </w:r>
          </w:p>
        </w:tc>
        <w:tc>
          <w:tcPr>
            <w:tcW w:w="0" w:type="dxa"/>
            <w:vAlign w:val="bottom"/>
          </w:tcPr>
          <w:p>
            <w:pPr>
              <w:spacing w:after="0"/>
              <w:rPr>
                <w:sz w:val="1"/>
                <w:szCs w:val="1"/>
                <w:color w:val="auto"/>
              </w:rPr>
            </w:pPr>
          </w:p>
        </w:tc>
      </w:tr>
      <w:tr>
        <w:trPr>
          <w:trHeight w:val="81"/>
        </w:trPr>
        <w:tc>
          <w:tcPr>
            <w:tcW w:w="1360" w:type="dxa"/>
            <w:vAlign w:val="bottom"/>
            <w:vMerge w:val="restart"/>
          </w:tcPr>
          <w:p>
            <w:pPr>
              <w:spacing w:after="0" w:line="130" w:lineRule="exact"/>
              <w:rPr>
                <w:sz w:val="20"/>
                <w:szCs w:val="20"/>
                <w:color w:val="auto"/>
              </w:rPr>
            </w:pPr>
            <w:r>
              <w:rPr>
                <w:rFonts w:ascii="Arial" w:cs="Arial" w:eastAsia="Arial" w:hAnsi="Arial"/>
                <w:sz w:val="12"/>
                <w:szCs w:val="12"/>
                <w:color w:val="auto"/>
              </w:rPr>
              <w:t>public administration</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Mortgage loans</w:t>
            </w: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22,381,290</w:t>
            </w:r>
          </w:p>
        </w:tc>
        <w:tc>
          <w:tcPr>
            <w:tcW w:w="140" w:type="dxa"/>
            <w:vAlign w:val="bottom"/>
          </w:tcPr>
          <w:p>
            <w:pPr>
              <w:spacing w:after="0"/>
              <w:rPr>
                <w:sz w:val="11"/>
                <w:szCs w:val="11"/>
                <w:color w:val="auto"/>
              </w:rPr>
            </w:pPr>
          </w:p>
        </w:tc>
        <w:tc>
          <w:tcPr>
            <w:tcW w:w="104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22,381,290</w:t>
            </w:r>
          </w:p>
        </w:tc>
        <w:tc>
          <w:tcPr>
            <w:tcW w:w="140" w:type="dxa"/>
            <w:vAlign w:val="bottom"/>
          </w:tcPr>
          <w:p>
            <w:pPr>
              <w:spacing w:after="0"/>
              <w:rPr>
                <w:sz w:val="11"/>
                <w:szCs w:val="11"/>
                <w:color w:val="auto"/>
              </w:rPr>
            </w:pPr>
          </w:p>
        </w:tc>
        <w:tc>
          <w:tcPr>
            <w:tcW w:w="78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21,128,330</w:t>
            </w:r>
          </w:p>
        </w:tc>
        <w:tc>
          <w:tcPr>
            <w:tcW w:w="160" w:type="dxa"/>
            <w:vAlign w:val="bottom"/>
          </w:tcPr>
          <w:p>
            <w:pPr>
              <w:spacing w:after="0"/>
              <w:rPr>
                <w:sz w:val="11"/>
                <w:szCs w:val="11"/>
                <w:color w:val="auto"/>
              </w:rPr>
            </w:pPr>
          </w:p>
        </w:tc>
        <w:tc>
          <w:tcPr>
            <w:tcW w:w="10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21,128,330</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Consumer loans</w:t>
            </w: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18,740,588</w:t>
            </w:r>
          </w:p>
        </w:tc>
        <w:tc>
          <w:tcPr>
            <w:tcW w:w="140" w:type="dxa"/>
            <w:vAlign w:val="bottom"/>
          </w:tcPr>
          <w:p>
            <w:pPr>
              <w:spacing w:after="0"/>
              <w:rPr>
                <w:sz w:val="11"/>
                <w:szCs w:val="11"/>
                <w:color w:val="auto"/>
              </w:rPr>
            </w:pPr>
          </w:p>
        </w:tc>
        <w:tc>
          <w:tcPr>
            <w:tcW w:w="104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18,740,588</w:t>
            </w:r>
          </w:p>
        </w:tc>
        <w:tc>
          <w:tcPr>
            <w:tcW w:w="140" w:type="dxa"/>
            <w:vAlign w:val="bottom"/>
          </w:tcPr>
          <w:p>
            <w:pPr>
              <w:spacing w:after="0"/>
              <w:rPr>
                <w:sz w:val="11"/>
                <w:szCs w:val="11"/>
                <w:color w:val="auto"/>
              </w:rPr>
            </w:pPr>
          </w:p>
        </w:tc>
        <w:tc>
          <w:tcPr>
            <w:tcW w:w="78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14,717,230</w:t>
            </w:r>
          </w:p>
        </w:tc>
        <w:tc>
          <w:tcPr>
            <w:tcW w:w="160" w:type="dxa"/>
            <w:vAlign w:val="bottom"/>
          </w:tcPr>
          <w:p>
            <w:pPr>
              <w:spacing w:after="0"/>
              <w:rPr>
                <w:sz w:val="11"/>
                <w:szCs w:val="11"/>
                <w:color w:val="auto"/>
              </w:rPr>
            </w:pPr>
          </w:p>
        </w:tc>
        <w:tc>
          <w:tcPr>
            <w:tcW w:w="10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14,717,230</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Real estate and</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68,797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10,088,768</w:t>
            </w:r>
          </w:p>
        </w:tc>
        <w:tc>
          <w:tcPr>
            <w:tcW w:w="1040" w:type="dxa"/>
            <w:vAlign w:val="bottom"/>
            <w:gridSpan w:val="2"/>
            <w:vMerge w:val="restart"/>
          </w:tcPr>
          <w:p>
            <w:pPr>
              <w:jc w:val="right"/>
              <w:spacing w:after="0"/>
              <w:rPr>
                <w:sz w:val="20"/>
                <w:szCs w:val="20"/>
                <w:color w:val="auto"/>
              </w:rPr>
            </w:pPr>
            <w:r>
              <w:rPr>
                <w:rFonts w:ascii="Arial" w:cs="Arial" w:eastAsia="Arial" w:hAnsi="Arial"/>
                <w:sz w:val="12"/>
                <w:szCs w:val="12"/>
                <w:color w:val="auto"/>
              </w:rPr>
              <w:t>15,074</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10,172,639</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81,019</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11,362,371</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49,909</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11,493,299</w:t>
            </w:r>
          </w:p>
        </w:tc>
        <w:tc>
          <w:tcPr>
            <w:tcW w:w="0" w:type="dxa"/>
            <w:vAlign w:val="bottom"/>
          </w:tcPr>
          <w:p>
            <w:pPr>
              <w:spacing w:after="0"/>
              <w:rPr>
                <w:sz w:val="1"/>
                <w:szCs w:val="1"/>
                <w:color w:val="auto"/>
              </w:rPr>
            </w:pPr>
          </w:p>
        </w:tc>
      </w:tr>
      <w:tr>
        <w:trPr>
          <w:trHeight w:val="81"/>
        </w:trPr>
        <w:tc>
          <w:tcPr>
            <w:tcW w:w="1360" w:type="dxa"/>
            <w:vAlign w:val="bottom"/>
            <w:vMerge w:val="restart"/>
          </w:tcPr>
          <w:p>
            <w:pPr>
              <w:spacing w:after="0" w:line="130" w:lineRule="exact"/>
              <w:rPr>
                <w:sz w:val="20"/>
                <w:szCs w:val="20"/>
                <w:color w:val="auto"/>
              </w:rPr>
            </w:pPr>
            <w:r>
              <w:rPr>
                <w:rFonts w:ascii="Arial" w:cs="Arial" w:eastAsia="Arial" w:hAnsi="Arial"/>
                <w:sz w:val="12"/>
                <w:szCs w:val="12"/>
                <w:color w:val="auto"/>
              </w:rPr>
              <w:t>leasing</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Communications,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storage and</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55,499</w:t>
            </w:r>
          </w:p>
        </w:tc>
        <w:tc>
          <w:tcPr>
            <w:tcW w:w="10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270,906</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6,495,988</w:t>
            </w:r>
          </w:p>
        </w:tc>
        <w:tc>
          <w:tcPr>
            <w:tcW w:w="10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1,096,852</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7,919,245</w:t>
            </w: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93,649</w:t>
            </w:r>
          </w:p>
        </w:tc>
        <w:tc>
          <w:tcPr>
            <w:tcW w:w="1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401,789</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7,282,709</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2"/>
                <w:szCs w:val="12"/>
                <w:color w:val="auto"/>
              </w:rPr>
              <w:t>1,154,948</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8,933,095</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transportation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Electricity, gas and</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180,772</w:t>
            </w:r>
          </w:p>
        </w:tc>
        <w:tc>
          <w:tcPr>
            <w:tcW w:w="1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107,161</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4,884,840</w:t>
            </w:r>
          </w:p>
        </w:tc>
        <w:tc>
          <w:tcPr>
            <w:tcW w:w="1040" w:type="dxa"/>
            <w:vAlign w:val="bottom"/>
            <w:gridSpan w:val="2"/>
            <w:vMerge w:val="restart"/>
          </w:tcPr>
          <w:p>
            <w:pPr>
              <w:jc w:val="right"/>
              <w:spacing w:after="0"/>
              <w:rPr>
                <w:sz w:val="20"/>
                <w:szCs w:val="20"/>
                <w:color w:val="auto"/>
              </w:rPr>
            </w:pPr>
            <w:r>
              <w:rPr>
                <w:rFonts w:ascii="Arial" w:cs="Arial" w:eastAsia="Arial" w:hAnsi="Arial"/>
                <w:sz w:val="12"/>
                <w:szCs w:val="12"/>
                <w:color w:val="auto"/>
              </w:rPr>
              <w:t>3,250,100</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8,422,873</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299,189</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11,947</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4,472,766</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3,648,154</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8,432,056</w:t>
            </w:r>
          </w:p>
        </w:tc>
        <w:tc>
          <w:tcPr>
            <w:tcW w:w="0" w:type="dxa"/>
            <w:vAlign w:val="bottom"/>
          </w:tcPr>
          <w:p>
            <w:pPr>
              <w:spacing w:after="0"/>
              <w:rPr>
                <w:sz w:val="1"/>
                <w:szCs w:val="1"/>
                <w:color w:val="auto"/>
              </w:rPr>
            </w:pPr>
          </w:p>
        </w:tc>
      </w:tr>
      <w:tr>
        <w:trPr>
          <w:trHeight w:val="81"/>
        </w:trPr>
        <w:tc>
          <w:tcPr>
            <w:tcW w:w="1360" w:type="dxa"/>
            <w:vAlign w:val="bottom"/>
            <w:vMerge w:val="restart"/>
          </w:tcPr>
          <w:p>
            <w:pPr>
              <w:spacing w:after="0" w:line="130" w:lineRule="exact"/>
              <w:rPr>
                <w:sz w:val="20"/>
                <w:szCs w:val="20"/>
                <w:color w:val="auto"/>
              </w:rPr>
            </w:pPr>
            <w:r>
              <w:rPr>
                <w:rFonts w:ascii="Arial" w:cs="Arial" w:eastAsia="Arial" w:hAnsi="Arial"/>
                <w:sz w:val="12"/>
                <w:szCs w:val="12"/>
                <w:color w:val="auto"/>
              </w:rPr>
              <w:t>water</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Community services</w:t>
            </w: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6,500,918</w:t>
            </w:r>
          </w:p>
        </w:tc>
        <w:tc>
          <w:tcPr>
            <w:tcW w:w="140" w:type="dxa"/>
            <w:vAlign w:val="bottom"/>
          </w:tcPr>
          <w:p>
            <w:pPr>
              <w:spacing w:after="0"/>
              <w:rPr>
                <w:sz w:val="11"/>
                <w:szCs w:val="11"/>
                <w:color w:val="auto"/>
              </w:rPr>
            </w:pPr>
          </w:p>
        </w:tc>
        <w:tc>
          <w:tcPr>
            <w:tcW w:w="104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6,500,918</w:t>
            </w:r>
          </w:p>
        </w:tc>
        <w:tc>
          <w:tcPr>
            <w:tcW w:w="140" w:type="dxa"/>
            <w:vAlign w:val="bottom"/>
          </w:tcPr>
          <w:p>
            <w:pPr>
              <w:spacing w:after="0"/>
              <w:rPr>
                <w:sz w:val="11"/>
                <w:szCs w:val="11"/>
                <w:color w:val="auto"/>
              </w:rPr>
            </w:pPr>
          </w:p>
        </w:tc>
        <w:tc>
          <w:tcPr>
            <w:tcW w:w="78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7,584,239</w:t>
            </w:r>
          </w:p>
        </w:tc>
        <w:tc>
          <w:tcPr>
            <w:tcW w:w="160" w:type="dxa"/>
            <w:vAlign w:val="bottom"/>
          </w:tcPr>
          <w:p>
            <w:pPr>
              <w:spacing w:after="0"/>
              <w:rPr>
                <w:sz w:val="11"/>
                <w:szCs w:val="11"/>
                <w:color w:val="auto"/>
              </w:rPr>
            </w:pPr>
          </w:p>
        </w:tc>
        <w:tc>
          <w:tcPr>
            <w:tcW w:w="10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7,584,239</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Construction</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12,899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3,633,858</w:t>
            </w:r>
          </w:p>
        </w:tc>
        <w:tc>
          <w:tcPr>
            <w:tcW w:w="10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384,521</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4,031,278</w:t>
            </w: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23,109</w:t>
            </w:r>
          </w:p>
        </w:tc>
        <w:tc>
          <w:tcPr>
            <w:tcW w:w="1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850</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3,882,922</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2"/>
                <w:szCs w:val="12"/>
                <w:color w:val="auto"/>
              </w:rPr>
              <w:t>557,059</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4,463,940</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Mining</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6,323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3,883,227</w:t>
            </w:r>
          </w:p>
        </w:tc>
        <w:tc>
          <w:tcPr>
            <w:tcW w:w="10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149,861</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4,039,411</w:t>
            </w: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108,609</w:t>
            </w:r>
          </w:p>
        </w:tc>
        <w:tc>
          <w:tcPr>
            <w:tcW w:w="1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846</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4,535,519</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2"/>
                <w:szCs w:val="12"/>
                <w:color w:val="auto"/>
              </w:rPr>
              <w:t>223,810</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4,868,784</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Agriculture</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485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4,867,488</w:t>
            </w:r>
          </w:p>
        </w:tc>
        <w:tc>
          <w:tcPr>
            <w:tcW w:w="10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20,942</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4,888,915</w:t>
            </w: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6,113</w:t>
            </w:r>
          </w:p>
        </w:tc>
        <w:tc>
          <w:tcPr>
            <w:tcW w:w="1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4,613,294</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2"/>
                <w:szCs w:val="12"/>
                <w:color w:val="auto"/>
              </w:rPr>
              <w:t>31,633</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4,651,040</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Hotels and restaurants</w:t>
            </w: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2,736,252</w:t>
            </w:r>
          </w:p>
        </w:tc>
        <w:tc>
          <w:tcPr>
            <w:tcW w:w="140" w:type="dxa"/>
            <w:vAlign w:val="bottom"/>
          </w:tcPr>
          <w:p>
            <w:pPr>
              <w:spacing w:after="0"/>
              <w:rPr>
                <w:sz w:val="11"/>
                <w:szCs w:val="11"/>
                <w:color w:val="auto"/>
              </w:rPr>
            </w:pPr>
          </w:p>
        </w:tc>
        <w:tc>
          <w:tcPr>
            <w:tcW w:w="104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2,736,252</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2,805,317</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2,805,317</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Education, health and</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89,033</w:t>
            </w:r>
          </w:p>
        </w:tc>
        <w:tc>
          <w:tcPr>
            <w:tcW w:w="1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42,071</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1,631,340</w:t>
            </w:r>
          </w:p>
        </w:tc>
        <w:tc>
          <w:tcPr>
            <w:tcW w:w="1040" w:type="dxa"/>
            <w:vAlign w:val="bottom"/>
            <w:gridSpan w:val="2"/>
            <w:vMerge w:val="restart"/>
          </w:tcPr>
          <w:p>
            <w:pPr>
              <w:jc w:val="right"/>
              <w:spacing w:after="0"/>
              <w:rPr>
                <w:sz w:val="20"/>
                <w:szCs w:val="20"/>
                <w:color w:val="auto"/>
              </w:rPr>
            </w:pPr>
            <w:r>
              <w:rPr>
                <w:rFonts w:ascii="Arial" w:cs="Arial" w:eastAsia="Arial" w:hAnsi="Arial"/>
                <w:sz w:val="12"/>
                <w:szCs w:val="12"/>
                <w:color w:val="auto"/>
              </w:rPr>
              <w:t>853,292</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2,615,736</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102,655</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75,774</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1,778,522</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590,558</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2,547,509</w:t>
            </w:r>
          </w:p>
        </w:tc>
        <w:tc>
          <w:tcPr>
            <w:tcW w:w="0" w:type="dxa"/>
            <w:vAlign w:val="bottom"/>
          </w:tcPr>
          <w:p>
            <w:pPr>
              <w:spacing w:after="0"/>
              <w:rPr>
                <w:sz w:val="1"/>
                <w:szCs w:val="1"/>
                <w:color w:val="auto"/>
              </w:rPr>
            </w:pPr>
          </w:p>
        </w:tc>
      </w:tr>
      <w:tr>
        <w:trPr>
          <w:trHeight w:val="81"/>
        </w:trPr>
        <w:tc>
          <w:tcPr>
            <w:tcW w:w="1360" w:type="dxa"/>
            <w:vAlign w:val="bottom"/>
            <w:vMerge w:val="restart"/>
          </w:tcPr>
          <w:p>
            <w:pPr>
              <w:spacing w:after="0" w:line="130" w:lineRule="exact"/>
              <w:rPr>
                <w:sz w:val="20"/>
                <w:szCs w:val="20"/>
                <w:color w:val="auto"/>
              </w:rPr>
            </w:pPr>
            <w:r>
              <w:rPr>
                <w:rFonts w:ascii="Arial" w:cs="Arial" w:eastAsia="Arial" w:hAnsi="Arial"/>
                <w:sz w:val="12"/>
                <w:szCs w:val="12"/>
                <w:color w:val="auto"/>
              </w:rPr>
              <w:t>others</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Insurance</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1,363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2,036,187</w:t>
            </w:r>
          </w:p>
        </w:tc>
        <w:tc>
          <w:tcPr>
            <w:tcW w:w="10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4,542</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2,042,092</w:t>
            </w: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14,057</w:t>
            </w:r>
          </w:p>
        </w:tc>
        <w:tc>
          <w:tcPr>
            <w:tcW w:w="1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2,185,490</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2"/>
                <w:szCs w:val="12"/>
                <w:color w:val="auto"/>
              </w:rPr>
              <w:t>832</w:t>
            </w:r>
          </w:p>
        </w:tc>
        <w:tc>
          <w:tcPr>
            <w:tcW w:w="14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2,200,379</w:t>
            </w:r>
          </w:p>
        </w:tc>
        <w:tc>
          <w:tcPr>
            <w:tcW w:w="0" w:type="dxa"/>
            <w:vAlign w:val="bottom"/>
          </w:tcPr>
          <w:p>
            <w:pPr>
              <w:spacing w:after="0"/>
              <w:rPr>
                <w:sz w:val="1"/>
                <w:szCs w:val="1"/>
                <w:color w:val="auto"/>
              </w:rPr>
            </w:pP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2"/>
                <w:szCs w:val="12"/>
                <w:color w:val="auto"/>
              </w:rPr>
              <w:t>Fishing</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506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578,526</w:t>
            </w:r>
          </w:p>
        </w:tc>
        <w:tc>
          <w:tcPr>
            <w:tcW w:w="140" w:type="dxa"/>
            <w:vAlign w:val="bottom"/>
          </w:tcPr>
          <w:p>
            <w:pPr>
              <w:spacing w:after="0"/>
              <w:rPr>
                <w:sz w:val="11"/>
                <w:szCs w:val="11"/>
                <w:color w:val="auto"/>
              </w:rPr>
            </w:pPr>
          </w:p>
        </w:tc>
        <w:tc>
          <w:tcPr>
            <w:tcW w:w="104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579,032</w:t>
            </w: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1,532</w:t>
            </w:r>
          </w:p>
        </w:tc>
        <w:tc>
          <w:tcPr>
            <w:tcW w:w="1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611,616</w:t>
            </w:r>
          </w:p>
        </w:tc>
        <w:tc>
          <w:tcPr>
            <w:tcW w:w="160" w:type="dxa"/>
            <w:vAlign w:val="bottom"/>
          </w:tcPr>
          <w:p>
            <w:pPr>
              <w:spacing w:after="0"/>
              <w:rPr>
                <w:sz w:val="11"/>
                <w:szCs w:val="11"/>
                <w:color w:val="auto"/>
              </w:rPr>
            </w:pPr>
          </w:p>
        </w:tc>
        <w:tc>
          <w:tcPr>
            <w:tcW w:w="10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613,148</w:t>
            </w:r>
          </w:p>
        </w:tc>
        <w:tc>
          <w:tcPr>
            <w:tcW w:w="0" w:type="dxa"/>
            <w:vAlign w:val="bottom"/>
          </w:tcPr>
          <w:p>
            <w:pPr>
              <w:spacing w:after="0"/>
              <w:rPr>
                <w:sz w:val="1"/>
                <w:szCs w:val="1"/>
                <w:color w:val="auto"/>
              </w:rPr>
            </w:pPr>
          </w:p>
        </w:tc>
      </w:tr>
      <w:tr>
        <w:trPr>
          <w:trHeight w:val="135"/>
        </w:trPr>
        <w:tc>
          <w:tcPr>
            <w:tcW w:w="1360" w:type="dxa"/>
            <w:vAlign w:val="bottom"/>
          </w:tcPr>
          <w:p>
            <w:pPr>
              <w:spacing w:after="0" w:line="136" w:lineRule="exact"/>
              <w:rPr>
                <w:sz w:val="20"/>
                <w:szCs w:val="20"/>
                <w:color w:val="auto"/>
              </w:rPr>
            </w:pPr>
            <w:r>
              <w:rPr>
                <w:rFonts w:ascii="Arial" w:cs="Arial" w:eastAsia="Arial" w:hAnsi="Arial"/>
                <w:sz w:val="12"/>
                <w:szCs w:val="12"/>
                <w:color w:val="auto"/>
              </w:rPr>
              <w:t>Others</w:t>
            </w: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412,683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2,531,987</w:t>
            </w:r>
          </w:p>
        </w:tc>
        <w:tc>
          <w:tcPr>
            <w:tcW w:w="10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1,022,830</w:t>
            </w:r>
          </w:p>
        </w:tc>
        <w:tc>
          <w:tcPr>
            <w:tcW w:w="14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2"/>
                <w:szCs w:val="12"/>
                <w:color w:val="auto"/>
              </w:rPr>
              <w:t>3,967,500</w:t>
            </w: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55,820</w:t>
            </w: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4,540</w:t>
            </w:r>
          </w:p>
        </w:tc>
        <w:tc>
          <w:tcPr>
            <w:tcW w:w="8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3,987,272</w:t>
            </w:r>
          </w:p>
        </w:tc>
        <w:tc>
          <w:tcPr>
            <w:tcW w:w="1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2"/>
                <w:szCs w:val="12"/>
                <w:color w:val="auto"/>
              </w:rPr>
              <w:t>558,309</w:t>
            </w:r>
          </w:p>
        </w:tc>
        <w:tc>
          <w:tcPr>
            <w:tcW w:w="14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2"/>
                <w:szCs w:val="12"/>
                <w:color w:val="auto"/>
              </w:rPr>
              <w:t>4,605,941</w:t>
            </w:r>
          </w:p>
        </w:tc>
        <w:tc>
          <w:tcPr>
            <w:tcW w:w="0" w:type="dxa"/>
            <w:vAlign w:val="bottom"/>
          </w:tcPr>
          <w:p>
            <w:pPr>
              <w:spacing w:after="0"/>
              <w:rPr>
                <w:sz w:val="1"/>
                <w:szCs w:val="1"/>
                <w:color w:val="auto"/>
              </w:rPr>
            </w:pPr>
          </w:p>
        </w:tc>
      </w:tr>
      <w:tr>
        <w:trPr>
          <w:trHeight w:val="128"/>
        </w:trPr>
        <w:tc>
          <w:tcPr>
            <w:tcW w:w="1360" w:type="dxa"/>
            <w:vAlign w:val="bottom"/>
          </w:tcPr>
          <w:p>
            <w:pPr>
              <w:spacing w:after="0" w:line="122" w:lineRule="exact"/>
              <w:rPr>
                <w:sz w:val="20"/>
                <w:szCs w:val="20"/>
                <w:color w:val="auto"/>
              </w:rPr>
            </w:pPr>
            <w:r>
              <w:rPr>
                <w:rFonts w:ascii="Arial" w:cs="Arial" w:eastAsia="Arial" w:hAnsi="Arial"/>
                <w:sz w:val="12"/>
                <w:szCs w:val="12"/>
                <w:b w:val="1"/>
                <w:bCs w:val="1"/>
                <w:color w:val="auto"/>
              </w:rPr>
              <w:t>Total</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5,678,060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768,801</w:t>
            </w:r>
          </w:p>
        </w:tc>
        <w:tc>
          <w:tcPr>
            <w:tcW w:w="1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190,960,772</w:t>
            </w:r>
          </w:p>
        </w:tc>
        <w:tc>
          <w:tcPr>
            <w:tcW w:w="14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30,786,161</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228,193,794</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7,590,166</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987,082</w:t>
            </w:r>
          </w:p>
        </w:tc>
        <w:tc>
          <w:tcPr>
            <w:tcW w:w="1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192,934,668</w:t>
            </w:r>
          </w:p>
        </w:tc>
        <w:tc>
          <w:tcPr>
            <w:tcW w:w="16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34,758,443</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98"/>
              </w:rPr>
              <w:t>236,270,359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75" w:hanging="564"/>
        <w:spacing w:after="0"/>
        <w:tabs>
          <w:tab w:leader="none" w:pos="87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Includes non-trading investments that did not pass SPPI test.</w:t>
      </w:r>
    </w:p>
    <w:p>
      <w:pPr>
        <w:spacing w:after="0" w:line="167" w:lineRule="exact"/>
        <w:rPr>
          <w:rFonts w:ascii="Arial" w:cs="Arial" w:eastAsia="Arial" w:hAnsi="Arial"/>
          <w:sz w:val="17"/>
          <w:szCs w:val="17"/>
          <w:color w:val="auto"/>
        </w:rPr>
      </w:pPr>
    </w:p>
    <w:p>
      <w:pPr>
        <w:ind w:left="4855" w:hanging="105"/>
        <w:spacing w:after="0"/>
        <w:tabs>
          <w:tab w:leader="none" w:pos="4855" w:val="left"/>
        </w:tabs>
        <w:numPr>
          <w:ilvl w:val="1"/>
          <w:numId w:val="194"/>
        </w:numPr>
        <w:rPr>
          <w:rFonts w:ascii="Arial" w:cs="Arial" w:eastAsia="Arial" w:hAnsi="Arial"/>
          <w:sz w:val="17"/>
          <w:szCs w:val="17"/>
          <w:color w:val="auto"/>
        </w:rPr>
      </w:pPr>
      <w:r>
        <w:rPr>
          <w:rFonts w:ascii="Arial" w:cs="Arial" w:eastAsia="Arial" w:hAnsi="Arial"/>
          <w:sz w:val="17"/>
          <w:szCs w:val="17"/>
          <w:color w:val="auto"/>
        </w:rPr>
        <w:t>155 -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color w:val="auto"/>
        </w:rPr>
        <w:t>As of December 31, 2022 and 2021 financial instruments with exposure to credit risk were distributed by the following geographical areas:</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2022</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760" w:type="dxa"/>
            <w:vAlign w:val="bottom"/>
            <w:gridSpan w:val="2"/>
          </w:tcPr>
          <w:p>
            <w:pPr>
              <w:spacing w:after="0" w:line="103" w:lineRule="exact"/>
              <w:rPr>
                <w:sz w:val="20"/>
                <w:szCs w:val="20"/>
                <w:color w:val="auto"/>
              </w:rPr>
            </w:pPr>
            <w:r>
              <w:rPr>
                <w:rFonts w:ascii="Arial" w:cs="Arial" w:eastAsia="Arial" w:hAnsi="Arial"/>
                <w:sz w:val="11"/>
                <w:szCs w:val="11"/>
                <w:b w:val="1"/>
                <w:bCs w:val="1"/>
                <w:color w:val="auto"/>
              </w:rPr>
              <w:t>At fair value</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tcPr>
          <w:p>
            <w:pPr>
              <w:spacing w:after="0" w:line="103" w:lineRule="exact"/>
              <w:rPr>
                <w:sz w:val="20"/>
                <w:szCs w:val="20"/>
                <w:color w:val="auto"/>
              </w:rPr>
            </w:pPr>
            <w:r>
              <w:rPr>
                <w:rFonts w:ascii="Arial" w:cs="Arial" w:eastAsia="Arial" w:hAnsi="Arial"/>
                <w:sz w:val="11"/>
                <w:szCs w:val="11"/>
                <w:b w:val="1"/>
                <w:bCs w:val="1"/>
                <w:color w:val="auto"/>
              </w:rPr>
              <w:t>At fair value</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through profit for loss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gridSpan w:val="3"/>
            <w:vMerge w:val="restart"/>
          </w:tcPr>
          <w:p>
            <w:pPr>
              <w:ind w:left="220"/>
              <w:spacing w:after="0"/>
              <w:rPr>
                <w:sz w:val="20"/>
                <w:szCs w:val="20"/>
                <w:color w:val="auto"/>
              </w:rPr>
            </w:pPr>
            <w:r>
              <w:rPr>
                <w:rFonts w:ascii="Arial" w:cs="Arial" w:eastAsia="Arial" w:hAnsi="Arial"/>
                <w:sz w:val="12"/>
                <w:szCs w:val="12"/>
                <w:b w:val="1"/>
                <w:bCs w:val="1"/>
                <w:color w:val="auto"/>
              </w:rPr>
              <w:t>At fair value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through profit for loss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vMerge w:val="restart"/>
          </w:tcPr>
          <w:p>
            <w:pPr>
              <w:ind w:left="220"/>
              <w:spacing w:after="0"/>
              <w:rPr>
                <w:sz w:val="20"/>
                <w:szCs w:val="20"/>
                <w:color w:val="auto"/>
              </w:rPr>
            </w:pPr>
            <w:r>
              <w:rPr>
                <w:rFonts w:ascii="Arial" w:cs="Arial" w:eastAsia="Arial" w:hAnsi="Arial"/>
                <w:sz w:val="12"/>
                <w:szCs w:val="12"/>
                <w:b w:val="1"/>
                <w:bCs w:val="1"/>
                <w:color w:val="auto"/>
              </w:rPr>
              <w:t>At fair value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760" w:type="dxa"/>
            <w:vAlign w:val="bottom"/>
            <w:gridSpan w:val="2"/>
          </w:tcPr>
          <w:p>
            <w:pPr>
              <w:spacing w:after="0" w:line="103" w:lineRule="exact"/>
              <w:rPr>
                <w:sz w:val="20"/>
                <w:szCs w:val="20"/>
                <w:color w:val="auto"/>
              </w:rPr>
            </w:pPr>
            <w:r>
              <w:rPr>
                <w:rFonts w:ascii="Arial" w:cs="Arial" w:eastAsia="Arial" w:hAnsi="Arial"/>
                <w:sz w:val="11"/>
                <w:szCs w:val="11"/>
                <w:b w:val="1"/>
                <w:bCs w:val="1"/>
                <w:color w:val="auto"/>
              </w:rPr>
              <w:t>Held for</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tcPr>
          <w:p>
            <w:pPr>
              <w:spacing w:after="0" w:line="103" w:lineRule="exact"/>
              <w:rPr>
                <w:sz w:val="20"/>
                <w:szCs w:val="20"/>
                <w:color w:val="auto"/>
              </w:rPr>
            </w:pPr>
            <w:r>
              <w:rPr>
                <w:rFonts w:ascii="Arial" w:cs="Arial" w:eastAsia="Arial" w:hAnsi="Arial"/>
                <w:sz w:val="11"/>
                <w:szCs w:val="11"/>
                <w:b w:val="1"/>
                <w:bCs w:val="1"/>
                <w:color w:val="auto"/>
              </w:rPr>
              <w:t>Held for</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trading,</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Financial</w:t>
            </w:r>
          </w:p>
        </w:tc>
        <w:tc>
          <w:tcPr>
            <w:tcW w:w="13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through other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trading,</w:t>
            </w:r>
          </w:p>
        </w:tc>
        <w:tc>
          <w:tcPr>
            <w:tcW w:w="680" w:type="dxa"/>
            <w:vAlign w:val="bottom"/>
          </w:tcPr>
          <w:p>
            <w:pPr>
              <w:spacing w:after="0"/>
              <w:rPr>
                <w:sz w:val="11"/>
                <w:szCs w:val="11"/>
                <w:color w:val="auto"/>
              </w:rPr>
            </w:pPr>
          </w:p>
        </w:tc>
        <w:tc>
          <w:tcPr>
            <w:tcW w:w="9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Financial</w:t>
            </w:r>
          </w:p>
        </w:tc>
        <w:tc>
          <w:tcPr>
            <w:tcW w:w="134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through other</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hedging</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Designated</w:t>
            </w:r>
          </w:p>
        </w:tc>
        <w:tc>
          <w:tcPr>
            <w:tcW w:w="96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assets at</w:t>
            </w:r>
          </w:p>
        </w:tc>
        <w:tc>
          <w:tcPr>
            <w:tcW w:w="13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comprehensive</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hedging</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Designated</w:t>
            </w:r>
          </w:p>
        </w:tc>
        <w:tc>
          <w:tcPr>
            <w:tcW w:w="9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assets at</w:t>
            </w:r>
          </w:p>
        </w:tc>
        <w:tc>
          <w:tcPr>
            <w:tcW w:w="134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comprehensive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and</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at</w:t>
            </w:r>
          </w:p>
        </w:tc>
        <w:tc>
          <w:tcPr>
            <w:tcW w:w="96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amortized</w:t>
            </w:r>
          </w:p>
        </w:tc>
        <w:tc>
          <w:tcPr>
            <w:tcW w:w="13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income</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and</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at</w:t>
            </w:r>
          </w:p>
        </w:tc>
        <w:tc>
          <w:tcPr>
            <w:tcW w:w="9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amortized</w:t>
            </w:r>
          </w:p>
        </w:tc>
        <w:tc>
          <w:tcPr>
            <w:tcW w:w="134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income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others (*)</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inception</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investments</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others (*)</w:t>
            </w:r>
          </w:p>
        </w:tc>
        <w:tc>
          <w:tcPr>
            <w:tcW w:w="680" w:type="dxa"/>
            <w:vAlign w:val="bottom"/>
          </w:tcPr>
          <w:p>
            <w:pPr>
              <w:spacing w:after="0"/>
              <w:rPr>
                <w:sz w:val="20"/>
                <w:szCs w:val="20"/>
                <w:color w:val="auto"/>
              </w:rPr>
            </w:pPr>
            <w:r>
              <w:rPr>
                <w:rFonts w:ascii="Arial" w:cs="Arial" w:eastAsia="Arial" w:hAnsi="Arial"/>
                <w:sz w:val="12"/>
                <w:szCs w:val="12"/>
                <w:b w:val="1"/>
                <w:bCs w:val="1"/>
                <w:color w:val="auto"/>
              </w:rPr>
              <w:t>inception</w:t>
            </w:r>
          </w:p>
        </w:tc>
        <w:tc>
          <w:tcPr>
            <w:tcW w:w="94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investments</w:t>
            </w:r>
          </w:p>
        </w:tc>
        <w:tc>
          <w:tcPr>
            <w:tcW w:w="7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88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2"/>
                <w:szCs w:val="12"/>
                <w:color w:val="auto"/>
              </w:rPr>
              <w:t>Peru</w:t>
            </w:r>
          </w:p>
        </w:tc>
        <w:tc>
          <w:tcPr>
            <w:tcW w:w="600" w:type="dxa"/>
            <w:vAlign w:val="bottom"/>
          </w:tcPr>
          <w:p>
            <w:pPr>
              <w:jc w:val="right"/>
              <w:spacing w:after="0"/>
              <w:rPr>
                <w:sz w:val="20"/>
                <w:szCs w:val="20"/>
                <w:color w:val="auto"/>
              </w:rPr>
            </w:pPr>
            <w:r>
              <w:rPr>
                <w:rFonts w:ascii="Arial" w:cs="Arial" w:eastAsia="Arial" w:hAnsi="Arial"/>
                <w:sz w:val="12"/>
                <w:szCs w:val="12"/>
                <w:color w:val="auto"/>
              </w:rPr>
              <w:t>1,257,305</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328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169,407,250</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19,370,001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8"/>
              </w:rPr>
              <w:t>190,034,884</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7"/>
              </w:rPr>
              <w:t>2,796,583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17,224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166,930,313</w:t>
            </w: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22,822,157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8"/>
              </w:rPr>
              <w:t>192,566,277</w:t>
            </w: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Bolivia</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588,484</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10,808,527</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747,078</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12,144,089</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676,534</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11,752,887</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751,752</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13,181,173</w:t>
            </w: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United States</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839,762</w:t>
            </w:r>
          </w:p>
        </w:tc>
        <w:tc>
          <w:tcPr>
            <w:tcW w:w="16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450,160</w:t>
            </w:r>
          </w:p>
        </w:tc>
        <w:tc>
          <w:tcPr>
            <w:tcW w:w="960" w:type="dxa"/>
            <w:vAlign w:val="bottom"/>
            <w:gridSpan w:val="2"/>
            <w:vMerge w:val="restart"/>
          </w:tcPr>
          <w:p>
            <w:pPr>
              <w:jc w:val="right"/>
              <w:spacing w:after="0"/>
              <w:rPr>
                <w:sz w:val="20"/>
                <w:szCs w:val="20"/>
                <w:color w:val="auto"/>
              </w:rPr>
            </w:pPr>
            <w:r>
              <w:rPr>
                <w:rFonts w:ascii="Arial" w:cs="Arial" w:eastAsia="Arial" w:hAnsi="Arial"/>
                <w:sz w:val="12"/>
                <w:szCs w:val="12"/>
                <w:color w:val="auto"/>
              </w:rPr>
              <w:t>1,799,795</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7,332,491</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10,422,208</w:t>
            </w:r>
          </w:p>
        </w:tc>
        <w:tc>
          <w:tcPr>
            <w:tcW w:w="2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812,625</w:t>
            </w: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398,914</w:t>
            </w: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color w:val="auto"/>
              </w:rPr>
              <w:t>6,353,068</w:t>
            </w:r>
          </w:p>
        </w:tc>
        <w:tc>
          <w:tcPr>
            <w:tcW w:w="1120" w:type="dxa"/>
            <w:vAlign w:val="bottom"/>
            <w:gridSpan w:val="2"/>
            <w:vMerge w:val="restart"/>
          </w:tcPr>
          <w:p>
            <w:pPr>
              <w:jc w:val="right"/>
              <w:spacing w:after="0"/>
              <w:rPr>
                <w:sz w:val="20"/>
                <w:szCs w:val="20"/>
                <w:color w:val="auto"/>
              </w:rPr>
            </w:pPr>
            <w:r>
              <w:rPr>
                <w:rFonts w:ascii="Arial" w:cs="Arial" w:eastAsia="Arial" w:hAnsi="Arial"/>
                <w:sz w:val="12"/>
                <w:szCs w:val="12"/>
                <w:color w:val="auto"/>
              </w:rPr>
              <w:t>7,169,005</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14,733,612</w:t>
            </w:r>
          </w:p>
        </w:tc>
        <w:tc>
          <w:tcPr>
            <w:tcW w:w="0" w:type="dxa"/>
            <w:vAlign w:val="bottom"/>
          </w:tcPr>
          <w:p>
            <w:pPr>
              <w:spacing w:after="0"/>
              <w:rPr>
                <w:sz w:val="1"/>
                <w:szCs w:val="1"/>
                <w:color w:val="auto"/>
              </w:rPr>
            </w:pPr>
          </w:p>
        </w:tc>
      </w:tr>
      <w:tr>
        <w:trPr>
          <w:trHeight w:val="81"/>
        </w:trPr>
        <w:tc>
          <w:tcPr>
            <w:tcW w:w="880" w:type="dxa"/>
            <w:vAlign w:val="bottom"/>
            <w:vMerge w:val="restart"/>
          </w:tcPr>
          <w:p>
            <w:pPr>
              <w:spacing w:after="0" w:line="130" w:lineRule="exact"/>
              <w:rPr>
                <w:sz w:val="20"/>
                <w:szCs w:val="20"/>
                <w:color w:val="auto"/>
              </w:rPr>
            </w:pPr>
            <w:r>
              <w:rPr>
                <w:rFonts w:ascii="Arial" w:cs="Arial" w:eastAsia="Arial" w:hAnsi="Arial"/>
                <w:sz w:val="12"/>
                <w:szCs w:val="12"/>
                <w:color w:val="auto"/>
              </w:rPr>
              <w:t>of America</w:t>
            </w: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8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Colombia</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894,043</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6,359</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4,073,211</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688,313</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5,661,926</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w w:val="97"/>
              </w:rPr>
              <w:t>1,191,192</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12,418</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2,547,936</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752,919</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4,504,465</w:t>
            </w: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Chile</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622,346</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2,287,020</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652,915</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3,562,281</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416,637</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13,638</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2,270,868</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783,983</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3,485,126</w:t>
            </w: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Brazil</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3,091</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1,123,155</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194,138</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1,320,384</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19,723</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4,512</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928,768</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171,501</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1,124,504</w:t>
            </w: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Mexico</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16,561</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40,811</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132,132</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385,631</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575,135</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14,680</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94,884</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133,350</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477,342</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720,256</w:t>
            </w: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Panama</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383</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402,303</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47,551</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450,237</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597,310</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156,752</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754,062</w:t>
            </w:r>
          </w:p>
        </w:tc>
        <w:tc>
          <w:tcPr>
            <w:tcW w:w="0" w:type="dxa"/>
            <w:vAlign w:val="bottom"/>
          </w:tcPr>
          <w:p>
            <w:pPr>
              <w:spacing w:after="0"/>
              <w:rPr>
                <w:sz w:val="1"/>
                <w:szCs w:val="1"/>
                <w:color w:val="auto"/>
              </w:rPr>
            </w:pPr>
          </w:p>
        </w:tc>
      </w:tr>
      <w:tr>
        <w:trPr>
          <w:trHeight w:val="116"/>
        </w:trPr>
        <w:tc>
          <w:tcPr>
            <w:tcW w:w="880" w:type="dxa"/>
            <w:vAlign w:val="bottom"/>
          </w:tcPr>
          <w:p>
            <w:pPr>
              <w:spacing w:after="0" w:line="115" w:lineRule="exact"/>
              <w:rPr>
                <w:sz w:val="20"/>
                <w:szCs w:val="20"/>
                <w:color w:val="auto"/>
              </w:rPr>
            </w:pPr>
            <w:r>
              <w:rPr>
                <w:rFonts w:ascii="Arial" w:cs="Arial" w:eastAsia="Arial" w:hAnsi="Arial"/>
                <w:sz w:val="12"/>
                <w:szCs w:val="12"/>
                <w:color w:val="auto"/>
              </w:rPr>
              <w:t>Canada</w:t>
            </w:r>
          </w:p>
        </w:tc>
        <w:tc>
          <w:tcPr>
            <w:tcW w:w="600" w:type="dxa"/>
            <w:vAlign w:val="bottom"/>
          </w:tcPr>
          <w:p>
            <w:pPr>
              <w:jc w:val="right"/>
              <w:spacing w:after="0" w:line="115" w:lineRule="exact"/>
              <w:rPr>
                <w:sz w:val="20"/>
                <w:szCs w:val="20"/>
                <w:color w:val="auto"/>
              </w:rPr>
            </w:pPr>
            <w:r>
              <w:rPr>
                <w:rFonts w:ascii="Arial" w:cs="Arial" w:eastAsia="Arial" w:hAnsi="Arial"/>
                <w:sz w:val="12"/>
                <w:szCs w:val="12"/>
                <w:color w:val="auto"/>
              </w:rPr>
              <w:t>38,413</w:t>
            </w:r>
          </w:p>
        </w:tc>
        <w:tc>
          <w:tcPr>
            <w:tcW w:w="160" w:type="dxa"/>
            <w:vAlign w:val="bottom"/>
          </w:tcPr>
          <w:p>
            <w:pPr>
              <w:spacing w:after="0"/>
              <w:rPr>
                <w:sz w:val="10"/>
                <w:szCs w:val="10"/>
                <w:color w:val="auto"/>
              </w:rPr>
            </w:pPr>
          </w:p>
        </w:tc>
        <w:tc>
          <w:tcPr>
            <w:tcW w:w="7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34,449</w:t>
            </w:r>
          </w:p>
        </w:tc>
        <w:tc>
          <w:tcPr>
            <w:tcW w:w="11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103,661</w:t>
            </w: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Arial" w:cs="Arial" w:eastAsia="Arial" w:hAnsi="Arial"/>
                <w:sz w:val="12"/>
                <w:szCs w:val="12"/>
                <w:color w:val="auto"/>
              </w:rPr>
              <w:t>176,523</w:t>
            </w:r>
          </w:p>
        </w:tc>
        <w:tc>
          <w:tcPr>
            <w:tcW w:w="22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2"/>
                <w:szCs w:val="12"/>
                <w:color w:val="auto"/>
              </w:rPr>
              <w:t>46,833</w:t>
            </w:r>
          </w:p>
        </w:tc>
        <w:tc>
          <w:tcPr>
            <w:tcW w:w="22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2"/>
                <w:szCs w:val="12"/>
                <w:color w:val="auto"/>
              </w:rPr>
              <w:t>321</w:t>
            </w:r>
          </w:p>
        </w:tc>
        <w:tc>
          <w:tcPr>
            <w:tcW w:w="9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69,789</w:t>
            </w:r>
          </w:p>
        </w:tc>
        <w:tc>
          <w:tcPr>
            <w:tcW w:w="11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131,050</w:t>
            </w: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Arial" w:cs="Arial" w:eastAsia="Arial" w:hAnsi="Arial"/>
                <w:sz w:val="12"/>
                <w:szCs w:val="12"/>
                <w:color w:val="auto"/>
              </w:rPr>
              <w:t>247,993</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20"/>
                <w:szCs w:val="20"/>
                <w:color w:val="auto"/>
              </w:rPr>
            </w:pPr>
            <w:r>
              <w:rPr>
                <w:rFonts w:ascii="Arial" w:cs="Arial" w:eastAsia="Arial" w:hAnsi="Arial"/>
                <w:sz w:val="12"/>
                <w:szCs w:val="12"/>
                <w:b w:val="1"/>
                <w:bCs w:val="1"/>
                <w:color w:val="auto"/>
              </w:rPr>
              <w:t>Europe:</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40" w:type="dxa"/>
            <w:vAlign w:val="bottom"/>
            <w:gridSpan w:val="3"/>
          </w:tcPr>
          <w:p>
            <w:pPr>
              <w:ind w:left="160"/>
              <w:spacing w:after="0" w:line="130" w:lineRule="exact"/>
              <w:rPr>
                <w:sz w:val="20"/>
                <w:szCs w:val="20"/>
                <w:color w:val="auto"/>
              </w:rPr>
            </w:pPr>
            <w:r>
              <w:rPr>
                <w:rFonts w:ascii="Arial" w:cs="Arial" w:eastAsia="Arial" w:hAnsi="Arial"/>
                <w:sz w:val="12"/>
                <w:szCs w:val="12"/>
                <w:color w:val="auto"/>
              </w:rPr>
              <w:t>Luxembourg 1,038,393</w:t>
            </w: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7,020</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1,045,413</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w w:val="97"/>
              </w:rPr>
              <w:t>1,121,779</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7,020</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2,236</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1,131,035</w:t>
            </w:r>
          </w:p>
        </w:tc>
        <w:tc>
          <w:tcPr>
            <w:tcW w:w="0" w:type="dxa"/>
            <w:vAlign w:val="bottom"/>
          </w:tcPr>
          <w:p>
            <w:pPr>
              <w:spacing w:after="0"/>
              <w:rPr>
                <w:sz w:val="1"/>
                <w:szCs w:val="1"/>
                <w:color w:val="auto"/>
              </w:rPr>
            </w:pPr>
          </w:p>
        </w:tc>
      </w:tr>
      <w:tr>
        <w:trPr>
          <w:trHeight w:val="130"/>
        </w:trPr>
        <w:tc>
          <w:tcPr>
            <w:tcW w:w="880" w:type="dxa"/>
            <w:vAlign w:val="bottom"/>
          </w:tcPr>
          <w:p>
            <w:pPr>
              <w:ind w:left="160"/>
              <w:spacing w:after="0" w:line="130" w:lineRule="exact"/>
              <w:rPr>
                <w:sz w:val="20"/>
                <w:szCs w:val="20"/>
                <w:color w:val="auto"/>
              </w:rPr>
            </w:pPr>
            <w:r>
              <w:rPr>
                <w:rFonts w:ascii="Arial" w:cs="Arial" w:eastAsia="Arial" w:hAnsi="Arial"/>
                <w:sz w:val="12"/>
                <w:szCs w:val="12"/>
                <w:color w:val="auto"/>
              </w:rPr>
              <w:t>France</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163,577</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7,584</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28,841</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152,041</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352,043</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256,661</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189,157</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16,430</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237,597</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699,845</w:t>
            </w:r>
          </w:p>
        </w:tc>
        <w:tc>
          <w:tcPr>
            <w:tcW w:w="0" w:type="dxa"/>
            <w:vAlign w:val="bottom"/>
          </w:tcPr>
          <w:p>
            <w:pPr>
              <w:spacing w:after="0"/>
              <w:rPr>
                <w:sz w:val="1"/>
                <w:szCs w:val="1"/>
                <w:color w:val="auto"/>
              </w:rPr>
            </w:pPr>
          </w:p>
        </w:tc>
      </w:tr>
      <w:tr>
        <w:trPr>
          <w:trHeight w:val="130"/>
        </w:trPr>
        <w:tc>
          <w:tcPr>
            <w:tcW w:w="880" w:type="dxa"/>
            <w:vAlign w:val="bottom"/>
          </w:tcPr>
          <w:p>
            <w:pPr>
              <w:ind w:left="160"/>
              <w:spacing w:after="0" w:line="130" w:lineRule="exact"/>
              <w:rPr>
                <w:sz w:val="20"/>
                <w:szCs w:val="20"/>
                <w:color w:val="auto"/>
              </w:rPr>
            </w:pPr>
            <w:r>
              <w:rPr>
                <w:rFonts w:ascii="Arial" w:cs="Arial" w:eastAsia="Arial" w:hAnsi="Arial"/>
                <w:sz w:val="12"/>
                <w:szCs w:val="12"/>
                <w:color w:val="auto"/>
              </w:rPr>
              <w:t>United</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93,717</w:t>
            </w:r>
          </w:p>
        </w:tc>
        <w:tc>
          <w:tcPr>
            <w:tcW w:w="16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1,978</w:t>
            </w:r>
          </w:p>
        </w:tc>
        <w:tc>
          <w:tcPr>
            <w:tcW w:w="960" w:type="dxa"/>
            <w:vAlign w:val="bottom"/>
            <w:gridSpan w:val="2"/>
            <w:vMerge w:val="restart"/>
          </w:tcPr>
          <w:p>
            <w:pPr>
              <w:jc w:val="right"/>
              <w:spacing w:after="0"/>
              <w:rPr>
                <w:sz w:val="20"/>
                <w:szCs w:val="20"/>
                <w:color w:val="auto"/>
              </w:rPr>
            </w:pPr>
            <w:r>
              <w:rPr>
                <w:rFonts w:ascii="Arial" w:cs="Arial" w:eastAsia="Arial" w:hAnsi="Arial"/>
                <w:sz w:val="12"/>
                <w:szCs w:val="12"/>
                <w:color w:val="auto"/>
              </w:rPr>
              <w:t>16,017</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193,810</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305,522</w:t>
            </w:r>
          </w:p>
        </w:tc>
        <w:tc>
          <w:tcPr>
            <w:tcW w:w="2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72,606</w:t>
            </w: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14,631</w:t>
            </w: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color w:val="auto"/>
              </w:rPr>
              <w:t>127,018</w:t>
            </w:r>
          </w:p>
        </w:tc>
        <w:tc>
          <w:tcPr>
            <w:tcW w:w="1120" w:type="dxa"/>
            <w:vAlign w:val="bottom"/>
            <w:gridSpan w:val="2"/>
            <w:vMerge w:val="restart"/>
          </w:tcPr>
          <w:p>
            <w:pPr>
              <w:jc w:val="right"/>
              <w:spacing w:after="0"/>
              <w:rPr>
                <w:sz w:val="20"/>
                <w:szCs w:val="20"/>
                <w:color w:val="auto"/>
              </w:rPr>
            </w:pPr>
            <w:r>
              <w:rPr>
                <w:rFonts w:ascii="Arial" w:cs="Arial" w:eastAsia="Arial" w:hAnsi="Arial"/>
                <w:sz w:val="12"/>
                <w:szCs w:val="12"/>
                <w:color w:val="auto"/>
              </w:rPr>
              <w:t>158,359</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372,614</w:t>
            </w:r>
          </w:p>
        </w:tc>
        <w:tc>
          <w:tcPr>
            <w:tcW w:w="0" w:type="dxa"/>
            <w:vAlign w:val="bottom"/>
          </w:tcPr>
          <w:p>
            <w:pPr>
              <w:spacing w:after="0"/>
              <w:rPr>
                <w:sz w:val="1"/>
                <w:szCs w:val="1"/>
                <w:color w:val="auto"/>
              </w:rPr>
            </w:pPr>
          </w:p>
        </w:tc>
      </w:tr>
      <w:tr>
        <w:trPr>
          <w:trHeight w:val="81"/>
        </w:trPr>
        <w:tc>
          <w:tcPr>
            <w:tcW w:w="880" w:type="dxa"/>
            <w:vAlign w:val="bottom"/>
            <w:vMerge w:val="restart"/>
          </w:tcPr>
          <w:p>
            <w:pPr>
              <w:ind w:left="300"/>
              <w:spacing w:after="0" w:line="130" w:lineRule="exact"/>
              <w:rPr>
                <w:sz w:val="20"/>
                <w:szCs w:val="20"/>
                <w:color w:val="auto"/>
              </w:rPr>
            </w:pPr>
            <w:r>
              <w:rPr>
                <w:rFonts w:ascii="Arial" w:cs="Arial" w:eastAsia="Arial" w:hAnsi="Arial"/>
                <w:sz w:val="12"/>
                <w:szCs w:val="12"/>
                <w:color w:val="auto"/>
              </w:rPr>
              <w:t>Kingdom</w:t>
            </w: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8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80" w:type="dxa"/>
            <w:vAlign w:val="bottom"/>
          </w:tcPr>
          <w:p>
            <w:pPr>
              <w:ind w:left="160"/>
              <w:spacing w:after="0" w:line="130" w:lineRule="exact"/>
              <w:rPr>
                <w:sz w:val="20"/>
                <w:szCs w:val="20"/>
                <w:color w:val="auto"/>
              </w:rPr>
            </w:pPr>
            <w:r>
              <w:rPr>
                <w:rFonts w:ascii="Arial" w:cs="Arial" w:eastAsia="Arial" w:hAnsi="Arial"/>
                <w:sz w:val="12"/>
                <w:szCs w:val="12"/>
                <w:color w:val="auto"/>
              </w:rPr>
              <w:t>Others in</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80,611</w:t>
            </w:r>
          </w:p>
        </w:tc>
        <w:tc>
          <w:tcPr>
            <w:tcW w:w="16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10,126</w:t>
            </w:r>
          </w:p>
        </w:tc>
        <w:tc>
          <w:tcPr>
            <w:tcW w:w="960" w:type="dxa"/>
            <w:vAlign w:val="bottom"/>
            <w:gridSpan w:val="2"/>
            <w:vMerge w:val="restart"/>
          </w:tcPr>
          <w:p>
            <w:pPr>
              <w:jc w:val="right"/>
              <w:spacing w:after="0"/>
              <w:rPr>
                <w:sz w:val="20"/>
                <w:szCs w:val="20"/>
                <w:color w:val="auto"/>
              </w:rPr>
            </w:pPr>
            <w:r>
              <w:rPr>
                <w:rFonts w:ascii="Arial" w:cs="Arial" w:eastAsia="Arial" w:hAnsi="Arial"/>
                <w:sz w:val="12"/>
                <w:szCs w:val="12"/>
                <w:color w:val="auto"/>
              </w:rPr>
              <w:t>51,758</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136,207</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278,702</w:t>
            </w:r>
          </w:p>
        </w:tc>
        <w:tc>
          <w:tcPr>
            <w:tcW w:w="2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92,442</w:t>
            </w: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20,529</w:t>
            </w: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color w:val="auto"/>
              </w:rPr>
              <w:t>270,678</w:t>
            </w:r>
          </w:p>
        </w:tc>
        <w:tc>
          <w:tcPr>
            <w:tcW w:w="1120" w:type="dxa"/>
            <w:vAlign w:val="bottom"/>
            <w:gridSpan w:val="2"/>
            <w:vMerge w:val="restart"/>
          </w:tcPr>
          <w:p>
            <w:pPr>
              <w:jc w:val="right"/>
              <w:spacing w:after="0"/>
              <w:rPr>
                <w:sz w:val="20"/>
                <w:szCs w:val="20"/>
                <w:color w:val="auto"/>
              </w:rPr>
            </w:pPr>
            <w:r>
              <w:rPr>
                <w:rFonts w:ascii="Arial" w:cs="Arial" w:eastAsia="Arial" w:hAnsi="Arial"/>
                <w:sz w:val="12"/>
                <w:szCs w:val="12"/>
                <w:color w:val="auto"/>
              </w:rPr>
              <w:t>187,004</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570,653</w:t>
            </w:r>
          </w:p>
        </w:tc>
        <w:tc>
          <w:tcPr>
            <w:tcW w:w="0" w:type="dxa"/>
            <w:vAlign w:val="bottom"/>
          </w:tcPr>
          <w:p>
            <w:pPr>
              <w:spacing w:after="0"/>
              <w:rPr>
                <w:sz w:val="1"/>
                <w:szCs w:val="1"/>
                <w:color w:val="auto"/>
              </w:rPr>
            </w:pPr>
          </w:p>
        </w:tc>
      </w:tr>
      <w:tr>
        <w:trPr>
          <w:trHeight w:val="81"/>
        </w:trPr>
        <w:tc>
          <w:tcPr>
            <w:tcW w:w="880" w:type="dxa"/>
            <w:vAlign w:val="bottom"/>
            <w:vMerge w:val="restart"/>
          </w:tcPr>
          <w:p>
            <w:pPr>
              <w:ind w:left="300"/>
              <w:spacing w:after="0" w:line="130" w:lineRule="exact"/>
              <w:rPr>
                <w:sz w:val="20"/>
                <w:szCs w:val="20"/>
                <w:color w:val="auto"/>
              </w:rPr>
            </w:pPr>
            <w:r>
              <w:rPr>
                <w:rFonts w:ascii="Arial" w:cs="Arial" w:eastAsia="Arial" w:hAnsi="Arial"/>
                <w:sz w:val="12"/>
                <w:szCs w:val="12"/>
                <w:color w:val="auto"/>
              </w:rPr>
              <w:t>Europe</w:t>
            </w: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8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80" w:type="dxa"/>
            <w:vAlign w:val="bottom"/>
          </w:tcPr>
          <w:p>
            <w:pPr>
              <w:ind w:left="160"/>
              <w:spacing w:after="0" w:line="130" w:lineRule="exact"/>
              <w:rPr>
                <w:sz w:val="20"/>
                <w:szCs w:val="20"/>
                <w:color w:val="auto"/>
              </w:rPr>
            </w:pPr>
            <w:r>
              <w:rPr>
                <w:rFonts w:ascii="Arial" w:cs="Arial" w:eastAsia="Arial" w:hAnsi="Arial"/>
                <w:sz w:val="12"/>
                <w:szCs w:val="12"/>
                <w:color w:val="auto"/>
              </w:rPr>
              <w:t>Spain</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88,723</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28,840</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117,563</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4,110</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42,574</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41,884</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88,568</w:t>
            </w:r>
          </w:p>
        </w:tc>
        <w:tc>
          <w:tcPr>
            <w:tcW w:w="0" w:type="dxa"/>
            <w:vAlign w:val="bottom"/>
          </w:tcPr>
          <w:p>
            <w:pPr>
              <w:spacing w:after="0"/>
              <w:rPr>
                <w:sz w:val="1"/>
                <w:szCs w:val="1"/>
                <w:color w:val="auto"/>
              </w:rPr>
            </w:pPr>
          </w:p>
        </w:tc>
      </w:tr>
      <w:tr>
        <w:trPr>
          <w:trHeight w:val="130"/>
        </w:trPr>
        <w:tc>
          <w:tcPr>
            <w:tcW w:w="880" w:type="dxa"/>
            <w:vAlign w:val="bottom"/>
          </w:tcPr>
          <w:p>
            <w:pPr>
              <w:ind w:left="160"/>
              <w:spacing w:after="0" w:line="130" w:lineRule="exact"/>
              <w:rPr>
                <w:sz w:val="20"/>
                <w:szCs w:val="20"/>
                <w:color w:val="auto"/>
              </w:rPr>
            </w:pPr>
            <w:r>
              <w:rPr>
                <w:rFonts w:ascii="Arial" w:cs="Arial" w:eastAsia="Arial" w:hAnsi="Arial"/>
                <w:sz w:val="12"/>
                <w:szCs w:val="12"/>
                <w:color w:val="auto"/>
              </w:rPr>
              <w:t>Switzerland</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4</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175</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82,129</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82,308</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956</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372</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18,936</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110,284</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130,548</w:t>
            </w:r>
          </w:p>
        </w:tc>
        <w:tc>
          <w:tcPr>
            <w:tcW w:w="0" w:type="dxa"/>
            <w:vAlign w:val="bottom"/>
          </w:tcPr>
          <w:p>
            <w:pPr>
              <w:spacing w:after="0"/>
              <w:rPr>
                <w:sz w:val="1"/>
                <w:szCs w:val="1"/>
                <w:color w:val="auto"/>
              </w:rPr>
            </w:pPr>
          </w:p>
        </w:tc>
      </w:tr>
      <w:tr>
        <w:trPr>
          <w:trHeight w:val="130"/>
        </w:trPr>
        <w:tc>
          <w:tcPr>
            <w:tcW w:w="880" w:type="dxa"/>
            <w:vAlign w:val="bottom"/>
          </w:tcPr>
          <w:p>
            <w:pPr>
              <w:ind w:left="160"/>
              <w:spacing w:after="0" w:line="130" w:lineRule="exact"/>
              <w:rPr>
                <w:sz w:val="20"/>
                <w:szCs w:val="20"/>
                <w:color w:val="auto"/>
              </w:rPr>
            </w:pPr>
            <w:r>
              <w:rPr>
                <w:rFonts w:ascii="Arial" w:cs="Arial" w:eastAsia="Arial" w:hAnsi="Arial"/>
                <w:sz w:val="12"/>
                <w:szCs w:val="12"/>
                <w:color w:val="auto"/>
              </w:rPr>
              <w:t>Netherlands</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31,483</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39,038</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70,521</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907</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1,036</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27,095</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63,135</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92,173</w:t>
            </w: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Multilateral</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Organizations</w:t>
            </w: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34,423</w:t>
            </w:r>
          </w:p>
        </w:tc>
        <w:tc>
          <w:tcPr>
            <w:tcW w:w="11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80,060</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114,483</w:t>
            </w:r>
          </w:p>
        </w:tc>
        <w:tc>
          <w:tcPr>
            <w:tcW w:w="2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81,435</w:t>
            </w:r>
          </w:p>
        </w:tc>
        <w:tc>
          <w:tcPr>
            <w:tcW w:w="2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81,435</w:t>
            </w:r>
          </w:p>
        </w:tc>
        <w:tc>
          <w:tcPr>
            <w:tcW w:w="0" w:type="dxa"/>
            <w:vAlign w:val="bottom"/>
          </w:tcPr>
          <w:p>
            <w:pPr>
              <w:spacing w:after="0"/>
              <w:rPr>
                <w:sz w:val="1"/>
                <w:szCs w:val="1"/>
                <w:color w:val="auto"/>
              </w:rPr>
            </w:pPr>
          </w:p>
        </w:tc>
      </w:tr>
      <w:tr>
        <w:trPr>
          <w:trHeight w:val="130"/>
        </w:trPr>
        <w:tc>
          <w:tcPr>
            <w:tcW w:w="880" w:type="dxa"/>
            <w:vAlign w:val="bottom"/>
          </w:tcPr>
          <w:p>
            <w:pPr>
              <w:spacing w:after="0" w:line="130" w:lineRule="exact"/>
              <w:rPr>
                <w:sz w:val="20"/>
                <w:szCs w:val="20"/>
                <w:color w:val="auto"/>
              </w:rPr>
            </w:pPr>
            <w:r>
              <w:rPr>
                <w:rFonts w:ascii="Arial" w:cs="Arial" w:eastAsia="Arial" w:hAnsi="Arial"/>
                <w:sz w:val="12"/>
                <w:szCs w:val="12"/>
                <w:color w:val="auto"/>
              </w:rPr>
              <w:t>(**)</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15" w:lineRule="exact"/>
              <w:rPr>
                <w:sz w:val="20"/>
                <w:szCs w:val="20"/>
                <w:color w:val="auto"/>
              </w:rPr>
            </w:pPr>
            <w:r>
              <w:rPr>
                <w:rFonts w:ascii="Arial" w:cs="Arial" w:eastAsia="Arial" w:hAnsi="Arial"/>
                <w:sz w:val="12"/>
                <w:szCs w:val="12"/>
                <w:color w:val="auto"/>
              </w:rPr>
              <w:t>Others</w:t>
            </w:r>
          </w:p>
        </w:tc>
        <w:tc>
          <w:tcPr>
            <w:tcW w:w="600" w:type="dxa"/>
            <w:vAlign w:val="bottom"/>
          </w:tcPr>
          <w:p>
            <w:pPr>
              <w:jc w:val="right"/>
              <w:spacing w:after="0" w:line="115" w:lineRule="exact"/>
              <w:rPr>
                <w:sz w:val="20"/>
                <w:szCs w:val="20"/>
                <w:color w:val="auto"/>
              </w:rPr>
            </w:pPr>
            <w:r>
              <w:rPr>
                <w:rFonts w:ascii="Arial" w:cs="Arial" w:eastAsia="Arial" w:hAnsi="Arial"/>
                <w:sz w:val="12"/>
                <w:szCs w:val="12"/>
                <w:color w:val="auto"/>
              </w:rPr>
              <w:t>41,370</w:t>
            </w:r>
          </w:p>
        </w:tc>
        <w:tc>
          <w:tcPr>
            <w:tcW w:w="160" w:type="dxa"/>
            <w:vAlign w:val="bottom"/>
          </w:tcPr>
          <w:p>
            <w:pPr>
              <w:spacing w:after="0"/>
              <w:rPr>
                <w:sz w:val="11"/>
                <w:szCs w:val="11"/>
                <w:color w:val="auto"/>
              </w:rPr>
            </w:pPr>
          </w:p>
        </w:tc>
        <w:tc>
          <w:tcPr>
            <w:tcW w:w="7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251,455</w:t>
            </w:r>
          </w:p>
        </w:tc>
        <w:tc>
          <w:tcPr>
            <w:tcW w:w="9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634,490</w:t>
            </w:r>
          </w:p>
        </w:tc>
        <w:tc>
          <w:tcPr>
            <w:tcW w:w="11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552,257</w:t>
            </w:r>
          </w:p>
        </w:tc>
        <w:tc>
          <w:tcPr>
            <w:tcW w:w="220" w:type="dxa"/>
            <w:vAlign w:val="bottom"/>
          </w:tcPr>
          <w:p>
            <w:pPr>
              <w:spacing w:after="0"/>
              <w:rPr>
                <w:sz w:val="11"/>
                <w:szCs w:val="11"/>
                <w:color w:val="auto"/>
              </w:rPr>
            </w:pPr>
          </w:p>
        </w:tc>
        <w:tc>
          <w:tcPr>
            <w:tcW w:w="740" w:type="dxa"/>
            <w:vAlign w:val="bottom"/>
          </w:tcPr>
          <w:p>
            <w:pPr>
              <w:jc w:val="right"/>
              <w:spacing w:after="0" w:line="115" w:lineRule="exact"/>
              <w:rPr>
                <w:sz w:val="20"/>
                <w:szCs w:val="20"/>
                <w:color w:val="auto"/>
              </w:rPr>
            </w:pPr>
            <w:r>
              <w:rPr>
                <w:rFonts w:ascii="Arial" w:cs="Arial" w:eastAsia="Arial" w:hAnsi="Arial"/>
                <w:sz w:val="12"/>
                <w:szCs w:val="12"/>
                <w:color w:val="auto"/>
              </w:rPr>
              <w:t>1,479,572</w:t>
            </w:r>
          </w:p>
        </w:tc>
        <w:tc>
          <w:tcPr>
            <w:tcW w:w="220" w:type="dxa"/>
            <w:vAlign w:val="bottom"/>
          </w:tcPr>
          <w:p>
            <w:pPr>
              <w:spacing w:after="0"/>
              <w:rPr>
                <w:sz w:val="11"/>
                <w:szCs w:val="11"/>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2"/>
                <w:szCs w:val="12"/>
                <w:color w:val="auto"/>
              </w:rPr>
              <w:t>65,898</w:t>
            </w:r>
          </w:p>
        </w:tc>
        <w:tc>
          <w:tcPr>
            <w:tcW w:w="220" w:type="dxa"/>
            <w:vAlign w:val="bottom"/>
          </w:tcPr>
          <w:p>
            <w:pPr>
              <w:spacing w:after="0"/>
              <w:rPr>
                <w:sz w:val="11"/>
                <w:szCs w:val="11"/>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2"/>
                <w:szCs w:val="12"/>
                <w:color w:val="auto"/>
              </w:rPr>
              <w:t>219,446</w:t>
            </w:r>
          </w:p>
        </w:tc>
        <w:tc>
          <w:tcPr>
            <w:tcW w:w="9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840,628</w:t>
            </w:r>
          </w:p>
        </w:tc>
        <w:tc>
          <w:tcPr>
            <w:tcW w:w="11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660,048</w:t>
            </w:r>
          </w:p>
        </w:tc>
        <w:tc>
          <w:tcPr>
            <w:tcW w:w="220" w:type="dxa"/>
            <w:vAlign w:val="bottom"/>
          </w:tcPr>
          <w:p>
            <w:pPr>
              <w:spacing w:after="0"/>
              <w:rPr>
                <w:sz w:val="11"/>
                <w:szCs w:val="11"/>
                <w:color w:val="auto"/>
              </w:rPr>
            </w:pPr>
          </w:p>
        </w:tc>
        <w:tc>
          <w:tcPr>
            <w:tcW w:w="740" w:type="dxa"/>
            <w:vAlign w:val="bottom"/>
          </w:tcPr>
          <w:p>
            <w:pPr>
              <w:jc w:val="right"/>
              <w:spacing w:after="0" w:line="115" w:lineRule="exact"/>
              <w:rPr>
                <w:sz w:val="20"/>
                <w:szCs w:val="20"/>
                <w:color w:val="auto"/>
              </w:rPr>
            </w:pPr>
            <w:r>
              <w:rPr>
                <w:rFonts w:ascii="Arial" w:cs="Arial" w:eastAsia="Arial" w:hAnsi="Arial"/>
                <w:sz w:val="12"/>
                <w:szCs w:val="12"/>
                <w:color w:val="auto"/>
              </w:rPr>
              <w:t>1,786,020</w:t>
            </w:r>
          </w:p>
        </w:tc>
        <w:tc>
          <w:tcPr>
            <w:tcW w:w="0" w:type="dxa"/>
            <w:vAlign w:val="bottom"/>
          </w:tcPr>
          <w:p>
            <w:pPr>
              <w:spacing w:after="0"/>
              <w:rPr>
                <w:sz w:val="1"/>
                <w:szCs w:val="1"/>
                <w:color w:val="auto"/>
              </w:rPr>
            </w:pPr>
          </w:p>
        </w:tc>
      </w:tr>
      <w:tr>
        <w:trPr>
          <w:trHeight w:val="130"/>
        </w:trPr>
        <w:tc>
          <w:tcPr>
            <w:tcW w:w="880" w:type="dxa"/>
            <w:vAlign w:val="bottom"/>
          </w:tcPr>
          <w:p>
            <w:pPr>
              <w:spacing w:after="0" w:line="127" w:lineRule="exact"/>
              <w:rPr>
                <w:sz w:val="20"/>
                <w:szCs w:val="20"/>
                <w:color w:val="auto"/>
              </w:rPr>
            </w:pPr>
            <w:r>
              <w:rPr>
                <w:rFonts w:ascii="Arial" w:cs="Arial" w:eastAsia="Arial" w:hAnsi="Arial"/>
                <w:sz w:val="12"/>
                <w:szCs w:val="12"/>
                <w:b w:val="1"/>
                <w:bCs w:val="1"/>
                <w:color w:val="auto"/>
              </w:rPr>
              <w:t>Total</w:t>
            </w:r>
          </w:p>
        </w:tc>
        <w:tc>
          <w:tcPr>
            <w:tcW w:w="60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5,678,060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768,801</w:t>
            </w:r>
          </w:p>
        </w:tc>
        <w:tc>
          <w:tcPr>
            <w:tcW w:w="2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8"/>
              </w:rPr>
              <w:t>190,960,772</w:t>
            </w:r>
          </w:p>
        </w:tc>
        <w:tc>
          <w:tcPr>
            <w:tcW w:w="22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30,786,161</w:t>
            </w:r>
          </w:p>
        </w:tc>
        <w:tc>
          <w:tcPr>
            <w:tcW w:w="2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8"/>
              </w:rPr>
              <w:t>228,193,794</w:t>
            </w:r>
          </w:p>
        </w:tc>
        <w:tc>
          <w:tcPr>
            <w:tcW w:w="22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7"/>
              </w:rPr>
              <w:t>7,590,166</w:t>
            </w:r>
          </w:p>
        </w:tc>
        <w:tc>
          <w:tcPr>
            <w:tcW w:w="2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987,082</w:t>
            </w:r>
          </w:p>
        </w:tc>
        <w:tc>
          <w:tcPr>
            <w:tcW w:w="2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5"/>
              </w:rPr>
              <w:t>192,934,668</w:t>
            </w:r>
          </w:p>
        </w:tc>
        <w:tc>
          <w:tcPr>
            <w:tcW w:w="22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34,758,443</w:t>
            </w:r>
          </w:p>
        </w:tc>
        <w:tc>
          <w:tcPr>
            <w:tcW w:w="2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8"/>
              </w:rPr>
              <w:t>236,270,359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Includes non-trading investments that did not pass SPPI test.</w:t>
      </w:r>
    </w:p>
    <w:p>
      <w:pPr>
        <w:spacing w:after="0" w:line="193" w:lineRule="exact"/>
        <w:rPr>
          <w:sz w:val="20"/>
          <w:szCs w:val="20"/>
          <w:color w:val="auto"/>
        </w:rPr>
      </w:pPr>
    </w:p>
    <w:p>
      <w:pPr>
        <w:ind w:left="920" w:right="460" w:hanging="304"/>
        <w:spacing w:after="0" w:line="254" w:lineRule="auto"/>
        <w:tabs>
          <w:tab w:leader="none" w:pos="9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Comprising instruments issued by Banco de Desarrollo de América Latina (formerly CAF) and by Banco Interamericano de Desarrollo (BID).</w:t>
      </w:r>
    </w:p>
    <w:p>
      <w:pPr>
        <w:spacing w:after="0" w:line="143" w:lineRule="exact"/>
        <w:rPr>
          <w:rFonts w:ascii="Arial" w:cs="Arial" w:eastAsia="Arial" w:hAnsi="Arial"/>
          <w:sz w:val="17"/>
          <w:szCs w:val="17"/>
          <w:color w:val="auto"/>
        </w:rPr>
      </w:pPr>
    </w:p>
    <w:p>
      <w:pPr>
        <w:ind w:left="5160" w:hanging="105"/>
        <w:spacing w:after="0"/>
        <w:tabs>
          <w:tab w:leader="none" w:pos="516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156 -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32385</wp:posOffset>
            </wp:positionV>
            <wp:extent cx="713803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740"/>
          </w:cols>
          <w:pgMar w:left="640" w:top="140" w:right="519" w:bottom="1440" w:gutter="0" w:footer="0" w:header="0"/>
        </w:sectPr>
      </w:pPr>
    </w:p>
    <w:bookmarkStart w:id="161" w:name="page162"/>
    <w:bookmarkEnd w:id="161"/>
    <w:p>
      <w:pPr>
        <w:ind w:left="315" w:hanging="315"/>
        <w:spacing w:after="0"/>
        <w:tabs>
          <w:tab w:leader="none" w:pos="31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Offsetting financial assets and liabilities -</w:t>
      </w:r>
    </w:p>
    <w:p>
      <w:pPr>
        <w:spacing w:after="0" w:line="192"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The disclosures set out in the tables below include financial assets and liabilities that:</w:t>
      </w:r>
    </w:p>
    <w:p>
      <w:pPr>
        <w:spacing w:after="0" w:line="191" w:lineRule="exact"/>
        <w:rPr>
          <w:rFonts w:ascii="Arial" w:cs="Arial" w:eastAsia="Arial" w:hAnsi="Arial"/>
          <w:sz w:val="17"/>
          <w:szCs w:val="17"/>
          <w:color w:val="auto"/>
        </w:rPr>
      </w:pPr>
    </w:p>
    <w:p>
      <w:pPr>
        <w:ind w:left="615" w:hanging="304"/>
        <w:spacing w:after="0"/>
        <w:tabs>
          <w:tab w:leader="none" w:pos="615"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Are offset in the Group’s consolidated statement of financial position; or</w:t>
      </w:r>
    </w:p>
    <w:p>
      <w:pPr>
        <w:ind w:left="615" w:right="860" w:hanging="304"/>
        <w:spacing w:after="0" w:line="254" w:lineRule="auto"/>
        <w:tabs>
          <w:tab w:leader="none" w:pos="615"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Are subject to an enforceable master netting arrangement or similar agreement that covers similar financial instruments, irrespective of whether they are offset in the consolidated statement of financial position.</w:t>
      </w:r>
    </w:p>
    <w:p>
      <w:pPr>
        <w:spacing w:after="0" w:line="169" w:lineRule="exact"/>
        <w:rPr>
          <w:sz w:val="20"/>
          <w:szCs w:val="20"/>
          <w:color w:val="auto"/>
        </w:rPr>
      </w:pPr>
    </w:p>
    <w:p>
      <w:pPr>
        <w:jc w:val="both"/>
        <w:ind w:left="315"/>
        <w:spacing w:after="0" w:line="243" w:lineRule="auto"/>
        <w:rPr>
          <w:sz w:val="20"/>
          <w:szCs w:val="20"/>
          <w:color w:val="auto"/>
        </w:rPr>
      </w:pPr>
      <w:r>
        <w:rPr>
          <w:rFonts w:ascii="Arial" w:cs="Arial" w:eastAsia="Arial" w:hAnsi="Arial"/>
          <w:sz w:val="17"/>
          <w:szCs w:val="17"/>
          <w:color w:val="auto"/>
        </w:rPr>
        <w:t>Similar agreements include derivative netting agreements, master repurchase agreements, and master securities lending agreements. Similar financial instruments include derivatives, accounts receivable from reverse repurchase agreements and securities borrowing, payables from repurchase agreements and securities lending and other financial assets and liabilities. Financial instruments such as loans and deposits are not disclosed in the tables below because they are not offset in the consolidated statement of financial position.</w:t>
      </w:r>
    </w:p>
    <w:p>
      <w:pPr>
        <w:spacing w:after="0" w:line="180" w:lineRule="exact"/>
        <w:rPr>
          <w:sz w:val="20"/>
          <w:szCs w:val="20"/>
          <w:color w:val="auto"/>
        </w:rPr>
      </w:pPr>
    </w:p>
    <w:p>
      <w:pPr>
        <w:jc w:val="both"/>
        <w:ind w:left="315"/>
        <w:spacing w:after="0" w:line="242" w:lineRule="auto"/>
        <w:rPr>
          <w:sz w:val="20"/>
          <w:szCs w:val="20"/>
          <w:color w:val="auto"/>
        </w:rPr>
      </w:pPr>
      <w:r>
        <w:rPr>
          <w:rFonts w:ascii="Arial" w:cs="Arial" w:eastAsia="Arial" w:hAnsi="Arial"/>
          <w:sz w:val="17"/>
          <w:szCs w:val="17"/>
          <w:color w:val="auto"/>
        </w:rPr>
        <w:t>The offsetting framework contract issued by the International Swaps and Derivatives Association Inc. (“ISDA”) and similar master netting arrangements do not meet the criteria for offsetting in the consolidated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80" w:lineRule="exact"/>
        <w:rPr>
          <w:sz w:val="20"/>
          <w:szCs w:val="20"/>
          <w:color w:val="auto"/>
        </w:rPr>
      </w:pPr>
    </w:p>
    <w:p>
      <w:pPr>
        <w:ind w:left="315"/>
        <w:spacing w:after="0"/>
        <w:rPr>
          <w:sz w:val="20"/>
          <w:szCs w:val="20"/>
          <w:color w:val="auto"/>
        </w:rPr>
      </w:pPr>
      <w:r>
        <w:rPr>
          <w:rFonts w:ascii="Arial" w:cs="Arial" w:eastAsia="Arial" w:hAnsi="Arial"/>
          <w:sz w:val="17"/>
          <w:szCs w:val="17"/>
          <w:color w:val="auto"/>
        </w:rPr>
        <w:t>The Group receives and gives collateral in the form of cash and trading securities in respect of the following transactions:</w:t>
      </w:r>
    </w:p>
    <w:p>
      <w:pPr>
        <w:spacing w:after="0" w:line="192" w:lineRule="exact"/>
        <w:rPr>
          <w:sz w:val="20"/>
          <w:szCs w:val="20"/>
          <w:color w:val="auto"/>
        </w:rPr>
      </w:pPr>
    </w:p>
    <w:p>
      <w:pPr>
        <w:ind w:left="615" w:hanging="304"/>
        <w:spacing w:after="0"/>
        <w:tabs>
          <w:tab w:leader="none" w:pos="61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Derivatives,</w:t>
      </w:r>
    </w:p>
    <w:p>
      <w:pPr>
        <w:ind w:left="615" w:hanging="304"/>
        <w:spacing w:after="0" w:line="238" w:lineRule="auto"/>
        <w:tabs>
          <w:tab w:leader="none" w:pos="61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Accounts receivable from reverse repurchase agreements and securities borrowing,</w:t>
      </w:r>
    </w:p>
    <w:p>
      <w:pPr>
        <w:ind w:left="615" w:hanging="304"/>
        <w:spacing w:after="0" w:line="238" w:lineRule="auto"/>
        <w:tabs>
          <w:tab w:leader="none" w:pos="61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Payables from repurchase agreements and securities lending, and</w:t>
      </w:r>
    </w:p>
    <w:p>
      <w:pPr>
        <w:ind w:left="615" w:hanging="304"/>
        <w:spacing w:after="0"/>
        <w:tabs>
          <w:tab w:leader="none" w:pos="61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Other financial assets and liabilities</w:t>
      </w:r>
    </w:p>
    <w:p>
      <w:pPr>
        <w:spacing w:after="0" w:line="193" w:lineRule="exact"/>
        <w:rPr>
          <w:sz w:val="20"/>
          <w:szCs w:val="20"/>
          <w:color w:val="auto"/>
        </w:rPr>
      </w:pPr>
    </w:p>
    <w:p>
      <w:pPr>
        <w:jc w:val="both"/>
        <w:ind w:left="315"/>
        <w:spacing w:after="0" w:line="243" w:lineRule="auto"/>
        <w:rPr>
          <w:sz w:val="20"/>
          <w:szCs w:val="20"/>
          <w:color w:val="auto"/>
        </w:rPr>
      </w:pPr>
      <w:r>
        <w:rPr>
          <w:rFonts w:ascii="Arial" w:cs="Arial" w:eastAsia="Arial" w:hAnsi="Arial"/>
          <w:sz w:val="17"/>
          <w:szCs w:val="17"/>
          <w:color w:val="auto"/>
        </w:rPr>
        <w:t>Such collateral adheres to standard industry terms including, when appropriate, an ISDA Credit Support Annex (CSA). This means that securities received/given as collateral can be pledged or sold during the term of the transaction but have to be returned on maturity of the transaction. The terms also give each party the right to terminate the related transactions upon the counterparty’s failure to return the respective collateral.</w:t>
      </w:r>
    </w:p>
    <w:p>
      <w:pPr>
        <w:spacing w:after="0" w:line="154" w:lineRule="exact"/>
        <w:rPr>
          <w:sz w:val="20"/>
          <w:szCs w:val="20"/>
          <w:color w:val="auto"/>
        </w:rPr>
      </w:pPr>
    </w:p>
    <w:p>
      <w:pPr>
        <w:ind w:left="4755"/>
        <w:spacing w:after="0"/>
        <w:rPr>
          <w:sz w:val="20"/>
          <w:szCs w:val="20"/>
          <w:color w:val="auto"/>
        </w:rPr>
      </w:pPr>
      <w:r>
        <w:rPr>
          <w:rFonts w:ascii="Arial" w:cs="Arial" w:eastAsia="Arial" w:hAnsi="Arial"/>
          <w:sz w:val="17"/>
          <w:szCs w:val="17"/>
          <w:color w:val="auto"/>
        </w:rPr>
        <w:t>- 157 -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162" w:name="page163"/>
    <w:bookmarkEnd w:id="162"/>
    <w:p>
      <w:pPr>
        <w:ind w:left="940"/>
        <w:spacing w:after="0"/>
        <w:rPr>
          <w:sz w:val="20"/>
          <w:szCs w:val="20"/>
          <w:color w:val="auto"/>
        </w:rPr>
      </w:pPr>
      <w:r>
        <w:rPr>
          <w:rFonts w:ascii="Arial" w:cs="Arial" w:eastAsia="Arial" w:hAnsi="Arial"/>
          <w:sz w:val="17"/>
          <w:szCs w:val="17"/>
          <w:color w:val="auto"/>
        </w:rPr>
        <w:t>Financial assets subject to offsetting, enforceable master netting agreements and similar agreements: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60" w:type="dxa"/>
            <w:vAlign w:val="bottom"/>
          </w:tcPr>
          <w:p>
            <w:pPr>
              <w:spacing w:after="0"/>
              <w:rPr>
                <w:sz w:val="18"/>
                <w:szCs w:val="18"/>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2022</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64"/>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10"/>
          </w:tcPr>
          <w:p>
            <w:pPr>
              <w:ind w:left="100"/>
              <w:spacing w:after="0" w:line="164" w:lineRule="exact"/>
              <w:rPr>
                <w:sz w:val="20"/>
                <w:szCs w:val="20"/>
                <w:color w:val="auto"/>
              </w:rPr>
            </w:pPr>
            <w:r>
              <w:rPr>
                <w:rFonts w:ascii="Arial" w:cs="Arial" w:eastAsia="Arial" w:hAnsi="Arial"/>
                <w:sz w:val="17"/>
                <w:szCs w:val="17"/>
                <w:b w:val="1"/>
                <w:bCs w:val="1"/>
                <w:color w:val="auto"/>
              </w:rPr>
              <w:t>Related amounts not offset</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4"/>
        </w:trPr>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3"/>
          </w:tcPr>
          <w:p>
            <w:pPr>
              <w:ind w:left="40"/>
              <w:spacing w:after="0" w:line="194" w:lineRule="exact"/>
              <w:rPr>
                <w:sz w:val="20"/>
                <w:szCs w:val="20"/>
                <w:color w:val="auto"/>
              </w:rPr>
            </w:pPr>
            <w:r>
              <w:rPr>
                <w:rFonts w:ascii="Arial" w:cs="Arial" w:eastAsia="Arial" w:hAnsi="Arial"/>
                <w:sz w:val="17"/>
                <w:szCs w:val="17"/>
                <w:b w:val="1"/>
                <w:bCs w:val="1"/>
                <w:color w:val="auto"/>
              </w:rPr>
              <w:t>Net of financial</w:t>
            </w:r>
          </w:p>
        </w:tc>
        <w:tc>
          <w:tcPr>
            <w:tcW w:w="1540" w:type="dxa"/>
            <w:vAlign w:val="bottom"/>
            <w:gridSpan w:val="6"/>
          </w:tcPr>
          <w:p>
            <w:pPr>
              <w:ind w:left="100"/>
              <w:spacing w:after="0" w:line="194" w:lineRule="exact"/>
              <w:rPr>
                <w:sz w:val="20"/>
                <w:szCs w:val="20"/>
                <w:color w:val="auto"/>
              </w:rPr>
            </w:pPr>
            <w:r>
              <w:rPr>
                <w:rFonts w:ascii="Arial" w:cs="Arial" w:eastAsia="Arial" w:hAnsi="Arial"/>
                <w:sz w:val="17"/>
                <w:szCs w:val="17"/>
                <w:b w:val="1"/>
                <w:bCs w:val="1"/>
                <w:color w:val="auto"/>
              </w:rPr>
              <w:t>in the</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gridSpan w:val="3"/>
          </w:tcPr>
          <w:p>
            <w:pPr>
              <w:ind w:left="60"/>
              <w:spacing w:after="0" w:line="194" w:lineRule="exact"/>
              <w:rPr>
                <w:sz w:val="20"/>
                <w:szCs w:val="20"/>
                <w:color w:val="auto"/>
              </w:rPr>
            </w:pPr>
            <w:r>
              <w:rPr>
                <w:rFonts w:ascii="Arial" w:cs="Arial" w:eastAsia="Arial" w:hAnsi="Arial"/>
                <w:sz w:val="17"/>
                <w:szCs w:val="17"/>
                <w:b w:val="1"/>
                <w:bCs w:val="1"/>
                <w:color w:val="auto"/>
              </w:rPr>
              <w:t>Gross</w:t>
            </w:r>
          </w:p>
        </w:tc>
        <w:tc>
          <w:tcPr>
            <w:tcW w:w="60" w:type="dxa"/>
            <w:vAlign w:val="bottom"/>
          </w:tcPr>
          <w:p>
            <w:pPr>
              <w:spacing w:after="0"/>
              <w:rPr>
                <w:sz w:val="16"/>
                <w:szCs w:val="16"/>
                <w:color w:val="auto"/>
              </w:rPr>
            </w:pPr>
          </w:p>
        </w:tc>
        <w:tc>
          <w:tcPr>
            <w:tcW w:w="1840" w:type="dxa"/>
            <w:vAlign w:val="bottom"/>
            <w:gridSpan w:val="3"/>
          </w:tcPr>
          <w:p>
            <w:pPr>
              <w:ind w:left="40"/>
              <w:spacing w:after="0" w:line="194" w:lineRule="exact"/>
              <w:rPr>
                <w:sz w:val="20"/>
                <w:szCs w:val="20"/>
                <w:color w:val="auto"/>
              </w:rPr>
            </w:pPr>
            <w:r>
              <w:rPr>
                <w:rFonts w:ascii="Arial" w:cs="Arial" w:eastAsia="Arial" w:hAnsi="Arial"/>
                <w:sz w:val="17"/>
                <w:szCs w:val="17"/>
                <w:b w:val="1"/>
                <w:bCs w:val="1"/>
                <w:color w:val="auto"/>
              </w:rPr>
              <w:t>assets presented</w:t>
            </w:r>
          </w:p>
        </w:tc>
        <w:tc>
          <w:tcPr>
            <w:tcW w:w="2800" w:type="dxa"/>
            <w:vAlign w:val="bottom"/>
            <w:gridSpan w:val="10"/>
          </w:tcPr>
          <w:p>
            <w:pPr>
              <w:ind w:left="100"/>
              <w:spacing w:after="0" w:line="194" w:lineRule="exact"/>
              <w:rPr>
                <w:sz w:val="20"/>
                <w:szCs w:val="20"/>
                <w:color w:val="auto"/>
              </w:rPr>
            </w:pPr>
            <w:r>
              <w:rPr>
                <w:rFonts w:ascii="Arial" w:cs="Arial" w:eastAsia="Arial" w:hAnsi="Arial"/>
                <w:sz w:val="17"/>
                <w:szCs w:val="17"/>
                <w:b w:val="1"/>
                <w:bCs w:val="1"/>
                <w:color w:val="auto"/>
              </w:rPr>
              <w:t>consolidated statement of</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7"/>
        </w:trPr>
        <w:tc>
          <w:tcPr>
            <w:tcW w:w="3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gridSpan w:val="3"/>
          </w:tcPr>
          <w:p>
            <w:pPr>
              <w:ind w:left="60"/>
              <w:spacing w:after="0"/>
              <w:rPr>
                <w:sz w:val="20"/>
                <w:szCs w:val="20"/>
                <w:color w:val="auto"/>
              </w:rPr>
            </w:pPr>
            <w:r>
              <w:rPr>
                <w:rFonts w:ascii="Arial" w:cs="Arial" w:eastAsia="Arial" w:hAnsi="Arial"/>
                <w:sz w:val="17"/>
                <w:szCs w:val="17"/>
                <w:b w:val="1"/>
                <w:bCs w:val="1"/>
                <w:color w:val="auto"/>
              </w:rPr>
              <w:t>amounts</w:t>
            </w:r>
          </w:p>
        </w:tc>
        <w:tc>
          <w:tcPr>
            <w:tcW w:w="60" w:type="dxa"/>
            <w:vAlign w:val="bottom"/>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7"/>
                <w:szCs w:val="17"/>
                <w:b w:val="1"/>
                <w:bCs w:val="1"/>
                <w:color w:val="auto"/>
              </w:rPr>
              <w:t>in the</w:t>
            </w:r>
          </w:p>
        </w:tc>
        <w:tc>
          <w:tcPr>
            <w:tcW w:w="1540" w:type="dxa"/>
            <w:vAlign w:val="bottom"/>
            <w:tcBorders>
              <w:bottom w:val="single" w:sz="8" w:color="auto"/>
            </w:tcBorders>
            <w:gridSpan w:val="6"/>
          </w:tcPr>
          <w:p>
            <w:pPr>
              <w:ind w:left="100"/>
              <w:spacing w:after="0"/>
              <w:rPr>
                <w:sz w:val="20"/>
                <w:szCs w:val="20"/>
                <w:color w:val="auto"/>
              </w:rPr>
            </w:pPr>
            <w:r>
              <w:rPr>
                <w:rFonts w:ascii="Arial" w:cs="Arial" w:eastAsia="Arial" w:hAnsi="Arial"/>
                <w:sz w:val="17"/>
                <w:szCs w:val="17"/>
                <w:b w:val="1"/>
                <w:bCs w:val="1"/>
                <w:color w:val="auto"/>
              </w:rPr>
              <w:t>financial position</w:t>
            </w: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4"/>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3"/>
          </w:tcPr>
          <w:p>
            <w:pPr>
              <w:ind w:left="60"/>
              <w:spacing w:after="0" w:line="164" w:lineRule="exact"/>
              <w:rPr>
                <w:sz w:val="20"/>
                <w:szCs w:val="20"/>
                <w:color w:val="auto"/>
              </w:rPr>
            </w:pPr>
            <w:r>
              <w:rPr>
                <w:rFonts w:ascii="Arial" w:cs="Arial" w:eastAsia="Arial" w:hAnsi="Arial"/>
                <w:sz w:val="17"/>
                <w:szCs w:val="17"/>
                <w:b w:val="1"/>
                <w:bCs w:val="1"/>
                <w:color w:val="auto"/>
              </w:rPr>
              <w:t>recognized</w:t>
            </w:r>
          </w:p>
        </w:tc>
        <w:tc>
          <w:tcPr>
            <w:tcW w:w="60" w:type="dxa"/>
            <w:vAlign w:val="bottom"/>
          </w:tcPr>
          <w:p>
            <w:pPr>
              <w:spacing w:after="0"/>
              <w:rPr>
                <w:sz w:val="14"/>
                <w:szCs w:val="14"/>
                <w:color w:val="auto"/>
              </w:rPr>
            </w:pPr>
          </w:p>
        </w:tc>
        <w:tc>
          <w:tcPr>
            <w:tcW w:w="1840" w:type="dxa"/>
            <w:vAlign w:val="bottom"/>
            <w:gridSpan w:val="3"/>
          </w:tcPr>
          <w:p>
            <w:pPr>
              <w:ind w:left="40"/>
              <w:spacing w:after="0" w:line="164" w:lineRule="exact"/>
              <w:rPr>
                <w:sz w:val="20"/>
                <w:szCs w:val="20"/>
                <w:color w:val="auto"/>
              </w:rPr>
            </w:pPr>
            <w:r>
              <w:rPr>
                <w:rFonts w:ascii="Arial" w:cs="Arial" w:eastAsia="Arial" w:hAnsi="Arial"/>
                <w:sz w:val="17"/>
                <w:szCs w:val="17"/>
                <w:b w:val="1"/>
                <w:bCs w:val="1"/>
                <w:color w:val="auto"/>
              </w:rPr>
              <w:t>consolidated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ind w:left="20"/>
              <w:spacing w:after="0" w:line="164" w:lineRule="exact"/>
              <w:rPr>
                <w:sz w:val="20"/>
                <w:szCs w:val="20"/>
                <w:color w:val="auto"/>
              </w:rPr>
            </w:pPr>
            <w:r>
              <w:rPr>
                <w:rFonts w:ascii="Arial" w:cs="Arial" w:eastAsia="Arial" w:hAnsi="Arial"/>
                <w:sz w:val="17"/>
                <w:szCs w:val="17"/>
                <w:b w:val="1"/>
                <w:bCs w:val="1"/>
                <w:color w:val="auto"/>
              </w:rPr>
              <w:t>Cash</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4"/>
        </w:trPr>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gridSpan w:val="3"/>
          </w:tcPr>
          <w:p>
            <w:pPr>
              <w:ind w:left="60"/>
              <w:spacing w:after="0" w:line="194" w:lineRule="exact"/>
              <w:rPr>
                <w:sz w:val="20"/>
                <w:szCs w:val="20"/>
                <w:color w:val="auto"/>
              </w:rPr>
            </w:pPr>
            <w:r>
              <w:rPr>
                <w:rFonts w:ascii="Arial" w:cs="Arial" w:eastAsia="Arial" w:hAnsi="Arial"/>
                <w:sz w:val="17"/>
                <w:szCs w:val="17"/>
                <w:b w:val="1"/>
                <w:bCs w:val="1"/>
                <w:color w:val="auto"/>
              </w:rPr>
              <w:t>financial</w:t>
            </w:r>
          </w:p>
        </w:tc>
        <w:tc>
          <w:tcPr>
            <w:tcW w:w="60" w:type="dxa"/>
            <w:vAlign w:val="bottom"/>
          </w:tcPr>
          <w:p>
            <w:pPr>
              <w:spacing w:after="0"/>
              <w:rPr>
                <w:sz w:val="16"/>
                <w:szCs w:val="16"/>
                <w:color w:val="auto"/>
              </w:rPr>
            </w:pPr>
          </w:p>
        </w:tc>
        <w:tc>
          <w:tcPr>
            <w:tcW w:w="1840" w:type="dxa"/>
            <w:vAlign w:val="bottom"/>
            <w:gridSpan w:val="3"/>
          </w:tcPr>
          <w:p>
            <w:pPr>
              <w:ind w:left="40"/>
              <w:spacing w:after="0" w:line="194" w:lineRule="exact"/>
              <w:rPr>
                <w:sz w:val="20"/>
                <w:szCs w:val="20"/>
                <w:color w:val="auto"/>
              </w:rPr>
            </w:pPr>
            <w:r>
              <w:rPr>
                <w:rFonts w:ascii="Arial" w:cs="Arial" w:eastAsia="Arial" w:hAnsi="Arial"/>
                <w:sz w:val="17"/>
                <w:szCs w:val="17"/>
                <w:b w:val="1"/>
                <w:bCs w:val="1"/>
                <w:color w:val="auto"/>
              </w:rPr>
              <w:t>statements of</w:t>
            </w:r>
          </w:p>
        </w:tc>
        <w:tc>
          <w:tcPr>
            <w:tcW w:w="1540" w:type="dxa"/>
            <w:vAlign w:val="bottom"/>
            <w:gridSpan w:val="6"/>
          </w:tcPr>
          <w:p>
            <w:pPr>
              <w:ind w:left="100"/>
              <w:spacing w:after="0" w:line="194" w:lineRule="exact"/>
              <w:rPr>
                <w:sz w:val="20"/>
                <w:szCs w:val="20"/>
                <w:color w:val="auto"/>
              </w:rPr>
            </w:pPr>
            <w:r>
              <w:rPr>
                <w:rFonts w:ascii="Arial" w:cs="Arial" w:eastAsia="Arial" w:hAnsi="Arial"/>
                <w:sz w:val="17"/>
                <w:szCs w:val="17"/>
                <w:b w:val="1"/>
                <w:bCs w:val="1"/>
                <w:color w:val="auto"/>
              </w:rPr>
              <w:t>Financial</w:t>
            </w:r>
          </w:p>
        </w:tc>
        <w:tc>
          <w:tcPr>
            <w:tcW w:w="1260" w:type="dxa"/>
            <w:vAlign w:val="bottom"/>
            <w:gridSpan w:val="4"/>
          </w:tcPr>
          <w:p>
            <w:pPr>
              <w:ind w:left="20"/>
              <w:spacing w:after="0" w:line="194" w:lineRule="exact"/>
              <w:rPr>
                <w:sz w:val="20"/>
                <w:szCs w:val="20"/>
                <w:color w:val="auto"/>
              </w:rPr>
            </w:pPr>
            <w:r>
              <w:rPr>
                <w:rFonts w:ascii="Arial" w:cs="Arial" w:eastAsia="Arial" w:hAnsi="Arial"/>
                <w:sz w:val="17"/>
                <w:szCs w:val="17"/>
                <w:b w:val="1"/>
                <w:bCs w:val="1"/>
                <w:color w:val="auto"/>
              </w:rPr>
              <w:t>collateral</w:t>
            </w:r>
          </w:p>
        </w:tc>
        <w:tc>
          <w:tcPr>
            <w:tcW w:w="1000" w:type="dxa"/>
            <w:vAlign w:val="bottom"/>
          </w:tcPr>
          <w:p>
            <w:pPr>
              <w:ind w:left="80"/>
              <w:spacing w:after="0" w:line="194" w:lineRule="exact"/>
              <w:rPr>
                <w:sz w:val="20"/>
                <w:szCs w:val="20"/>
                <w:color w:val="auto"/>
              </w:rPr>
            </w:pPr>
            <w:r>
              <w:rPr>
                <w:rFonts w:ascii="Arial" w:cs="Arial" w:eastAsia="Arial" w:hAnsi="Arial"/>
                <w:sz w:val="17"/>
                <w:szCs w:val="17"/>
                <w:b w:val="1"/>
                <w:bCs w:val="1"/>
                <w:color w:val="auto"/>
              </w:rPr>
              <w:t>Net</w:t>
            </w:r>
          </w:p>
        </w:tc>
        <w:tc>
          <w:tcPr>
            <w:tcW w:w="180" w:type="dxa"/>
            <w:vAlign w:val="bottom"/>
          </w:tcPr>
          <w:p>
            <w:pPr>
              <w:spacing w:after="0"/>
              <w:rPr>
                <w:sz w:val="16"/>
                <w:szCs w:val="16"/>
                <w:color w:val="auto"/>
              </w:rPr>
            </w:pPr>
          </w:p>
        </w:tc>
      </w:tr>
      <w:tr>
        <w:trPr>
          <w:trHeight w:val="217"/>
        </w:trPr>
        <w:tc>
          <w:tcPr>
            <w:tcW w:w="3460" w:type="dxa"/>
            <w:vAlign w:val="bottom"/>
          </w:tcPr>
          <w:p>
            <w:pPr>
              <w:ind w:left="940"/>
              <w:spacing w:after="0"/>
              <w:rPr>
                <w:sz w:val="20"/>
                <w:szCs w:val="20"/>
                <w:color w:val="auto"/>
              </w:rPr>
            </w:pPr>
            <w:r>
              <w:rPr>
                <w:rFonts w:ascii="Arial" w:cs="Arial" w:eastAsia="Arial" w:hAnsi="Arial"/>
                <w:sz w:val="17"/>
                <w:szCs w:val="17"/>
                <w:b w:val="1"/>
                <w:bCs w:val="1"/>
                <w:color w:val="auto"/>
              </w:rPr>
              <w:t>Details</w:t>
            </w:r>
          </w:p>
        </w:tc>
        <w:tc>
          <w:tcPr>
            <w:tcW w:w="40" w:type="dxa"/>
            <w:vAlign w:val="bottom"/>
          </w:tcPr>
          <w:p>
            <w:pPr>
              <w:spacing w:after="0"/>
              <w:rPr>
                <w:sz w:val="18"/>
                <w:szCs w:val="18"/>
                <w:color w:val="auto"/>
              </w:rPr>
            </w:pPr>
          </w:p>
        </w:tc>
        <w:tc>
          <w:tcPr>
            <w:tcW w:w="1860" w:type="dxa"/>
            <w:vAlign w:val="bottom"/>
            <w:gridSpan w:val="3"/>
          </w:tcPr>
          <w:p>
            <w:pPr>
              <w:ind w:left="60"/>
              <w:spacing w:after="0"/>
              <w:rPr>
                <w:sz w:val="20"/>
                <w:szCs w:val="20"/>
                <w:color w:val="auto"/>
              </w:rPr>
            </w:pPr>
            <w:r>
              <w:rPr>
                <w:rFonts w:ascii="Arial" w:cs="Arial" w:eastAsia="Arial" w:hAnsi="Arial"/>
                <w:sz w:val="17"/>
                <w:szCs w:val="17"/>
                <w:b w:val="1"/>
                <w:bCs w:val="1"/>
                <w:color w:val="auto"/>
              </w:rPr>
              <w:t>assets</w:t>
            </w:r>
          </w:p>
        </w:tc>
        <w:tc>
          <w:tcPr>
            <w:tcW w:w="60" w:type="dxa"/>
            <w:vAlign w:val="bottom"/>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7"/>
                <w:szCs w:val="17"/>
                <w:b w:val="1"/>
                <w:bCs w:val="1"/>
                <w:color w:val="auto"/>
              </w:rPr>
              <w:t>financial position</w:t>
            </w:r>
          </w:p>
        </w:tc>
        <w:tc>
          <w:tcPr>
            <w:tcW w:w="1540" w:type="dxa"/>
            <w:vAlign w:val="bottom"/>
            <w:gridSpan w:val="6"/>
          </w:tcPr>
          <w:p>
            <w:pPr>
              <w:ind w:left="100"/>
              <w:spacing w:after="0"/>
              <w:rPr>
                <w:sz w:val="20"/>
                <w:szCs w:val="20"/>
                <w:color w:val="auto"/>
              </w:rPr>
            </w:pPr>
            <w:r>
              <w:rPr>
                <w:rFonts w:ascii="Arial" w:cs="Arial" w:eastAsia="Arial" w:hAnsi="Arial"/>
                <w:sz w:val="17"/>
                <w:szCs w:val="17"/>
                <w:b w:val="1"/>
                <w:bCs w:val="1"/>
                <w:color w:val="auto"/>
              </w:rPr>
              <w:t>instruments</w:t>
            </w:r>
          </w:p>
        </w:tc>
        <w:tc>
          <w:tcPr>
            <w:tcW w:w="1260" w:type="dxa"/>
            <w:vAlign w:val="bottom"/>
            <w:gridSpan w:val="4"/>
          </w:tcPr>
          <w:p>
            <w:pPr>
              <w:ind w:left="20"/>
              <w:spacing w:after="0"/>
              <w:rPr>
                <w:sz w:val="20"/>
                <w:szCs w:val="20"/>
                <w:color w:val="auto"/>
              </w:rPr>
            </w:pPr>
            <w:r>
              <w:rPr>
                <w:rFonts w:ascii="Arial" w:cs="Arial" w:eastAsia="Arial" w:hAnsi="Arial"/>
                <w:sz w:val="17"/>
                <w:szCs w:val="17"/>
                <w:b w:val="1"/>
                <w:bCs w:val="1"/>
                <w:color w:val="auto"/>
              </w:rPr>
              <w:t>received</w:t>
            </w:r>
          </w:p>
        </w:tc>
        <w:tc>
          <w:tcPr>
            <w:tcW w:w="1000" w:type="dxa"/>
            <w:vAlign w:val="bottom"/>
          </w:tcPr>
          <w:p>
            <w:pPr>
              <w:ind w:left="80"/>
              <w:spacing w:after="0"/>
              <w:rPr>
                <w:sz w:val="20"/>
                <w:szCs w:val="20"/>
                <w:color w:val="auto"/>
              </w:rPr>
            </w:pPr>
            <w:r>
              <w:rPr>
                <w:rFonts w:ascii="Arial" w:cs="Arial" w:eastAsia="Arial" w:hAnsi="Arial"/>
                <w:sz w:val="17"/>
                <w:szCs w:val="17"/>
                <w:b w:val="1"/>
                <w:bCs w:val="1"/>
                <w:color w:val="auto"/>
              </w:rPr>
              <w:t>amount</w:t>
            </w:r>
          </w:p>
        </w:tc>
        <w:tc>
          <w:tcPr>
            <w:tcW w:w="180" w:type="dxa"/>
            <w:vAlign w:val="bottom"/>
          </w:tcPr>
          <w:p>
            <w:pPr>
              <w:spacing w:after="0"/>
              <w:rPr>
                <w:sz w:val="18"/>
                <w:szCs w:val="18"/>
                <w:color w:val="auto"/>
              </w:rPr>
            </w:pPr>
          </w:p>
        </w:tc>
      </w:tr>
      <w:tr>
        <w:trPr>
          <w:trHeight w:val="186"/>
        </w:trPr>
        <w:tc>
          <w:tcPr>
            <w:tcW w:w="34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ind w:left="60"/>
              <w:spacing w:after="0" w:line="186" w:lineRule="exact"/>
              <w:rPr>
                <w:sz w:val="20"/>
                <w:szCs w:val="20"/>
                <w:color w:val="auto"/>
              </w:rPr>
            </w:pPr>
            <w:r>
              <w:rPr>
                <w:rFonts w:ascii="Arial" w:cs="Arial" w:eastAsia="Arial" w:hAnsi="Arial"/>
                <w:sz w:val="17"/>
                <w:szCs w:val="17"/>
                <w:b w:val="1"/>
                <w:bCs w:val="1"/>
                <w:color w:val="auto"/>
              </w:rPr>
              <w:t>S/(000)</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ind w:left="40"/>
              <w:spacing w:after="0" w:line="186" w:lineRule="exact"/>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top w:val="single" w:sz="8" w:color="auto"/>
            </w:tcBorders>
            <w:gridSpan w:val="3"/>
          </w:tcPr>
          <w:p>
            <w:pPr>
              <w:ind w:left="100"/>
              <w:spacing w:after="0" w:line="186" w:lineRule="exact"/>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20"/>
              <w:spacing w:after="0" w:line="186" w:lineRule="exact"/>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6"/>
                <w:szCs w:val="16"/>
                <w:color w:val="auto"/>
              </w:rPr>
            </w:pPr>
          </w:p>
        </w:tc>
      </w:tr>
      <w:tr>
        <w:trPr>
          <w:trHeight w:val="194"/>
        </w:trPr>
        <w:tc>
          <w:tcPr>
            <w:tcW w:w="3460" w:type="dxa"/>
            <w:vAlign w:val="bottom"/>
          </w:tcPr>
          <w:p>
            <w:pPr>
              <w:ind w:left="940"/>
              <w:spacing w:after="0" w:line="194" w:lineRule="exact"/>
              <w:rPr>
                <w:sz w:val="20"/>
                <w:szCs w:val="20"/>
                <w:color w:val="auto"/>
              </w:rPr>
            </w:pPr>
            <w:r>
              <w:rPr>
                <w:rFonts w:ascii="Arial" w:cs="Arial" w:eastAsia="Arial" w:hAnsi="Arial"/>
                <w:sz w:val="17"/>
                <w:szCs w:val="17"/>
                <w:color w:val="auto"/>
              </w:rPr>
              <w:t>Receivables from derivatives</w:t>
            </w:r>
          </w:p>
        </w:tc>
        <w:tc>
          <w:tcPr>
            <w:tcW w:w="14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1,500,335</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1,500,335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(285,850)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(145,945)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1,068,540</w:t>
            </w:r>
          </w:p>
        </w:tc>
        <w:tc>
          <w:tcPr>
            <w:tcW w:w="180" w:type="dxa"/>
            <w:vAlign w:val="bottom"/>
          </w:tcPr>
          <w:p>
            <w:pPr>
              <w:spacing w:after="0"/>
              <w:rPr>
                <w:sz w:val="16"/>
                <w:szCs w:val="16"/>
                <w:color w:val="auto"/>
              </w:rPr>
            </w:pPr>
          </w:p>
        </w:tc>
      </w:tr>
      <w:tr>
        <w:trPr>
          <w:trHeight w:val="194"/>
        </w:trPr>
        <w:tc>
          <w:tcPr>
            <w:tcW w:w="3460" w:type="dxa"/>
            <w:vAlign w:val="bottom"/>
          </w:tcPr>
          <w:p>
            <w:pPr>
              <w:ind w:left="940"/>
              <w:spacing w:after="0" w:line="194" w:lineRule="exact"/>
              <w:rPr>
                <w:sz w:val="20"/>
                <w:szCs w:val="20"/>
                <w:color w:val="auto"/>
              </w:rPr>
            </w:pPr>
            <w:r>
              <w:rPr>
                <w:rFonts w:ascii="Arial" w:cs="Arial" w:eastAsia="Arial" w:hAnsi="Arial"/>
                <w:sz w:val="17"/>
                <w:szCs w:val="17"/>
                <w:color w:val="auto"/>
              </w:rPr>
              <w:t>Cash collateral, reverse</w:t>
            </w: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460" w:type="dxa"/>
            <w:vAlign w:val="bottom"/>
          </w:tcPr>
          <w:p>
            <w:pPr>
              <w:ind w:left="1100"/>
              <w:spacing w:after="0" w:line="194" w:lineRule="exact"/>
              <w:rPr>
                <w:sz w:val="20"/>
                <w:szCs w:val="20"/>
                <w:color w:val="auto"/>
              </w:rPr>
            </w:pPr>
            <w:r>
              <w:rPr>
                <w:rFonts w:ascii="Arial" w:cs="Arial" w:eastAsia="Arial" w:hAnsi="Arial"/>
                <w:sz w:val="17"/>
                <w:szCs w:val="17"/>
                <w:color w:val="auto"/>
              </w:rPr>
              <w:t>repurchase agreements and</w:t>
            </w: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460" w:type="dxa"/>
            <w:vAlign w:val="bottom"/>
          </w:tcPr>
          <w:p>
            <w:pPr>
              <w:ind w:left="1100"/>
              <w:spacing w:after="0" w:line="194" w:lineRule="exact"/>
              <w:rPr>
                <w:sz w:val="20"/>
                <w:szCs w:val="20"/>
                <w:color w:val="auto"/>
              </w:rPr>
            </w:pPr>
            <w:r>
              <w:rPr>
                <w:rFonts w:ascii="Arial" w:cs="Arial" w:eastAsia="Arial" w:hAnsi="Arial"/>
                <w:sz w:val="17"/>
                <w:szCs w:val="17"/>
                <w:color w:val="auto"/>
              </w:rPr>
              <w:t>securities borrowing</w:t>
            </w:r>
          </w:p>
        </w:tc>
        <w:tc>
          <w:tcPr>
            <w:tcW w:w="14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1,101,856</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1,101,856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5"/>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(224,947)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876,909</w:t>
            </w:r>
          </w:p>
        </w:tc>
        <w:tc>
          <w:tcPr>
            <w:tcW w:w="180" w:type="dxa"/>
            <w:vAlign w:val="bottom"/>
          </w:tcPr>
          <w:p>
            <w:pPr>
              <w:spacing w:after="0"/>
              <w:rPr>
                <w:sz w:val="16"/>
                <w:szCs w:val="16"/>
                <w:color w:val="auto"/>
              </w:rPr>
            </w:pPr>
          </w:p>
        </w:tc>
      </w:tr>
      <w:tr>
        <w:trPr>
          <w:trHeight w:val="194"/>
        </w:trPr>
        <w:tc>
          <w:tcPr>
            <w:tcW w:w="3460" w:type="dxa"/>
            <w:vAlign w:val="bottom"/>
          </w:tcPr>
          <w:p>
            <w:pPr>
              <w:ind w:left="940"/>
              <w:spacing w:after="0" w:line="194" w:lineRule="exact"/>
              <w:rPr>
                <w:sz w:val="20"/>
                <w:szCs w:val="20"/>
                <w:color w:val="auto"/>
              </w:rPr>
            </w:pPr>
            <w:r>
              <w:rPr>
                <w:rFonts w:ascii="Arial" w:cs="Arial" w:eastAsia="Arial" w:hAnsi="Arial"/>
                <w:sz w:val="17"/>
                <w:szCs w:val="17"/>
                <w:color w:val="auto"/>
              </w:rPr>
              <w:t>Investments at fair value</w:t>
            </w: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460" w:type="dxa"/>
            <w:vAlign w:val="bottom"/>
          </w:tcPr>
          <w:p>
            <w:pPr>
              <w:ind w:left="1100"/>
              <w:spacing w:after="0" w:line="194" w:lineRule="exact"/>
              <w:rPr>
                <w:sz w:val="20"/>
                <w:szCs w:val="20"/>
                <w:color w:val="auto"/>
              </w:rPr>
            </w:pPr>
            <w:r>
              <w:rPr>
                <w:rFonts w:ascii="Arial" w:cs="Arial" w:eastAsia="Arial" w:hAnsi="Arial"/>
                <w:sz w:val="17"/>
                <w:szCs w:val="17"/>
                <w:color w:val="auto"/>
              </w:rPr>
              <w:t>through other comprehensive</w:t>
            </w: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460" w:type="dxa"/>
            <w:vAlign w:val="bottom"/>
          </w:tcPr>
          <w:p>
            <w:pPr>
              <w:ind w:left="1100"/>
              <w:spacing w:after="0" w:line="194" w:lineRule="exact"/>
              <w:rPr>
                <w:sz w:val="20"/>
                <w:szCs w:val="20"/>
                <w:color w:val="auto"/>
              </w:rPr>
            </w:pPr>
            <w:r>
              <w:rPr>
                <w:rFonts w:ascii="Arial" w:cs="Arial" w:eastAsia="Arial" w:hAnsi="Arial"/>
                <w:sz w:val="17"/>
                <w:szCs w:val="17"/>
                <w:color w:val="auto"/>
              </w:rPr>
              <w:t>income and amortized cost</w:t>
            </w: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3460" w:type="dxa"/>
            <w:vAlign w:val="bottom"/>
          </w:tcPr>
          <w:p>
            <w:pPr>
              <w:ind w:left="1100"/>
              <w:spacing w:after="0"/>
              <w:rPr>
                <w:sz w:val="20"/>
                <w:szCs w:val="20"/>
                <w:color w:val="auto"/>
              </w:rPr>
            </w:pPr>
            <w:r>
              <w:rPr>
                <w:rFonts w:ascii="Arial" w:cs="Arial" w:eastAsia="Arial" w:hAnsi="Arial"/>
                <w:sz w:val="17"/>
                <w:szCs w:val="17"/>
                <w:color w:val="auto"/>
              </w:rPr>
              <w:t>pledged as collateral</w:t>
            </w:r>
          </w:p>
        </w:tc>
        <w:tc>
          <w:tcPr>
            <w:tcW w:w="1420" w:type="dxa"/>
            <w:vAlign w:val="bottom"/>
            <w:gridSpan w:val="2"/>
          </w:tcPr>
          <w:p>
            <w:pPr>
              <w:jc w:val="right"/>
              <w:ind w:right="14"/>
              <w:spacing w:after="0"/>
              <w:rPr>
                <w:sz w:val="20"/>
                <w:szCs w:val="20"/>
                <w:color w:val="auto"/>
              </w:rPr>
            </w:pPr>
            <w:r>
              <w:rPr>
                <w:rFonts w:ascii="Arial" w:cs="Arial" w:eastAsia="Arial" w:hAnsi="Arial"/>
                <w:sz w:val="17"/>
                <w:szCs w:val="17"/>
                <w:color w:val="auto"/>
              </w:rPr>
              <w:t>3,540,528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2"/>
          </w:tcPr>
          <w:p>
            <w:pPr>
              <w:jc w:val="right"/>
              <w:ind w:right="14"/>
              <w:spacing w:after="0"/>
              <w:rPr>
                <w:sz w:val="20"/>
                <w:szCs w:val="20"/>
                <w:color w:val="auto"/>
              </w:rPr>
            </w:pPr>
            <w:r>
              <w:rPr>
                <w:rFonts w:ascii="Arial" w:cs="Arial" w:eastAsia="Arial" w:hAnsi="Arial"/>
                <w:sz w:val="17"/>
                <w:szCs w:val="17"/>
                <w:color w:val="auto"/>
              </w:rPr>
              <w:t>3,540,528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(3,062,627)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4"/>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477,901</w:t>
            </w:r>
          </w:p>
        </w:tc>
        <w:tc>
          <w:tcPr>
            <w:tcW w:w="180" w:type="dxa"/>
            <w:vAlign w:val="bottom"/>
          </w:tcPr>
          <w:p>
            <w:pPr>
              <w:spacing w:after="0"/>
              <w:rPr>
                <w:sz w:val="16"/>
                <w:szCs w:val="16"/>
                <w:color w:val="auto"/>
              </w:rPr>
            </w:pPr>
          </w:p>
        </w:tc>
      </w:tr>
      <w:tr>
        <w:trPr>
          <w:trHeight w:val="193"/>
        </w:trPr>
        <w:tc>
          <w:tcPr>
            <w:tcW w:w="3460" w:type="dxa"/>
            <w:vAlign w:val="bottom"/>
          </w:tcPr>
          <w:p>
            <w:pPr>
              <w:ind w:left="940"/>
              <w:spacing w:after="0" w:line="187" w:lineRule="exact"/>
              <w:rPr>
                <w:sz w:val="20"/>
                <w:szCs w:val="20"/>
                <w:color w:val="auto"/>
              </w:rPr>
            </w:pPr>
            <w:r>
              <w:rPr>
                <w:rFonts w:ascii="Arial" w:cs="Arial" w:eastAsia="Arial" w:hAnsi="Arial"/>
                <w:sz w:val="17"/>
                <w:szCs w:val="17"/>
                <w:b w:val="1"/>
                <w:bCs w:val="1"/>
                <w:color w:val="auto"/>
              </w:rPr>
              <w:t>Total</w:t>
            </w:r>
          </w:p>
        </w:tc>
        <w:tc>
          <w:tcPr>
            <w:tcW w:w="1420" w:type="dxa"/>
            <w:vAlign w:val="bottom"/>
            <w:tcBorders>
              <w:top w:val="single" w:sz="8" w:color="auto"/>
              <w:bottom w:val="single" w:sz="8" w:color="auto"/>
            </w:tcBorders>
            <w:gridSpan w:val="2"/>
          </w:tcPr>
          <w:p>
            <w:pPr>
              <w:jc w:val="right"/>
              <w:ind w:right="14"/>
              <w:spacing w:after="0" w:line="187" w:lineRule="exact"/>
              <w:rPr>
                <w:sz w:val="20"/>
                <w:szCs w:val="20"/>
                <w:color w:val="auto"/>
              </w:rPr>
            </w:pPr>
            <w:r>
              <w:rPr>
                <w:rFonts w:ascii="Arial" w:cs="Arial" w:eastAsia="Arial" w:hAnsi="Arial"/>
                <w:sz w:val="17"/>
                <w:szCs w:val="17"/>
                <w:color w:val="auto"/>
              </w:rPr>
              <w:t>6,142,719</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tcBorders>
              <w:top w:val="single" w:sz="8" w:color="auto"/>
              <w:bottom w:val="single" w:sz="8" w:color="auto"/>
            </w:tcBorders>
            <w:gridSpan w:val="2"/>
          </w:tcPr>
          <w:p>
            <w:pPr>
              <w:jc w:val="right"/>
              <w:ind w:right="14"/>
              <w:spacing w:after="0" w:line="187" w:lineRule="exact"/>
              <w:rPr>
                <w:sz w:val="20"/>
                <w:szCs w:val="20"/>
                <w:color w:val="auto"/>
              </w:rPr>
            </w:pPr>
            <w:r>
              <w:rPr>
                <w:rFonts w:ascii="Arial" w:cs="Arial" w:eastAsia="Arial" w:hAnsi="Arial"/>
                <w:sz w:val="17"/>
                <w:szCs w:val="17"/>
                <w:color w:val="auto"/>
              </w:rPr>
              <w:t>6,142,719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top w:val="single" w:sz="8" w:color="auto"/>
              <w:bottom w:val="single" w:sz="8" w:color="auto"/>
            </w:tcBorders>
            <w:gridSpan w:val="2"/>
          </w:tcPr>
          <w:p>
            <w:pPr>
              <w:jc w:val="right"/>
              <w:spacing w:after="0" w:line="187" w:lineRule="exact"/>
              <w:rPr>
                <w:sz w:val="20"/>
                <w:szCs w:val="20"/>
                <w:color w:val="auto"/>
              </w:rPr>
            </w:pPr>
            <w:r>
              <w:rPr>
                <w:rFonts w:ascii="Arial" w:cs="Arial" w:eastAsia="Arial" w:hAnsi="Arial"/>
                <w:sz w:val="17"/>
                <w:szCs w:val="17"/>
                <w:color w:val="auto"/>
              </w:rPr>
              <w:t>(3,348,477)</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(370,892)</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2,423,350</w:t>
            </w:r>
          </w:p>
        </w:tc>
        <w:tc>
          <w:tcPr>
            <w:tcW w:w="180" w:type="dxa"/>
            <w:vAlign w:val="bottom"/>
          </w:tcPr>
          <w:p>
            <w:pPr>
              <w:spacing w:after="0"/>
              <w:rPr>
                <w:sz w:val="16"/>
                <w:szCs w:val="16"/>
                <w:color w:val="auto"/>
              </w:rPr>
            </w:pPr>
          </w:p>
        </w:tc>
      </w:tr>
      <w:tr>
        <w:trPr>
          <w:trHeight w:val="389"/>
        </w:trPr>
        <w:tc>
          <w:tcPr>
            <w:tcW w:w="34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7"/>
                <w:szCs w:val="17"/>
                <w:b w:val="1"/>
                <w:bCs w:val="1"/>
                <w:color w:val="auto"/>
              </w:rPr>
              <w:t>2021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4"/>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gridSpan w:val="9"/>
          </w:tcPr>
          <w:p>
            <w:pPr>
              <w:ind w:left="80"/>
              <w:spacing w:after="0" w:line="164" w:lineRule="exact"/>
              <w:rPr>
                <w:sz w:val="20"/>
                <w:szCs w:val="20"/>
                <w:color w:val="auto"/>
              </w:rPr>
            </w:pPr>
            <w:r>
              <w:rPr>
                <w:rFonts w:ascii="Arial" w:cs="Arial" w:eastAsia="Arial" w:hAnsi="Arial"/>
                <w:sz w:val="17"/>
                <w:szCs w:val="17"/>
                <w:b w:val="1"/>
                <w:bCs w:val="1"/>
                <w:color w:val="auto"/>
              </w:rPr>
              <w:t>Related amounts not offset</w:t>
            </w: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4"/>
        </w:trPr>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3"/>
          </w:tcPr>
          <w:p>
            <w:pPr>
              <w:ind w:left="100"/>
              <w:spacing w:after="0" w:line="194" w:lineRule="exact"/>
              <w:rPr>
                <w:sz w:val="20"/>
                <w:szCs w:val="20"/>
                <w:color w:val="auto"/>
              </w:rPr>
            </w:pPr>
            <w:r>
              <w:rPr>
                <w:rFonts w:ascii="Arial" w:cs="Arial" w:eastAsia="Arial" w:hAnsi="Arial"/>
                <w:sz w:val="17"/>
                <w:szCs w:val="17"/>
                <w:b w:val="1"/>
                <w:bCs w:val="1"/>
                <w:color w:val="auto"/>
              </w:rPr>
              <w:t>Net of financial</w:t>
            </w:r>
          </w:p>
        </w:tc>
        <w:tc>
          <w:tcPr>
            <w:tcW w:w="120" w:type="dxa"/>
            <w:vAlign w:val="bottom"/>
          </w:tcPr>
          <w:p>
            <w:pPr>
              <w:spacing w:after="0"/>
              <w:rPr>
                <w:sz w:val="16"/>
                <w:szCs w:val="16"/>
                <w:color w:val="auto"/>
              </w:rPr>
            </w:pPr>
          </w:p>
        </w:tc>
        <w:tc>
          <w:tcPr>
            <w:tcW w:w="1420" w:type="dxa"/>
            <w:vAlign w:val="bottom"/>
            <w:gridSpan w:val="5"/>
          </w:tcPr>
          <w:p>
            <w:pPr>
              <w:ind w:left="80"/>
              <w:spacing w:after="0" w:line="194" w:lineRule="exact"/>
              <w:rPr>
                <w:sz w:val="20"/>
                <w:szCs w:val="20"/>
                <w:color w:val="auto"/>
              </w:rPr>
            </w:pPr>
            <w:r>
              <w:rPr>
                <w:rFonts w:ascii="Arial" w:cs="Arial" w:eastAsia="Arial" w:hAnsi="Arial"/>
                <w:sz w:val="17"/>
                <w:szCs w:val="17"/>
                <w:b w:val="1"/>
                <w:bCs w:val="1"/>
                <w:color w:val="auto"/>
              </w:rPr>
              <w:t>in the</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gridSpan w:val="3"/>
          </w:tcPr>
          <w:p>
            <w:pPr>
              <w:ind w:left="100"/>
              <w:spacing w:after="0" w:line="194" w:lineRule="exact"/>
              <w:rPr>
                <w:sz w:val="20"/>
                <w:szCs w:val="20"/>
                <w:color w:val="auto"/>
              </w:rPr>
            </w:pPr>
            <w:r>
              <w:rPr>
                <w:rFonts w:ascii="Arial" w:cs="Arial" w:eastAsia="Arial" w:hAnsi="Arial"/>
                <w:sz w:val="17"/>
                <w:szCs w:val="17"/>
                <w:b w:val="1"/>
                <w:bCs w:val="1"/>
                <w:color w:val="auto"/>
              </w:rPr>
              <w:t>Gross</w:t>
            </w:r>
          </w:p>
        </w:tc>
        <w:tc>
          <w:tcPr>
            <w:tcW w:w="60" w:type="dxa"/>
            <w:vAlign w:val="bottom"/>
          </w:tcPr>
          <w:p>
            <w:pPr>
              <w:spacing w:after="0"/>
              <w:rPr>
                <w:sz w:val="16"/>
                <w:szCs w:val="16"/>
                <w:color w:val="auto"/>
              </w:rPr>
            </w:pPr>
          </w:p>
        </w:tc>
        <w:tc>
          <w:tcPr>
            <w:tcW w:w="1840" w:type="dxa"/>
            <w:vAlign w:val="bottom"/>
            <w:gridSpan w:val="3"/>
          </w:tcPr>
          <w:p>
            <w:pPr>
              <w:ind w:left="100"/>
              <w:spacing w:after="0" w:line="194" w:lineRule="exact"/>
              <w:rPr>
                <w:sz w:val="20"/>
                <w:szCs w:val="20"/>
                <w:color w:val="auto"/>
              </w:rPr>
            </w:pPr>
            <w:r>
              <w:rPr>
                <w:rFonts w:ascii="Arial" w:cs="Arial" w:eastAsia="Arial" w:hAnsi="Arial"/>
                <w:sz w:val="17"/>
                <w:szCs w:val="17"/>
                <w:b w:val="1"/>
                <w:bCs w:val="1"/>
                <w:color w:val="auto"/>
              </w:rPr>
              <w:t>assets presented</w:t>
            </w:r>
          </w:p>
        </w:tc>
        <w:tc>
          <w:tcPr>
            <w:tcW w:w="120" w:type="dxa"/>
            <w:vAlign w:val="bottom"/>
          </w:tcPr>
          <w:p>
            <w:pPr>
              <w:spacing w:after="0"/>
              <w:rPr>
                <w:sz w:val="16"/>
                <w:szCs w:val="16"/>
                <w:color w:val="auto"/>
              </w:rPr>
            </w:pPr>
          </w:p>
        </w:tc>
        <w:tc>
          <w:tcPr>
            <w:tcW w:w="2680" w:type="dxa"/>
            <w:vAlign w:val="bottom"/>
            <w:gridSpan w:val="9"/>
          </w:tcPr>
          <w:p>
            <w:pPr>
              <w:ind w:left="80"/>
              <w:spacing w:after="0" w:line="194" w:lineRule="exact"/>
              <w:rPr>
                <w:sz w:val="20"/>
                <w:szCs w:val="20"/>
                <w:color w:val="auto"/>
              </w:rPr>
            </w:pPr>
            <w:r>
              <w:rPr>
                <w:rFonts w:ascii="Arial" w:cs="Arial" w:eastAsia="Arial" w:hAnsi="Arial"/>
                <w:sz w:val="17"/>
                <w:szCs w:val="17"/>
                <w:b w:val="1"/>
                <w:bCs w:val="1"/>
                <w:color w:val="auto"/>
              </w:rPr>
              <w:t>consolidated statement of</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7"/>
        </w:trPr>
        <w:tc>
          <w:tcPr>
            <w:tcW w:w="3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gridSpan w:val="3"/>
          </w:tcPr>
          <w:p>
            <w:pPr>
              <w:ind w:left="100"/>
              <w:spacing w:after="0"/>
              <w:rPr>
                <w:sz w:val="20"/>
                <w:szCs w:val="20"/>
                <w:color w:val="auto"/>
              </w:rPr>
            </w:pPr>
            <w:r>
              <w:rPr>
                <w:rFonts w:ascii="Arial" w:cs="Arial" w:eastAsia="Arial" w:hAnsi="Arial"/>
                <w:sz w:val="17"/>
                <w:szCs w:val="17"/>
                <w:b w:val="1"/>
                <w:bCs w:val="1"/>
                <w:color w:val="auto"/>
              </w:rPr>
              <w:t>amounts</w:t>
            </w:r>
          </w:p>
        </w:tc>
        <w:tc>
          <w:tcPr>
            <w:tcW w:w="60" w:type="dxa"/>
            <w:vAlign w:val="bottom"/>
          </w:tcPr>
          <w:p>
            <w:pPr>
              <w:spacing w:after="0"/>
              <w:rPr>
                <w:sz w:val="18"/>
                <w:szCs w:val="18"/>
                <w:color w:val="auto"/>
              </w:rPr>
            </w:pPr>
          </w:p>
        </w:tc>
        <w:tc>
          <w:tcPr>
            <w:tcW w:w="1840" w:type="dxa"/>
            <w:vAlign w:val="bottom"/>
            <w:gridSpan w:val="3"/>
          </w:tcPr>
          <w:p>
            <w:pPr>
              <w:ind w:left="100"/>
              <w:spacing w:after="0"/>
              <w:rPr>
                <w:sz w:val="20"/>
                <w:szCs w:val="20"/>
                <w:color w:val="auto"/>
              </w:rPr>
            </w:pPr>
            <w:r>
              <w:rPr>
                <w:rFonts w:ascii="Arial" w:cs="Arial" w:eastAsia="Arial" w:hAnsi="Arial"/>
                <w:sz w:val="17"/>
                <w:szCs w:val="17"/>
                <w:b w:val="1"/>
                <w:bCs w:val="1"/>
                <w:color w:val="auto"/>
              </w:rPr>
              <w:t>in the</w:t>
            </w:r>
          </w:p>
        </w:tc>
        <w:tc>
          <w:tcPr>
            <w:tcW w:w="120" w:type="dxa"/>
            <w:vAlign w:val="bottom"/>
          </w:tcPr>
          <w:p>
            <w:pPr>
              <w:spacing w:after="0"/>
              <w:rPr>
                <w:sz w:val="18"/>
                <w:szCs w:val="18"/>
                <w:color w:val="auto"/>
              </w:rPr>
            </w:pPr>
          </w:p>
        </w:tc>
        <w:tc>
          <w:tcPr>
            <w:tcW w:w="2680" w:type="dxa"/>
            <w:vAlign w:val="bottom"/>
            <w:gridSpan w:val="9"/>
          </w:tcPr>
          <w:p>
            <w:pPr>
              <w:ind w:left="80"/>
              <w:spacing w:after="0"/>
              <w:rPr>
                <w:sz w:val="20"/>
                <w:szCs w:val="20"/>
                <w:color w:val="auto"/>
              </w:rPr>
            </w:pPr>
            <w:r>
              <w:rPr>
                <w:rFonts w:ascii="Arial" w:cs="Arial" w:eastAsia="Arial" w:hAnsi="Arial"/>
                <w:sz w:val="17"/>
                <w:szCs w:val="17"/>
                <w:b w:val="1"/>
                <w:bCs w:val="1"/>
                <w:color w:val="auto"/>
              </w:rPr>
              <w:t>financial position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4"/>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3"/>
          </w:tcPr>
          <w:p>
            <w:pPr>
              <w:ind w:left="100"/>
              <w:spacing w:after="0" w:line="164" w:lineRule="exact"/>
              <w:rPr>
                <w:sz w:val="20"/>
                <w:szCs w:val="20"/>
                <w:color w:val="auto"/>
              </w:rPr>
            </w:pPr>
            <w:r>
              <w:rPr>
                <w:rFonts w:ascii="Arial" w:cs="Arial" w:eastAsia="Arial" w:hAnsi="Arial"/>
                <w:sz w:val="17"/>
                <w:szCs w:val="17"/>
                <w:b w:val="1"/>
                <w:bCs w:val="1"/>
                <w:color w:val="auto"/>
              </w:rPr>
              <w:t>recognized</w:t>
            </w:r>
          </w:p>
        </w:tc>
        <w:tc>
          <w:tcPr>
            <w:tcW w:w="60" w:type="dxa"/>
            <w:vAlign w:val="bottom"/>
          </w:tcPr>
          <w:p>
            <w:pPr>
              <w:spacing w:after="0"/>
              <w:rPr>
                <w:sz w:val="14"/>
                <w:szCs w:val="14"/>
                <w:color w:val="auto"/>
              </w:rPr>
            </w:pPr>
          </w:p>
        </w:tc>
        <w:tc>
          <w:tcPr>
            <w:tcW w:w="1840" w:type="dxa"/>
            <w:vAlign w:val="bottom"/>
            <w:gridSpan w:val="3"/>
          </w:tcPr>
          <w:p>
            <w:pPr>
              <w:ind w:left="100"/>
              <w:spacing w:after="0" w:line="164" w:lineRule="exact"/>
              <w:rPr>
                <w:sz w:val="20"/>
                <w:szCs w:val="20"/>
                <w:color w:val="auto"/>
              </w:rPr>
            </w:pPr>
            <w:r>
              <w:rPr>
                <w:rFonts w:ascii="Arial" w:cs="Arial" w:eastAsia="Arial" w:hAnsi="Arial"/>
                <w:sz w:val="17"/>
                <w:szCs w:val="17"/>
                <w:b w:val="1"/>
                <w:bCs w:val="1"/>
                <w:color w:val="auto"/>
              </w:rPr>
              <w:t>consolidated</w:t>
            </w: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line="164" w:lineRule="exact"/>
              <w:rPr>
                <w:sz w:val="20"/>
                <w:szCs w:val="20"/>
                <w:color w:val="auto"/>
              </w:rPr>
            </w:pPr>
            <w:r>
              <w:rPr>
                <w:rFonts w:ascii="Arial" w:cs="Arial" w:eastAsia="Arial" w:hAnsi="Arial"/>
                <w:sz w:val="17"/>
                <w:szCs w:val="17"/>
                <w:b w:val="1"/>
                <w:bCs w:val="1"/>
                <w:color w:val="auto"/>
              </w:rPr>
              <w:t>Cash</w:t>
            </w:r>
          </w:p>
        </w:tc>
        <w:tc>
          <w:tcPr>
            <w:tcW w:w="26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4"/>
        </w:trPr>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gridSpan w:val="3"/>
          </w:tcPr>
          <w:p>
            <w:pPr>
              <w:ind w:left="100"/>
              <w:spacing w:after="0" w:line="194" w:lineRule="exact"/>
              <w:rPr>
                <w:sz w:val="20"/>
                <w:szCs w:val="20"/>
                <w:color w:val="auto"/>
              </w:rPr>
            </w:pPr>
            <w:r>
              <w:rPr>
                <w:rFonts w:ascii="Arial" w:cs="Arial" w:eastAsia="Arial" w:hAnsi="Arial"/>
                <w:sz w:val="17"/>
                <w:szCs w:val="17"/>
                <w:b w:val="1"/>
                <w:bCs w:val="1"/>
                <w:color w:val="auto"/>
              </w:rPr>
              <w:t>financial</w:t>
            </w:r>
          </w:p>
        </w:tc>
        <w:tc>
          <w:tcPr>
            <w:tcW w:w="60" w:type="dxa"/>
            <w:vAlign w:val="bottom"/>
          </w:tcPr>
          <w:p>
            <w:pPr>
              <w:spacing w:after="0"/>
              <w:rPr>
                <w:sz w:val="16"/>
                <w:szCs w:val="16"/>
                <w:color w:val="auto"/>
              </w:rPr>
            </w:pPr>
          </w:p>
        </w:tc>
        <w:tc>
          <w:tcPr>
            <w:tcW w:w="1840" w:type="dxa"/>
            <w:vAlign w:val="bottom"/>
            <w:gridSpan w:val="3"/>
          </w:tcPr>
          <w:p>
            <w:pPr>
              <w:ind w:left="100"/>
              <w:spacing w:after="0" w:line="194" w:lineRule="exact"/>
              <w:rPr>
                <w:sz w:val="20"/>
                <w:szCs w:val="20"/>
                <w:color w:val="auto"/>
              </w:rPr>
            </w:pPr>
            <w:r>
              <w:rPr>
                <w:rFonts w:ascii="Arial" w:cs="Arial" w:eastAsia="Arial" w:hAnsi="Arial"/>
                <w:sz w:val="17"/>
                <w:szCs w:val="17"/>
                <w:b w:val="1"/>
                <w:bCs w:val="1"/>
                <w:color w:val="auto"/>
              </w:rPr>
              <w:t>statements of</w:t>
            </w:r>
          </w:p>
        </w:tc>
        <w:tc>
          <w:tcPr>
            <w:tcW w:w="1540" w:type="dxa"/>
            <w:vAlign w:val="bottom"/>
            <w:gridSpan w:val="6"/>
          </w:tcPr>
          <w:p>
            <w:pPr>
              <w:ind w:left="120"/>
              <w:spacing w:after="0" w:line="194" w:lineRule="exact"/>
              <w:rPr>
                <w:sz w:val="20"/>
                <w:szCs w:val="20"/>
                <w:color w:val="auto"/>
              </w:rPr>
            </w:pPr>
            <w:r>
              <w:rPr>
                <w:rFonts w:ascii="Arial" w:cs="Arial" w:eastAsia="Arial" w:hAnsi="Arial"/>
                <w:sz w:val="17"/>
                <w:szCs w:val="17"/>
                <w:b w:val="1"/>
                <w:bCs w:val="1"/>
                <w:color w:val="auto"/>
              </w:rPr>
              <w:t>Financial</w:t>
            </w:r>
          </w:p>
        </w:tc>
        <w:tc>
          <w:tcPr>
            <w:tcW w:w="1260" w:type="dxa"/>
            <w:vAlign w:val="bottom"/>
            <w:gridSpan w:val="4"/>
          </w:tcPr>
          <w:p>
            <w:pPr>
              <w:spacing w:after="0" w:line="194" w:lineRule="exact"/>
              <w:rPr>
                <w:sz w:val="20"/>
                <w:szCs w:val="20"/>
                <w:color w:val="auto"/>
              </w:rPr>
            </w:pPr>
            <w:r>
              <w:rPr>
                <w:rFonts w:ascii="Arial" w:cs="Arial" w:eastAsia="Arial" w:hAnsi="Arial"/>
                <w:sz w:val="17"/>
                <w:szCs w:val="17"/>
                <w:b w:val="1"/>
                <w:bCs w:val="1"/>
                <w:color w:val="auto"/>
              </w:rPr>
              <w:t>collateral</w:t>
            </w:r>
          </w:p>
        </w:tc>
        <w:tc>
          <w:tcPr>
            <w:tcW w:w="1000" w:type="dxa"/>
            <w:vAlign w:val="bottom"/>
          </w:tcPr>
          <w:p>
            <w:pPr>
              <w:ind w:left="80"/>
              <w:spacing w:after="0" w:line="194" w:lineRule="exact"/>
              <w:rPr>
                <w:sz w:val="20"/>
                <w:szCs w:val="20"/>
                <w:color w:val="auto"/>
              </w:rPr>
            </w:pPr>
            <w:r>
              <w:rPr>
                <w:rFonts w:ascii="Arial" w:cs="Arial" w:eastAsia="Arial" w:hAnsi="Arial"/>
                <w:sz w:val="17"/>
                <w:szCs w:val="17"/>
                <w:b w:val="1"/>
                <w:bCs w:val="1"/>
                <w:color w:val="auto"/>
              </w:rPr>
              <w:t>Net</w:t>
            </w:r>
          </w:p>
        </w:tc>
        <w:tc>
          <w:tcPr>
            <w:tcW w:w="180" w:type="dxa"/>
            <w:vAlign w:val="bottom"/>
          </w:tcPr>
          <w:p>
            <w:pPr>
              <w:spacing w:after="0"/>
              <w:rPr>
                <w:sz w:val="16"/>
                <w:szCs w:val="16"/>
                <w:color w:val="auto"/>
              </w:rPr>
            </w:pPr>
          </w:p>
        </w:tc>
      </w:tr>
      <w:tr>
        <w:trPr>
          <w:trHeight w:val="217"/>
        </w:trPr>
        <w:tc>
          <w:tcPr>
            <w:tcW w:w="3460" w:type="dxa"/>
            <w:vAlign w:val="bottom"/>
          </w:tcPr>
          <w:p>
            <w:pPr>
              <w:ind w:left="940"/>
              <w:spacing w:after="0"/>
              <w:rPr>
                <w:sz w:val="20"/>
                <w:szCs w:val="20"/>
                <w:color w:val="auto"/>
              </w:rPr>
            </w:pPr>
            <w:r>
              <w:rPr>
                <w:rFonts w:ascii="Arial" w:cs="Arial" w:eastAsia="Arial" w:hAnsi="Arial"/>
                <w:sz w:val="17"/>
                <w:szCs w:val="17"/>
                <w:b w:val="1"/>
                <w:bCs w:val="1"/>
                <w:color w:val="auto"/>
              </w:rPr>
              <w:t>Details</w:t>
            </w:r>
          </w:p>
        </w:tc>
        <w:tc>
          <w:tcPr>
            <w:tcW w:w="40" w:type="dxa"/>
            <w:vAlign w:val="bottom"/>
          </w:tcPr>
          <w:p>
            <w:pPr>
              <w:spacing w:after="0"/>
              <w:rPr>
                <w:sz w:val="18"/>
                <w:szCs w:val="18"/>
                <w:color w:val="auto"/>
              </w:rPr>
            </w:pPr>
          </w:p>
        </w:tc>
        <w:tc>
          <w:tcPr>
            <w:tcW w:w="1860" w:type="dxa"/>
            <w:vAlign w:val="bottom"/>
            <w:gridSpan w:val="3"/>
          </w:tcPr>
          <w:p>
            <w:pPr>
              <w:ind w:left="100"/>
              <w:spacing w:after="0"/>
              <w:rPr>
                <w:sz w:val="20"/>
                <w:szCs w:val="20"/>
                <w:color w:val="auto"/>
              </w:rPr>
            </w:pPr>
            <w:r>
              <w:rPr>
                <w:rFonts w:ascii="Arial" w:cs="Arial" w:eastAsia="Arial" w:hAnsi="Arial"/>
                <w:sz w:val="17"/>
                <w:szCs w:val="17"/>
                <w:b w:val="1"/>
                <w:bCs w:val="1"/>
                <w:color w:val="auto"/>
              </w:rPr>
              <w:t>assets</w:t>
            </w:r>
          </w:p>
        </w:tc>
        <w:tc>
          <w:tcPr>
            <w:tcW w:w="60" w:type="dxa"/>
            <w:vAlign w:val="bottom"/>
          </w:tcPr>
          <w:p>
            <w:pPr>
              <w:spacing w:after="0"/>
              <w:rPr>
                <w:sz w:val="18"/>
                <w:szCs w:val="18"/>
                <w:color w:val="auto"/>
              </w:rPr>
            </w:pPr>
          </w:p>
        </w:tc>
        <w:tc>
          <w:tcPr>
            <w:tcW w:w="1840" w:type="dxa"/>
            <w:vAlign w:val="bottom"/>
            <w:gridSpan w:val="3"/>
          </w:tcPr>
          <w:p>
            <w:pPr>
              <w:ind w:left="100"/>
              <w:spacing w:after="0"/>
              <w:rPr>
                <w:sz w:val="20"/>
                <w:szCs w:val="20"/>
                <w:color w:val="auto"/>
              </w:rPr>
            </w:pPr>
            <w:r>
              <w:rPr>
                <w:rFonts w:ascii="Arial" w:cs="Arial" w:eastAsia="Arial" w:hAnsi="Arial"/>
                <w:sz w:val="17"/>
                <w:szCs w:val="17"/>
                <w:b w:val="1"/>
                <w:bCs w:val="1"/>
                <w:color w:val="auto"/>
              </w:rPr>
              <w:t>financial position</w:t>
            </w:r>
          </w:p>
        </w:tc>
        <w:tc>
          <w:tcPr>
            <w:tcW w:w="1540" w:type="dxa"/>
            <w:vAlign w:val="bottom"/>
            <w:gridSpan w:val="6"/>
          </w:tcPr>
          <w:p>
            <w:pPr>
              <w:ind w:left="120"/>
              <w:spacing w:after="0"/>
              <w:rPr>
                <w:sz w:val="20"/>
                <w:szCs w:val="20"/>
                <w:color w:val="auto"/>
              </w:rPr>
            </w:pPr>
            <w:r>
              <w:rPr>
                <w:rFonts w:ascii="Arial" w:cs="Arial" w:eastAsia="Arial" w:hAnsi="Arial"/>
                <w:sz w:val="17"/>
                <w:szCs w:val="17"/>
                <w:b w:val="1"/>
                <w:bCs w:val="1"/>
                <w:color w:val="auto"/>
              </w:rPr>
              <w:t>instruments</w:t>
            </w: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received</w:t>
            </w:r>
          </w:p>
        </w:tc>
        <w:tc>
          <w:tcPr>
            <w:tcW w:w="1000" w:type="dxa"/>
            <w:vAlign w:val="bottom"/>
          </w:tcPr>
          <w:p>
            <w:pPr>
              <w:ind w:left="80"/>
              <w:spacing w:after="0"/>
              <w:rPr>
                <w:sz w:val="20"/>
                <w:szCs w:val="20"/>
                <w:color w:val="auto"/>
              </w:rPr>
            </w:pPr>
            <w:r>
              <w:rPr>
                <w:rFonts w:ascii="Arial" w:cs="Arial" w:eastAsia="Arial" w:hAnsi="Arial"/>
                <w:sz w:val="17"/>
                <w:szCs w:val="17"/>
                <w:b w:val="1"/>
                <w:bCs w:val="1"/>
                <w:color w:val="auto"/>
              </w:rPr>
              <w:t>amount</w:t>
            </w:r>
          </w:p>
        </w:tc>
        <w:tc>
          <w:tcPr>
            <w:tcW w:w="180" w:type="dxa"/>
            <w:vAlign w:val="bottom"/>
          </w:tcPr>
          <w:p>
            <w:pPr>
              <w:spacing w:after="0"/>
              <w:rPr>
                <w:sz w:val="18"/>
                <w:szCs w:val="18"/>
                <w:color w:val="auto"/>
              </w:rPr>
            </w:pPr>
          </w:p>
        </w:tc>
      </w:tr>
      <w:tr>
        <w:trPr>
          <w:trHeight w:val="186"/>
        </w:trPr>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top w:val="single" w:sz="8" w:color="auto"/>
            </w:tcBorders>
            <w:gridSpan w:val="2"/>
          </w:tcPr>
          <w:p>
            <w:pPr>
              <w:ind w:left="100"/>
              <w:spacing w:after="0" w:line="186" w:lineRule="exact"/>
              <w:rPr>
                <w:sz w:val="20"/>
                <w:szCs w:val="20"/>
                <w:color w:val="auto"/>
              </w:rPr>
            </w:pPr>
            <w:r>
              <w:rPr>
                <w:rFonts w:ascii="Arial" w:cs="Arial" w:eastAsia="Arial" w:hAnsi="Arial"/>
                <w:sz w:val="17"/>
                <w:szCs w:val="17"/>
                <w:b w:val="1"/>
                <w:bCs w:val="1"/>
                <w:color w:val="auto"/>
              </w:rPr>
              <w:t>S/(000)</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Borders>
              <w:top w:val="single" w:sz="8" w:color="auto"/>
            </w:tcBorders>
            <w:gridSpan w:val="2"/>
          </w:tcPr>
          <w:p>
            <w:pPr>
              <w:ind w:left="100"/>
              <w:spacing w:after="0" w:line="186" w:lineRule="exact"/>
              <w:rPr>
                <w:sz w:val="20"/>
                <w:szCs w:val="20"/>
                <w:color w:val="auto"/>
              </w:rPr>
            </w:pPr>
            <w:r>
              <w:rPr>
                <w:rFonts w:ascii="Arial" w:cs="Arial" w:eastAsia="Arial" w:hAnsi="Arial"/>
                <w:sz w:val="17"/>
                <w:szCs w:val="17"/>
                <w:b w:val="1"/>
                <w:bCs w:val="1"/>
                <w:color w:val="auto"/>
              </w:rPr>
              <w:t>S/(000)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S/(000)</w:t>
            </w:r>
          </w:p>
        </w:tc>
        <w:tc>
          <w:tcPr>
            <w:tcW w:w="240" w:type="dxa"/>
            <w:vAlign w:val="bottom"/>
            <w:gridSpan w:val="2"/>
          </w:tcPr>
          <w:p>
            <w:pPr>
              <w:spacing w:after="0"/>
              <w:rPr>
                <w:sz w:val="16"/>
                <w:szCs w:val="16"/>
                <w:color w:val="auto"/>
              </w:rPr>
            </w:pPr>
          </w:p>
        </w:tc>
        <w:tc>
          <w:tcPr>
            <w:tcW w:w="100" w:type="dxa"/>
            <w:vAlign w:val="bottom"/>
            <w:tcBorders>
              <w:top w:val="single" w:sz="8" w:color="auto"/>
            </w:tcBorders>
            <w:gridSpan w:val="2"/>
          </w:tcPr>
          <w:p>
            <w:pPr>
              <w:spacing w:after="0"/>
              <w:rPr>
                <w:sz w:val="16"/>
                <w:szCs w:val="16"/>
                <w:color w:val="auto"/>
              </w:rPr>
            </w:pPr>
          </w:p>
        </w:tc>
        <w:tc>
          <w:tcPr>
            <w:tcW w:w="100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S/(000)</w:t>
            </w:r>
          </w:p>
        </w:tc>
        <w:tc>
          <w:tcPr>
            <w:tcW w:w="24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6"/>
                <w:szCs w:val="16"/>
                <w:color w:val="auto"/>
              </w:rPr>
            </w:pPr>
          </w:p>
        </w:tc>
      </w:tr>
      <w:tr>
        <w:trPr>
          <w:trHeight w:val="194"/>
        </w:trPr>
        <w:tc>
          <w:tcPr>
            <w:tcW w:w="3460" w:type="dxa"/>
            <w:vAlign w:val="bottom"/>
          </w:tcPr>
          <w:p>
            <w:pPr>
              <w:ind w:left="940"/>
              <w:spacing w:after="0" w:line="194" w:lineRule="exact"/>
              <w:rPr>
                <w:sz w:val="20"/>
                <w:szCs w:val="20"/>
                <w:color w:val="auto"/>
              </w:rPr>
            </w:pPr>
            <w:r>
              <w:rPr>
                <w:rFonts w:ascii="Arial" w:cs="Arial" w:eastAsia="Arial" w:hAnsi="Arial"/>
                <w:sz w:val="17"/>
                <w:szCs w:val="17"/>
                <w:color w:val="auto"/>
              </w:rPr>
              <w:t>Receivables from derivatives</w:t>
            </w:r>
          </w:p>
        </w:tc>
        <w:tc>
          <w:tcPr>
            <w:tcW w:w="1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1,661,628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1,661,628</w:t>
            </w:r>
          </w:p>
        </w:tc>
        <w:tc>
          <w:tcPr>
            <w:tcW w:w="140" w:type="dxa"/>
            <w:vAlign w:val="bottom"/>
          </w:tcPr>
          <w:p>
            <w:pPr>
              <w:spacing w:after="0"/>
              <w:rPr>
                <w:sz w:val="16"/>
                <w:szCs w:val="16"/>
                <w:color w:val="auto"/>
              </w:rPr>
            </w:pPr>
          </w:p>
        </w:tc>
        <w:tc>
          <w:tcPr>
            <w:tcW w:w="120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(237,575)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(70,621)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1,353,432</w:t>
            </w:r>
          </w:p>
        </w:tc>
        <w:tc>
          <w:tcPr>
            <w:tcW w:w="180" w:type="dxa"/>
            <w:vAlign w:val="bottom"/>
          </w:tcPr>
          <w:p>
            <w:pPr>
              <w:spacing w:after="0"/>
              <w:rPr>
                <w:sz w:val="16"/>
                <w:szCs w:val="16"/>
                <w:color w:val="auto"/>
              </w:rPr>
            </w:pPr>
          </w:p>
        </w:tc>
      </w:tr>
      <w:tr>
        <w:trPr>
          <w:trHeight w:val="194"/>
        </w:trPr>
        <w:tc>
          <w:tcPr>
            <w:tcW w:w="3460" w:type="dxa"/>
            <w:vAlign w:val="bottom"/>
          </w:tcPr>
          <w:p>
            <w:pPr>
              <w:ind w:left="940"/>
              <w:spacing w:after="0" w:line="194" w:lineRule="exact"/>
              <w:rPr>
                <w:sz w:val="20"/>
                <w:szCs w:val="20"/>
                <w:color w:val="auto"/>
              </w:rPr>
            </w:pPr>
            <w:r>
              <w:rPr>
                <w:rFonts w:ascii="Arial" w:cs="Arial" w:eastAsia="Arial" w:hAnsi="Arial"/>
                <w:sz w:val="17"/>
                <w:szCs w:val="17"/>
                <w:color w:val="auto"/>
              </w:rPr>
              <w:t>Cash collateral, reverse</w:t>
            </w: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460" w:type="dxa"/>
            <w:vAlign w:val="bottom"/>
          </w:tcPr>
          <w:p>
            <w:pPr>
              <w:ind w:left="1100"/>
              <w:spacing w:after="0" w:line="194" w:lineRule="exact"/>
              <w:rPr>
                <w:sz w:val="20"/>
                <w:szCs w:val="20"/>
                <w:color w:val="auto"/>
              </w:rPr>
            </w:pPr>
            <w:r>
              <w:rPr>
                <w:rFonts w:ascii="Arial" w:cs="Arial" w:eastAsia="Arial" w:hAnsi="Arial"/>
                <w:sz w:val="17"/>
                <w:szCs w:val="17"/>
                <w:color w:val="auto"/>
              </w:rPr>
              <w:t>repurchase agreements and</w:t>
            </w: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460" w:type="dxa"/>
            <w:vAlign w:val="bottom"/>
          </w:tcPr>
          <w:p>
            <w:pPr>
              <w:ind w:left="1100"/>
              <w:spacing w:after="0" w:line="194" w:lineRule="exact"/>
              <w:rPr>
                <w:sz w:val="20"/>
                <w:szCs w:val="20"/>
                <w:color w:val="auto"/>
              </w:rPr>
            </w:pPr>
            <w:r>
              <w:rPr>
                <w:rFonts w:ascii="Arial" w:cs="Arial" w:eastAsia="Arial" w:hAnsi="Arial"/>
                <w:sz w:val="17"/>
                <w:szCs w:val="17"/>
                <w:color w:val="auto"/>
              </w:rPr>
              <w:t>securities borrowing</w:t>
            </w:r>
          </w:p>
        </w:tc>
        <w:tc>
          <w:tcPr>
            <w:tcW w:w="1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1,766,948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1,766,948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5"/>
          </w:tcPr>
          <w:p>
            <w:pPr>
              <w:jc w:val="right"/>
              <w:ind w:right="44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(344,461)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1,422,487</w:t>
            </w:r>
          </w:p>
        </w:tc>
        <w:tc>
          <w:tcPr>
            <w:tcW w:w="180" w:type="dxa"/>
            <w:vAlign w:val="bottom"/>
          </w:tcPr>
          <w:p>
            <w:pPr>
              <w:spacing w:after="0"/>
              <w:rPr>
                <w:sz w:val="16"/>
                <w:szCs w:val="16"/>
                <w:color w:val="auto"/>
              </w:rPr>
            </w:pPr>
          </w:p>
        </w:tc>
      </w:tr>
      <w:tr>
        <w:trPr>
          <w:trHeight w:val="194"/>
        </w:trPr>
        <w:tc>
          <w:tcPr>
            <w:tcW w:w="3460" w:type="dxa"/>
            <w:vAlign w:val="bottom"/>
          </w:tcPr>
          <w:p>
            <w:pPr>
              <w:ind w:left="940"/>
              <w:spacing w:after="0" w:line="194" w:lineRule="exact"/>
              <w:rPr>
                <w:sz w:val="20"/>
                <w:szCs w:val="20"/>
                <w:color w:val="auto"/>
              </w:rPr>
            </w:pPr>
            <w:r>
              <w:rPr>
                <w:rFonts w:ascii="Arial" w:cs="Arial" w:eastAsia="Arial" w:hAnsi="Arial"/>
                <w:sz w:val="17"/>
                <w:szCs w:val="17"/>
                <w:color w:val="auto"/>
              </w:rPr>
              <w:t>Available-for-sale and held-to-</w:t>
            </w: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460" w:type="dxa"/>
            <w:vAlign w:val="bottom"/>
          </w:tcPr>
          <w:p>
            <w:pPr>
              <w:ind w:left="1100"/>
              <w:spacing w:after="0" w:line="194" w:lineRule="exact"/>
              <w:rPr>
                <w:sz w:val="20"/>
                <w:szCs w:val="20"/>
                <w:color w:val="auto"/>
              </w:rPr>
            </w:pPr>
            <w:r>
              <w:rPr>
                <w:rFonts w:ascii="Arial" w:cs="Arial" w:eastAsia="Arial" w:hAnsi="Arial"/>
                <w:sz w:val="17"/>
                <w:szCs w:val="17"/>
                <w:color w:val="auto"/>
              </w:rPr>
              <w:t>maturity investments pledged</w:t>
            </w: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3460" w:type="dxa"/>
            <w:vAlign w:val="bottom"/>
          </w:tcPr>
          <w:p>
            <w:pPr>
              <w:ind w:left="1100"/>
              <w:spacing w:after="0"/>
              <w:rPr>
                <w:sz w:val="20"/>
                <w:szCs w:val="20"/>
                <w:color w:val="auto"/>
              </w:rPr>
            </w:pPr>
            <w:r>
              <w:rPr>
                <w:rFonts w:ascii="Arial" w:cs="Arial" w:eastAsia="Arial" w:hAnsi="Arial"/>
                <w:sz w:val="17"/>
                <w:szCs w:val="17"/>
                <w:color w:val="auto"/>
              </w:rPr>
              <w:t>as collateral</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3,853,967</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3"/>
          </w:tcPr>
          <w:p>
            <w:pPr>
              <w:jc w:val="right"/>
              <w:ind w:right="80"/>
              <w:spacing w:after="0"/>
              <w:rPr>
                <w:sz w:val="20"/>
                <w:szCs w:val="20"/>
                <w:color w:val="auto"/>
              </w:rPr>
            </w:pPr>
            <w:r>
              <w:rPr>
                <w:rFonts w:ascii="Arial" w:cs="Arial" w:eastAsia="Arial" w:hAnsi="Arial"/>
                <w:sz w:val="17"/>
                <w:szCs w:val="17"/>
                <w:color w:val="auto"/>
              </w:rPr>
              <w:t>3,853,967</w:t>
            </w:r>
          </w:p>
        </w:tc>
        <w:tc>
          <w:tcPr>
            <w:tcW w:w="140" w:type="dxa"/>
            <w:vAlign w:val="bottom"/>
          </w:tcPr>
          <w:p>
            <w:pPr>
              <w:spacing w:after="0"/>
              <w:rPr>
                <w:sz w:val="16"/>
                <w:szCs w:val="16"/>
                <w:color w:val="auto"/>
              </w:rPr>
            </w:pPr>
          </w:p>
        </w:tc>
        <w:tc>
          <w:tcPr>
            <w:tcW w:w="1200" w:type="dxa"/>
            <w:vAlign w:val="bottom"/>
            <w:gridSpan w:val="2"/>
          </w:tcPr>
          <w:p>
            <w:pPr>
              <w:jc w:val="right"/>
              <w:ind w:right="14"/>
              <w:spacing w:after="0"/>
              <w:rPr>
                <w:sz w:val="20"/>
                <w:szCs w:val="20"/>
                <w:color w:val="auto"/>
              </w:rPr>
            </w:pPr>
            <w:r>
              <w:rPr>
                <w:rFonts w:ascii="Arial" w:cs="Arial" w:eastAsia="Arial" w:hAnsi="Arial"/>
                <w:sz w:val="17"/>
                <w:szCs w:val="17"/>
                <w:color w:val="auto"/>
              </w:rPr>
              <w:t>(1,883,323)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4"/>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1,970,644</w:t>
            </w:r>
          </w:p>
        </w:tc>
        <w:tc>
          <w:tcPr>
            <w:tcW w:w="180" w:type="dxa"/>
            <w:vAlign w:val="bottom"/>
          </w:tcPr>
          <w:p>
            <w:pPr>
              <w:spacing w:after="0"/>
              <w:rPr>
                <w:sz w:val="16"/>
                <w:szCs w:val="16"/>
                <w:color w:val="auto"/>
              </w:rPr>
            </w:pPr>
          </w:p>
        </w:tc>
      </w:tr>
      <w:tr>
        <w:trPr>
          <w:trHeight w:val="193"/>
        </w:trPr>
        <w:tc>
          <w:tcPr>
            <w:tcW w:w="3460" w:type="dxa"/>
            <w:vAlign w:val="bottom"/>
          </w:tcPr>
          <w:p>
            <w:pPr>
              <w:ind w:left="940"/>
              <w:spacing w:after="0" w:line="187" w:lineRule="exact"/>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7,282,543</w:t>
            </w:r>
          </w:p>
        </w:tc>
        <w:tc>
          <w:tcPr>
            <w:tcW w:w="60" w:type="dxa"/>
            <w:vAlign w:val="bottom"/>
            <w:tcBorders>
              <w:top w:val="single" w:sz="8" w:color="auto"/>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Borders>
              <w:top w:val="single" w:sz="8" w:color="auto"/>
              <w:bottom w:val="single" w:sz="8" w:color="auto"/>
            </w:tcBorders>
            <w:gridSpan w:val="2"/>
          </w:tcPr>
          <w:p>
            <w:pPr>
              <w:jc w:val="right"/>
              <w:ind w:right="80"/>
              <w:spacing w:after="0" w:line="187" w:lineRule="exact"/>
              <w:rPr>
                <w:sz w:val="20"/>
                <w:szCs w:val="20"/>
                <w:color w:val="auto"/>
              </w:rPr>
            </w:pPr>
            <w:r>
              <w:rPr>
                <w:rFonts w:ascii="Arial" w:cs="Arial" w:eastAsia="Arial" w:hAnsi="Arial"/>
                <w:sz w:val="17"/>
                <w:szCs w:val="17"/>
                <w:color w:val="auto"/>
              </w:rPr>
              <w:t>7,282,543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(2,120,898)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(415,082)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4,746,563</w:t>
            </w:r>
          </w:p>
        </w:tc>
        <w:tc>
          <w:tcPr>
            <w:tcW w:w="180" w:type="dxa"/>
            <w:vAlign w:val="bottom"/>
          </w:tcPr>
          <w:p>
            <w:pPr>
              <w:spacing w:after="0"/>
              <w:rPr>
                <w:sz w:val="16"/>
                <w:szCs w:val="16"/>
                <w:color w:val="auto"/>
              </w:rPr>
            </w:pPr>
          </w:p>
        </w:tc>
      </w:tr>
      <w:tr>
        <w:trPr>
          <w:trHeight w:val="376"/>
        </w:trPr>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gridSpan w:val="2"/>
          </w:tcPr>
          <w:p>
            <w:pPr>
              <w:jc w:val="right"/>
              <w:ind w:right="1054"/>
              <w:spacing w:after="0"/>
              <w:rPr>
                <w:sz w:val="20"/>
                <w:szCs w:val="20"/>
                <w:color w:val="auto"/>
              </w:rPr>
            </w:pPr>
            <w:r>
              <w:rPr>
                <w:rFonts w:ascii="Arial" w:cs="Arial" w:eastAsia="Arial" w:hAnsi="Arial"/>
                <w:sz w:val="17"/>
                <w:szCs w:val="17"/>
                <w:color w:val="auto"/>
              </w:rPr>
              <w:t>- 158 -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3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163" w:name="page164"/>
    <w:bookmarkEnd w:id="163"/>
    <w:p>
      <w:pPr>
        <w:ind w:left="4"/>
        <w:spacing w:after="0"/>
        <w:rPr>
          <w:sz w:val="20"/>
          <w:szCs w:val="20"/>
          <w:color w:val="auto"/>
        </w:rPr>
      </w:pPr>
      <w:r>
        <w:rPr>
          <w:rFonts w:ascii="Arial" w:cs="Arial" w:eastAsia="Arial" w:hAnsi="Arial"/>
          <w:sz w:val="17"/>
          <w:szCs w:val="17"/>
          <w:color w:val="auto"/>
        </w:rPr>
        <w:t>Financial liabilities subject to offsetting, enforceable netting master agreements and similar agreements:</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980" w:type="dxa"/>
            <w:vAlign w:val="bottom"/>
          </w:tcPr>
          <w:p>
            <w:pPr>
              <w:spacing w:after="0"/>
              <w:rPr>
                <w:sz w:val="18"/>
                <w:szCs w:val="18"/>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2"/>
          </w:tcPr>
          <w:p>
            <w:pPr>
              <w:ind w:left="100"/>
              <w:spacing w:after="0" w:line="164" w:lineRule="exact"/>
              <w:rPr>
                <w:sz w:val="20"/>
                <w:szCs w:val="20"/>
                <w:color w:val="auto"/>
              </w:rPr>
            </w:pPr>
            <w:r>
              <w:rPr>
                <w:rFonts w:ascii="Arial" w:cs="Arial" w:eastAsia="Arial" w:hAnsi="Arial"/>
                <w:sz w:val="17"/>
                <w:szCs w:val="17"/>
                <w:b w:val="1"/>
                <w:bCs w:val="1"/>
                <w:color w:val="auto"/>
              </w:rPr>
              <w:t>Net amounts</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of</w:t>
            </w:r>
          </w:p>
        </w:tc>
        <w:tc>
          <w:tcPr>
            <w:tcW w:w="2620" w:type="dxa"/>
            <w:vAlign w:val="bottom"/>
            <w:gridSpan w:val="4"/>
            <w:vMerge w:val="restart"/>
          </w:tcPr>
          <w:p>
            <w:pPr>
              <w:ind w:left="80"/>
              <w:spacing w:after="0"/>
              <w:rPr>
                <w:sz w:val="20"/>
                <w:szCs w:val="20"/>
                <w:color w:val="auto"/>
              </w:rPr>
            </w:pPr>
            <w:r>
              <w:rPr>
                <w:rFonts w:ascii="Arial" w:cs="Arial" w:eastAsia="Arial" w:hAnsi="Arial"/>
                <w:sz w:val="17"/>
                <w:szCs w:val="17"/>
                <w:b w:val="1"/>
                <w:bCs w:val="1"/>
                <w:color w:val="auto"/>
              </w:rPr>
              <w:t>Related amounts not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vMerge w:val="restart"/>
          </w:tcPr>
          <w:p>
            <w:pPr>
              <w:ind w:left="100"/>
              <w:spacing w:after="0" w:line="194" w:lineRule="exact"/>
              <w:rPr>
                <w:sz w:val="20"/>
                <w:szCs w:val="20"/>
                <w:color w:val="auto"/>
              </w:rPr>
            </w:pPr>
            <w:r>
              <w:rPr>
                <w:rFonts w:ascii="Arial" w:cs="Arial" w:eastAsia="Arial" w:hAnsi="Arial"/>
                <w:sz w:val="17"/>
                <w:szCs w:val="17"/>
                <w:b w:val="1"/>
                <w:bCs w:val="1"/>
                <w:color w:val="auto"/>
              </w:rPr>
              <w:t>financial</w:t>
            </w:r>
          </w:p>
        </w:tc>
        <w:tc>
          <w:tcPr>
            <w:tcW w:w="262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420" w:type="dxa"/>
            <w:vAlign w:val="bottom"/>
            <w:gridSpan w:val="2"/>
            <w:vMerge w:val="restart"/>
          </w:tcPr>
          <w:p>
            <w:pPr>
              <w:ind w:left="80"/>
              <w:spacing w:after="0" w:line="194" w:lineRule="exact"/>
              <w:rPr>
                <w:sz w:val="20"/>
                <w:szCs w:val="20"/>
                <w:color w:val="auto"/>
              </w:rPr>
            </w:pPr>
            <w:r>
              <w:rPr>
                <w:rFonts w:ascii="Arial" w:cs="Arial" w:eastAsia="Arial" w:hAnsi="Arial"/>
                <w:sz w:val="17"/>
                <w:szCs w:val="17"/>
                <w:b w:val="1"/>
                <w:bCs w:val="1"/>
                <w:color w:val="auto"/>
              </w:rPr>
              <w:t>offset in the</w:t>
            </w: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9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vMerge w:val="restart"/>
          </w:tcPr>
          <w:p>
            <w:pPr>
              <w:ind w:left="100"/>
              <w:spacing w:after="0" w:line="194" w:lineRule="exact"/>
              <w:rPr>
                <w:sz w:val="20"/>
                <w:szCs w:val="20"/>
                <w:color w:val="auto"/>
              </w:rPr>
            </w:pPr>
            <w:r>
              <w:rPr>
                <w:rFonts w:ascii="Arial" w:cs="Arial" w:eastAsia="Arial" w:hAnsi="Arial"/>
                <w:sz w:val="17"/>
                <w:szCs w:val="17"/>
                <w:b w:val="1"/>
                <w:bCs w:val="1"/>
                <w:color w:val="auto"/>
              </w:rPr>
              <w:t>liabilities</w:t>
            </w:r>
          </w:p>
        </w:tc>
        <w:tc>
          <w:tcPr>
            <w:tcW w:w="14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620" w:type="dxa"/>
            <w:vAlign w:val="bottom"/>
            <w:gridSpan w:val="4"/>
            <w:vMerge w:val="restart"/>
          </w:tcPr>
          <w:p>
            <w:pPr>
              <w:ind w:left="80"/>
              <w:spacing w:after="0" w:line="194" w:lineRule="exact"/>
              <w:rPr>
                <w:sz w:val="20"/>
                <w:szCs w:val="20"/>
                <w:color w:val="auto"/>
              </w:rPr>
            </w:pPr>
            <w:r>
              <w:rPr>
                <w:rFonts w:ascii="Arial" w:cs="Arial" w:eastAsia="Arial" w:hAnsi="Arial"/>
                <w:sz w:val="17"/>
                <w:szCs w:val="17"/>
                <w:b w:val="1"/>
                <w:bCs w:val="1"/>
                <w:color w:val="auto"/>
              </w:rPr>
              <w:t>consolidated statement of</w:t>
            </w: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9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vMerge w:val="restart"/>
          </w:tcPr>
          <w:p>
            <w:pPr>
              <w:ind w:left="100"/>
              <w:spacing w:after="0" w:line="194" w:lineRule="exact"/>
              <w:rPr>
                <w:sz w:val="20"/>
                <w:szCs w:val="20"/>
                <w:color w:val="auto"/>
              </w:rPr>
            </w:pPr>
            <w:r>
              <w:rPr>
                <w:rFonts w:ascii="Arial" w:cs="Arial" w:eastAsia="Arial" w:hAnsi="Arial"/>
                <w:sz w:val="17"/>
                <w:szCs w:val="17"/>
                <w:b w:val="1"/>
                <w:bCs w:val="1"/>
                <w:color w:val="auto"/>
              </w:rPr>
              <w:t>presented in</w:t>
            </w:r>
          </w:p>
        </w:tc>
        <w:tc>
          <w:tcPr>
            <w:tcW w:w="262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36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financial position</w:t>
            </w: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980" w:type="dxa"/>
            <w:vAlign w:val="bottom"/>
          </w:tcPr>
          <w:p>
            <w:pPr>
              <w:spacing w:after="0"/>
              <w:rPr>
                <w:sz w:val="13"/>
                <w:szCs w:val="13"/>
                <w:color w:val="auto"/>
              </w:rPr>
            </w:pPr>
          </w:p>
        </w:tc>
        <w:tc>
          <w:tcPr>
            <w:tcW w:w="1860" w:type="dxa"/>
            <w:vAlign w:val="bottom"/>
            <w:gridSpan w:val="2"/>
            <w:vMerge w:val="restart"/>
          </w:tcPr>
          <w:p>
            <w:pPr>
              <w:ind w:left="80"/>
              <w:spacing w:after="0" w:line="194" w:lineRule="exact"/>
              <w:rPr>
                <w:sz w:val="20"/>
                <w:szCs w:val="20"/>
                <w:color w:val="auto"/>
              </w:rPr>
            </w:pPr>
            <w:r>
              <w:rPr>
                <w:rFonts w:ascii="Arial" w:cs="Arial" w:eastAsia="Arial" w:hAnsi="Arial"/>
                <w:sz w:val="17"/>
                <w:szCs w:val="17"/>
                <w:b w:val="1"/>
                <w:bCs w:val="1"/>
                <w:color w:val="auto"/>
              </w:rPr>
              <w:t>Gross</w:t>
            </w:r>
          </w:p>
        </w:tc>
        <w:tc>
          <w:tcPr>
            <w:tcW w:w="1700" w:type="dxa"/>
            <w:vAlign w:val="bottom"/>
            <w:gridSpan w:val="2"/>
            <w:vMerge w:val="restart"/>
          </w:tcPr>
          <w:p>
            <w:pPr>
              <w:ind w:left="100"/>
              <w:spacing w:after="0" w:line="194" w:lineRule="exact"/>
              <w:rPr>
                <w:sz w:val="20"/>
                <w:szCs w:val="20"/>
                <w:color w:val="auto"/>
              </w:rPr>
            </w:pPr>
            <w:r>
              <w:rPr>
                <w:rFonts w:ascii="Arial" w:cs="Arial" w:eastAsia="Arial" w:hAnsi="Arial"/>
                <w:sz w:val="17"/>
                <w:szCs w:val="17"/>
                <w:b w:val="1"/>
                <w:bCs w:val="1"/>
                <w:color w:val="auto"/>
              </w:rPr>
              <w:t>the</w:t>
            </w:r>
          </w:p>
        </w:tc>
        <w:tc>
          <w:tcPr>
            <w:tcW w:w="2360" w:type="dxa"/>
            <w:vAlign w:val="bottom"/>
            <w:tcBorders>
              <w:bottom w:val="single" w:sz="8" w:color="auto"/>
            </w:tcBorders>
            <w:gridSpan w:val="3"/>
            <w:vMerge w:val="continue"/>
          </w:tcPr>
          <w:p>
            <w:pPr>
              <w:spacing w:after="0"/>
              <w:rPr>
                <w:sz w:val="13"/>
                <w:szCs w:val="13"/>
                <w:color w:val="auto"/>
              </w:rPr>
            </w:pPr>
          </w:p>
        </w:tc>
        <w:tc>
          <w:tcPr>
            <w:tcW w:w="26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80" w:type="dxa"/>
            <w:vAlign w:val="bottom"/>
          </w:tcPr>
          <w:p>
            <w:pPr>
              <w:spacing w:after="0"/>
              <w:rPr>
                <w:sz w:val="16"/>
                <w:szCs w:val="16"/>
                <w:color w:val="auto"/>
              </w:rPr>
            </w:pPr>
          </w:p>
        </w:tc>
        <w:tc>
          <w:tcPr>
            <w:tcW w:w="186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amounts of</w:t>
            </w:r>
          </w:p>
        </w:tc>
        <w:tc>
          <w:tcPr>
            <w:tcW w:w="17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consolidated</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186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recognized</w:t>
            </w:r>
          </w:p>
        </w:tc>
        <w:tc>
          <w:tcPr>
            <w:tcW w:w="17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statement of</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Cash</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186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financial</w:t>
            </w:r>
          </w:p>
        </w:tc>
        <w:tc>
          <w:tcPr>
            <w:tcW w:w="17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financial</w:t>
            </w:r>
          </w:p>
        </w:tc>
        <w:tc>
          <w:tcPr>
            <w:tcW w:w="142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Financial</w:t>
            </w:r>
          </w:p>
        </w:tc>
        <w:tc>
          <w:tcPr>
            <w:tcW w:w="12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collateral</w:t>
            </w:r>
          </w:p>
        </w:tc>
        <w:tc>
          <w:tcPr>
            <w:tcW w:w="960" w:type="dxa"/>
            <w:vAlign w:val="bottom"/>
          </w:tcPr>
          <w:p>
            <w:pPr>
              <w:ind w:left="80"/>
              <w:spacing w:after="0" w:line="194" w:lineRule="exact"/>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7"/>
                <w:szCs w:val="17"/>
                <w:b w:val="1"/>
                <w:bCs w:val="1"/>
                <w:color w:val="auto"/>
              </w:rPr>
              <w:t>Details</w:t>
            </w:r>
          </w:p>
        </w:tc>
        <w:tc>
          <w:tcPr>
            <w:tcW w:w="1860" w:type="dxa"/>
            <w:vAlign w:val="bottom"/>
            <w:gridSpan w:val="2"/>
          </w:tcPr>
          <w:p>
            <w:pPr>
              <w:ind w:left="80"/>
              <w:spacing w:after="0"/>
              <w:rPr>
                <w:sz w:val="20"/>
                <w:szCs w:val="20"/>
                <w:color w:val="auto"/>
              </w:rPr>
            </w:pPr>
            <w:r>
              <w:rPr>
                <w:rFonts w:ascii="Arial" w:cs="Arial" w:eastAsia="Arial" w:hAnsi="Arial"/>
                <w:sz w:val="17"/>
                <w:szCs w:val="17"/>
                <w:b w:val="1"/>
                <w:bCs w:val="1"/>
                <w:color w:val="auto"/>
              </w:rPr>
              <w:t>liabilities</w:t>
            </w:r>
          </w:p>
        </w:tc>
        <w:tc>
          <w:tcPr>
            <w:tcW w:w="1700" w:type="dxa"/>
            <w:vAlign w:val="bottom"/>
            <w:gridSpan w:val="2"/>
          </w:tcPr>
          <w:p>
            <w:pPr>
              <w:ind w:left="100"/>
              <w:spacing w:after="0"/>
              <w:rPr>
                <w:sz w:val="20"/>
                <w:szCs w:val="20"/>
                <w:color w:val="auto"/>
              </w:rPr>
            </w:pPr>
            <w:r>
              <w:rPr>
                <w:rFonts w:ascii="Arial" w:cs="Arial" w:eastAsia="Arial" w:hAnsi="Arial"/>
                <w:sz w:val="17"/>
                <w:szCs w:val="17"/>
                <w:b w:val="1"/>
                <w:bCs w:val="1"/>
                <w:color w:val="auto"/>
              </w:rPr>
              <w:t>position</w:t>
            </w:r>
          </w:p>
        </w:tc>
        <w:tc>
          <w:tcPr>
            <w:tcW w:w="1420" w:type="dxa"/>
            <w:vAlign w:val="bottom"/>
            <w:gridSpan w:val="2"/>
          </w:tcPr>
          <w:p>
            <w:pPr>
              <w:ind w:left="80"/>
              <w:spacing w:after="0"/>
              <w:rPr>
                <w:sz w:val="20"/>
                <w:szCs w:val="20"/>
                <w:color w:val="auto"/>
              </w:rPr>
            </w:pPr>
            <w:r>
              <w:rPr>
                <w:rFonts w:ascii="Arial" w:cs="Arial" w:eastAsia="Arial" w:hAnsi="Arial"/>
                <w:sz w:val="17"/>
                <w:szCs w:val="17"/>
                <w:b w:val="1"/>
                <w:bCs w:val="1"/>
                <w:color w:val="auto"/>
              </w:rPr>
              <w:t>instruments</w:t>
            </w:r>
          </w:p>
        </w:tc>
        <w:tc>
          <w:tcPr>
            <w:tcW w:w="1200" w:type="dxa"/>
            <w:vAlign w:val="bottom"/>
            <w:gridSpan w:val="2"/>
          </w:tcPr>
          <w:p>
            <w:pPr>
              <w:ind w:left="100"/>
              <w:spacing w:after="0"/>
              <w:rPr>
                <w:sz w:val="20"/>
                <w:szCs w:val="20"/>
                <w:color w:val="auto"/>
              </w:rPr>
            </w:pPr>
            <w:r>
              <w:rPr>
                <w:rFonts w:ascii="Arial" w:cs="Arial" w:eastAsia="Arial" w:hAnsi="Arial"/>
                <w:sz w:val="17"/>
                <w:szCs w:val="17"/>
                <w:b w:val="1"/>
                <w:bCs w:val="1"/>
                <w:color w:val="auto"/>
              </w:rPr>
              <w:t>pledged</w:t>
            </w:r>
          </w:p>
        </w:tc>
        <w:tc>
          <w:tcPr>
            <w:tcW w:w="960" w:type="dxa"/>
            <w:vAlign w:val="bottom"/>
          </w:tcPr>
          <w:p>
            <w:pPr>
              <w:ind w:left="80"/>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136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S/(000)</w:t>
            </w:r>
          </w:p>
        </w:tc>
        <w:tc>
          <w:tcPr>
            <w:tcW w:w="500" w:type="dxa"/>
            <w:vAlign w:val="bottom"/>
          </w:tcPr>
          <w:p>
            <w:pPr>
              <w:spacing w:after="0"/>
              <w:rPr>
                <w:sz w:val="16"/>
                <w:szCs w:val="16"/>
                <w:color w:val="auto"/>
              </w:rPr>
            </w:pPr>
          </w:p>
        </w:tc>
        <w:tc>
          <w:tcPr>
            <w:tcW w:w="144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17"/>
                <w:szCs w:val="17"/>
                <w:b w:val="1"/>
                <w:bCs w:val="1"/>
                <w:color w:val="auto"/>
              </w:rPr>
              <w:t>S/(000)</w:t>
            </w:r>
          </w:p>
        </w:tc>
        <w:tc>
          <w:tcPr>
            <w:tcW w:w="260" w:type="dxa"/>
            <w:vAlign w:val="bottom"/>
          </w:tcPr>
          <w:p>
            <w:pPr>
              <w:spacing w:after="0"/>
              <w:rPr>
                <w:sz w:val="16"/>
                <w:szCs w:val="16"/>
                <w:color w:val="auto"/>
              </w:rPr>
            </w:pPr>
          </w:p>
        </w:tc>
        <w:tc>
          <w:tcPr>
            <w:tcW w:w="118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6"/>
                <w:szCs w:val="16"/>
                <w:color w:val="auto"/>
              </w:rPr>
            </w:pPr>
          </w:p>
        </w:tc>
        <w:tc>
          <w:tcPr>
            <w:tcW w:w="94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17"/>
                <w:szCs w:val="17"/>
                <w:b w:val="1"/>
                <w:bCs w:val="1"/>
                <w:color w:val="auto"/>
              </w:rPr>
              <w:t>S/(000)</w:t>
            </w:r>
          </w:p>
        </w:tc>
        <w:tc>
          <w:tcPr>
            <w:tcW w:w="260" w:type="dxa"/>
            <w:vAlign w:val="bottom"/>
          </w:tcPr>
          <w:p>
            <w:pPr>
              <w:spacing w:after="0"/>
              <w:rPr>
                <w:sz w:val="16"/>
                <w:szCs w:val="16"/>
                <w:color w:val="auto"/>
              </w:rPr>
            </w:pPr>
          </w:p>
        </w:tc>
        <w:tc>
          <w:tcPr>
            <w:tcW w:w="96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94"/>
        </w:trPr>
        <w:tc>
          <w:tcPr>
            <w:tcW w:w="2980" w:type="dxa"/>
            <w:vAlign w:val="bottom"/>
          </w:tcPr>
          <w:p>
            <w:pPr>
              <w:spacing w:after="0" w:line="194" w:lineRule="exact"/>
              <w:rPr>
                <w:sz w:val="20"/>
                <w:szCs w:val="20"/>
                <w:color w:val="auto"/>
              </w:rPr>
            </w:pPr>
            <w:r>
              <w:rPr>
                <w:rFonts w:ascii="Arial" w:cs="Arial" w:eastAsia="Arial" w:hAnsi="Arial"/>
                <w:sz w:val="17"/>
                <w:szCs w:val="17"/>
                <w:color w:val="auto"/>
              </w:rPr>
              <w:t>Payables on derivatives</w:t>
            </w: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1,367,274</w:t>
            </w:r>
          </w:p>
        </w:tc>
        <w:tc>
          <w:tcPr>
            <w:tcW w:w="500" w:type="dxa"/>
            <w:vAlign w:val="bottom"/>
          </w:tcPr>
          <w:p>
            <w:pPr>
              <w:spacing w:after="0"/>
              <w:rPr>
                <w:sz w:val="16"/>
                <w:szCs w:val="16"/>
                <w:color w:val="auto"/>
              </w:rPr>
            </w:pPr>
          </w:p>
        </w:tc>
        <w:tc>
          <w:tcPr>
            <w:tcW w:w="1440" w:type="dxa"/>
            <w:vAlign w:val="bottom"/>
          </w:tcPr>
          <w:p>
            <w:pPr>
              <w:jc w:val="right"/>
              <w:spacing w:after="0" w:line="194" w:lineRule="exact"/>
              <w:rPr>
                <w:sz w:val="20"/>
                <w:szCs w:val="20"/>
                <w:color w:val="auto"/>
              </w:rPr>
            </w:pPr>
            <w:r>
              <w:rPr>
                <w:rFonts w:ascii="Arial" w:cs="Arial" w:eastAsia="Arial" w:hAnsi="Arial"/>
                <w:sz w:val="17"/>
                <w:szCs w:val="17"/>
                <w:color w:val="auto"/>
              </w:rPr>
              <w:t>1,367,274</w:t>
            </w:r>
          </w:p>
        </w:tc>
        <w:tc>
          <w:tcPr>
            <w:tcW w:w="260" w:type="dxa"/>
            <w:vAlign w:val="bottom"/>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285,850</w:t>
            </w:r>
          </w:p>
        </w:tc>
        <w:tc>
          <w:tcPr>
            <w:tcW w:w="240" w:type="dxa"/>
            <w:vAlign w:val="bottom"/>
          </w:tcPr>
          <w:p>
            <w:pPr>
              <w:spacing w:after="0"/>
              <w:rPr>
                <w:sz w:val="16"/>
                <w:szCs w:val="16"/>
                <w:color w:val="auto"/>
              </w:rPr>
            </w:pPr>
          </w:p>
        </w:tc>
        <w:tc>
          <w:tcPr>
            <w:tcW w:w="120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(184,378)</w:t>
            </w:r>
          </w:p>
        </w:tc>
        <w:tc>
          <w:tcPr>
            <w:tcW w:w="960" w:type="dxa"/>
            <w:vAlign w:val="bottom"/>
          </w:tcPr>
          <w:p>
            <w:pPr>
              <w:ind w:left="80"/>
              <w:spacing w:after="0" w:line="194" w:lineRule="exact"/>
              <w:rPr>
                <w:sz w:val="20"/>
                <w:szCs w:val="20"/>
                <w:color w:val="auto"/>
              </w:rPr>
            </w:pPr>
            <w:r>
              <w:rPr>
                <w:rFonts w:ascii="Arial" w:cs="Arial" w:eastAsia="Arial" w:hAnsi="Arial"/>
                <w:sz w:val="17"/>
                <w:szCs w:val="17"/>
                <w:color w:val="auto"/>
              </w:rPr>
              <w:t>1,468,746</w:t>
            </w:r>
          </w:p>
        </w:tc>
        <w:tc>
          <w:tcPr>
            <w:tcW w:w="0" w:type="dxa"/>
            <w:vAlign w:val="bottom"/>
          </w:tcPr>
          <w:p>
            <w:pPr>
              <w:spacing w:after="0"/>
              <w:rPr>
                <w:sz w:val="1"/>
                <w:szCs w:val="1"/>
                <w:color w:val="auto"/>
              </w:rPr>
            </w:pPr>
          </w:p>
        </w:tc>
      </w:tr>
      <w:tr>
        <w:trPr>
          <w:trHeight w:val="194"/>
        </w:trPr>
        <w:tc>
          <w:tcPr>
            <w:tcW w:w="2980" w:type="dxa"/>
            <w:vAlign w:val="bottom"/>
          </w:tcPr>
          <w:p>
            <w:pPr>
              <w:spacing w:after="0" w:line="194" w:lineRule="exact"/>
              <w:rPr>
                <w:sz w:val="20"/>
                <w:szCs w:val="20"/>
                <w:color w:val="auto"/>
              </w:rPr>
            </w:pPr>
            <w:r>
              <w:rPr>
                <w:rFonts w:ascii="Arial" w:cs="Arial" w:eastAsia="Arial" w:hAnsi="Arial"/>
                <w:sz w:val="17"/>
                <w:szCs w:val="17"/>
                <w:color w:val="auto"/>
              </w:rPr>
              <w:t>Payables on repurchase agreements</w:t>
            </w: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160"/>
              <w:spacing w:after="0"/>
              <w:rPr>
                <w:sz w:val="20"/>
                <w:szCs w:val="20"/>
                <w:color w:val="auto"/>
              </w:rPr>
            </w:pPr>
            <w:r>
              <w:rPr>
                <w:rFonts w:ascii="Arial" w:cs="Arial" w:eastAsia="Arial" w:hAnsi="Arial"/>
                <w:sz w:val="17"/>
                <w:szCs w:val="17"/>
                <w:color w:val="auto"/>
              </w:rPr>
              <w:t>and securites lending</w:t>
            </w:r>
          </w:p>
        </w:tc>
        <w:tc>
          <w:tcPr>
            <w:tcW w:w="1360" w:type="dxa"/>
            <w:vAlign w:val="bottom"/>
          </w:tcPr>
          <w:p>
            <w:pPr>
              <w:jc w:val="right"/>
              <w:spacing w:after="0"/>
              <w:rPr>
                <w:sz w:val="20"/>
                <w:szCs w:val="20"/>
                <w:color w:val="auto"/>
              </w:rPr>
            </w:pPr>
            <w:r>
              <w:rPr>
                <w:rFonts w:ascii="Arial" w:cs="Arial" w:eastAsia="Arial" w:hAnsi="Arial"/>
                <w:sz w:val="17"/>
                <w:szCs w:val="17"/>
                <w:color w:val="auto"/>
              </w:rPr>
              <w:t>12,966,725</w:t>
            </w:r>
          </w:p>
        </w:tc>
        <w:tc>
          <w:tcPr>
            <w:tcW w:w="5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12,966,725</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(10,655,534)</w:t>
            </w:r>
          </w:p>
        </w:tc>
        <w:tc>
          <w:tcPr>
            <w:tcW w:w="24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(649,769)</w:t>
            </w:r>
          </w:p>
        </w:tc>
        <w:tc>
          <w:tcPr>
            <w:tcW w:w="960" w:type="dxa"/>
            <w:vAlign w:val="bottom"/>
          </w:tcPr>
          <w:p>
            <w:pPr>
              <w:ind w:left="80"/>
              <w:spacing w:after="0"/>
              <w:rPr>
                <w:sz w:val="20"/>
                <w:szCs w:val="20"/>
                <w:color w:val="auto"/>
              </w:rPr>
            </w:pPr>
            <w:r>
              <w:rPr>
                <w:rFonts w:ascii="Arial" w:cs="Arial" w:eastAsia="Arial" w:hAnsi="Arial"/>
                <w:sz w:val="17"/>
                <w:szCs w:val="17"/>
                <w:color w:val="auto"/>
              </w:rPr>
              <w:t>1,661,422</w:t>
            </w:r>
          </w:p>
        </w:tc>
        <w:tc>
          <w:tcPr>
            <w:tcW w:w="0" w:type="dxa"/>
            <w:vAlign w:val="bottom"/>
          </w:tcPr>
          <w:p>
            <w:pPr>
              <w:spacing w:after="0"/>
              <w:rPr>
                <w:sz w:val="1"/>
                <w:szCs w:val="1"/>
                <w:color w:val="auto"/>
              </w:rPr>
            </w:pPr>
          </w:p>
        </w:tc>
      </w:tr>
      <w:tr>
        <w:trPr>
          <w:trHeight w:val="193"/>
        </w:trPr>
        <w:tc>
          <w:tcPr>
            <w:tcW w:w="298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36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14,333,999</w:t>
            </w:r>
          </w:p>
        </w:tc>
        <w:tc>
          <w:tcPr>
            <w:tcW w:w="5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14,333,999</w:t>
            </w:r>
          </w:p>
        </w:tc>
        <w:tc>
          <w:tcPr>
            <w:tcW w:w="26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(10,369,684)</w:t>
            </w:r>
          </w:p>
        </w:tc>
        <w:tc>
          <w:tcPr>
            <w:tcW w:w="2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(834,147)</w:t>
            </w:r>
          </w:p>
        </w:tc>
        <w:tc>
          <w:tcPr>
            <w:tcW w:w="260" w:type="dxa"/>
            <w:vAlign w:val="bottom"/>
          </w:tcPr>
          <w:p>
            <w:pPr>
              <w:spacing w:after="0"/>
              <w:rPr>
                <w:sz w:val="16"/>
                <w:szCs w:val="16"/>
                <w:color w:val="auto"/>
              </w:rPr>
            </w:pPr>
          </w:p>
        </w:tc>
        <w:tc>
          <w:tcPr>
            <w:tcW w:w="960" w:type="dxa"/>
            <w:vAlign w:val="bottom"/>
            <w:tcBorders>
              <w:top w:val="single" w:sz="8" w:color="auto"/>
              <w:bottom w:val="single" w:sz="8" w:color="auto"/>
            </w:tcBorders>
          </w:tcPr>
          <w:p>
            <w:pPr>
              <w:ind w:left="80"/>
              <w:spacing w:after="0" w:line="187" w:lineRule="exact"/>
              <w:rPr>
                <w:sz w:val="20"/>
                <w:szCs w:val="20"/>
                <w:color w:val="auto"/>
              </w:rPr>
            </w:pPr>
            <w:r>
              <w:rPr>
                <w:rFonts w:ascii="Arial" w:cs="Arial" w:eastAsia="Arial" w:hAnsi="Arial"/>
                <w:sz w:val="17"/>
                <w:szCs w:val="17"/>
                <w:color w:val="auto"/>
              </w:rPr>
              <w:t>3,130,168</w:t>
            </w:r>
          </w:p>
        </w:tc>
        <w:tc>
          <w:tcPr>
            <w:tcW w:w="0" w:type="dxa"/>
            <w:vAlign w:val="bottom"/>
          </w:tcPr>
          <w:p>
            <w:pPr>
              <w:spacing w:after="0"/>
              <w:rPr>
                <w:sz w:val="1"/>
                <w:szCs w:val="1"/>
                <w:color w:val="auto"/>
              </w:rPr>
            </w:pPr>
          </w:p>
        </w:tc>
      </w:tr>
      <w:tr>
        <w:trPr>
          <w:trHeight w:val="389"/>
        </w:trPr>
        <w:tc>
          <w:tcPr>
            <w:tcW w:w="2980" w:type="dxa"/>
            <w:vAlign w:val="bottom"/>
          </w:tcPr>
          <w:p>
            <w:pPr>
              <w:spacing w:after="0"/>
              <w:rPr>
                <w:sz w:val="24"/>
                <w:szCs w:val="24"/>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2"/>
          </w:tcPr>
          <w:p>
            <w:pPr>
              <w:ind w:left="100"/>
              <w:spacing w:after="0" w:line="164" w:lineRule="exact"/>
              <w:rPr>
                <w:sz w:val="20"/>
                <w:szCs w:val="20"/>
                <w:color w:val="auto"/>
              </w:rPr>
            </w:pPr>
            <w:r>
              <w:rPr>
                <w:rFonts w:ascii="Arial" w:cs="Arial" w:eastAsia="Arial" w:hAnsi="Arial"/>
                <w:sz w:val="17"/>
                <w:szCs w:val="17"/>
                <w:b w:val="1"/>
                <w:bCs w:val="1"/>
                <w:color w:val="auto"/>
              </w:rPr>
              <w:t>Net amounts</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of</w:t>
            </w:r>
          </w:p>
        </w:tc>
        <w:tc>
          <w:tcPr>
            <w:tcW w:w="2620" w:type="dxa"/>
            <w:vAlign w:val="bottom"/>
            <w:gridSpan w:val="4"/>
            <w:vMerge w:val="restart"/>
          </w:tcPr>
          <w:p>
            <w:pPr>
              <w:ind w:left="80"/>
              <w:spacing w:after="0"/>
              <w:rPr>
                <w:sz w:val="20"/>
                <w:szCs w:val="20"/>
                <w:color w:val="auto"/>
              </w:rPr>
            </w:pPr>
            <w:r>
              <w:rPr>
                <w:rFonts w:ascii="Arial" w:cs="Arial" w:eastAsia="Arial" w:hAnsi="Arial"/>
                <w:sz w:val="17"/>
                <w:szCs w:val="17"/>
                <w:b w:val="1"/>
                <w:bCs w:val="1"/>
                <w:color w:val="auto"/>
              </w:rPr>
              <w:t>Related amounts not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vMerge w:val="restart"/>
          </w:tcPr>
          <w:p>
            <w:pPr>
              <w:ind w:left="100"/>
              <w:spacing w:after="0" w:line="194" w:lineRule="exact"/>
              <w:rPr>
                <w:sz w:val="20"/>
                <w:szCs w:val="20"/>
                <w:color w:val="auto"/>
              </w:rPr>
            </w:pPr>
            <w:r>
              <w:rPr>
                <w:rFonts w:ascii="Arial" w:cs="Arial" w:eastAsia="Arial" w:hAnsi="Arial"/>
                <w:sz w:val="17"/>
                <w:szCs w:val="17"/>
                <w:b w:val="1"/>
                <w:bCs w:val="1"/>
                <w:color w:val="auto"/>
              </w:rPr>
              <w:t>financial</w:t>
            </w:r>
          </w:p>
        </w:tc>
        <w:tc>
          <w:tcPr>
            <w:tcW w:w="262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420" w:type="dxa"/>
            <w:vAlign w:val="bottom"/>
            <w:gridSpan w:val="2"/>
            <w:vMerge w:val="restart"/>
          </w:tcPr>
          <w:p>
            <w:pPr>
              <w:ind w:left="80"/>
              <w:spacing w:after="0" w:line="194" w:lineRule="exact"/>
              <w:rPr>
                <w:sz w:val="20"/>
                <w:szCs w:val="20"/>
                <w:color w:val="auto"/>
              </w:rPr>
            </w:pPr>
            <w:r>
              <w:rPr>
                <w:rFonts w:ascii="Arial" w:cs="Arial" w:eastAsia="Arial" w:hAnsi="Arial"/>
                <w:sz w:val="17"/>
                <w:szCs w:val="17"/>
                <w:b w:val="1"/>
                <w:bCs w:val="1"/>
                <w:color w:val="auto"/>
              </w:rPr>
              <w:t>offset in the</w:t>
            </w: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9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vMerge w:val="restart"/>
          </w:tcPr>
          <w:p>
            <w:pPr>
              <w:ind w:left="100"/>
              <w:spacing w:after="0" w:line="194" w:lineRule="exact"/>
              <w:rPr>
                <w:sz w:val="20"/>
                <w:szCs w:val="20"/>
                <w:color w:val="auto"/>
              </w:rPr>
            </w:pPr>
            <w:r>
              <w:rPr>
                <w:rFonts w:ascii="Arial" w:cs="Arial" w:eastAsia="Arial" w:hAnsi="Arial"/>
                <w:sz w:val="17"/>
                <w:szCs w:val="17"/>
                <w:b w:val="1"/>
                <w:bCs w:val="1"/>
                <w:color w:val="auto"/>
              </w:rPr>
              <w:t>liabilities</w:t>
            </w:r>
          </w:p>
        </w:tc>
        <w:tc>
          <w:tcPr>
            <w:tcW w:w="14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620" w:type="dxa"/>
            <w:vAlign w:val="bottom"/>
            <w:gridSpan w:val="4"/>
            <w:vMerge w:val="restart"/>
          </w:tcPr>
          <w:p>
            <w:pPr>
              <w:ind w:left="80"/>
              <w:spacing w:after="0" w:line="194" w:lineRule="exact"/>
              <w:rPr>
                <w:sz w:val="20"/>
                <w:szCs w:val="20"/>
                <w:color w:val="auto"/>
              </w:rPr>
            </w:pPr>
            <w:r>
              <w:rPr>
                <w:rFonts w:ascii="Arial" w:cs="Arial" w:eastAsia="Arial" w:hAnsi="Arial"/>
                <w:sz w:val="17"/>
                <w:szCs w:val="17"/>
                <w:b w:val="1"/>
                <w:bCs w:val="1"/>
                <w:color w:val="auto"/>
              </w:rPr>
              <w:t>consolidated statement of</w:t>
            </w: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9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vMerge w:val="restart"/>
          </w:tcPr>
          <w:p>
            <w:pPr>
              <w:ind w:left="100"/>
              <w:spacing w:after="0" w:line="194" w:lineRule="exact"/>
              <w:rPr>
                <w:sz w:val="20"/>
                <w:szCs w:val="20"/>
                <w:color w:val="auto"/>
              </w:rPr>
            </w:pPr>
            <w:r>
              <w:rPr>
                <w:rFonts w:ascii="Arial" w:cs="Arial" w:eastAsia="Arial" w:hAnsi="Arial"/>
                <w:sz w:val="17"/>
                <w:szCs w:val="17"/>
                <w:b w:val="1"/>
                <w:bCs w:val="1"/>
                <w:color w:val="auto"/>
              </w:rPr>
              <w:t>presented in</w:t>
            </w:r>
          </w:p>
        </w:tc>
        <w:tc>
          <w:tcPr>
            <w:tcW w:w="262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36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financial position</w:t>
            </w: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980" w:type="dxa"/>
            <w:vAlign w:val="bottom"/>
          </w:tcPr>
          <w:p>
            <w:pPr>
              <w:spacing w:after="0"/>
              <w:rPr>
                <w:sz w:val="13"/>
                <w:szCs w:val="13"/>
                <w:color w:val="auto"/>
              </w:rPr>
            </w:pPr>
          </w:p>
        </w:tc>
        <w:tc>
          <w:tcPr>
            <w:tcW w:w="1860" w:type="dxa"/>
            <w:vAlign w:val="bottom"/>
            <w:gridSpan w:val="2"/>
            <w:vMerge w:val="restart"/>
          </w:tcPr>
          <w:p>
            <w:pPr>
              <w:ind w:left="80"/>
              <w:spacing w:after="0" w:line="194" w:lineRule="exact"/>
              <w:rPr>
                <w:sz w:val="20"/>
                <w:szCs w:val="20"/>
                <w:color w:val="auto"/>
              </w:rPr>
            </w:pPr>
            <w:r>
              <w:rPr>
                <w:rFonts w:ascii="Arial" w:cs="Arial" w:eastAsia="Arial" w:hAnsi="Arial"/>
                <w:sz w:val="17"/>
                <w:szCs w:val="17"/>
                <w:b w:val="1"/>
                <w:bCs w:val="1"/>
                <w:color w:val="auto"/>
              </w:rPr>
              <w:t>Gross</w:t>
            </w:r>
          </w:p>
        </w:tc>
        <w:tc>
          <w:tcPr>
            <w:tcW w:w="1700" w:type="dxa"/>
            <w:vAlign w:val="bottom"/>
            <w:gridSpan w:val="2"/>
            <w:vMerge w:val="restart"/>
          </w:tcPr>
          <w:p>
            <w:pPr>
              <w:ind w:left="100"/>
              <w:spacing w:after="0" w:line="194" w:lineRule="exact"/>
              <w:rPr>
                <w:sz w:val="20"/>
                <w:szCs w:val="20"/>
                <w:color w:val="auto"/>
              </w:rPr>
            </w:pPr>
            <w:r>
              <w:rPr>
                <w:rFonts w:ascii="Arial" w:cs="Arial" w:eastAsia="Arial" w:hAnsi="Arial"/>
                <w:sz w:val="17"/>
                <w:szCs w:val="17"/>
                <w:b w:val="1"/>
                <w:bCs w:val="1"/>
                <w:color w:val="auto"/>
              </w:rPr>
              <w:t>the</w:t>
            </w:r>
          </w:p>
        </w:tc>
        <w:tc>
          <w:tcPr>
            <w:tcW w:w="2360" w:type="dxa"/>
            <w:vAlign w:val="bottom"/>
            <w:tcBorders>
              <w:bottom w:val="single" w:sz="8" w:color="auto"/>
            </w:tcBorders>
            <w:gridSpan w:val="3"/>
            <w:vMerge w:val="continue"/>
          </w:tcPr>
          <w:p>
            <w:pPr>
              <w:spacing w:after="0"/>
              <w:rPr>
                <w:sz w:val="13"/>
                <w:szCs w:val="13"/>
                <w:color w:val="auto"/>
              </w:rPr>
            </w:pPr>
          </w:p>
        </w:tc>
        <w:tc>
          <w:tcPr>
            <w:tcW w:w="26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80" w:type="dxa"/>
            <w:vAlign w:val="bottom"/>
          </w:tcPr>
          <w:p>
            <w:pPr>
              <w:spacing w:after="0"/>
              <w:rPr>
                <w:sz w:val="16"/>
                <w:szCs w:val="16"/>
                <w:color w:val="auto"/>
              </w:rPr>
            </w:pPr>
          </w:p>
        </w:tc>
        <w:tc>
          <w:tcPr>
            <w:tcW w:w="186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amounts of</w:t>
            </w:r>
          </w:p>
        </w:tc>
        <w:tc>
          <w:tcPr>
            <w:tcW w:w="17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consolidated</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186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recognized</w:t>
            </w:r>
          </w:p>
        </w:tc>
        <w:tc>
          <w:tcPr>
            <w:tcW w:w="17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statement of</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Cash</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186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financial</w:t>
            </w:r>
          </w:p>
        </w:tc>
        <w:tc>
          <w:tcPr>
            <w:tcW w:w="17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financial</w:t>
            </w:r>
          </w:p>
        </w:tc>
        <w:tc>
          <w:tcPr>
            <w:tcW w:w="1420" w:type="dxa"/>
            <w:vAlign w:val="bottom"/>
            <w:gridSpan w:val="2"/>
          </w:tcPr>
          <w:p>
            <w:pPr>
              <w:ind w:left="80"/>
              <w:spacing w:after="0" w:line="194" w:lineRule="exact"/>
              <w:rPr>
                <w:sz w:val="20"/>
                <w:szCs w:val="20"/>
                <w:color w:val="auto"/>
              </w:rPr>
            </w:pPr>
            <w:r>
              <w:rPr>
                <w:rFonts w:ascii="Arial" w:cs="Arial" w:eastAsia="Arial" w:hAnsi="Arial"/>
                <w:sz w:val="17"/>
                <w:szCs w:val="17"/>
                <w:b w:val="1"/>
                <w:bCs w:val="1"/>
                <w:color w:val="auto"/>
              </w:rPr>
              <w:t>Financial</w:t>
            </w:r>
          </w:p>
        </w:tc>
        <w:tc>
          <w:tcPr>
            <w:tcW w:w="1200" w:type="dxa"/>
            <w:vAlign w:val="bottom"/>
            <w:gridSpan w:val="2"/>
          </w:tcPr>
          <w:p>
            <w:pPr>
              <w:ind w:left="100"/>
              <w:spacing w:after="0" w:line="194" w:lineRule="exact"/>
              <w:rPr>
                <w:sz w:val="20"/>
                <w:szCs w:val="20"/>
                <w:color w:val="auto"/>
              </w:rPr>
            </w:pPr>
            <w:r>
              <w:rPr>
                <w:rFonts w:ascii="Arial" w:cs="Arial" w:eastAsia="Arial" w:hAnsi="Arial"/>
                <w:sz w:val="17"/>
                <w:szCs w:val="17"/>
                <w:b w:val="1"/>
                <w:bCs w:val="1"/>
                <w:color w:val="auto"/>
              </w:rPr>
              <w:t>collateral</w:t>
            </w:r>
          </w:p>
        </w:tc>
        <w:tc>
          <w:tcPr>
            <w:tcW w:w="960" w:type="dxa"/>
            <w:vAlign w:val="bottom"/>
          </w:tcPr>
          <w:p>
            <w:pPr>
              <w:ind w:left="80"/>
              <w:spacing w:after="0" w:line="194" w:lineRule="exact"/>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7"/>
                <w:szCs w:val="17"/>
                <w:b w:val="1"/>
                <w:bCs w:val="1"/>
                <w:color w:val="auto"/>
              </w:rPr>
              <w:t>Details</w:t>
            </w:r>
          </w:p>
        </w:tc>
        <w:tc>
          <w:tcPr>
            <w:tcW w:w="1860" w:type="dxa"/>
            <w:vAlign w:val="bottom"/>
            <w:gridSpan w:val="2"/>
          </w:tcPr>
          <w:p>
            <w:pPr>
              <w:ind w:left="80"/>
              <w:spacing w:after="0"/>
              <w:rPr>
                <w:sz w:val="20"/>
                <w:szCs w:val="20"/>
                <w:color w:val="auto"/>
              </w:rPr>
            </w:pPr>
            <w:r>
              <w:rPr>
                <w:rFonts w:ascii="Arial" w:cs="Arial" w:eastAsia="Arial" w:hAnsi="Arial"/>
                <w:sz w:val="17"/>
                <w:szCs w:val="17"/>
                <w:b w:val="1"/>
                <w:bCs w:val="1"/>
                <w:color w:val="auto"/>
              </w:rPr>
              <w:t>liabilities</w:t>
            </w:r>
          </w:p>
        </w:tc>
        <w:tc>
          <w:tcPr>
            <w:tcW w:w="1700" w:type="dxa"/>
            <w:vAlign w:val="bottom"/>
            <w:gridSpan w:val="2"/>
          </w:tcPr>
          <w:p>
            <w:pPr>
              <w:ind w:left="100"/>
              <w:spacing w:after="0"/>
              <w:rPr>
                <w:sz w:val="20"/>
                <w:szCs w:val="20"/>
                <w:color w:val="auto"/>
              </w:rPr>
            </w:pPr>
            <w:r>
              <w:rPr>
                <w:rFonts w:ascii="Arial" w:cs="Arial" w:eastAsia="Arial" w:hAnsi="Arial"/>
                <w:sz w:val="17"/>
                <w:szCs w:val="17"/>
                <w:b w:val="1"/>
                <w:bCs w:val="1"/>
                <w:color w:val="auto"/>
              </w:rPr>
              <w:t>position</w:t>
            </w:r>
          </w:p>
        </w:tc>
        <w:tc>
          <w:tcPr>
            <w:tcW w:w="1420" w:type="dxa"/>
            <w:vAlign w:val="bottom"/>
            <w:gridSpan w:val="2"/>
          </w:tcPr>
          <w:p>
            <w:pPr>
              <w:ind w:left="80"/>
              <w:spacing w:after="0"/>
              <w:rPr>
                <w:sz w:val="20"/>
                <w:szCs w:val="20"/>
                <w:color w:val="auto"/>
              </w:rPr>
            </w:pPr>
            <w:r>
              <w:rPr>
                <w:rFonts w:ascii="Arial" w:cs="Arial" w:eastAsia="Arial" w:hAnsi="Arial"/>
                <w:sz w:val="17"/>
                <w:szCs w:val="17"/>
                <w:b w:val="1"/>
                <w:bCs w:val="1"/>
                <w:color w:val="auto"/>
              </w:rPr>
              <w:t>instruments</w:t>
            </w:r>
          </w:p>
        </w:tc>
        <w:tc>
          <w:tcPr>
            <w:tcW w:w="1200" w:type="dxa"/>
            <w:vAlign w:val="bottom"/>
            <w:gridSpan w:val="2"/>
          </w:tcPr>
          <w:p>
            <w:pPr>
              <w:ind w:left="100"/>
              <w:spacing w:after="0"/>
              <w:rPr>
                <w:sz w:val="20"/>
                <w:szCs w:val="20"/>
                <w:color w:val="auto"/>
              </w:rPr>
            </w:pPr>
            <w:r>
              <w:rPr>
                <w:rFonts w:ascii="Arial" w:cs="Arial" w:eastAsia="Arial" w:hAnsi="Arial"/>
                <w:sz w:val="17"/>
                <w:szCs w:val="17"/>
                <w:b w:val="1"/>
                <w:bCs w:val="1"/>
                <w:color w:val="auto"/>
              </w:rPr>
              <w:t>pledged</w:t>
            </w:r>
          </w:p>
        </w:tc>
        <w:tc>
          <w:tcPr>
            <w:tcW w:w="960" w:type="dxa"/>
            <w:vAlign w:val="bottom"/>
          </w:tcPr>
          <w:p>
            <w:pPr>
              <w:ind w:left="80"/>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136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S/(000)</w:t>
            </w:r>
          </w:p>
        </w:tc>
        <w:tc>
          <w:tcPr>
            <w:tcW w:w="500" w:type="dxa"/>
            <w:vAlign w:val="bottom"/>
          </w:tcPr>
          <w:p>
            <w:pPr>
              <w:spacing w:after="0"/>
              <w:rPr>
                <w:sz w:val="16"/>
                <w:szCs w:val="16"/>
                <w:color w:val="auto"/>
              </w:rPr>
            </w:pPr>
          </w:p>
        </w:tc>
        <w:tc>
          <w:tcPr>
            <w:tcW w:w="144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17"/>
                <w:szCs w:val="17"/>
                <w:b w:val="1"/>
                <w:bCs w:val="1"/>
                <w:color w:val="auto"/>
              </w:rPr>
              <w:t>S/(000)</w:t>
            </w:r>
          </w:p>
        </w:tc>
        <w:tc>
          <w:tcPr>
            <w:tcW w:w="260" w:type="dxa"/>
            <w:vAlign w:val="bottom"/>
          </w:tcPr>
          <w:p>
            <w:pPr>
              <w:spacing w:after="0"/>
              <w:rPr>
                <w:sz w:val="16"/>
                <w:szCs w:val="16"/>
                <w:color w:val="auto"/>
              </w:rPr>
            </w:pPr>
          </w:p>
        </w:tc>
        <w:tc>
          <w:tcPr>
            <w:tcW w:w="118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6"/>
                <w:szCs w:val="16"/>
                <w:color w:val="auto"/>
              </w:rPr>
            </w:pPr>
          </w:p>
        </w:tc>
        <w:tc>
          <w:tcPr>
            <w:tcW w:w="94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17"/>
                <w:szCs w:val="17"/>
                <w:b w:val="1"/>
                <w:bCs w:val="1"/>
                <w:color w:val="auto"/>
              </w:rPr>
              <w:t>S/(000)</w:t>
            </w:r>
          </w:p>
        </w:tc>
        <w:tc>
          <w:tcPr>
            <w:tcW w:w="260" w:type="dxa"/>
            <w:vAlign w:val="bottom"/>
          </w:tcPr>
          <w:p>
            <w:pPr>
              <w:spacing w:after="0"/>
              <w:rPr>
                <w:sz w:val="16"/>
                <w:szCs w:val="16"/>
                <w:color w:val="auto"/>
              </w:rPr>
            </w:pPr>
          </w:p>
        </w:tc>
        <w:tc>
          <w:tcPr>
            <w:tcW w:w="960" w:type="dxa"/>
            <w:vAlign w:val="bottom"/>
            <w:tcBorders>
              <w:top w:val="single" w:sz="8" w:color="auto"/>
            </w:tcBorders>
          </w:tcPr>
          <w:p>
            <w:pPr>
              <w:ind w:left="80"/>
              <w:spacing w:after="0" w:line="186" w:lineRule="exact"/>
              <w:rPr>
                <w:sz w:val="20"/>
                <w:szCs w:val="20"/>
                <w:color w:val="auto"/>
              </w:rPr>
            </w:pPr>
            <w:r>
              <w:rPr>
                <w:rFonts w:ascii="Arial" w:cs="Arial" w:eastAsia="Arial" w:hAnsi="Arial"/>
                <w:sz w:val="17"/>
                <w:szCs w:val="17"/>
                <w:b w:val="1"/>
                <w:bCs w:val="1"/>
                <w:color w:val="auto"/>
              </w:rPr>
              <w:t>S/(000)</w:t>
            </w:r>
          </w:p>
        </w:tc>
        <w:tc>
          <w:tcPr>
            <w:tcW w:w="0" w:type="dxa"/>
            <w:vAlign w:val="bottom"/>
          </w:tcPr>
          <w:p>
            <w:pPr>
              <w:spacing w:after="0"/>
              <w:rPr>
                <w:sz w:val="1"/>
                <w:szCs w:val="1"/>
                <w:color w:val="auto"/>
              </w:rPr>
            </w:pPr>
          </w:p>
        </w:tc>
      </w:tr>
      <w:tr>
        <w:trPr>
          <w:trHeight w:val="194"/>
        </w:trPr>
        <w:tc>
          <w:tcPr>
            <w:tcW w:w="2980" w:type="dxa"/>
            <w:vAlign w:val="bottom"/>
          </w:tcPr>
          <w:p>
            <w:pPr>
              <w:spacing w:after="0" w:line="194" w:lineRule="exact"/>
              <w:rPr>
                <w:sz w:val="20"/>
                <w:szCs w:val="20"/>
                <w:color w:val="auto"/>
              </w:rPr>
            </w:pPr>
            <w:r>
              <w:rPr>
                <w:rFonts w:ascii="Arial" w:cs="Arial" w:eastAsia="Arial" w:hAnsi="Arial"/>
                <w:sz w:val="17"/>
                <w:szCs w:val="17"/>
                <w:color w:val="auto"/>
              </w:rPr>
              <w:t>Payables on derivatives</w:t>
            </w: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1,524,761</w:t>
            </w:r>
          </w:p>
        </w:tc>
        <w:tc>
          <w:tcPr>
            <w:tcW w:w="500" w:type="dxa"/>
            <w:vAlign w:val="bottom"/>
          </w:tcPr>
          <w:p>
            <w:pPr>
              <w:spacing w:after="0"/>
              <w:rPr>
                <w:sz w:val="16"/>
                <w:szCs w:val="16"/>
                <w:color w:val="auto"/>
              </w:rPr>
            </w:pPr>
          </w:p>
        </w:tc>
        <w:tc>
          <w:tcPr>
            <w:tcW w:w="1440" w:type="dxa"/>
            <w:vAlign w:val="bottom"/>
          </w:tcPr>
          <w:p>
            <w:pPr>
              <w:jc w:val="right"/>
              <w:spacing w:after="0" w:line="194" w:lineRule="exact"/>
              <w:rPr>
                <w:sz w:val="20"/>
                <w:szCs w:val="20"/>
                <w:color w:val="auto"/>
              </w:rPr>
            </w:pPr>
            <w:r>
              <w:rPr>
                <w:rFonts w:ascii="Arial" w:cs="Arial" w:eastAsia="Arial" w:hAnsi="Arial"/>
                <w:sz w:val="17"/>
                <w:szCs w:val="17"/>
                <w:color w:val="auto"/>
              </w:rPr>
              <w:t>1,524,761</w:t>
            </w:r>
          </w:p>
        </w:tc>
        <w:tc>
          <w:tcPr>
            <w:tcW w:w="260" w:type="dxa"/>
            <w:vAlign w:val="bottom"/>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237,575</w:t>
            </w:r>
          </w:p>
        </w:tc>
        <w:tc>
          <w:tcPr>
            <w:tcW w:w="240" w:type="dxa"/>
            <w:vAlign w:val="bottom"/>
          </w:tcPr>
          <w:p>
            <w:pPr>
              <w:spacing w:after="0"/>
              <w:rPr>
                <w:sz w:val="16"/>
                <w:szCs w:val="16"/>
                <w:color w:val="auto"/>
              </w:rPr>
            </w:pPr>
          </w:p>
        </w:tc>
        <w:tc>
          <w:tcPr>
            <w:tcW w:w="120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(428,672)</w:t>
            </w:r>
          </w:p>
        </w:tc>
        <w:tc>
          <w:tcPr>
            <w:tcW w:w="960" w:type="dxa"/>
            <w:vAlign w:val="bottom"/>
          </w:tcPr>
          <w:p>
            <w:pPr>
              <w:ind w:left="80"/>
              <w:spacing w:after="0" w:line="194" w:lineRule="exact"/>
              <w:rPr>
                <w:sz w:val="20"/>
                <w:szCs w:val="20"/>
                <w:color w:val="auto"/>
              </w:rPr>
            </w:pPr>
            <w:r>
              <w:rPr>
                <w:rFonts w:ascii="Arial" w:cs="Arial" w:eastAsia="Arial" w:hAnsi="Arial"/>
                <w:sz w:val="17"/>
                <w:szCs w:val="17"/>
                <w:color w:val="auto"/>
              </w:rPr>
              <w:t>1,333,664</w:t>
            </w:r>
          </w:p>
        </w:tc>
        <w:tc>
          <w:tcPr>
            <w:tcW w:w="0" w:type="dxa"/>
            <w:vAlign w:val="bottom"/>
          </w:tcPr>
          <w:p>
            <w:pPr>
              <w:spacing w:after="0"/>
              <w:rPr>
                <w:sz w:val="1"/>
                <w:szCs w:val="1"/>
                <w:color w:val="auto"/>
              </w:rPr>
            </w:pPr>
          </w:p>
        </w:tc>
      </w:tr>
      <w:tr>
        <w:trPr>
          <w:trHeight w:val="194"/>
        </w:trPr>
        <w:tc>
          <w:tcPr>
            <w:tcW w:w="2980" w:type="dxa"/>
            <w:vAlign w:val="bottom"/>
          </w:tcPr>
          <w:p>
            <w:pPr>
              <w:spacing w:after="0" w:line="194" w:lineRule="exact"/>
              <w:rPr>
                <w:sz w:val="20"/>
                <w:szCs w:val="20"/>
                <w:color w:val="auto"/>
              </w:rPr>
            </w:pPr>
            <w:r>
              <w:rPr>
                <w:rFonts w:ascii="Arial" w:cs="Arial" w:eastAsia="Arial" w:hAnsi="Arial"/>
                <w:sz w:val="17"/>
                <w:szCs w:val="17"/>
                <w:color w:val="auto"/>
              </w:rPr>
              <w:t>Payables on repurchase agreements</w:t>
            </w: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160"/>
              <w:spacing w:after="0"/>
              <w:rPr>
                <w:sz w:val="20"/>
                <w:szCs w:val="20"/>
                <w:color w:val="auto"/>
              </w:rPr>
            </w:pPr>
            <w:r>
              <w:rPr>
                <w:rFonts w:ascii="Arial" w:cs="Arial" w:eastAsia="Arial" w:hAnsi="Arial"/>
                <w:sz w:val="17"/>
                <w:szCs w:val="17"/>
                <w:color w:val="auto"/>
              </w:rPr>
              <w:t>and securites lending</w:t>
            </w:r>
          </w:p>
        </w:tc>
        <w:tc>
          <w:tcPr>
            <w:tcW w:w="1360" w:type="dxa"/>
            <w:vAlign w:val="bottom"/>
          </w:tcPr>
          <w:p>
            <w:pPr>
              <w:jc w:val="right"/>
              <w:spacing w:after="0"/>
              <w:rPr>
                <w:sz w:val="20"/>
                <w:szCs w:val="20"/>
                <w:color w:val="auto"/>
              </w:rPr>
            </w:pPr>
            <w:r>
              <w:rPr>
                <w:rFonts w:ascii="Arial" w:cs="Arial" w:eastAsia="Arial" w:hAnsi="Arial"/>
                <w:sz w:val="17"/>
                <w:szCs w:val="17"/>
                <w:color w:val="auto"/>
              </w:rPr>
              <w:t>22,013,866</w:t>
            </w:r>
          </w:p>
        </w:tc>
        <w:tc>
          <w:tcPr>
            <w:tcW w:w="5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22,013,866</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(17,698,069)</w:t>
            </w:r>
          </w:p>
        </w:tc>
        <w:tc>
          <w:tcPr>
            <w:tcW w:w="24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(1,080,616)</w:t>
            </w:r>
          </w:p>
        </w:tc>
        <w:tc>
          <w:tcPr>
            <w:tcW w:w="960" w:type="dxa"/>
            <w:vAlign w:val="bottom"/>
          </w:tcPr>
          <w:p>
            <w:pPr>
              <w:ind w:left="80"/>
              <w:spacing w:after="0"/>
              <w:rPr>
                <w:sz w:val="20"/>
                <w:szCs w:val="20"/>
                <w:color w:val="auto"/>
              </w:rPr>
            </w:pPr>
            <w:r>
              <w:rPr>
                <w:rFonts w:ascii="Arial" w:cs="Arial" w:eastAsia="Arial" w:hAnsi="Arial"/>
                <w:sz w:val="17"/>
                <w:szCs w:val="17"/>
                <w:color w:val="auto"/>
              </w:rPr>
              <w:t>3,235,181</w:t>
            </w:r>
          </w:p>
        </w:tc>
        <w:tc>
          <w:tcPr>
            <w:tcW w:w="0" w:type="dxa"/>
            <w:vAlign w:val="bottom"/>
          </w:tcPr>
          <w:p>
            <w:pPr>
              <w:spacing w:after="0"/>
              <w:rPr>
                <w:sz w:val="1"/>
                <w:szCs w:val="1"/>
                <w:color w:val="auto"/>
              </w:rPr>
            </w:pPr>
          </w:p>
        </w:tc>
      </w:tr>
      <w:tr>
        <w:trPr>
          <w:trHeight w:val="193"/>
        </w:trPr>
        <w:tc>
          <w:tcPr>
            <w:tcW w:w="2980" w:type="dxa"/>
            <w:vAlign w:val="bottom"/>
          </w:tcPr>
          <w:p>
            <w:pPr>
              <w:spacing w:after="0" w:line="187" w:lineRule="exact"/>
              <w:rPr>
                <w:sz w:val="20"/>
                <w:szCs w:val="20"/>
                <w:color w:val="auto"/>
              </w:rPr>
            </w:pPr>
            <w:r>
              <w:rPr>
                <w:rFonts w:ascii="Arial" w:cs="Arial" w:eastAsia="Arial" w:hAnsi="Arial"/>
                <w:sz w:val="17"/>
                <w:szCs w:val="17"/>
                <w:b w:val="1"/>
                <w:bCs w:val="1"/>
                <w:color w:val="auto"/>
              </w:rPr>
              <w:t>Total</w:t>
            </w:r>
          </w:p>
        </w:tc>
        <w:tc>
          <w:tcPr>
            <w:tcW w:w="136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23,538,627</w:t>
            </w:r>
          </w:p>
        </w:tc>
        <w:tc>
          <w:tcPr>
            <w:tcW w:w="5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23,538,627</w:t>
            </w:r>
          </w:p>
        </w:tc>
        <w:tc>
          <w:tcPr>
            <w:tcW w:w="26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(17,460,494)</w:t>
            </w:r>
          </w:p>
        </w:tc>
        <w:tc>
          <w:tcPr>
            <w:tcW w:w="2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(1,509,288)</w:t>
            </w:r>
          </w:p>
        </w:tc>
        <w:tc>
          <w:tcPr>
            <w:tcW w:w="260" w:type="dxa"/>
            <w:vAlign w:val="bottom"/>
          </w:tcPr>
          <w:p>
            <w:pPr>
              <w:spacing w:after="0"/>
              <w:rPr>
                <w:sz w:val="16"/>
                <w:szCs w:val="16"/>
                <w:color w:val="auto"/>
              </w:rPr>
            </w:pPr>
          </w:p>
        </w:tc>
        <w:tc>
          <w:tcPr>
            <w:tcW w:w="960" w:type="dxa"/>
            <w:vAlign w:val="bottom"/>
            <w:tcBorders>
              <w:top w:val="single" w:sz="8" w:color="auto"/>
              <w:bottom w:val="single" w:sz="8" w:color="auto"/>
            </w:tcBorders>
          </w:tcPr>
          <w:p>
            <w:pPr>
              <w:ind w:left="80"/>
              <w:spacing w:after="0" w:line="187" w:lineRule="exact"/>
              <w:rPr>
                <w:sz w:val="20"/>
                <w:szCs w:val="20"/>
                <w:color w:val="auto"/>
              </w:rPr>
            </w:pPr>
            <w:r>
              <w:rPr>
                <w:rFonts w:ascii="Arial" w:cs="Arial" w:eastAsia="Arial" w:hAnsi="Arial"/>
                <w:sz w:val="17"/>
                <w:szCs w:val="17"/>
                <w:color w:val="auto"/>
              </w:rPr>
              <w:t>4,568,845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
        <w:spacing w:after="0" w:line="254" w:lineRule="auto"/>
        <w:rPr>
          <w:sz w:val="20"/>
          <w:szCs w:val="20"/>
          <w:color w:val="auto"/>
        </w:rPr>
      </w:pPr>
      <w:r>
        <w:rPr>
          <w:rFonts w:ascii="Arial" w:cs="Arial" w:eastAsia="Arial" w:hAnsi="Arial"/>
          <w:sz w:val="17"/>
          <w:szCs w:val="17"/>
          <w:color w:val="auto"/>
        </w:rPr>
        <w:t>The gross amounts of financial assets and liabilities disclosed in the above tables have been measured in the consolidated statement of financial position on the following basis:</w:t>
      </w:r>
    </w:p>
    <w:p>
      <w:pPr>
        <w:spacing w:after="0" w:line="168" w:lineRule="exact"/>
        <w:rPr>
          <w:sz w:val="20"/>
          <w:szCs w:val="20"/>
          <w:color w:val="auto"/>
        </w:rPr>
      </w:pPr>
    </w:p>
    <w:p>
      <w:pPr>
        <w:ind w:left="304" w:hanging="304"/>
        <w:spacing w:after="0"/>
        <w:tabs>
          <w:tab w:leader="none" w:pos="30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Derivative assets and liabilities are measured at fair value.</w:t>
      </w:r>
    </w:p>
    <w:p>
      <w:pPr>
        <w:ind w:left="304" w:hanging="304"/>
        <w:spacing w:after="0" w:line="238" w:lineRule="auto"/>
        <w:tabs>
          <w:tab w:leader="none" w:pos="30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Receivables from reverse repurchase agreements and securities lending are measured at amortized cost.</w:t>
      </w:r>
    </w:p>
    <w:p>
      <w:pPr>
        <w:ind w:left="304" w:hanging="304"/>
        <w:spacing w:after="0"/>
        <w:tabs>
          <w:tab w:leader="none" w:pos="30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Financial liabilities are measured at fair value.</w:t>
      </w:r>
    </w:p>
    <w:p>
      <w:pPr>
        <w:spacing w:after="0" w:line="193" w:lineRule="exact"/>
        <w:rPr>
          <w:sz w:val="20"/>
          <w:szCs w:val="20"/>
          <w:color w:val="auto"/>
        </w:rPr>
      </w:pPr>
    </w:p>
    <w:p>
      <w:pPr>
        <w:jc w:val="both"/>
        <w:ind w:left="4"/>
        <w:spacing w:after="0" w:line="243" w:lineRule="auto"/>
        <w:rPr>
          <w:sz w:val="20"/>
          <w:szCs w:val="20"/>
          <w:color w:val="auto"/>
        </w:rPr>
      </w:pPr>
      <w:r>
        <w:rPr>
          <w:rFonts w:ascii="Arial" w:cs="Arial" w:eastAsia="Arial" w:hAnsi="Arial"/>
          <w:sz w:val="17"/>
          <w:szCs w:val="17"/>
          <w:color w:val="auto"/>
        </w:rPr>
        <w:t>The difference between the carrying amount in the consolidated statement of financial position and the amounts presented in the tables above for derivatives (presented in other assets Note 13(c)), receivables from reverse repurchase agreement and securities borrowing and payables from repurchase agreements and securities lending and financial liabilities measured at fair value through profit or loss are financial instruments outside of the scope of offsetting disclosure.</w:t>
      </w:r>
    </w:p>
    <w:p>
      <w:pPr>
        <w:spacing w:after="0" w:line="154" w:lineRule="exact"/>
        <w:rPr>
          <w:sz w:val="20"/>
          <w:szCs w:val="20"/>
          <w:color w:val="auto"/>
        </w:rPr>
      </w:pPr>
    </w:p>
    <w:p>
      <w:pPr>
        <w:ind w:left="4444"/>
        <w:spacing w:after="0"/>
        <w:rPr>
          <w:sz w:val="20"/>
          <w:szCs w:val="20"/>
          <w:color w:val="auto"/>
        </w:rPr>
      </w:pPr>
      <w:r>
        <w:rPr>
          <w:rFonts w:ascii="Arial" w:cs="Arial" w:eastAsia="Arial" w:hAnsi="Arial"/>
          <w:sz w:val="17"/>
          <w:szCs w:val="17"/>
          <w:color w:val="auto"/>
        </w:rPr>
        <w:t>- 159 -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140" w:right="339" w:bottom="1440" w:gutter="0" w:footer="0" w:header="0"/>
        </w:sectPr>
      </w:pPr>
    </w:p>
    <w:bookmarkStart w:id="164" w:name="page165"/>
    <w:bookmarkEnd w:id="164"/>
    <w:p>
      <w:pPr>
        <w:spacing w:after="0"/>
        <w:tabs>
          <w:tab w:leader="none" w:pos="600" w:val="left"/>
        </w:tabs>
        <w:rPr>
          <w:sz w:val="20"/>
          <w:szCs w:val="20"/>
          <w:color w:val="auto"/>
        </w:rPr>
      </w:pPr>
      <w:r>
        <w:rPr>
          <w:rFonts w:ascii="Arial" w:cs="Arial" w:eastAsia="Arial" w:hAnsi="Arial"/>
          <w:sz w:val="17"/>
          <w:szCs w:val="17"/>
          <w:b w:val="1"/>
          <w:bCs w:val="1"/>
          <w:color w:val="auto"/>
        </w:rPr>
        <w:t>34.2</w:t>
        <w:tab/>
        <w:t>Market risk -</w:t>
      </w:r>
    </w:p>
    <w:p>
      <w:pPr>
        <w:spacing w:after="0" w:line="214" w:lineRule="exact"/>
        <w:rPr>
          <w:sz w:val="20"/>
          <w:szCs w:val="20"/>
          <w:color w:val="auto"/>
        </w:rPr>
      </w:pPr>
    </w:p>
    <w:p>
      <w:pPr>
        <w:jc w:val="both"/>
        <w:ind w:left="620"/>
        <w:spacing w:after="0" w:line="242" w:lineRule="auto"/>
        <w:rPr>
          <w:sz w:val="20"/>
          <w:szCs w:val="20"/>
          <w:color w:val="auto"/>
        </w:rPr>
      </w:pPr>
      <w:r>
        <w:rPr>
          <w:rFonts w:ascii="Arial" w:cs="Arial" w:eastAsia="Arial" w:hAnsi="Arial"/>
          <w:sz w:val="17"/>
          <w:szCs w:val="17"/>
          <w:color w:val="auto"/>
        </w:rPr>
        <w:t>The Group has exposure to market risk,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order of the Group’s current activities, commodity price risk has not been approved, so this type of instrument is not agreed.</w:t>
      </w:r>
    </w:p>
    <w:p>
      <w:pPr>
        <w:spacing w:after="0" w:line="180" w:lineRule="exact"/>
        <w:rPr>
          <w:sz w:val="20"/>
          <w:szCs w:val="20"/>
          <w:color w:val="auto"/>
        </w:rPr>
      </w:pPr>
    </w:p>
    <w:p>
      <w:pPr>
        <w:jc w:val="both"/>
        <w:ind w:left="620"/>
        <w:spacing w:after="0" w:line="242" w:lineRule="auto"/>
        <w:rPr>
          <w:sz w:val="20"/>
          <w:szCs w:val="20"/>
          <w:color w:val="auto"/>
        </w:rPr>
      </w:pPr>
      <w:r>
        <w:rPr>
          <w:rFonts w:ascii="Arial" w:cs="Arial" w:eastAsia="Arial" w:hAnsi="Arial"/>
          <w:sz w:val="17"/>
          <w:szCs w:val="17"/>
          <w:color w:val="auto"/>
        </w:rPr>
        <w:t>The Group separates exposures to market risk in two groups: (i) those that arise from value fluctuation of trading portfolios recognized at fair value through profit or loss due to movements of market rates or prices (Trading Book) and (ii) those that arise from changes in the structural positions of non-trading portfolios due to movements of the interest rates, prices and foreign exchange ratios (Banking Book) and that are recorded at amortized cost and at fair value through other comprehensive income, this is due to movements in interest rates, prices and currency exchange rates.</w:t>
      </w:r>
    </w:p>
    <w:p>
      <w:pPr>
        <w:spacing w:after="0" w:line="180"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The risks that trading portfolios face are managed through Value at Risk (VaR) historical simulation techniques; while non-trading portfolios (Banking Book) are monitored using rate sensitivity metrics, which are a part of Asset and Liability Management (ALM).</w:t>
      </w:r>
    </w:p>
    <w:p>
      <w:pPr>
        <w:spacing w:after="0" w:line="169" w:lineRule="exact"/>
        <w:rPr>
          <w:sz w:val="20"/>
          <w:szCs w:val="20"/>
          <w:color w:val="auto"/>
        </w:rPr>
      </w:pPr>
    </w:p>
    <w:p>
      <w:pPr>
        <w:ind w:left="940" w:hanging="315"/>
        <w:spacing w:after="0"/>
        <w:tabs>
          <w:tab w:leader="none" w:pos="9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Trading Book –</w:t>
      </w:r>
    </w:p>
    <w:p>
      <w:pPr>
        <w:spacing w:after="0" w:line="193" w:lineRule="exact"/>
        <w:rPr>
          <w:rFonts w:ascii="Arial" w:cs="Arial" w:eastAsia="Arial" w:hAnsi="Arial"/>
          <w:sz w:val="17"/>
          <w:szCs w:val="17"/>
          <w:color w:val="auto"/>
        </w:rPr>
      </w:pPr>
    </w:p>
    <w:p>
      <w:pPr>
        <w:jc w:val="both"/>
        <w:ind w:left="940"/>
        <w:spacing w:after="0" w:line="246" w:lineRule="auto"/>
        <w:rPr>
          <w:rFonts w:ascii="Arial" w:cs="Arial" w:eastAsia="Arial" w:hAnsi="Arial"/>
          <w:sz w:val="17"/>
          <w:szCs w:val="17"/>
          <w:color w:val="auto"/>
        </w:rPr>
      </w:pPr>
      <w:r>
        <w:rPr>
          <w:rFonts w:ascii="Arial" w:cs="Arial" w:eastAsia="Arial" w:hAnsi="Arial"/>
          <w:sz w:val="17"/>
          <w:szCs w:val="17"/>
          <w:color w:val="auto"/>
        </w:rPr>
        <w:t>The trading book is characterized for having liquid positions in stocks, bonds, foreign currencies and derivatives, arising from market-making transactions where the Group acts as principal with the customers or with the market. This portfolio includes investments and derivatives classified by Management as held for trading.</w:t>
      </w:r>
    </w:p>
    <w:p>
      <w:pPr>
        <w:spacing w:after="0" w:line="175" w:lineRule="exact"/>
        <w:rPr>
          <w:rFonts w:ascii="Arial" w:cs="Arial" w:eastAsia="Arial" w:hAnsi="Arial"/>
          <w:sz w:val="17"/>
          <w:szCs w:val="17"/>
          <w:color w:val="auto"/>
        </w:rPr>
      </w:pPr>
    </w:p>
    <w:p>
      <w:pPr>
        <w:ind w:left="1240" w:hanging="304"/>
        <w:spacing w:after="0"/>
        <w:tabs>
          <w:tab w:leader="none" w:pos="124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Value at Risk (VaR) -</w:t>
      </w:r>
    </w:p>
    <w:p>
      <w:pPr>
        <w:spacing w:after="0" w:line="193" w:lineRule="exact"/>
        <w:rPr>
          <w:rFonts w:ascii="Arial" w:cs="Arial" w:eastAsia="Arial" w:hAnsi="Arial"/>
          <w:sz w:val="17"/>
          <w:szCs w:val="17"/>
          <w:color w:val="auto"/>
        </w:rPr>
      </w:pPr>
    </w:p>
    <w:p>
      <w:pPr>
        <w:jc w:val="both"/>
        <w:ind w:left="1240"/>
        <w:spacing w:after="0" w:line="246" w:lineRule="auto"/>
        <w:rPr>
          <w:rFonts w:ascii="Arial" w:cs="Arial" w:eastAsia="Arial" w:hAnsi="Arial"/>
          <w:sz w:val="17"/>
          <w:szCs w:val="17"/>
          <w:color w:val="auto"/>
        </w:rPr>
      </w:pPr>
      <w:r>
        <w:rPr>
          <w:rFonts w:ascii="Arial" w:cs="Arial" w:eastAsia="Arial" w:hAnsi="Arial"/>
          <w:sz w:val="17"/>
          <w:szCs w:val="17"/>
          <w:color w:val="auto"/>
        </w:rPr>
        <w:t>The Group applies the VaR approach to its trading portfolio to estimate the market risk of the main positions held and the maximum losses that are expected, based upon a number of assumptions for various changes in market conditions and considering the risk appetite of the subsidiary.</w:t>
      </w:r>
    </w:p>
    <w:p>
      <w:pPr>
        <w:spacing w:after="0" w:line="175" w:lineRule="exact"/>
        <w:rPr>
          <w:rFonts w:ascii="Arial" w:cs="Arial" w:eastAsia="Arial" w:hAnsi="Arial"/>
          <w:sz w:val="17"/>
          <w:szCs w:val="17"/>
          <w:color w:val="auto"/>
        </w:rPr>
      </w:pPr>
    </w:p>
    <w:p>
      <w:pPr>
        <w:ind w:left="1240"/>
        <w:spacing w:after="0" w:line="254" w:lineRule="auto"/>
        <w:rPr>
          <w:rFonts w:ascii="Arial" w:cs="Arial" w:eastAsia="Arial" w:hAnsi="Arial"/>
          <w:sz w:val="17"/>
          <w:szCs w:val="17"/>
          <w:color w:val="auto"/>
        </w:rPr>
      </w:pPr>
      <w:r>
        <w:rPr>
          <w:rFonts w:ascii="Arial" w:cs="Arial" w:eastAsia="Arial" w:hAnsi="Arial"/>
          <w:sz w:val="17"/>
          <w:szCs w:val="17"/>
          <w:color w:val="auto"/>
        </w:rPr>
        <w:t>Daily calculation of VaR is a statistically based estimate of the maximum potential loss on the current portfolio from adverse market movements.</w:t>
      </w:r>
    </w:p>
    <w:p>
      <w:pPr>
        <w:spacing w:after="0" w:line="169" w:lineRule="exact"/>
        <w:rPr>
          <w:rFonts w:ascii="Arial" w:cs="Arial" w:eastAsia="Arial" w:hAnsi="Arial"/>
          <w:sz w:val="17"/>
          <w:szCs w:val="17"/>
          <w:color w:val="auto"/>
        </w:rPr>
      </w:pPr>
    </w:p>
    <w:p>
      <w:pPr>
        <w:jc w:val="both"/>
        <w:ind w:left="1240"/>
        <w:spacing w:after="0" w:line="246" w:lineRule="auto"/>
        <w:rPr>
          <w:rFonts w:ascii="Arial" w:cs="Arial" w:eastAsia="Arial" w:hAnsi="Arial"/>
          <w:sz w:val="17"/>
          <w:szCs w:val="17"/>
          <w:color w:val="auto"/>
        </w:rPr>
      </w:pPr>
      <w:r>
        <w:rPr>
          <w:rFonts w:ascii="Arial" w:cs="Arial" w:eastAsia="Arial" w:hAnsi="Arial"/>
          <w:sz w:val="17"/>
          <w:szCs w:val="17"/>
          <w:color w:val="auto"/>
        </w:rPr>
        <w:t>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75" w:lineRule="exact"/>
        <w:rPr>
          <w:rFonts w:ascii="Arial" w:cs="Arial" w:eastAsia="Arial" w:hAnsi="Arial"/>
          <w:sz w:val="17"/>
          <w:szCs w:val="17"/>
          <w:color w:val="auto"/>
        </w:rPr>
      </w:pPr>
    </w:p>
    <w:p>
      <w:pPr>
        <w:jc w:val="both"/>
        <w:ind w:left="1240"/>
        <w:spacing w:after="0" w:line="242" w:lineRule="auto"/>
        <w:rPr>
          <w:rFonts w:ascii="Arial" w:cs="Arial" w:eastAsia="Arial" w:hAnsi="Arial"/>
          <w:sz w:val="17"/>
          <w:szCs w:val="17"/>
          <w:color w:val="auto"/>
        </w:rPr>
      </w:pPr>
      <w:r>
        <w:rPr>
          <w:rFonts w:ascii="Arial" w:cs="Arial" w:eastAsia="Arial" w:hAnsi="Arial"/>
          <w:sz w:val="17"/>
          <w:szCs w:val="17"/>
          <w:color w:val="auto"/>
        </w:rPr>
        <w:t>The time horizon used to calculate VaR is one day; however, the one-day VAR is amplified to a 10-day time frame and calculated by multiplying the one-day VaR by the square root of 10. This adjustment will be accurate only if the changes in the portfolio in the following days have a normal distribution independent and identically distributed; because of that, the result is multiplied by a non-normality adjustment factor. The limits and consumptions of the VaR are established based on the risk appetite and the trading strategies of each subsidiary.</w:t>
      </w:r>
    </w:p>
    <w:p>
      <w:pPr>
        <w:spacing w:after="0" w:line="180" w:lineRule="exact"/>
        <w:rPr>
          <w:rFonts w:ascii="Arial" w:cs="Arial" w:eastAsia="Arial" w:hAnsi="Arial"/>
          <w:sz w:val="17"/>
          <w:szCs w:val="17"/>
          <w:color w:val="auto"/>
        </w:rPr>
      </w:pPr>
    </w:p>
    <w:p>
      <w:pPr>
        <w:jc w:val="both"/>
        <w:ind w:left="1240"/>
        <w:spacing w:after="0" w:line="246" w:lineRule="auto"/>
        <w:rPr>
          <w:rFonts w:ascii="Arial" w:cs="Arial" w:eastAsia="Arial" w:hAnsi="Arial"/>
          <w:sz w:val="17"/>
          <w:szCs w:val="17"/>
          <w:color w:val="auto"/>
        </w:rPr>
      </w:pPr>
      <w:r>
        <w:rPr>
          <w:rFonts w:ascii="Arial" w:cs="Arial" w:eastAsia="Arial" w:hAnsi="Arial"/>
          <w:sz w:val="17"/>
          <w:szCs w:val="17"/>
          <w:color w:val="auto"/>
        </w:rPr>
        <w:t>The evaluation of the movements of the trading portfolio has been based on annual historical information and 133 market risk factors, which are detailed below: 36 market curves, 71 stock prices, 22 mutual fund values and 4 series of volatility. The Group directly applies these historical changes in rates to each position in its current portfolio (method known as historical simulation).</w:t>
      </w:r>
    </w:p>
    <w:p>
      <w:pPr>
        <w:spacing w:after="0" w:line="150" w:lineRule="exact"/>
        <w:rPr>
          <w:rFonts w:ascii="Arial" w:cs="Arial" w:eastAsia="Arial" w:hAnsi="Arial"/>
          <w:sz w:val="17"/>
          <w:szCs w:val="17"/>
          <w:color w:val="auto"/>
        </w:rPr>
      </w:pPr>
    </w:p>
    <w:p>
      <w:pPr>
        <w:ind w:left="5480" w:hanging="105"/>
        <w:spacing w:after="0"/>
        <w:tabs>
          <w:tab w:leader="none" w:pos="5480" w:val="left"/>
        </w:tabs>
        <w:numPr>
          <w:ilvl w:val="2"/>
          <w:numId w:val="199"/>
        </w:numPr>
        <w:rPr>
          <w:rFonts w:ascii="Arial" w:cs="Arial" w:eastAsia="Arial" w:hAnsi="Arial"/>
          <w:sz w:val="17"/>
          <w:szCs w:val="17"/>
          <w:color w:val="auto"/>
        </w:rPr>
      </w:pPr>
      <w:r>
        <w:rPr>
          <w:rFonts w:ascii="Arial" w:cs="Arial" w:eastAsia="Arial" w:hAnsi="Arial"/>
          <w:sz w:val="17"/>
          <w:szCs w:val="17"/>
          <w:color w:val="auto"/>
        </w:rPr>
        <w:t>160 -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jc w:val="both"/>
        <w:ind w:left="620"/>
        <w:spacing w:after="0" w:line="253" w:lineRule="auto"/>
        <w:rPr>
          <w:sz w:val="20"/>
          <w:szCs w:val="20"/>
          <w:color w:val="auto"/>
        </w:rPr>
      </w:pPr>
      <w:r>
        <w:rPr>
          <w:rFonts w:ascii="Arial" w:cs="Arial" w:eastAsia="Arial" w:hAnsi="Arial"/>
          <w:sz w:val="17"/>
          <w:szCs w:val="17"/>
          <w:color w:val="auto"/>
        </w:rPr>
        <w:t>The Group Management considers that the market risk factors, incorporated in their VaR model, are adequate to measure the market risk to which its trading portfolio is exposed.</w:t>
      </w:r>
    </w:p>
    <w:p>
      <w:pPr>
        <w:spacing w:after="0" w:line="170" w:lineRule="exact"/>
        <w:rPr>
          <w:sz w:val="20"/>
          <w:szCs w:val="20"/>
          <w:color w:val="auto"/>
        </w:rPr>
      </w:pPr>
    </w:p>
    <w:p>
      <w:pPr>
        <w:jc w:val="both"/>
        <w:ind w:left="620"/>
        <w:spacing w:after="0" w:line="242" w:lineRule="auto"/>
        <w:rPr>
          <w:sz w:val="20"/>
          <w:szCs w:val="20"/>
          <w:color w:val="auto"/>
        </w:rPr>
      </w:pPr>
      <w:r>
        <w:rPr>
          <w:rFonts w:ascii="Arial" w:cs="Arial" w:eastAsia="Arial" w:hAnsi="Arial"/>
          <w:sz w:val="17"/>
          <w:szCs w:val="17"/>
          <w:color w:val="auto"/>
        </w:rPr>
        <w:t>The use of this approach does not prevent losses outside of these limits in the event of more significant market movements. Losses exceeding the VaR figure may occur, on average under normal market conditions, not more than once every hundred days. VaR limits have been established to control and keep track of all the risks taken. These risks arise from the size of the positions and/or the volatility of the risk factors embedded in each financial instrument. Regular reports are prepared for the Treasury Risk Committee and ALM, the Risk Management Committee and Senior Management.</w:t>
      </w:r>
    </w:p>
    <w:p>
      <w:pPr>
        <w:spacing w:after="0" w:line="180"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VaR results are used to generate economic capital estimates by market risk, which are periodically monitored and are part of the overall risk appetite of each subsidiary. Furthermore, at Group level, there is also a limit to the risk appetite of the trading portfolio, which is monitored and informed to the Treasury Risks and ALM Credicorp Committee.</w:t>
      </w:r>
    </w:p>
    <w:p>
      <w:pPr>
        <w:spacing w:after="0" w:line="176"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In VaR calculation, the effects of the exchange rate are not included because said effects are measured in the net monetary position, see note 34.2 (b)(ii).</w:t>
      </w:r>
    </w:p>
    <w:p>
      <w:pPr>
        <w:spacing w:after="0" w:line="169"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The Group's VaR showed an increase as of December 31, 2022, mainly explained by higher rate risk due to the increase in exposure to fixed income instruments in the Colombian market. The VaR remained contained within the risk appetite limits established by the Risk Management of each Subsidiary.</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8"/>
        </w:trPr>
        <w:tc>
          <w:tcPr>
            <w:tcW w:w="6580" w:type="dxa"/>
            <w:vAlign w:val="bottom"/>
            <w:gridSpan w:val="2"/>
          </w:tcPr>
          <w:p>
            <w:pPr>
              <w:spacing w:after="0"/>
              <w:rPr>
                <w:sz w:val="20"/>
                <w:szCs w:val="20"/>
                <w:color w:val="auto"/>
              </w:rPr>
            </w:pPr>
            <w:r>
              <w:rPr>
                <w:rFonts w:ascii="Arial" w:cs="Arial" w:eastAsia="Arial" w:hAnsi="Arial"/>
                <w:sz w:val="17"/>
                <w:szCs w:val="17"/>
                <w:color w:val="auto"/>
              </w:rPr>
              <w:t>As of December 31, 2022, and 2021, the Group’s VaR by risk type is as follows: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75"/>
        </w:trPr>
        <w:tc>
          <w:tcPr>
            <w:tcW w:w="6580" w:type="dxa"/>
            <w:vAlign w:val="bottom"/>
            <w:gridSpan w:val="2"/>
          </w:tcPr>
          <w:p>
            <w:pPr>
              <w:ind w:left="5960"/>
              <w:spacing w:after="0"/>
              <w:rPr>
                <w:sz w:val="20"/>
                <w:szCs w:val="20"/>
                <w:color w:val="auto"/>
              </w:rPr>
            </w:pPr>
            <w:r>
              <w:rPr>
                <w:rFonts w:ascii="Arial" w:cs="Arial" w:eastAsia="Arial" w:hAnsi="Arial"/>
                <w:sz w:val="17"/>
                <w:szCs w:val="17"/>
                <w:b w:val="1"/>
                <w:bCs w:val="1"/>
                <w:color w:val="auto"/>
              </w:rPr>
              <w:t>2022</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7"/>
                <w:szCs w:val="17"/>
                <w:b w:val="1"/>
                <w:bCs w:val="1"/>
                <w:color w:val="auto"/>
              </w:rPr>
              <w:t>2021</w:t>
            </w:r>
          </w:p>
        </w:tc>
      </w:tr>
      <w:tr>
        <w:trPr>
          <w:trHeight w:val="223"/>
        </w:trPr>
        <w:tc>
          <w:tcPr>
            <w:tcW w:w="5860" w:type="dxa"/>
            <w:vAlign w:val="bottom"/>
          </w:tcPr>
          <w:p>
            <w:pPr>
              <w:spacing w:after="0"/>
              <w:rPr>
                <w:sz w:val="19"/>
                <w:szCs w:val="19"/>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S/(000)</w:t>
            </w:r>
          </w:p>
        </w:tc>
      </w:tr>
      <w:tr>
        <w:trPr>
          <w:trHeight w:val="352"/>
        </w:trPr>
        <w:tc>
          <w:tcPr>
            <w:tcW w:w="6580" w:type="dxa"/>
            <w:vAlign w:val="bottom"/>
            <w:gridSpan w:val="2"/>
          </w:tcPr>
          <w:p>
            <w:pPr>
              <w:spacing w:after="0"/>
              <w:rPr>
                <w:sz w:val="20"/>
                <w:szCs w:val="20"/>
                <w:color w:val="auto"/>
              </w:rPr>
            </w:pPr>
            <w:r>
              <w:rPr>
                <w:rFonts w:ascii="Arial" w:cs="Arial" w:eastAsia="Arial" w:hAnsi="Arial"/>
                <w:sz w:val="17"/>
                <w:szCs w:val="17"/>
                <w:color w:val="auto"/>
              </w:rPr>
              <w:t>Interest rate risk</w:t>
            </w: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74,343</w:t>
            </w:r>
          </w:p>
        </w:tc>
        <w:tc>
          <w:tcPr>
            <w:tcW w:w="260" w:type="dxa"/>
            <w:vAlign w:val="bottom"/>
          </w:tcPr>
          <w:p>
            <w:pPr>
              <w:spacing w:after="0"/>
              <w:rPr>
                <w:sz w:val="24"/>
                <w:szCs w:val="24"/>
                <w:color w:val="auto"/>
              </w:rPr>
            </w:pPr>
          </w:p>
        </w:tc>
        <w:tc>
          <w:tcPr>
            <w:tcW w:w="1440" w:type="dxa"/>
            <w:vAlign w:val="bottom"/>
          </w:tcPr>
          <w:p>
            <w:pPr>
              <w:jc w:val="right"/>
              <w:ind w:right="14"/>
              <w:spacing w:after="0"/>
              <w:rPr>
                <w:sz w:val="20"/>
                <w:szCs w:val="20"/>
                <w:color w:val="auto"/>
              </w:rPr>
            </w:pPr>
            <w:r>
              <w:rPr>
                <w:rFonts w:ascii="Arial" w:cs="Arial" w:eastAsia="Arial" w:hAnsi="Arial"/>
                <w:sz w:val="17"/>
                <w:szCs w:val="17"/>
                <w:color w:val="auto"/>
              </w:rPr>
              <w:t>35,721</w:t>
            </w:r>
          </w:p>
        </w:tc>
      </w:tr>
      <w:tr>
        <w:trPr>
          <w:trHeight w:val="194"/>
        </w:trPr>
        <w:tc>
          <w:tcPr>
            <w:tcW w:w="6580" w:type="dxa"/>
            <w:vAlign w:val="bottom"/>
            <w:gridSpan w:val="2"/>
          </w:tcPr>
          <w:p>
            <w:pPr>
              <w:spacing w:after="0" w:line="194" w:lineRule="exact"/>
              <w:rPr>
                <w:sz w:val="20"/>
                <w:szCs w:val="20"/>
                <w:color w:val="auto"/>
              </w:rPr>
            </w:pPr>
            <w:r>
              <w:rPr>
                <w:rFonts w:ascii="Arial" w:cs="Arial" w:eastAsia="Arial" w:hAnsi="Arial"/>
                <w:sz w:val="17"/>
                <w:szCs w:val="17"/>
                <w:color w:val="auto"/>
              </w:rPr>
              <w:t>Price risk</w:t>
            </w:r>
          </w:p>
        </w:tc>
        <w:tc>
          <w:tcPr>
            <w:tcW w:w="7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5,219</w:t>
            </w:r>
          </w:p>
        </w:tc>
        <w:tc>
          <w:tcPr>
            <w:tcW w:w="260" w:type="dxa"/>
            <w:vAlign w:val="bottom"/>
          </w:tcPr>
          <w:p>
            <w:pPr>
              <w:spacing w:after="0"/>
              <w:rPr>
                <w:sz w:val="16"/>
                <w:szCs w:val="16"/>
                <w:color w:val="auto"/>
              </w:rPr>
            </w:pPr>
          </w:p>
        </w:tc>
        <w:tc>
          <w:tcPr>
            <w:tcW w:w="14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4,637</w:t>
            </w:r>
          </w:p>
        </w:tc>
      </w:tr>
      <w:tr>
        <w:trPr>
          <w:trHeight w:val="194"/>
        </w:trPr>
        <w:tc>
          <w:tcPr>
            <w:tcW w:w="6580" w:type="dxa"/>
            <w:vAlign w:val="bottom"/>
            <w:gridSpan w:val="2"/>
          </w:tcPr>
          <w:p>
            <w:pPr>
              <w:spacing w:after="0" w:line="194" w:lineRule="exact"/>
              <w:rPr>
                <w:sz w:val="20"/>
                <w:szCs w:val="20"/>
                <w:color w:val="auto"/>
              </w:rPr>
            </w:pPr>
            <w:r>
              <w:rPr>
                <w:rFonts w:ascii="Arial" w:cs="Arial" w:eastAsia="Arial" w:hAnsi="Arial"/>
                <w:sz w:val="17"/>
                <w:szCs w:val="17"/>
                <w:color w:val="auto"/>
              </w:rPr>
              <w:t>Volatility risk</w:t>
            </w:r>
          </w:p>
        </w:tc>
        <w:tc>
          <w:tcPr>
            <w:tcW w:w="7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2,032</w:t>
            </w:r>
          </w:p>
        </w:tc>
        <w:tc>
          <w:tcPr>
            <w:tcW w:w="260" w:type="dxa"/>
            <w:vAlign w:val="bottom"/>
          </w:tcPr>
          <w:p>
            <w:pPr>
              <w:spacing w:after="0"/>
              <w:rPr>
                <w:sz w:val="16"/>
                <w:szCs w:val="16"/>
                <w:color w:val="auto"/>
              </w:rPr>
            </w:pPr>
          </w:p>
        </w:tc>
        <w:tc>
          <w:tcPr>
            <w:tcW w:w="14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2,662</w:t>
            </w:r>
          </w:p>
        </w:tc>
      </w:tr>
      <w:tr>
        <w:trPr>
          <w:trHeight w:val="195"/>
        </w:trPr>
        <w:tc>
          <w:tcPr>
            <w:tcW w:w="6580" w:type="dxa"/>
            <w:vAlign w:val="bottom"/>
            <w:gridSpan w:val="2"/>
          </w:tcPr>
          <w:p>
            <w:pPr>
              <w:spacing w:after="0"/>
              <w:rPr>
                <w:sz w:val="20"/>
                <w:szCs w:val="20"/>
                <w:color w:val="auto"/>
              </w:rPr>
            </w:pPr>
            <w:r>
              <w:rPr>
                <w:rFonts w:ascii="Arial" w:cs="Arial" w:eastAsia="Arial" w:hAnsi="Arial"/>
                <w:sz w:val="17"/>
                <w:szCs w:val="17"/>
                <w:color w:val="auto"/>
              </w:rPr>
              <w:t>Diversification effect</w:t>
            </w: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(7,347)</w:t>
            </w:r>
          </w:p>
        </w:tc>
        <w:tc>
          <w:tcPr>
            <w:tcW w:w="260" w:type="dxa"/>
            <w:vAlign w:val="bottom"/>
          </w:tcPr>
          <w:p>
            <w:pPr>
              <w:spacing w:after="0"/>
              <w:rPr>
                <w:sz w:val="16"/>
                <w:szCs w:val="16"/>
                <w:color w:val="auto"/>
              </w:rPr>
            </w:pPr>
          </w:p>
        </w:tc>
        <w:tc>
          <w:tcPr>
            <w:tcW w:w="1440" w:type="dxa"/>
            <w:vAlign w:val="bottom"/>
          </w:tcPr>
          <w:p>
            <w:pPr>
              <w:jc w:val="right"/>
              <w:ind w:right="14"/>
              <w:spacing w:after="0"/>
              <w:rPr>
                <w:sz w:val="20"/>
                <w:szCs w:val="20"/>
                <w:color w:val="auto"/>
              </w:rPr>
            </w:pPr>
            <w:r>
              <w:rPr>
                <w:rFonts w:ascii="Arial" w:cs="Arial" w:eastAsia="Arial" w:hAnsi="Arial"/>
                <w:sz w:val="17"/>
                <w:szCs w:val="17"/>
                <w:color w:val="auto"/>
              </w:rPr>
              <w:t>(4,916)</w:t>
            </w:r>
          </w:p>
        </w:tc>
      </w:tr>
      <w:tr>
        <w:trPr>
          <w:trHeight w:val="193"/>
        </w:trPr>
        <w:tc>
          <w:tcPr>
            <w:tcW w:w="5860" w:type="dxa"/>
            <w:vAlign w:val="bottom"/>
          </w:tcPr>
          <w:p>
            <w:pPr>
              <w:spacing w:after="0" w:line="187" w:lineRule="exact"/>
              <w:rPr>
                <w:sz w:val="20"/>
                <w:szCs w:val="20"/>
                <w:color w:val="auto"/>
              </w:rPr>
            </w:pPr>
            <w:r>
              <w:rPr>
                <w:rFonts w:ascii="Arial" w:cs="Arial" w:eastAsia="Arial" w:hAnsi="Arial"/>
                <w:sz w:val="17"/>
                <w:szCs w:val="17"/>
                <w:color w:val="auto"/>
              </w:rPr>
              <w:t>Consolidated VaR by type of risk</w:t>
            </w:r>
          </w:p>
        </w:tc>
        <w:tc>
          <w:tcPr>
            <w:tcW w:w="7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74,247</w:t>
            </w:r>
          </w:p>
        </w:tc>
        <w:tc>
          <w:tcPr>
            <w:tcW w:w="26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ind w:right="14"/>
              <w:spacing w:after="0" w:line="187" w:lineRule="exact"/>
              <w:rPr>
                <w:sz w:val="20"/>
                <w:szCs w:val="20"/>
                <w:color w:val="auto"/>
              </w:rPr>
            </w:pPr>
            <w:r>
              <w:rPr>
                <w:rFonts w:ascii="Arial" w:cs="Arial" w:eastAsia="Arial" w:hAnsi="Arial"/>
                <w:sz w:val="17"/>
                <w:szCs w:val="17"/>
                <w:color w:val="auto"/>
              </w:rPr>
              <w:t>38,104</w:t>
            </w:r>
          </w:p>
        </w:tc>
      </w:tr>
    </w:tbl>
    <w:p>
      <w:pPr>
        <w:spacing w:after="0" w:line="193"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On the other hand, the instruments recorded as fair values through profit or loss are not part of the selling business model and are considered as part of the sensitivity analysis of rates in the next section. See the table of sensitivity of earnings at risk, net economic value and price sensitivity.</w:t>
      </w:r>
    </w:p>
    <w:p>
      <w:pPr>
        <w:spacing w:after="0" w:line="176"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color w:val="auto"/>
        </w:rPr>
        <w:t>b)</w:t>
        <w:tab/>
        <w:t>Banking Book –</w:t>
      </w:r>
    </w:p>
    <w:p>
      <w:pPr>
        <w:spacing w:after="0" w:line="193" w:lineRule="exact"/>
        <w:rPr>
          <w:sz w:val="20"/>
          <w:szCs w:val="20"/>
          <w:color w:val="auto"/>
        </w:rPr>
      </w:pPr>
    </w:p>
    <w:p>
      <w:pPr>
        <w:jc w:val="both"/>
        <w:ind w:left="320"/>
        <w:spacing w:after="0" w:line="246" w:lineRule="auto"/>
        <w:rPr>
          <w:sz w:val="20"/>
          <w:szCs w:val="20"/>
          <w:color w:val="auto"/>
        </w:rPr>
      </w:pPr>
      <w:r>
        <w:rPr>
          <w:rFonts w:ascii="Arial" w:cs="Arial" w:eastAsia="Arial" w:hAnsi="Arial"/>
          <w:sz w:val="17"/>
          <w:szCs w:val="17"/>
          <w:color w:val="auto"/>
        </w:rPr>
        <w:t>Non-trading portfolios which comprise the Banking Book are exposed to different risks, given that they are sensitive to market rate movements, which could bring about a deterioration in the value of assets compared to liabilities and hence to a reduction of their net worth.</w:t>
      </w:r>
    </w:p>
    <w:p>
      <w:pPr>
        <w:spacing w:after="0" w:line="176" w:lineRule="exact"/>
        <w:rPr>
          <w:sz w:val="20"/>
          <w:szCs w:val="20"/>
          <w:color w:val="auto"/>
        </w:rPr>
      </w:pPr>
    </w:p>
    <w:p>
      <w:pPr>
        <w:ind w:left="320" w:hanging="315"/>
        <w:spacing w:after="0"/>
        <w:tabs>
          <w:tab w:leader="none" w:pos="3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Interest rate risk –</w:t>
      </w:r>
    </w:p>
    <w:p>
      <w:pPr>
        <w:spacing w:after="0" w:line="193" w:lineRule="exact"/>
        <w:rPr>
          <w:rFonts w:ascii="Arial" w:cs="Arial" w:eastAsia="Arial" w:hAnsi="Arial"/>
          <w:sz w:val="17"/>
          <w:szCs w:val="17"/>
          <w:color w:val="auto"/>
        </w:rPr>
      </w:pPr>
    </w:p>
    <w:p>
      <w:pPr>
        <w:jc w:val="both"/>
        <w:ind w:left="320"/>
        <w:spacing w:after="0" w:line="246" w:lineRule="auto"/>
        <w:rPr>
          <w:rFonts w:ascii="Arial" w:cs="Arial" w:eastAsia="Arial" w:hAnsi="Arial"/>
          <w:sz w:val="17"/>
          <w:szCs w:val="17"/>
          <w:color w:val="auto"/>
        </w:rPr>
      </w:pPr>
      <w:r>
        <w:rPr>
          <w:rFonts w:ascii="Arial" w:cs="Arial" w:eastAsia="Arial" w:hAnsi="Arial"/>
          <w:sz w:val="17"/>
          <w:szCs w:val="17"/>
          <w:color w:val="auto"/>
        </w:rPr>
        <w:t>The Banking Book-related interest rate risk arises from eventual changes in interest rates that may adversely affect the expected gains (risk gains) or market value of financial assets and liabilities reported on the balance sheet (net economic value). The Group assumes the exposure to the interest rate risk that may affect their fair value as well as the cash flow risk of future assets and liabilities.</w:t>
      </w:r>
    </w:p>
    <w:p>
      <w:pPr>
        <w:spacing w:after="0" w:line="175" w:lineRule="exact"/>
        <w:rPr>
          <w:rFonts w:ascii="Arial" w:cs="Arial" w:eastAsia="Arial" w:hAnsi="Arial"/>
          <w:sz w:val="17"/>
          <w:szCs w:val="17"/>
          <w:color w:val="auto"/>
        </w:rPr>
      </w:pPr>
    </w:p>
    <w:p>
      <w:pPr>
        <w:ind w:left="320"/>
        <w:spacing w:after="0" w:line="254" w:lineRule="auto"/>
        <w:rPr>
          <w:rFonts w:ascii="Arial" w:cs="Arial" w:eastAsia="Arial" w:hAnsi="Arial"/>
          <w:sz w:val="17"/>
          <w:szCs w:val="17"/>
          <w:color w:val="auto"/>
        </w:rPr>
      </w:pPr>
      <w:r>
        <w:rPr>
          <w:rFonts w:ascii="Arial" w:cs="Arial" w:eastAsia="Arial" w:hAnsi="Arial"/>
          <w:sz w:val="17"/>
          <w:szCs w:val="17"/>
          <w:color w:val="auto"/>
        </w:rPr>
        <w:t>The Risk Committee sets the guidelines regarding the level of unmatched repricing of interest rates that can be tolerated, which is periodically monitored through ALCO.</w:t>
      </w:r>
    </w:p>
    <w:p>
      <w:pPr>
        <w:spacing w:after="0" w:line="143" w:lineRule="exact"/>
        <w:rPr>
          <w:rFonts w:ascii="Arial" w:cs="Arial" w:eastAsia="Arial" w:hAnsi="Arial"/>
          <w:sz w:val="17"/>
          <w:szCs w:val="17"/>
          <w:color w:val="auto"/>
        </w:rPr>
      </w:pPr>
    </w:p>
    <w:p>
      <w:pPr>
        <w:ind w:left="4860" w:hanging="105"/>
        <w:spacing w:after="0"/>
        <w:tabs>
          <w:tab w:leader="none" w:pos="486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161 -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140" w:right="339" w:bottom="1440" w:gutter="0" w:footer="0" w:header="0"/>
        </w:sectPr>
      </w:pPr>
    </w:p>
    <w:bookmarkStart w:id="166" w:name="page167"/>
    <w:bookmarkEnd w:id="166"/>
    <w:p>
      <w:pPr>
        <w:jc w:val="both"/>
        <w:spacing w:after="0" w:line="253" w:lineRule="auto"/>
        <w:rPr>
          <w:sz w:val="20"/>
          <w:szCs w:val="20"/>
          <w:color w:val="auto"/>
        </w:rPr>
      </w:pPr>
      <w:r>
        <w:rPr>
          <w:rFonts w:ascii="Arial" w:cs="Arial" w:eastAsia="Arial" w:hAnsi="Arial"/>
          <w:sz w:val="17"/>
          <w:szCs w:val="17"/>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this regard, Group companies that are exposed to the interest rate risk are those that have yields based on interest, such as credits, investments and technical reserves. Interest rate risk management in BCP, BCB, MiBanco – Banco de la Microempresa, , Mibanco – Banco de la Microempresa de Colombia, ASB Bank Corp. and Pacífico Seguros is carried out by performing a repricing gap analysis, sensitivity analysis of the financial margin and sensitivity analysis of the net economic value (NEV). These calculations consider different rate shocks in stress scenarios.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Analysis of repricing gap –</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repricing gap analysis is intended to measure the risk exposure of interest rate for repricing periods, in which both balance and out of balance assets and liabilities are grouped. This allows identifying those sections in which the rate variations would have a potential impact.</w:t>
      </w:r>
    </w:p>
    <w:p>
      <w:pPr>
        <w:spacing w:after="0" w:line="150"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- 162 -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0"/>
          </w:cols>
          <w:pgMar w:left="1260" w:top="140" w:right="339" w:bottom="1440" w:gutter="0" w:footer="0" w:header="0"/>
        </w:sectPr>
      </w:pPr>
    </w:p>
    <w:bookmarkStart w:id="167" w:name="page168"/>
    <w:bookmarkEnd w:id="167"/>
    <w:p>
      <w:pPr>
        <w:spacing w:after="0" w:line="252" w:lineRule="auto"/>
        <w:rPr>
          <w:sz w:val="20"/>
          <w:szCs w:val="20"/>
          <w:color w:val="auto"/>
        </w:rPr>
      </w:pPr>
      <w:r>
        <w:rPr>
          <w:rFonts w:ascii="Arial" w:cs="Arial" w:eastAsia="Arial" w:hAnsi="Arial"/>
          <w:sz w:val="17"/>
          <w:szCs w:val="17"/>
          <w:color w:val="auto"/>
        </w:rPr>
        <w:t>The table below summarizes the Group’s exposure to interest rate risks. It includes the Group’s financial instruments at carrying amounts, categorized by the earlier of contractual re-pricing or maturity dates, what occurs first: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20" w:type="dxa"/>
            <w:vAlign w:val="bottom"/>
          </w:tcPr>
          <w:p>
            <w:pPr>
              <w:spacing w:after="0"/>
              <w:rPr>
                <w:sz w:val="14"/>
                <w:szCs w:val="1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100" w:type="dxa"/>
            <w:vAlign w:val="bottom"/>
            <w:gridSpan w:val="2"/>
          </w:tcPr>
          <w:p>
            <w:pPr>
              <w:ind w:left="80"/>
              <w:spacing w:after="0" w:line="137" w:lineRule="exact"/>
              <w:rPr>
                <w:sz w:val="20"/>
                <w:szCs w:val="20"/>
                <w:color w:val="auto"/>
              </w:rPr>
            </w:pPr>
            <w:r>
              <w:rPr>
                <w:rFonts w:ascii="Arial" w:cs="Arial" w:eastAsia="Arial" w:hAnsi="Arial"/>
                <w:sz w:val="14"/>
                <w:szCs w:val="14"/>
                <w:b w:val="1"/>
                <w:bCs w:val="1"/>
                <w:color w:val="auto"/>
              </w:rPr>
              <w:t>Up to 1</w:t>
            </w:r>
          </w:p>
        </w:tc>
        <w:tc>
          <w:tcPr>
            <w:tcW w:w="1120" w:type="dxa"/>
            <w:vAlign w:val="bottom"/>
            <w:gridSpan w:val="2"/>
          </w:tcPr>
          <w:p>
            <w:pPr>
              <w:ind w:left="100"/>
              <w:spacing w:after="0" w:line="137" w:lineRule="exact"/>
              <w:rPr>
                <w:sz w:val="20"/>
                <w:szCs w:val="20"/>
                <w:color w:val="auto"/>
              </w:rPr>
            </w:pPr>
            <w:r>
              <w:rPr>
                <w:rFonts w:ascii="Arial" w:cs="Arial" w:eastAsia="Arial" w:hAnsi="Arial"/>
                <w:sz w:val="14"/>
                <w:szCs w:val="14"/>
                <w:b w:val="1"/>
                <w:bCs w:val="1"/>
                <w:color w:val="auto"/>
              </w:rPr>
              <w:t>1 to 3</w:t>
            </w:r>
          </w:p>
        </w:tc>
        <w:tc>
          <w:tcPr>
            <w:tcW w:w="1120" w:type="dxa"/>
            <w:vAlign w:val="bottom"/>
            <w:gridSpan w:val="2"/>
          </w:tcPr>
          <w:p>
            <w:pPr>
              <w:ind w:left="100"/>
              <w:spacing w:after="0" w:line="137" w:lineRule="exact"/>
              <w:rPr>
                <w:sz w:val="20"/>
                <w:szCs w:val="20"/>
                <w:color w:val="auto"/>
              </w:rPr>
            </w:pPr>
            <w:r>
              <w:rPr>
                <w:rFonts w:ascii="Arial" w:cs="Arial" w:eastAsia="Arial" w:hAnsi="Arial"/>
                <w:sz w:val="14"/>
                <w:szCs w:val="14"/>
                <w:b w:val="1"/>
                <w:bCs w:val="1"/>
                <w:color w:val="auto"/>
              </w:rPr>
              <w:t>3 to 12</w:t>
            </w:r>
          </w:p>
        </w:tc>
        <w:tc>
          <w:tcPr>
            <w:tcW w:w="1200" w:type="dxa"/>
            <w:vAlign w:val="bottom"/>
            <w:gridSpan w:val="2"/>
          </w:tcPr>
          <w:p>
            <w:pPr>
              <w:ind w:left="80"/>
              <w:spacing w:after="0" w:line="137" w:lineRule="exact"/>
              <w:rPr>
                <w:sz w:val="20"/>
                <w:szCs w:val="20"/>
                <w:color w:val="auto"/>
              </w:rPr>
            </w:pPr>
            <w:r>
              <w:rPr>
                <w:rFonts w:ascii="Arial" w:cs="Arial" w:eastAsia="Arial" w:hAnsi="Arial"/>
                <w:sz w:val="14"/>
                <w:szCs w:val="14"/>
                <w:b w:val="1"/>
                <w:bCs w:val="1"/>
                <w:color w:val="auto"/>
              </w:rPr>
              <w:t>1 to 5</w:t>
            </w:r>
          </w:p>
        </w:tc>
        <w:tc>
          <w:tcPr>
            <w:tcW w:w="1180" w:type="dxa"/>
            <w:vAlign w:val="bottom"/>
            <w:gridSpan w:val="2"/>
          </w:tcPr>
          <w:p>
            <w:pPr>
              <w:ind w:left="80"/>
              <w:spacing w:after="0" w:line="137" w:lineRule="exact"/>
              <w:rPr>
                <w:sz w:val="20"/>
                <w:szCs w:val="20"/>
                <w:color w:val="auto"/>
              </w:rPr>
            </w:pPr>
            <w:r>
              <w:rPr>
                <w:rFonts w:ascii="Arial" w:cs="Arial" w:eastAsia="Arial" w:hAnsi="Arial"/>
                <w:sz w:val="14"/>
                <w:szCs w:val="14"/>
                <w:b w:val="1"/>
                <w:bCs w:val="1"/>
                <w:color w:val="auto"/>
              </w:rPr>
              <w:t>More than</w:t>
            </w:r>
          </w:p>
        </w:tc>
        <w:tc>
          <w:tcPr>
            <w:tcW w:w="1200" w:type="dxa"/>
            <w:vAlign w:val="bottom"/>
            <w:gridSpan w:val="2"/>
          </w:tcPr>
          <w:p>
            <w:pPr>
              <w:ind w:left="80"/>
              <w:spacing w:after="0" w:line="137" w:lineRule="exact"/>
              <w:rPr>
                <w:sz w:val="20"/>
                <w:szCs w:val="20"/>
                <w:color w:val="auto"/>
              </w:rPr>
            </w:pPr>
            <w:r>
              <w:rPr>
                <w:rFonts w:ascii="Arial" w:cs="Arial" w:eastAsia="Arial" w:hAnsi="Arial"/>
                <w:sz w:val="14"/>
                <w:szCs w:val="14"/>
                <w:b w:val="1"/>
                <w:bCs w:val="1"/>
                <w:color w:val="auto"/>
              </w:rPr>
              <w:t>Non-interest</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month</w:t>
            </w: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months</w:t>
            </w: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months</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bearing</w:t>
            </w: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8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5"/>
                <w:szCs w:val="15"/>
                <w:color w:val="auto"/>
              </w:rPr>
            </w:pPr>
          </w:p>
        </w:tc>
        <w:tc>
          <w:tcPr>
            <w:tcW w:w="8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5"/>
                <w:szCs w:val="15"/>
                <w:color w:val="auto"/>
              </w:rPr>
            </w:pPr>
          </w:p>
        </w:tc>
        <w:tc>
          <w:tcPr>
            <w:tcW w:w="8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5"/>
                <w:szCs w:val="15"/>
                <w:color w:val="auto"/>
              </w:rPr>
            </w:pPr>
          </w:p>
        </w:tc>
        <w:tc>
          <w:tcPr>
            <w:tcW w:w="9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5"/>
                <w:szCs w:val="15"/>
                <w:color w:val="auto"/>
              </w:rPr>
            </w:pPr>
          </w:p>
        </w:tc>
        <w:tc>
          <w:tcPr>
            <w:tcW w:w="9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5"/>
                <w:szCs w:val="15"/>
                <w:color w:val="auto"/>
              </w:rPr>
            </w:pPr>
          </w:p>
        </w:tc>
        <w:tc>
          <w:tcPr>
            <w:tcW w:w="9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5"/>
                <w:szCs w:val="15"/>
                <w:color w:val="auto"/>
              </w:rPr>
            </w:pPr>
          </w:p>
        </w:tc>
        <w:tc>
          <w:tcPr>
            <w:tcW w:w="9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34"/>
        </w:trPr>
        <w:tc>
          <w:tcPr>
            <w:tcW w:w="22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Cash and cash collateral, reverse</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160"/>
              <w:spacing w:after="0" w:line="155" w:lineRule="exact"/>
              <w:rPr>
                <w:sz w:val="20"/>
                <w:szCs w:val="20"/>
                <w:color w:val="auto"/>
              </w:rPr>
            </w:pPr>
            <w:r>
              <w:rPr>
                <w:rFonts w:ascii="Arial" w:cs="Arial" w:eastAsia="Arial" w:hAnsi="Arial"/>
                <w:sz w:val="14"/>
                <w:szCs w:val="14"/>
                <w:color w:val="auto"/>
              </w:rPr>
              <w:t>repurchase agreements and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160"/>
              <w:spacing w:after="0" w:line="155" w:lineRule="exact"/>
              <w:rPr>
                <w:sz w:val="20"/>
                <w:szCs w:val="20"/>
                <w:color w:val="auto"/>
              </w:rPr>
            </w:pPr>
            <w:r>
              <w:rPr>
                <w:rFonts w:ascii="Arial" w:cs="Arial" w:eastAsia="Arial" w:hAnsi="Arial"/>
                <w:sz w:val="14"/>
                <w:szCs w:val="14"/>
                <w:color w:val="auto"/>
              </w:rPr>
              <w:t>securities borrowing</w:t>
            </w: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15,413,219</w:t>
            </w:r>
          </w:p>
        </w:tc>
        <w:tc>
          <w:tcPr>
            <w:tcW w:w="220" w:type="dxa"/>
            <w:vAlign w:val="bottom"/>
          </w:tcPr>
          <w:p>
            <w:pPr>
              <w:spacing w:after="0"/>
              <w:rPr>
                <w:sz w:val="13"/>
                <w:szCs w:val="13"/>
                <w:color w:val="auto"/>
              </w:rPr>
            </w:pPr>
          </w:p>
        </w:tc>
        <w:tc>
          <w:tcPr>
            <w:tcW w:w="8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1,339,844</w:t>
            </w:r>
          </w:p>
        </w:tc>
        <w:tc>
          <w:tcPr>
            <w:tcW w:w="240" w:type="dxa"/>
            <w:vAlign w:val="bottom"/>
          </w:tcPr>
          <w:p>
            <w:pPr>
              <w:spacing w:after="0"/>
              <w:rPr>
                <w:sz w:val="13"/>
                <w:szCs w:val="13"/>
                <w:color w:val="auto"/>
              </w:rPr>
            </w:pP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2,635,747</w:t>
            </w:r>
          </w:p>
        </w:tc>
        <w:tc>
          <w:tcPr>
            <w:tcW w:w="240" w:type="dxa"/>
            <w:vAlign w:val="bottom"/>
          </w:tcPr>
          <w:p>
            <w:pPr>
              <w:spacing w:after="0"/>
              <w:rPr>
                <w:sz w:val="13"/>
                <w:szCs w:val="13"/>
                <w:color w:val="auto"/>
              </w:rPr>
            </w:pPr>
          </w:p>
        </w:tc>
        <w:tc>
          <w:tcPr>
            <w:tcW w:w="9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8,875,620</w:t>
            </w:r>
          </w:p>
        </w:tc>
        <w:tc>
          <w:tcPr>
            <w:tcW w:w="240" w:type="dxa"/>
            <w:vAlign w:val="bottom"/>
          </w:tcPr>
          <w:p>
            <w:pPr>
              <w:spacing w:after="0"/>
              <w:rPr>
                <w:sz w:val="13"/>
                <w:szCs w:val="13"/>
                <w:color w:val="auto"/>
              </w:rPr>
            </w:pPr>
          </w:p>
        </w:tc>
        <w:tc>
          <w:tcPr>
            <w:tcW w:w="9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184,437</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6,836,829</w:t>
            </w:r>
          </w:p>
        </w:tc>
        <w:tc>
          <w:tcPr>
            <w:tcW w:w="240" w:type="dxa"/>
            <w:vAlign w:val="bottom"/>
          </w:tcPr>
          <w:p>
            <w:pPr>
              <w:spacing w:after="0"/>
              <w:rPr>
                <w:sz w:val="13"/>
                <w:szCs w:val="13"/>
                <w:color w:val="auto"/>
              </w:rPr>
            </w:pP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35,285,696</w:t>
            </w: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Investments</w:t>
            </w: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6,172,000</w:t>
            </w:r>
          </w:p>
        </w:tc>
        <w:tc>
          <w:tcPr>
            <w:tcW w:w="220" w:type="dxa"/>
            <w:vAlign w:val="bottom"/>
          </w:tcPr>
          <w:p>
            <w:pPr>
              <w:spacing w:after="0"/>
              <w:rPr>
                <w:sz w:val="13"/>
                <w:szCs w:val="13"/>
                <w:color w:val="auto"/>
              </w:rPr>
            </w:pPr>
          </w:p>
        </w:tc>
        <w:tc>
          <w:tcPr>
            <w:tcW w:w="8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2,549,230</w:t>
            </w:r>
          </w:p>
        </w:tc>
        <w:tc>
          <w:tcPr>
            <w:tcW w:w="240" w:type="dxa"/>
            <w:vAlign w:val="bottom"/>
          </w:tcPr>
          <w:p>
            <w:pPr>
              <w:spacing w:after="0"/>
              <w:rPr>
                <w:sz w:val="13"/>
                <w:szCs w:val="13"/>
                <w:color w:val="auto"/>
              </w:rPr>
            </w:pP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3,090,034</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10,798,265</w:t>
            </w:r>
          </w:p>
        </w:tc>
        <w:tc>
          <w:tcPr>
            <w:tcW w:w="240" w:type="dxa"/>
            <w:vAlign w:val="bottom"/>
          </w:tcPr>
          <w:p>
            <w:pPr>
              <w:spacing w:after="0"/>
              <w:rPr>
                <w:sz w:val="13"/>
                <w:szCs w:val="13"/>
                <w:color w:val="auto"/>
              </w:rPr>
            </w:pPr>
          </w:p>
        </w:tc>
        <w:tc>
          <w:tcPr>
            <w:tcW w:w="9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18,285,331</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337,030</w:t>
            </w:r>
          </w:p>
        </w:tc>
        <w:tc>
          <w:tcPr>
            <w:tcW w:w="240" w:type="dxa"/>
            <w:vAlign w:val="bottom"/>
          </w:tcPr>
          <w:p>
            <w:pPr>
              <w:spacing w:after="0"/>
              <w:rPr>
                <w:sz w:val="13"/>
                <w:szCs w:val="13"/>
                <w:color w:val="auto"/>
              </w:rPr>
            </w:pP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41,231,890</w:t>
            </w: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Loans, net</w:t>
            </w: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18,513,077</w:t>
            </w:r>
          </w:p>
        </w:tc>
        <w:tc>
          <w:tcPr>
            <w:tcW w:w="220" w:type="dxa"/>
            <w:vAlign w:val="bottom"/>
          </w:tcPr>
          <w:p>
            <w:pPr>
              <w:spacing w:after="0"/>
              <w:rPr>
                <w:sz w:val="13"/>
                <w:szCs w:val="13"/>
                <w:color w:val="auto"/>
              </w:rPr>
            </w:pPr>
          </w:p>
        </w:tc>
        <w:tc>
          <w:tcPr>
            <w:tcW w:w="8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20,548,048</w:t>
            </w:r>
          </w:p>
        </w:tc>
        <w:tc>
          <w:tcPr>
            <w:tcW w:w="240" w:type="dxa"/>
            <w:vAlign w:val="bottom"/>
          </w:tcPr>
          <w:p>
            <w:pPr>
              <w:spacing w:after="0"/>
              <w:rPr>
                <w:sz w:val="13"/>
                <w:szCs w:val="13"/>
                <w:color w:val="auto"/>
              </w:rPr>
            </w:pP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38,917,974</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46,932,699</w:t>
            </w:r>
          </w:p>
        </w:tc>
        <w:tc>
          <w:tcPr>
            <w:tcW w:w="240" w:type="dxa"/>
            <w:vAlign w:val="bottom"/>
          </w:tcPr>
          <w:p>
            <w:pPr>
              <w:spacing w:after="0"/>
              <w:rPr>
                <w:sz w:val="13"/>
                <w:szCs w:val="13"/>
                <w:color w:val="auto"/>
              </w:rPr>
            </w:pPr>
          </w:p>
        </w:tc>
        <w:tc>
          <w:tcPr>
            <w:tcW w:w="9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15,367,868</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474,306</w:t>
            </w:r>
          </w:p>
        </w:tc>
        <w:tc>
          <w:tcPr>
            <w:tcW w:w="240" w:type="dxa"/>
            <w:vAlign w:val="bottom"/>
          </w:tcPr>
          <w:p>
            <w:pPr>
              <w:spacing w:after="0"/>
              <w:rPr>
                <w:sz w:val="13"/>
                <w:szCs w:val="13"/>
                <w:color w:val="auto"/>
              </w:rPr>
            </w:pP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140,753,972</w:t>
            </w: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Financial assets designated at fair</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768,801</w:t>
            </w:r>
          </w:p>
        </w:tc>
        <w:tc>
          <w:tcPr>
            <w:tcW w:w="240" w:type="dxa"/>
            <w:vAlign w:val="bottom"/>
          </w:tcPr>
          <w:p>
            <w:pPr>
              <w:spacing w:after="0"/>
              <w:rPr>
                <w:sz w:val="13"/>
                <w:szCs w:val="13"/>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768,801</w:t>
            </w:r>
          </w:p>
        </w:tc>
        <w:tc>
          <w:tcPr>
            <w:tcW w:w="0" w:type="dxa"/>
            <w:vAlign w:val="bottom"/>
          </w:tcPr>
          <w:p>
            <w:pPr>
              <w:spacing w:after="0"/>
              <w:rPr>
                <w:sz w:val="1"/>
                <w:szCs w:val="1"/>
                <w:color w:val="auto"/>
              </w:rPr>
            </w:pPr>
          </w:p>
        </w:tc>
      </w:tr>
      <w:tr>
        <w:trPr>
          <w:trHeight w:val="87"/>
        </w:trPr>
        <w:tc>
          <w:tcPr>
            <w:tcW w:w="2220" w:type="dxa"/>
            <w:vAlign w:val="bottom"/>
            <w:vMerge w:val="restart"/>
          </w:tcPr>
          <w:p>
            <w:pPr>
              <w:ind w:left="160"/>
              <w:spacing w:after="0" w:line="155" w:lineRule="exact"/>
              <w:rPr>
                <w:sz w:val="20"/>
                <w:szCs w:val="20"/>
                <w:color w:val="auto"/>
              </w:rPr>
            </w:pPr>
            <w:r>
              <w:rPr>
                <w:rFonts w:ascii="Arial" w:cs="Arial" w:eastAsia="Arial" w:hAnsi="Arial"/>
                <w:sz w:val="14"/>
                <w:szCs w:val="14"/>
                <w:color w:val="auto"/>
              </w:rPr>
              <w:t>value through profit or loss</w:t>
            </w:r>
          </w:p>
        </w:tc>
        <w:tc>
          <w:tcPr>
            <w:tcW w:w="1100" w:type="dxa"/>
            <w:vAlign w:val="bottom"/>
            <w:gridSpan w:val="2"/>
            <w:vMerge w:val="restart"/>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Premiums and other policies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913,124</w:t>
            </w:r>
          </w:p>
        </w:tc>
        <w:tc>
          <w:tcPr>
            <w:tcW w:w="0" w:type="dxa"/>
            <w:vAlign w:val="bottom"/>
          </w:tcPr>
          <w:p>
            <w:pPr>
              <w:spacing w:after="0"/>
              <w:rPr>
                <w:sz w:val="1"/>
                <w:szCs w:val="1"/>
                <w:color w:val="auto"/>
              </w:rPr>
            </w:pPr>
          </w:p>
        </w:tc>
      </w:tr>
      <w:tr>
        <w:trPr>
          <w:trHeight w:val="87"/>
        </w:trPr>
        <w:tc>
          <w:tcPr>
            <w:tcW w:w="2220" w:type="dxa"/>
            <w:vAlign w:val="bottom"/>
            <w:vMerge w:val="restart"/>
          </w:tcPr>
          <w:p>
            <w:pPr>
              <w:ind w:left="160"/>
              <w:spacing w:after="0" w:line="155" w:lineRule="exact"/>
              <w:rPr>
                <w:sz w:val="20"/>
                <w:szCs w:val="20"/>
                <w:color w:val="auto"/>
              </w:rPr>
            </w:pPr>
            <w:r>
              <w:rPr>
                <w:rFonts w:ascii="Arial" w:cs="Arial" w:eastAsia="Arial" w:hAnsi="Arial"/>
                <w:sz w:val="14"/>
                <w:szCs w:val="14"/>
                <w:color w:val="auto"/>
              </w:rPr>
              <w:t>receivable</w:t>
            </w: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874,575</w:t>
            </w:r>
          </w:p>
        </w:tc>
        <w:tc>
          <w:tcPr>
            <w:tcW w:w="220" w:type="dxa"/>
            <w:vAlign w:val="bottom"/>
          </w:tcPr>
          <w:p>
            <w:pPr>
              <w:spacing w:after="0"/>
              <w:rPr>
                <w:sz w:val="7"/>
                <w:szCs w:val="7"/>
                <w:color w:val="auto"/>
              </w:rPr>
            </w:pPr>
          </w:p>
        </w:tc>
        <w:tc>
          <w:tcPr>
            <w:tcW w:w="880" w:type="dxa"/>
            <w:vAlign w:val="bottom"/>
            <w:vMerge w:val="restart"/>
          </w:tcPr>
          <w:p>
            <w:pPr>
              <w:jc w:val="right"/>
              <w:ind w:right="11"/>
              <w:spacing w:after="0" w:line="155" w:lineRule="exact"/>
              <w:rPr>
                <w:sz w:val="20"/>
                <w:szCs w:val="20"/>
                <w:color w:val="auto"/>
              </w:rPr>
            </w:pPr>
            <w:r>
              <w:rPr>
                <w:rFonts w:ascii="Arial" w:cs="Arial" w:eastAsia="Arial" w:hAnsi="Arial"/>
                <w:sz w:val="14"/>
                <w:szCs w:val="14"/>
                <w:color w:val="auto"/>
              </w:rPr>
              <w:t>24,364</w:t>
            </w:r>
          </w:p>
        </w:tc>
        <w:tc>
          <w:tcPr>
            <w:tcW w:w="240" w:type="dxa"/>
            <w:vAlign w:val="bottom"/>
          </w:tcPr>
          <w:p>
            <w:pPr>
              <w:spacing w:after="0"/>
              <w:rPr>
                <w:sz w:val="7"/>
                <w:szCs w:val="7"/>
                <w:color w:val="auto"/>
              </w:rPr>
            </w:pP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9,056</w:t>
            </w:r>
          </w:p>
        </w:tc>
        <w:tc>
          <w:tcPr>
            <w:tcW w:w="240" w:type="dxa"/>
            <w:vAlign w:val="bottom"/>
          </w:tcPr>
          <w:p>
            <w:pPr>
              <w:spacing w:after="0"/>
              <w:rPr>
                <w:sz w:val="7"/>
                <w:szCs w:val="7"/>
                <w:color w:val="auto"/>
              </w:rPr>
            </w:pPr>
          </w:p>
        </w:tc>
        <w:tc>
          <w:tcPr>
            <w:tcW w:w="960" w:type="dxa"/>
            <w:vAlign w:val="bottom"/>
            <w:vMerge w:val="restart"/>
          </w:tcPr>
          <w:p>
            <w:pPr>
              <w:jc w:val="right"/>
              <w:ind w:right="11"/>
              <w:spacing w:after="0" w:line="155" w:lineRule="exact"/>
              <w:rPr>
                <w:sz w:val="20"/>
                <w:szCs w:val="20"/>
                <w:color w:val="auto"/>
              </w:rPr>
            </w:pPr>
            <w:r>
              <w:rPr>
                <w:rFonts w:ascii="Arial" w:cs="Arial" w:eastAsia="Arial" w:hAnsi="Arial"/>
                <w:sz w:val="14"/>
                <w:szCs w:val="14"/>
                <w:color w:val="auto"/>
              </w:rPr>
              <w:t>5,129</w:t>
            </w:r>
          </w:p>
        </w:tc>
        <w:tc>
          <w:tcPr>
            <w:tcW w:w="240" w:type="dxa"/>
            <w:vAlign w:val="bottom"/>
          </w:tcPr>
          <w:p>
            <w:pPr>
              <w:spacing w:after="0"/>
              <w:rPr>
                <w:sz w:val="7"/>
                <w:szCs w:val="7"/>
                <w:color w:val="auto"/>
              </w:rPr>
            </w:pPr>
          </w:p>
        </w:tc>
        <w:tc>
          <w:tcPr>
            <w:tcW w:w="1180" w:type="dxa"/>
            <w:vAlign w:val="bottom"/>
            <w:gridSpan w:val="2"/>
            <w:vMerge w:val="restart"/>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Accounts receivable from</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1,106,674</w:t>
            </w:r>
          </w:p>
        </w:tc>
        <w:tc>
          <w:tcPr>
            <w:tcW w:w="0" w:type="dxa"/>
            <w:vAlign w:val="bottom"/>
          </w:tcPr>
          <w:p>
            <w:pPr>
              <w:spacing w:after="0"/>
              <w:rPr>
                <w:sz w:val="1"/>
                <w:szCs w:val="1"/>
                <w:color w:val="auto"/>
              </w:rPr>
            </w:pPr>
          </w:p>
        </w:tc>
      </w:tr>
      <w:tr>
        <w:trPr>
          <w:trHeight w:val="87"/>
        </w:trPr>
        <w:tc>
          <w:tcPr>
            <w:tcW w:w="2220" w:type="dxa"/>
            <w:vAlign w:val="bottom"/>
            <w:vMerge w:val="restart"/>
          </w:tcPr>
          <w:p>
            <w:pPr>
              <w:ind w:left="160"/>
              <w:spacing w:after="0" w:line="155" w:lineRule="exact"/>
              <w:rPr>
                <w:sz w:val="20"/>
                <w:szCs w:val="20"/>
                <w:color w:val="auto"/>
              </w:rPr>
            </w:pPr>
            <w:r>
              <w:rPr>
                <w:rFonts w:ascii="Arial" w:cs="Arial" w:eastAsia="Arial" w:hAnsi="Arial"/>
                <w:sz w:val="14"/>
                <w:szCs w:val="14"/>
                <w:color w:val="auto"/>
              </w:rPr>
              <w:t>reinsurers and coinsurers</w:t>
            </w: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1,056</w:t>
            </w:r>
          </w:p>
        </w:tc>
        <w:tc>
          <w:tcPr>
            <w:tcW w:w="220" w:type="dxa"/>
            <w:vAlign w:val="bottom"/>
          </w:tcPr>
          <w:p>
            <w:pPr>
              <w:spacing w:after="0"/>
              <w:rPr>
                <w:sz w:val="7"/>
                <w:szCs w:val="7"/>
                <w:color w:val="auto"/>
              </w:rPr>
            </w:pPr>
          </w:p>
        </w:tc>
        <w:tc>
          <w:tcPr>
            <w:tcW w:w="880" w:type="dxa"/>
            <w:vAlign w:val="bottom"/>
            <w:vMerge w:val="restart"/>
          </w:tcPr>
          <w:p>
            <w:pPr>
              <w:jc w:val="right"/>
              <w:ind w:right="11"/>
              <w:spacing w:after="0" w:line="155" w:lineRule="exact"/>
              <w:rPr>
                <w:sz w:val="20"/>
                <w:szCs w:val="20"/>
                <w:color w:val="auto"/>
              </w:rPr>
            </w:pPr>
            <w:r>
              <w:rPr>
                <w:rFonts w:ascii="Arial" w:cs="Arial" w:eastAsia="Arial" w:hAnsi="Arial"/>
                <w:sz w:val="14"/>
                <w:szCs w:val="14"/>
                <w:color w:val="auto"/>
              </w:rPr>
              <w:t>283,959</w:t>
            </w:r>
          </w:p>
        </w:tc>
        <w:tc>
          <w:tcPr>
            <w:tcW w:w="240" w:type="dxa"/>
            <w:vAlign w:val="bottom"/>
          </w:tcPr>
          <w:p>
            <w:pPr>
              <w:spacing w:after="0"/>
              <w:rPr>
                <w:sz w:val="7"/>
                <w:szCs w:val="7"/>
                <w:color w:val="auto"/>
              </w:rPr>
            </w:pP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816,834</w:t>
            </w:r>
          </w:p>
        </w:tc>
        <w:tc>
          <w:tcPr>
            <w:tcW w:w="240" w:type="dxa"/>
            <w:vAlign w:val="bottom"/>
          </w:tcPr>
          <w:p>
            <w:pPr>
              <w:spacing w:after="0"/>
              <w:rPr>
                <w:sz w:val="7"/>
                <w:szCs w:val="7"/>
                <w:color w:val="auto"/>
              </w:rPr>
            </w:pPr>
          </w:p>
        </w:tc>
        <w:tc>
          <w:tcPr>
            <w:tcW w:w="960" w:type="dxa"/>
            <w:vAlign w:val="bottom"/>
            <w:vMerge w:val="restart"/>
          </w:tcPr>
          <w:p>
            <w:pPr>
              <w:jc w:val="right"/>
              <w:ind w:right="11"/>
              <w:spacing w:after="0" w:line="155" w:lineRule="exact"/>
              <w:rPr>
                <w:sz w:val="20"/>
                <w:szCs w:val="20"/>
                <w:color w:val="auto"/>
              </w:rPr>
            </w:pPr>
            <w:r>
              <w:rPr>
                <w:rFonts w:ascii="Arial" w:cs="Arial" w:eastAsia="Arial" w:hAnsi="Arial"/>
                <w:sz w:val="14"/>
                <w:szCs w:val="14"/>
                <w:color w:val="auto"/>
              </w:rPr>
              <w:t>3,576</w:t>
            </w:r>
          </w:p>
        </w:tc>
        <w:tc>
          <w:tcPr>
            <w:tcW w:w="240" w:type="dxa"/>
            <w:vAlign w:val="bottom"/>
          </w:tcPr>
          <w:p>
            <w:pPr>
              <w:spacing w:after="0"/>
              <w:rPr>
                <w:sz w:val="7"/>
                <w:szCs w:val="7"/>
                <w:color w:val="auto"/>
              </w:rPr>
            </w:pPr>
          </w:p>
        </w:tc>
        <w:tc>
          <w:tcPr>
            <w:tcW w:w="94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1,249</w:t>
            </w:r>
          </w:p>
        </w:tc>
        <w:tc>
          <w:tcPr>
            <w:tcW w:w="2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220" w:type="dxa"/>
            <w:vAlign w:val="bottom"/>
          </w:tcPr>
          <w:p>
            <w:pPr>
              <w:spacing w:after="0" w:line="151" w:lineRule="exact"/>
              <w:rPr>
                <w:sz w:val="20"/>
                <w:szCs w:val="20"/>
                <w:color w:val="auto"/>
              </w:rPr>
            </w:pPr>
            <w:r>
              <w:rPr>
                <w:rFonts w:ascii="Arial" w:cs="Arial" w:eastAsia="Arial" w:hAnsi="Arial"/>
                <w:sz w:val="14"/>
                <w:szCs w:val="14"/>
                <w:color w:val="auto"/>
              </w:rPr>
              <w:t>Other assets (*)</w:t>
            </w:r>
          </w:p>
        </w:tc>
        <w:tc>
          <w:tcPr>
            <w:tcW w:w="880" w:type="dxa"/>
            <w:vAlign w:val="bottom"/>
          </w:tcPr>
          <w:p>
            <w:pPr>
              <w:jc w:val="right"/>
              <w:ind w:right="31"/>
              <w:spacing w:after="0" w:line="151" w:lineRule="exact"/>
              <w:rPr>
                <w:sz w:val="20"/>
                <w:szCs w:val="20"/>
                <w:color w:val="auto"/>
              </w:rPr>
            </w:pPr>
            <w:r>
              <w:rPr>
                <w:rFonts w:ascii="Arial" w:cs="Arial" w:eastAsia="Arial" w:hAnsi="Arial"/>
                <w:sz w:val="14"/>
                <w:szCs w:val="14"/>
                <w:color w:val="auto"/>
              </w:rPr>
              <w:t>74,712</w:t>
            </w:r>
          </w:p>
        </w:tc>
        <w:tc>
          <w:tcPr>
            <w:tcW w:w="220" w:type="dxa"/>
            <w:vAlign w:val="bottom"/>
          </w:tcPr>
          <w:p>
            <w:pPr>
              <w:spacing w:after="0"/>
              <w:rPr>
                <w:sz w:val="13"/>
                <w:szCs w:val="13"/>
                <w:color w:val="auto"/>
              </w:rPr>
            </w:pPr>
          </w:p>
        </w:tc>
        <w:tc>
          <w:tcPr>
            <w:tcW w:w="1120" w:type="dxa"/>
            <w:vAlign w:val="bottom"/>
            <w:gridSpan w:val="2"/>
          </w:tcPr>
          <w:p>
            <w:pPr>
              <w:jc w:val="right"/>
              <w:ind w:right="320"/>
              <w:spacing w:after="0" w:line="151"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line="151"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40"/>
              <w:spacing w:after="0" w:line="15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line="151" w:lineRule="exact"/>
              <w:rPr>
                <w:sz w:val="20"/>
                <w:szCs w:val="20"/>
                <w:color w:val="auto"/>
              </w:rPr>
            </w:pPr>
            <w:r>
              <w:rPr>
                <w:rFonts w:ascii="Arial" w:cs="Arial" w:eastAsia="Arial" w:hAnsi="Arial"/>
                <w:sz w:val="14"/>
                <w:szCs w:val="14"/>
                <w:color w:val="auto"/>
              </w:rPr>
              <w:t>2,531,629</w:t>
            </w:r>
          </w:p>
        </w:tc>
        <w:tc>
          <w:tcPr>
            <w:tcW w:w="240" w:type="dxa"/>
            <w:vAlign w:val="bottom"/>
          </w:tcPr>
          <w:p>
            <w:pPr>
              <w:spacing w:after="0"/>
              <w:rPr>
                <w:sz w:val="13"/>
                <w:szCs w:val="13"/>
                <w:color w:val="auto"/>
              </w:rPr>
            </w:pPr>
          </w:p>
        </w:tc>
        <w:tc>
          <w:tcPr>
            <w:tcW w:w="980" w:type="dxa"/>
            <w:vAlign w:val="bottom"/>
          </w:tcPr>
          <w:p>
            <w:pPr>
              <w:jc w:val="right"/>
              <w:ind w:right="31"/>
              <w:spacing w:after="0" w:line="151" w:lineRule="exact"/>
              <w:rPr>
                <w:sz w:val="20"/>
                <w:szCs w:val="20"/>
                <w:color w:val="auto"/>
              </w:rPr>
            </w:pPr>
            <w:r>
              <w:rPr>
                <w:rFonts w:ascii="Arial" w:cs="Arial" w:eastAsia="Arial" w:hAnsi="Arial"/>
                <w:sz w:val="14"/>
                <w:szCs w:val="14"/>
                <w:color w:val="auto"/>
              </w:rPr>
              <w:t>2,606,341</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41,048,639</w:t>
            </w:r>
          </w:p>
        </w:tc>
        <w:tc>
          <w:tcPr>
            <w:tcW w:w="2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24,745,445</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45,469,645</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66,615,289</w:t>
            </w:r>
          </w:p>
        </w:tc>
        <w:tc>
          <w:tcPr>
            <w:tcW w:w="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33,838,885</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10,948,595</w:t>
            </w:r>
          </w:p>
        </w:tc>
        <w:tc>
          <w:tcPr>
            <w:tcW w:w="2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222,666,498</w:t>
            </w:r>
          </w:p>
        </w:tc>
        <w:tc>
          <w:tcPr>
            <w:tcW w:w="0" w:type="dxa"/>
            <w:vAlign w:val="bottom"/>
          </w:tcPr>
          <w:p>
            <w:pPr>
              <w:spacing w:after="0"/>
              <w:rPr>
                <w:sz w:val="1"/>
                <w:szCs w:val="1"/>
                <w:color w:val="auto"/>
              </w:rPr>
            </w:pPr>
          </w:p>
        </w:tc>
      </w:tr>
      <w:tr>
        <w:trPr>
          <w:trHeight w:val="308"/>
        </w:trPr>
        <w:tc>
          <w:tcPr>
            <w:tcW w:w="22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Deposits and obligations</w:t>
            </w: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36,293,889</w:t>
            </w:r>
          </w:p>
        </w:tc>
        <w:tc>
          <w:tcPr>
            <w:tcW w:w="220" w:type="dxa"/>
            <w:vAlign w:val="bottom"/>
          </w:tcPr>
          <w:p>
            <w:pPr>
              <w:spacing w:after="0"/>
              <w:rPr>
                <w:sz w:val="13"/>
                <w:szCs w:val="13"/>
                <w:color w:val="auto"/>
              </w:rPr>
            </w:pPr>
          </w:p>
        </w:tc>
        <w:tc>
          <w:tcPr>
            <w:tcW w:w="8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13,244,363</w:t>
            </w:r>
          </w:p>
        </w:tc>
        <w:tc>
          <w:tcPr>
            <w:tcW w:w="240" w:type="dxa"/>
            <w:vAlign w:val="bottom"/>
          </w:tcPr>
          <w:p>
            <w:pPr>
              <w:spacing w:after="0"/>
              <w:rPr>
                <w:sz w:val="13"/>
                <w:szCs w:val="13"/>
                <w:color w:val="auto"/>
              </w:rPr>
            </w:pP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24,789,328</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61,459,266</w:t>
            </w:r>
          </w:p>
        </w:tc>
        <w:tc>
          <w:tcPr>
            <w:tcW w:w="240" w:type="dxa"/>
            <w:vAlign w:val="bottom"/>
          </w:tcPr>
          <w:p>
            <w:pPr>
              <w:spacing w:after="0"/>
              <w:rPr>
                <w:sz w:val="13"/>
                <w:szCs w:val="13"/>
                <w:color w:val="auto"/>
              </w:rPr>
            </w:pPr>
          </w:p>
        </w:tc>
        <w:tc>
          <w:tcPr>
            <w:tcW w:w="9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8,201,016</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3,032,925</w:t>
            </w:r>
          </w:p>
        </w:tc>
        <w:tc>
          <w:tcPr>
            <w:tcW w:w="240" w:type="dxa"/>
            <w:vAlign w:val="bottom"/>
          </w:tcPr>
          <w:p>
            <w:pPr>
              <w:spacing w:after="0"/>
              <w:rPr>
                <w:sz w:val="13"/>
                <w:szCs w:val="13"/>
                <w:color w:val="auto"/>
              </w:rPr>
            </w:pP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147,020,787</w:t>
            </w: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Payables from repurchase</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679,951</w:t>
            </w:r>
          </w:p>
        </w:tc>
        <w:tc>
          <w:tcPr>
            <w:tcW w:w="240" w:type="dxa"/>
            <w:vAlign w:val="bottom"/>
          </w:tcPr>
          <w:p>
            <w:pPr>
              <w:spacing w:after="0"/>
              <w:rPr>
                <w:sz w:val="13"/>
                <w:szCs w:val="13"/>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21,904,136</w:t>
            </w:r>
          </w:p>
        </w:tc>
        <w:tc>
          <w:tcPr>
            <w:tcW w:w="0" w:type="dxa"/>
            <w:vAlign w:val="bottom"/>
          </w:tcPr>
          <w:p>
            <w:pPr>
              <w:spacing w:after="0"/>
              <w:rPr>
                <w:sz w:val="1"/>
                <w:szCs w:val="1"/>
                <w:color w:val="auto"/>
              </w:rPr>
            </w:pPr>
          </w:p>
        </w:tc>
      </w:tr>
      <w:tr>
        <w:trPr>
          <w:trHeight w:val="87"/>
        </w:trPr>
        <w:tc>
          <w:tcPr>
            <w:tcW w:w="2220" w:type="dxa"/>
            <w:vAlign w:val="bottom"/>
            <w:vMerge w:val="restart"/>
          </w:tcPr>
          <w:p>
            <w:pPr>
              <w:spacing w:after="0" w:line="155" w:lineRule="exact"/>
              <w:rPr>
                <w:sz w:val="20"/>
                <w:szCs w:val="20"/>
                <w:color w:val="auto"/>
              </w:rPr>
            </w:pPr>
            <w:r>
              <w:rPr>
                <w:rFonts w:ascii="Arial" w:cs="Arial" w:eastAsia="Arial" w:hAnsi="Arial"/>
                <w:sz w:val="14"/>
                <w:szCs w:val="14"/>
                <w:color w:val="auto"/>
              </w:rPr>
              <w:t>agreements and securities lending</w:t>
            </w: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2,919,374</w:t>
            </w:r>
          </w:p>
        </w:tc>
        <w:tc>
          <w:tcPr>
            <w:tcW w:w="220" w:type="dxa"/>
            <w:vAlign w:val="bottom"/>
          </w:tcPr>
          <w:p>
            <w:pPr>
              <w:spacing w:after="0"/>
              <w:rPr>
                <w:sz w:val="7"/>
                <w:szCs w:val="7"/>
                <w:color w:val="auto"/>
              </w:rPr>
            </w:pPr>
          </w:p>
        </w:tc>
        <w:tc>
          <w:tcPr>
            <w:tcW w:w="880" w:type="dxa"/>
            <w:vAlign w:val="bottom"/>
            <w:vMerge w:val="restart"/>
          </w:tcPr>
          <w:p>
            <w:pPr>
              <w:jc w:val="right"/>
              <w:ind w:right="11"/>
              <w:spacing w:after="0" w:line="155" w:lineRule="exact"/>
              <w:rPr>
                <w:sz w:val="20"/>
                <w:szCs w:val="20"/>
                <w:color w:val="auto"/>
              </w:rPr>
            </w:pPr>
            <w:r>
              <w:rPr>
                <w:rFonts w:ascii="Arial" w:cs="Arial" w:eastAsia="Arial" w:hAnsi="Arial"/>
                <w:sz w:val="14"/>
                <w:szCs w:val="14"/>
                <w:color w:val="auto"/>
              </w:rPr>
              <w:t>2,193,016</w:t>
            </w:r>
          </w:p>
        </w:tc>
        <w:tc>
          <w:tcPr>
            <w:tcW w:w="240" w:type="dxa"/>
            <w:vAlign w:val="bottom"/>
          </w:tcPr>
          <w:p>
            <w:pPr>
              <w:spacing w:after="0"/>
              <w:rPr>
                <w:sz w:val="7"/>
                <w:szCs w:val="7"/>
                <w:color w:val="auto"/>
              </w:rPr>
            </w:pP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5,582,701</w:t>
            </w:r>
          </w:p>
        </w:tc>
        <w:tc>
          <w:tcPr>
            <w:tcW w:w="240" w:type="dxa"/>
            <w:vAlign w:val="bottom"/>
          </w:tcPr>
          <w:p>
            <w:pPr>
              <w:spacing w:after="0"/>
              <w:rPr>
                <w:sz w:val="7"/>
                <w:szCs w:val="7"/>
                <w:color w:val="auto"/>
              </w:rPr>
            </w:pPr>
          </w:p>
        </w:tc>
        <w:tc>
          <w:tcPr>
            <w:tcW w:w="96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7,368,172</w:t>
            </w:r>
          </w:p>
        </w:tc>
        <w:tc>
          <w:tcPr>
            <w:tcW w:w="240" w:type="dxa"/>
            <w:vAlign w:val="bottom"/>
          </w:tcPr>
          <w:p>
            <w:pPr>
              <w:spacing w:after="0"/>
              <w:rPr>
                <w:sz w:val="7"/>
                <w:szCs w:val="7"/>
                <w:color w:val="auto"/>
              </w:rPr>
            </w:pPr>
          </w:p>
        </w:tc>
        <w:tc>
          <w:tcPr>
            <w:tcW w:w="94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3,160,922</w:t>
            </w:r>
          </w:p>
        </w:tc>
        <w:tc>
          <w:tcPr>
            <w:tcW w:w="2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Accounts payable to reinsurers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420,094</w:t>
            </w:r>
          </w:p>
        </w:tc>
        <w:tc>
          <w:tcPr>
            <w:tcW w:w="0" w:type="dxa"/>
            <w:vAlign w:val="bottom"/>
          </w:tcPr>
          <w:p>
            <w:pPr>
              <w:spacing w:after="0"/>
              <w:rPr>
                <w:sz w:val="1"/>
                <w:szCs w:val="1"/>
                <w:color w:val="auto"/>
              </w:rPr>
            </w:pPr>
          </w:p>
        </w:tc>
      </w:tr>
      <w:tr>
        <w:trPr>
          <w:trHeight w:val="87"/>
        </w:trPr>
        <w:tc>
          <w:tcPr>
            <w:tcW w:w="2220" w:type="dxa"/>
            <w:vAlign w:val="bottom"/>
            <w:vMerge w:val="restart"/>
          </w:tcPr>
          <w:p>
            <w:pPr>
              <w:ind w:left="160"/>
              <w:spacing w:after="0" w:line="155" w:lineRule="exact"/>
              <w:rPr>
                <w:sz w:val="20"/>
                <w:szCs w:val="20"/>
                <w:color w:val="auto"/>
              </w:rPr>
            </w:pPr>
            <w:r>
              <w:rPr>
                <w:rFonts w:ascii="Arial" w:cs="Arial" w:eastAsia="Arial" w:hAnsi="Arial"/>
                <w:sz w:val="14"/>
                <w:szCs w:val="14"/>
                <w:color w:val="auto"/>
              </w:rPr>
              <w:t>and coinsurers</w:t>
            </w: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89,444</w:t>
            </w:r>
          </w:p>
        </w:tc>
        <w:tc>
          <w:tcPr>
            <w:tcW w:w="220" w:type="dxa"/>
            <w:vAlign w:val="bottom"/>
          </w:tcPr>
          <w:p>
            <w:pPr>
              <w:spacing w:after="0"/>
              <w:rPr>
                <w:sz w:val="7"/>
                <w:szCs w:val="7"/>
                <w:color w:val="auto"/>
              </w:rPr>
            </w:pPr>
          </w:p>
        </w:tc>
        <w:tc>
          <w:tcPr>
            <w:tcW w:w="880" w:type="dxa"/>
            <w:vAlign w:val="bottom"/>
            <w:vMerge w:val="restart"/>
          </w:tcPr>
          <w:p>
            <w:pPr>
              <w:jc w:val="right"/>
              <w:ind w:right="11"/>
              <w:spacing w:after="0" w:line="155" w:lineRule="exact"/>
              <w:rPr>
                <w:sz w:val="20"/>
                <w:szCs w:val="20"/>
                <w:color w:val="auto"/>
              </w:rPr>
            </w:pPr>
            <w:r>
              <w:rPr>
                <w:rFonts w:ascii="Arial" w:cs="Arial" w:eastAsia="Arial" w:hAnsi="Arial"/>
                <w:sz w:val="14"/>
                <w:szCs w:val="14"/>
                <w:color w:val="auto"/>
              </w:rPr>
              <w:t>259,463</w:t>
            </w:r>
          </w:p>
        </w:tc>
        <w:tc>
          <w:tcPr>
            <w:tcW w:w="240" w:type="dxa"/>
            <w:vAlign w:val="bottom"/>
          </w:tcPr>
          <w:p>
            <w:pPr>
              <w:spacing w:after="0"/>
              <w:rPr>
                <w:sz w:val="7"/>
                <w:szCs w:val="7"/>
                <w:color w:val="auto"/>
              </w:rPr>
            </w:pP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50,083</w:t>
            </w:r>
          </w:p>
        </w:tc>
        <w:tc>
          <w:tcPr>
            <w:tcW w:w="240" w:type="dxa"/>
            <w:vAlign w:val="bottom"/>
          </w:tcPr>
          <w:p>
            <w:pPr>
              <w:spacing w:after="0"/>
              <w:rPr>
                <w:sz w:val="7"/>
                <w:szCs w:val="7"/>
                <w:color w:val="auto"/>
              </w:rPr>
            </w:pPr>
          </w:p>
        </w:tc>
        <w:tc>
          <w:tcPr>
            <w:tcW w:w="960" w:type="dxa"/>
            <w:vAlign w:val="bottom"/>
            <w:vMerge w:val="restart"/>
          </w:tcPr>
          <w:p>
            <w:pPr>
              <w:jc w:val="right"/>
              <w:ind w:right="11"/>
              <w:spacing w:after="0" w:line="155" w:lineRule="exact"/>
              <w:rPr>
                <w:sz w:val="20"/>
                <w:szCs w:val="20"/>
                <w:color w:val="auto"/>
              </w:rPr>
            </w:pPr>
            <w:r>
              <w:rPr>
                <w:rFonts w:ascii="Arial" w:cs="Arial" w:eastAsia="Arial" w:hAnsi="Arial"/>
                <w:sz w:val="14"/>
                <w:szCs w:val="14"/>
                <w:color w:val="auto"/>
              </w:rPr>
              <w:t>21,104</w:t>
            </w:r>
          </w:p>
        </w:tc>
        <w:tc>
          <w:tcPr>
            <w:tcW w:w="240" w:type="dxa"/>
            <w:vAlign w:val="bottom"/>
          </w:tcPr>
          <w:p>
            <w:pPr>
              <w:spacing w:after="0"/>
              <w:rPr>
                <w:sz w:val="7"/>
                <w:szCs w:val="7"/>
                <w:color w:val="auto"/>
              </w:rPr>
            </w:pPr>
          </w:p>
        </w:tc>
        <w:tc>
          <w:tcPr>
            <w:tcW w:w="1180" w:type="dxa"/>
            <w:vAlign w:val="bottom"/>
            <w:gridSpan w:val="2"/>
            <w:vMerge w:val="restart"/>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Technical reserves for claims and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340,688</w:t>
            </w:r>
          </w:p>
        </w:tc>
        <w:tc>
          <w:tcPr>
            <w:tcW w:w="240" w:type="dxa"/>
            <w:vAlign w:val="bottom"/>
          </w:tcPr>
          <w:p>
            <w:pPr>
              <w:spacing w:after="0"/>
              <w:rPr>
                <w:sz w:val="13"/>
                <w:szCs w:val="13"/>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11,990,959</w:t>
            </w:r>
          </w:p>
        </w:tc>
        <w:tc>
          <w:tcPr>
            <w:tcW w:w="0" w:type="dxa"/>
            <w:vAlign w:val="bottom"/>
          </w:tcPr>
          <w:p>
            <w:pPr>
              <w:spacing w:after="0"/>
              <w:rPr>
                <w:sz w:val="1"/>
                <w:szCs w:val="1"/>
                <w:color w:val="auto"/>
              </w:rPr>
            </w:pPr>
          </w:p>
        </w:tc>
      </w:tr>
      <w:tr>
        <w:trPr>
          <w:trHeight w:val="87"/>
        </w:trPr>
        <w:tc>
          <w:tcPr>
            <w:tcW w:w="2220" w:type="dxa"/>
            <w:vAlign w:val="bottom"/>
            <w:vMerge w:val="restart"/>
          </w:tcPr>
          <w:p>
            <w:pPr>
              <w:ind w:left="160"/>
              <w:spacing w:after="0" w:line="155" w:lineRule="exact"/>
              <w:rPr>
                <w:sz w:val="20"/>
                <w:szCs w:val="20"/>
                <w:color w:val="auto"/>
              </w:rPr>
            </w:pPr>
            <w:r>
              <w:rPr>
                <w:rFonts w:ascii="Arial" w:cs="Arial" w:eastAsia="Arial" w:hAnsi="Arial"/>
                <w:sz w:val="14"/>
                <w:szCs w:val="14"/>
                <w:color w:val="auto"/>
              </w:rPr>
              <w:t>insurance premiums</w:t>
            </w: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307,871</w:t>
            </w:r>
          </w:p>
        </w:tc>
        <w:tc>
          <w:tcPr>
            <w:tcW w:w="220" w:type="dxa"/>
            <w:vAlign w:val="bottom"/>
          </w:tcPr>
          <w:p>
            <w:pPr>
              <w:spacing w:after="0"/>
              <w:rPr>
                <w:sz w:val="7"/>
                <w:szCs w:val="7"/>
                <w:color w:val="auto"/>
              </w:rPr>
            </w:pPr>
          </w:p>
        </w:tc>
        <w:tc>
          <w:tcPr>
            <w:tcW w:w="880" w:type="dxa"/>
            <w:vAlign w:val="bottom"/>
            <w:vMerge w:val="restart"/>
          </w:tcPr>
          <w:p>
            <w:pPr>
              <w:jc w:val="right"/>
              <w:ind w:right="11"/>
              <w:spacing w:after="0" w:line="155" w:lineRule="exact"/>
              <w:rPr>
                <w:sz w:val="20"/>
                <w:szCs w:val="20"/>
                <w:color w:val="auto"/>
              </w:rPr>
            </w:pPr>
            <w:r>
              <w:rPr>
                <w:rFonts w:ascii="Arial" w:cs="Arial" w:eastAsia="Arial" w:hAnsi="Arial"/>
                <w:sz w:val="14"/>
                <w:szCs w:val="14"/>
                <w:color w:val="auto"/>
              </w:rPr>
              <w:t>830,562</w:t>
            </w:r>
          </w:p>
        </w:tc>
        <w:tc>
          <w:tcPr>
            <w:tcW w:w="240" w:type="dxa"/>
            <w:vAlign w:val="bottom"/>
          </w:tcPr>
          <w:p>
            <w:pPr>
              <w:spacing w:after="0"/>
              <w:rPr>
                <w:sz w:val="7"/>
                <w:szCs w:val="7"/>
                <w:color w:val="auto"/>
              </w:rPr>
            </w:pPr>
          </w:p>
        </w:tc>
        <w:tc>
          <w:tcPr>
            <w:tcW w:w="88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1,384,568</w:t>
            </w:r>
          </w:p>
        </w:tc>
        <w:tc>
          <w:tcPr>
            <w:tcW w:w="240" w:type="dxa"/>
            <w:vAlign w:val="bottom"/>
          </w:tcPr>
          <w:p>
            <w:pPr>
              <w:spacing w:after="0"/>
              <w:rPr>
                <w:sz w:val="7"/>
                <w:szCs w:val="7"/>
                <w:color w:val="auto"/>
              </w:rPr>
            </w:pPr>
          </w:p>
        </w:tc>
        <w:tc>
          <w:tcPr>
            <w:tcW w:w="96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3,203,832</w:t>
            </w:r>
          </w:p>
        </w:tc>
        <w:tc>
          <w:tcPr>
            <w:tcW w:w="240" w:type="dxa"/>
            <w:vAlign w:val="bottom"/>
          </w:tcPr>
          <w:p>
            <w:pPr>
              <w:spacing w:after="0"/>
              <w:rPr>
                <w:sz w:val="7"/>
                <w:szCs w:val="7"/>
                <w:color w:val="auto"/>
              </w:rPr>
            </w:pPr>
          </w:p>
        </w:tc>
        <w:tc>
          <w:tcPr>
            <w:tcW w:w="940" w:type="dxa"/>
            <w:vAlign w:val="bottom"/>
            <w:vMerge w:val="restart"/>
          </w:tcPr>
          <w:p>
            <w:pPr>
              <w:jc w:val="right"/>
              <w:ind w:right="31"/>
              <w:spacing w:after="0" w:line="155" w:lineRule="exact"/>
              <w:rPr>
                <w:sz w:val="20"/>
                <w:szCs w:val="20"/>
                <w:color w:val="auto"/>
              </w:rPr>
            </w:pPr>
            <w:r>
              <w:rPr>
                <w:rFonts w:ascii="Arial" w:cs="Arial" w:eastAsia="Arial" w:hAnsi="Arial"/>
                <w:sz w:val="14"/>
                <w:szCs w:val="14"/>
                <w:color w:val="auto"/>
              </w:rPr>
              <w:t>5,923,438</w:t>
            </w:r>
          </w:p>
        </w:tc>
        <w:tc>
          <w:tcPr>
            <w:tcW w:w="2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Financial liabilities at fair value</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191,010</w:t>
            </w:r>
          </w:p>
        </w:tc>
        <w:tc>
          <w:tcPr>
            <w:tcW w:w="240" w:type="dxa"/>
            <w:vAlign w:val="bottom"/>
          </w:tcPr>
          <w:p>
            <w:pPr>
              <w:spacing w:after="0"/>
              <w:rPr>
                <w:sz w:val="13"/>
                <w:szCs w:val="13"/>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191,010</w:t>
            </w:r>
          </w:p>
        </w:tc>
        <w:tc>
          <w:tcPr>
            <w:tcW w:w="0" w:type="dxa"/>
            <w:vAlign w:val="bottom"/>
          </w:tcPr>
          <w:p>
            <w:pPr>
              <w:spacing w:after="0"/>
              <w:rPr>
                <w:sz w:val="1"/>
                <w:szCs w:val="1"/>
                <w:color w:val="auto"/>
              </w:rPr>
            </w:pPr>
          </w:p>
        </w:tc>
      </w:tr>
      <w:tr>
        <w:trPr>
          <w:trHeight w:val="87"/>
        </w:trPr>
        <w:tc>
          <w:tcPr>
            <w:tcW w:w="2220" w:type="dxa"/>
            <w:vAlign w:val="bottom"/>
            <w:vMerge w:val="restart"/>
          </w:tcPr>
          <w:p>
            <w:pPr>
              <w:ind w:left="160"/>
              <w:spacing w:after="0" w:line="155" w:lineRule="exact"/>
              <w:rPr>
                <w:sz w:val="20"/>
                <w:szCs w:val="20"/>
                <w:color w:val="auto"/>
              </w:rPr>
            </w:pPr>
            <w:r>
              <w:rPr>
                <w:rFonts w:ascii="Arial" w:cs="Arial" w:eastAsia="Arial" w:hAnsi="Arial"/>
                <w:sz w:val="14"/>
                <w:szCs w:val="14"/>
                <w:color w:val="auto"/>
              </w:rPr>
              <w:t>through profit or loss</w:t>
            </w:r>
          </w:p>
        </w:tc>
        <w:tc>
          <w:tcPr>
            <w:tcW w:w="1100" w:type="dxa"/>
            <w:vAlign w:val="bottom"/>
            <w:gridSpan w:val="2"/>
            <w:vMerge w:val="restart"/>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Bonds and Notes issued</w:t>
            </w: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48,301</w:t>
            </w:r>
          </w:p>
        </w:tc>
        <w:tc>
          <w:tcPr>
            <w:tcW w:w="220" w:type="dxa"/>
            <w:vAlign w:val="bottom"/>
          </w:tcPr>
          <w:p>
            <w:pPr>
              <w:spacing w:after="0"/>
              <w:rPr>
                <w:sz w:val="13"/>
                <w:szCs w:val="13"/>
                <w:color w:val="auto"/>
              </w:rPr>
            </w:pPr>
          </w:p>
        </w:tc>
        <w:tc>
          <w:tcPr>
            <w:tcW w:w="8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73,546</w:t>
            </w:r>
          </w:p>
        </w:tc>
        <w:tc>
          <w:tcPr>
            <w:tcW w:w="240" w:type="dxa"/>
            <w:vAlign w:val="bottom"/>
          </w:tcPr>
          <w:p>
            <w:pPr>
              <w:spacing w:after="0"/>
              <w:rPr>
                <w:sz w:val="13"/>
                <w:szCs w:val="13"/>
                <w:color w:val="auto"/>
              </w:rPr>
            </w:pP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3,186,038</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13,330,687</w:t>
            </w:r>
          </w:p>
        </w:tc>
        <w:tc>
          <w:tcPr>
            <w:tcW w:w="240" w:type="dxa"/>
            <w:vAlign w:val="bottom"/>
          </w:tcPr>
          <w:p>
            <w:pPr>
              <w:spacing w:after="0"/>
              <w:rPr>
                <w:sz w:val="13"/>
                <w:szCs w:val="13"/>
                <w:color w:val="auto"/>
              </w:rPr>
            </w:pPr>
          </w:p>
        </w:tc>
        <w:tc>
          <w:tcPr>
            <w:tcW w:w="9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357,352</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11,270</w:t>
            </w:r>
          </w:p>
        </w:tc>
        <w:tc>
          <w:tcPr>
            <w:tcW w:w="240" w:type="dxa"/>
            <w:vAlign w:val="bottom"/>
          </w:tcPr>
          <w:p>
            <w:pPr>
              <w:spacing w:after="0"/>
              <w:rPr>
                <w:sz w:val="13"/>
                <w:szCs w:val="13"/>
                <w:color w:val="auto"/>
              </w:rPr>
            </w:pP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17,007,194</w:t>
            </w: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Other liabilities (*)</w:t>
            </w: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552,438</w:t>
            </w:r>
          </w:p>
        </w:tc>
        <w:tc>
          <w:tcPr>
            <w:tcW w:w="220" w:type="dxa"/>
            <w:vAlign w:val="bottom"/>
          </w:tcPr>
          <w:p>
            <w:pPr>
              <w:spacing w:after="0"/>
              <w:rPr>
                <w:sz w:val="13"/>
                <w:szCs w:val="13"/>
                <w:color w:val="auto"/>
              </w:rPr>
            </w:pPr>
          </w:p>
        </w:tc>
        <w:tc>
          <w:tcPr>
            <w:tcW w:w="8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74,149</w:t>
            </w:r>
          </w:p>
        </w:tc>
        <w:tc>
          <w:tcPr>
            <w:tcW w:w="240" w:type="dxa"/>
            <w:vAlign w:val="bottom"/>
          </w:tcPr>
          <w:p>
            <w:pPr>
              <w:spacing w:after="0"/>
              <w:rPr>
                <w:sz w:val="13"/>
                <w:szCs w:val="13"/>
                <w:color w:val="auto"/>
              </w:rPr>
            </w:pP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2,916</w:t>
            </w:r>
          </w:p>
        </w:tc>
        <w:tc>
          <w:tcPr>
            <w:tcW w:w="240" w:type="dxa"/>
            <w:vAlign w:val="bottom"/>
          </w:tcPr>
          <w:p>
            <w:pPr>
              <w:spacing w:after="0"/>
              <w:rPr>
                <w:sz w:val="13"/>
                <w:szCs w:val="13"/>
                <w:color w:val="auto"/>
              </w:rPr>
            </w:pPr>
          </w:p>
        </w:tc>
        <w:tc>
          <w:tcPr>
            <w:tcW w:w="12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4,160,258</w:t>
            </w:r>
          </w:p>
        </w:tc>
        <w:tc>
          <w:tcPr>
            <w:tcW w:w="240" w:type="dxa"/>
            <w:vAlign w:val="bottom"/>
          </w:tcPr>
          <w:p>
            <w:pPr>
              <w:spacing w:after="0"/>
              <w:rPr>
                <w:sz w:val="13"/>
                <w:szCs w:val="13"/>
                <w:color w:val="auto"/>
              </w:rPr>
            </w:pP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4,789,761</w:t>
            </w:r>
          </w:p>
        </w:tc>
        <w:tc>
          <w:tcPr>
            <w:tcW w:w="0" w:type="dxa"/>
            <w:vAlign w:val="bottom"/>
          </w:tcPr>
          <w:p>
            <w:pPr>
              <w:spacing w:after="0"/>
              <w:rPr>
                <w:sz w:val="1"/>
                <w:szCs w:val="1"/>
                <w:color w:val="auto"/>
              </w:rPr>
            </w:pPr>
          </w:p>
        </w:tc>
      </w:tr>
      <w:tr>
        <w:trPr>
          <w:trHeight w:val="151"/>
        </w:trPr>
        <w:tc>
          <w:tcPr>
            <w:tcW w:w="2220" w:type="dxa"/>
            <w:vAlign w:val="bottom"/>
          </w:tcPr>
          <w:p>
            <w:pPr>
              <w:spacing w:after="0" w:line="151" w:lineRule="exact"/>
              <w:rPr>
                <w:sz w:val="20"/>
                <w:szCs w:val="20"/>
                <w:color w:val="auto"/>
              </w:rPr>
            </w:pPr>
            <w:r>
              <w:rPr>
                <w:rFonts w:ascii="Arial" w:cs="Arial" w:eastAsia="Arial" w:hAnsi="Arial"/>
                <w:sz w:val="14"/>
                <w:szCs w:val="14"/>
                <w:color w:val="auto"/>
              </w:rPr>
              <w:t>Equity</w:t>
            </w:r>
          </w:p>
        </w:tc>
        <w:tc>
          <w:tcPr>
            <w:tcW w:w="1100" w:type="dxa"/>
            <w:vAlign w:val="bottom"/>
            <w:gridSpan w:val="2"/>
          </w:tcPr>
          <w:p>
            <w:pPr>
              <w:jc w:val="right"/>
              <w:ind w:right="320"/>
              <w:spacing w:after="0" w:line="151"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line="151"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line="151"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40"/>
              <w:spacing w:after="0" w:line="15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line="151" w:lineRule="exact"/>
              <w:rPr>
                <w:sz w:val="20"/>
                <w:szCs w:val="20"/>
                <w:color w:val="auto"/>
              </w:rPr>
            </w:pPr>
            <w:r>
              <w:rPr>
                <w:rFonts w:ascii="Arial" w:cs="Arial" w:eastAsia="Arial" w:hAnsi="Arial"/>
                <w:sz w:val="14"/>
                <w:szCs w:val="14"/>
                <w:color w:val="auto"/>
              </w:rPr>
              <w:t>29,579,709</w:t>
            </w:r>
          </w:p>
        </w:tc>
        <w:tc>
          <w:tcPr>
            <w:tcW w:w="240" w:type="dxa"/>
            <w:vAlign w:val="bottom"/>
          </w:tcPr>
          <w:p>
            <w:pPr>
              <w:spacing w:after="0"/>
              <w:rPr>
                <w:sz w:val="13"/>
                <w:szCs w:val="13"/>
                <w:color w:val="auto"/>
              </w:rPr>
            </w:pPr>
          </w:p>
        </w:tc>
        <w:tc>
          <w:tcPr>
            <w:tcW w:w="980" w:type="dxa"/>
            <w:vAlign w:val="bottom"/>
          </w:tcPr>
          <w:p>
            <w:pPr>
              <w:jc w:val="right"/>
              <w:ind w:right="31"/>
              <w:spacing w:after="0" w:line="151" w:lineRule="exact"/>
              <w:rPr>
                <w:sz w:val="20"/>
                <w:szCs w:val="20"/>
                <w:color w:val="auto"/>
              </w:rPr>
            </w:pPr>
            <w:r>
              <w:rPr>
                <w:rFonts w:ascii="Arial" w:cs="Arial" w:eastAsia="Arial" w:hAnsi="Arial"/>
                <w:sz w:val="14"/>
                <w:szCs w:val="14"/>
                <w:color w:val="auto"/>
              </w:rPr>
              <w:t>29,579,709</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40,211,317</w:t>
            </w:r>
          </w:p>
        </w:tc>
        <w:tc>
          <w:tcPr>
            <w:tcW w:w="2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16,675,099</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34,995,634</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85,383,061</w:t>
            </w:r>
          </w:p>
        </w:tc>
        <w:tc>
          <w:tcPr>
            <w:tcW w:w="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17,642,728</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37,995,811</w:t>
            </w:r>
          </w:p>
        </w:tc>
        <w:tc>
          <w:tcPr>
            <w:tcW w:w="2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232,903,650</w:t>
            </w:r>
          </w:p>
        </w:tc>
        <w:tc>
          <w:tcPr>
            <w:tcW w:w="0" w:type="dxa"/>
            <w:vAlign w:val="bottom"/>
          </w:tcPr>
          <w:p>
            <w:pPr>
              <w:spacing w:after="0"/>
              <w:rPr>
                <w:sz w:val="1"/>
                <w:szCs w:val="1"/>
                <w:color w:val="auto"/>
              </w:rPr>
            </w:pPr>
          </w:p>
        </w:tc>
      </w:tr>
      <w:tr>
        <w:trPr>
          <w:trHeight w:val="292"/>
        </w:trPr>
        <w:tc>
          <w:tcPr>
            <w:tcW w:w="2220" w:type="dxa"/>
            <w:vAlign w:val="bottom"/>
          </w:tcPr>
          <w:p>
            <w:pPr>
              <w:spacing w:after="0"/>
              <w:rPr>
                <w:sz w:val="20"/>
                <w:szCs w:val="20"/>
                <w:color w:val="auto"/>
              </w:rPr>
            </w:pPr>
            <w:r>
              <w:rPr>
                <w:rFonts w:ascii="Arial" w:cs="Arial" w:eastAsia="Arial" w:hAnsi="Arial"/>
                <w:sz w:val="14"/>
                <w:szCs w:val="14"/>
                <w:b w:val="1"/>
                <w:bCs w:val="1"/>
                <w:color w:val="auto"/>
              </w:rPr>
              <w:t>Riks and contingent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160"/>
              <w:spacing w:after="0"/>
              <w:rPr>
                <w:sz w:val="20"/>
                <w:szCs w:val="20"/>
                <w:color w:val="auto"/>
              </w:rPr>
            </w:pPr>
            <w:r>
              <w:rPr>
                <w:rFonts w:ascii="Arial" w:cs="Arial" w:eastAsia="Arial" w:hAnsi="Arial"/>
                <w:sz w:val="14"/>
                <w:szCs w:val="14"/>
                <w:b w:val="1"/>
                <w:bCs w:val="1"/>
                <w:color w:val="auto"/>
              </w:rPr>
              <w:t>commitments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Derivative financial assets</w:t>
            </w: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171,485</w:t>
            </w:r>
          </w:p>
        </w:tc>
        <w:tc>
          <w:tcPr>
            <w:tcW w:w="220" w:type="dxa"/>
            <w:vAlign w:val="bottom"/>
          </w:tcPr>
          <w:p>
            <w:pPr>
              <w:spacing w:after="0"/>
              <w:rPr>
                <w:sz w:val="13"/>
                <w:szCs w:val="13"/>
                <w:color w:val="auto"/>
              </w:rPr>
            </w:pPr>
          </w:p>
        </w:tc>
        <w:tc>
          <w:tcPr>
            <w:tcW w:w="8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830,415</w:t>
            </w:r>
          </w:p>
        </w:tc>
        <w:tc>
          <w:tcPr>
            <w:tcW w:w="240" w:type="dxa"/>
            <w:vAlign w:val="bottom"/>
          </w:tcPr>
          <w:p>
            <w:pPr>
              <w:spacing w:after="0"/>
              <w:rPr>
                <w:sz w:val="13"/>
                <w:szCs w:val="13"/>
                <w:color w:val="auto"/>
              </w:rPr>
            </w:pP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450,835</w:t>
            </w:r>
          </w:p>
        </w:tc>
        <w:tc>
          <w:tcPr>
            <w:tcW w:w="240" w:type="dxa"/>
            <w:vAlign w:val="bottom"/>
          </w:tcPr>
          <w:p>
            <w:pPr>
              <w:spacing w:after="0"/>
              <w:rPr>
                <w:sz w:val="13"/>
                <w:szCs w:val="13"/>
                <w:color w:val="auto"/>
              </w:rPr>
            </w:pP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931,208</w:t>
            </w:r>
          </w:p>
        </w:tc>
        <w:tc>
          <w:tcPr>
            <w:tcW w:w="240" w:type="dxa"/>
            <w:vAlign w:val="bottom"/>
          </w:tcPr>
          <w:p>
            <w:pPr>
              <w:spacing w:after="0"/>
              <w:rPr>
                <w:sz w:val="13"/>
                <w:szCs w:val="13"/>
                <w:color w:val="auto"/>
              </w:rPr>
            </w:pPr>
          </w:p>
        </w:tc>
        <w:tc>
          <w:tcPr>
            <w:tcW w:w="11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2,383,943</w:t>
            </w:r>
          </w:p>
        </w:tc>
        <w:tc>
          <w:tcPr>
            <w:tcW w:w="0" w:type="dxa"/>
            <w:vAlign w:val="bottom"/>
          </w:tcPr>
          <w:p>
            <w:pPr>
              <w:spacing w:after="0"/>
              <w:rPr>
                <w:sz w:val="1"/>
                <w:szCs w:val="1"/>
                <w:color w:val="auto"/>
              </w:rPr>
            </w:pPr>
          </w:p>
        </w:tc>
      </w:tr>
      <w:tr>
        <w:trPr>
          <w:trHeight w:val="151"/>
        </w:trPr>
        <w:tc>
          <w:tcPr>
            <w:tcW w:w="2220" w:type="dxa"/>
            <w:vAlign w:val="bottom"/>
          </w:tcPr>
          <w:p>
            <w:pPr>
              <w:spacing w:after="0" w:line="151" w:lineRule="exact"/>
              <w:rPr>
                <w:sz w:val="20"/>
                <w:szCs w:val="20"/>
                <w:color w:val="auto"/>
              </w:rPr>
            </w:pPr>
            <w:r>
              <w:rPr>
                <w:rFonts w:ascii="Arial" w:cs="Arial" w:eastAsia="Arial" w:hAnsi="Arial"/>
                <w:sz w:val="14"/>
                <w:szCs w:val="14"/>
                <w:color w:val="auto"/>
              </w:rPr>
              <w:t>Derivative financial liabilities</w:t>
            </w:r>
          </w:p>
        </w:tc>
        <w:tc>
          <w:tcPr>
            <w:tcW w:w="88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149,938</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ind w:right="11"/>
              <w:spacing w:after="0" w:line="151" w:lineRule="exact"/>
              <w:rPr>
                <w:sz w:val="20"/>
                <w:szCs w:val="20"/>
                <w:color w:val="auto"/>
              </w:rPr>
            </w:pPr>
            <w:r>
              <w:rPr>
                <w:rFonts w:ascii="Arial" w:cs="Arial" w:eastAsia="Arial" w:hAnsi="Arial"/>
                <w:sz w:val="14"/>
                <w:szCs w:val="14"/>
                <w:color w:val="auto"/>
              </w:rPr>
              <w:t>46,232</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165,610</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1,844,839</w:t>
            </w:r>
          </w:p>
        </w:tc>
        <w:tc>
          <w:tcPr>
            <w:tcW w:w="240" w:type="dxa"/>
            <w:vAlign w:val="bottom"/>
          </w:tcPr>
          <w:p>
            <w:pPr>
              <w:spacing w:after="0"/>
              <w:rPr>
                <w:sz w:val="13"/>
                <w:szCs w:val="13"/>
                <w:color w:val="auto"/>
              </w:rPr>
            </w:pPr>
          </w:p>
        </w:tc>
        <w:tc>
          <w:tcPr>
            <w:tcW w:w="94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95,350</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11"/>
              <w:spacing w:after="0" w:line="15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8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2,301,969</w:t>
            </w:r>
          </w:p>
        </w:tc>
        <w:tc>
          <w:tcPr>
            <w:tcW w:w="0" w:type="dxa"/>
            <w:vAlign w:val="bottom"/>
          </w:tcPr>
          <w:p>
            <w:pPr>
              <w:spacing w:after="0"/>
              <w:rPr>
                <w:sz w:val="1"/>
                <w:szCs w:val="1"/>
                <w:color w:val="auto"/>
              </w:rPr>
            </w:pPr>
          </w:p>
        </w:tc>
      </w:tr>
      <w:tr>
        <w:trPr>
          <w:trHeight w:val="148"/>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Marginal gap</w:t>
            </w:r>
          </w:p>
        </w:tc>
        <w:tc>
          <w:tcPr>
            <w:tcW w:w="880" w:type="dxa"/>
            <w:vAlign w:val="bottom"/>
          </w:tcPr>
          <w:p>
            <w:pPr>
              <w:jc w:val="right"/>
              <w:ind w:right="31"/>
              <w:spacing w:after="0" w:line="149" w:lineRule="exact"/>
              <w:rPr>
                <w:sz w:val="20"/>
                <w:szCs w:val="20"/>
                <w:color w:val="auto"/>
              </w:rPr>
            </w:pPr>
            <w:r>
              <w:rPr>
                <w:rFonts w:ascii="Arial" w:cs="Arial" w:eastAsia="Arial" w:hAnsi="Arial"/>
                <w:sz w:val="14"/>
                <w:szCs w:val="14"/>
                <w:color w:val="auto"/>
              </w:rPr>
              <w:t>21,547</w:t>
            </w:r>
          </w:p>
        </w:tc>
        <w:tc>
          <w:tcPr>
            <w:tcW w:w="220" w:type="dxa"/>
            <w:vAlign w:val="bottom"/>
          </w:tcPr>
          <w:p>
            <w:pPr>
              <w:spacing w:after="0"/>
              <w:rPr>
                <w:sz w:val="12"/>
                <w:szCs w:val="12"/>
                <w:color w:val="auto"/>
              </w:rPr>
            </w:pPr>
          </w:p>
        </w:tc>
        <w:tc>
          <w:tcPr>
            <w:tcW w:w="8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784,183</w:t>
            </w:r>
          </w:p>
        </w:tc>
        <w:tc>
          <w:tcPr>
            <w:tcW w:w="240" w:type="dxa"/>
            <w:vAlign w:val="bottom"/>
          </w:tcPr>
          <w:p>
            <w:pPr>
              <w:spacing w:after="0"/>
              <w:rPr>
                <w:sz w:val="12"/>
                <w:szCs w:val="12"/>
                <w:color w:val="auto"/>
              </w:rPr>
            </w:pPr>
          </w:p>
        </w:tc>
        <w:tc>
          <w:tcPr>
            <w:tcW w:w="880" w:type="dxa"/>
            <w:vAlign w:val="bottom"/>
          </w:tcPr>
          <w:p>
            <w:pPr>
              <w:jc w:val="right"/>
              <w:ind w:right="31"/>
              <w:spacing w:after="0" w:line="149" w:lineRule="exact"/>
              <w:rPr>
                <w:sz w:val="20"/>
                <w:szCs w:val="20"/>
                <w:color w:val="auto"/>
              </w:rPr>
            </w:pPr>
            <w:r>
              <w:rPr>
                <w:rFonts w:ascii="Arial" w:cs="Arial" w:eastAsia="Arial" w:hAnsi="Arial"/>
                <w:sz w:val="14"/>
                <w:szCs w:val="14"/>
                <w:color w:val="auto"/>
              </w:rPr>
              <w:t>285,225</w:t>
            </w:r>
          </w:p>
        </w:tc>
        <w:tc>
          <w:tcPr>
            <w:tcW w:w="240" w:type="dxa"/>
            <w:vAlign w:val="bottom"/>
          </w:tcPr>
          <w:p>
            <w:pPr>
              <w:spacing w:after="0"/>
              <w:rPr>
                <w:sz w:val="12"/>
                <w:szCs w:val="12"/>
                <w:color w:val="auto"/>
              </w:rPr>
            </w:pPr>
          </w:p>
        </w:tc>
        <w:tc>
          <w:tcPr>
            <w:tcW w:w="960" w:type="dxa"/>
            <w:vAlign w:val="bottom"/>
          </w:tcPr>
          <w:p>
            <w:pPr>
              <w:jc w:val="right"/>
              <w:ind w:right="11"/>
              <w:spacing w:after="0" w:line="149" w:lineRule="exact"/>
              <w:rPr>
                <w:sz w:val="20"/>
                <w:szCs w:val="20"/>
                <w:color w:val="auto"/>
              </w:rPr>
            </w:pPr>
            <w:r>
              <w:rPr>
                <w:rFonts w:ascii="Arial" w:cs="Arial" w:eastAsia="Arial" w:hAnsi="Arial"/>
                <w:sz w:val="14"/>
                <w:szCs w:val="14"/>
                <w:color w:val="auto"/>
              </w:rPr>
              <w:t>(913,631)</w:t>
            </w:r>
          </w:p>
        </w:tc>
        <w:tc>
          <w:tcPr>
            <w:tcW w:w="240" w:type="dxa"/>
            <w:vAlign w:val="bottom"/>
          </w:tcPr>
          <w:p>
            <w:pPr>
              <w:spacing w:after="0"/>
              <w:rPr>
                <w:sz w:val="12"/>
                <w:szCs w:val="12"/>
                <w:color w:val="auto"/>
              </w:rPr>
            </w:pPr>
          </w:p>
        </w:tc>
        <w:tc>
          <w:tcPr>
            <w:tcW w:w="9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(95,350)</w:t>
            </w:r>
          </w:p>
        </w:tc>
        <w:tc>
          <w:tcPr>
            <w:tcW w:w="24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line="149" w:lineRule="exact"/>
              <w:rPr>
                <w:sz w:val="20"/>
                <w:szCs w:val="20"/>
                <w:color w:val="auto"/>
              </w:rPr>
            </w:pPr>
            <w:r>
              <w:rPr>
                <w:rFonts w:ascii="Arial" w:cs="Arial" w:eastAsia="Arial" w:hAnsi="Arial"/>
                <w:sz w:val="14"/>
                <w:szCs w:val="14"/>
                <w:color w:val="auto"/>
              </w:rPr>
              <w:t>81,974</w:t>
            </w:r>
          </w:p>
        </w:tc>
        <w:tc>
          <w:tcPr>
            <w:tcW w:w="0" w:type="dxa"/>
            <w:vAlign w:val="bottom"/>
          </w:tcPr>
          <w:p>
            <w:pPr>
              <w:spacing w:after="0"/>
              <w:rPr>
                <w:sz w:val="1"/>
                <w:szCs w:val="1"/>
                <w:color w:val="auto"/>
              </w:rPr>
            </w:pPr>
          </w:p>
        </w:tc>
      </w:tr>
      <w:tr>
        <w:trPr>
          <w:trHeight w:val="148"/>
        </w:trPr>
        <w:tc>
          <w:tcPr>
            <w:tcW w:w="2220" w:type="dxa"/>
            <w:vAlign w:val="bottom"/>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858,869</w:t>
            </w:r>
          </w:p>
        </w:tc>
        <w:tc>
          <w:tcPr>
            <w:tcW w:w="2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8,854,529</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10,759,236</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(19,681,403)</w:t>
            </w:r>
          </w:p>
        </w:tc>
        <w:tc>
          <w:tcPr>
            <w:tcW w:w="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16,100,807</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(27,054,216)</w:t>
            </w:r>
          </w:p>
        </w:tc>
        <w:tc>
          <w:tcPr>
            <w:tcW w:w="2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(10,155,178)</w:t>
            </w:r>
          </w:p>
        </w:tc>
        <w:tc>
          <w:tcPr>
            <w:tcW w:w="0" w:type="dxa"/>
            <w:vAlign w:val="bottom"/>
          </w:tcPr>
          <w:p>
            <w:pPr>
              <w:spacing w:after="0"/>
              <w:rPr>
                <w:sz w:val="1"/>
                <w:szCs w:val="1"/>
                <w:color w:val="auto"/>
              </w:rPr>
            </w:pPr>
          </w:p>
        </w:tc>
      </w:tr>
      <w:tr>
        <w:trPr>
          <w:trHeight w:val="154"/>
        </w:trPr>
        <w:tc>
          <w:tcPr>
            <w:tcW w:w="2220" w:type="dxa"/>
            <w:vAlign w:val="bottom"/>
          </w:tcPr>
          <w:p>
            <w:pPr>
              <w:spacing w:after="0" w:line="149" w:lineRule="exact"/>
              <w:rPr>
                <w:sz w:val="20"/>
                <w:szCs w:val="20"/>
                <w:color w:val="auto"/>
              </w:rPr>
            </w:pPr>
            <w:r>
              <w:rPr>
                <w:rFonts w:ascii="Arial" w:cs="Arial" w:eastAsia="Arial" w:hAnsi="Arial"/>
                <w:sz w:val="14"/>
                <w:szCs w:val="14"/>
                <w:color w:val="auto"/>
              </w:rPr>
              <w:t>Accumulated gap</w:t>
            </w:r>
          </w:p>
        </w:tc>
        <w:tc>
          <w:tcPr>
            <w:tcW w:w="88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858,869</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9,713,398</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20,472,634</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791,231</w:t>
            </w:r>
          </w:p>
        </w:tc>
        <w:tc>
          <w:tcPr>
            <w:tcW w:w="240" w:type="dxa"/>
            <w:vAlign w:val="bottom"/>
          </w:tcPr>
          <w:p>
            <w:pPr>
              <w:spacing w:after="0"/>
              <w:rPr>
                <w:sz w:val="13"/>
                <w:szCs w:val="13"/>
                <w:color w:val="auto"/>
              </w:rPr>
            </w:pPr>
          </w:p>
        </w:tc>
        <w:tc>
          <w:tcPr>
            <w:tcW w:w="9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16,892,038</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(10,155,178)</w:t>
            </w:r>
          </w:p>
        </w:tc>
        <w:tc>
          <w:tcPr>
            <w:tcW w:w="240" w:type="dxa"/>
            <w:vAlign w:val="bottom"/>
          </w:tcPr>
          <w:p>
            <w:pPr>
              <w:spacing w:after="0"/>
              <w:rPr>
                <w:sz w:val="13"/>
                <w:szCs w:val="13"/>
                <w:color w:val="auto"/>
              </w:rPr>
            </w:pPr>
          </w:p>
        </w:tc>
        <w:tc>
          <w:tcPr>
            <w:tcW w:w="98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 Other assets and other liabilities only include financial accounts.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14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- 163 -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0"/>
          </w:cols>
          <w:pgMar w:left="1260" w:top="140" w:right="3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10" w:lineRule="exact"/>
        <w:rPr>
          <w:sz w:val="20"/>
          <w:szCs w:val="20"/>
          <w:color w:val="auto"/>
        </w:rPr>
      </w:pPr>
    </w:p>
    <w:p>
      <w:pPr>
        <w:ind w:left="160" w:right="40" w:hanging="154"/>
        <w:spacing w:after="0" w:line="249" w:lineRule="auto"/>
        <w:rPr>
          <w:sz w:val="20"/>
          <w:szCs w:val="20"/>
          <w:color w:val="auto"/>
        </w:rPr>
      </w:pPr>
      <w:r>
        <w:rPr>
          <w:rFonts w:ascii="Arial" w:cs="Arial" w:eastAsia="Arial" w:hAnsi="Arial"/>
          <w:sz w:val="13"/>
          <w:szCs w:val="13"/>
          <w:color w:val="auto"/>
        </w:rPr>
        <w:t>Cash and cash collateral, reverse repurchase agreements and securities borrowing</w:t>
      </w:r>
    </w:p>
    <w:p>
      <w:pPr>
        <w:spacing w:after="0" w:line="233" w:lineRule="auto"/>
        <w:rPr>
          <w:sz w:val="20"/>
          <w:szCs w:val="20"/>
          <w:color w:val="auto"/>
        </w:rPr>
      </w:pPr>
      <w:r>
        <w:rPr>
          <w:rFonts w:ascii="Arial" w:cs="Arial" w:eastAsia="Arial" w:hAnsi="Arial"/>
          <w:sz w:val="14"/>
          <w:szCs w:val="14"/>
          <w:color w:val="auto"/>
        </w:rPr>
        <w:t>Investment</w:t>
      </w:r>
    </w:p>
    <w:p>
      <w:pPr>
        <w:spacing w:after="0" w:line="231" w:lineRule="auto"/>
        <w:rPr>
          <w:sz w:val="20"/>
          <w:szCs w:val="20"/>
          <w:color w:val="auto"/>
        </w:rPr>
      </w:pPr>
      <w:r>
        <w:rPr>
          <w:rFonts w:ascii="Arial" w:cs="Arial" w:eastAsia="Arial" w:hAnsi="Arial"/>
          <w:sz w:val="14"/>
          <w:szCs w:val="14"/>
          <w:color w:val="auto"/>
        </w:rPr>
        <w:t>Loans, net</w:t>
      </w:r>
    </w:p>
    <w:p>
      <w:pPr>
        <w:ind w:left="160" w:hanging="154"/>
        <w:spacing w:after="0" w:line="231" w:lineRule="auto"/>
        <w:rPr>
          <w:sz w:val="20"/>
          <w:szCs w:val="20"/>
          <w:color w:val="auto"/>
        </w:rPr>
      </w:pPr>
      <w:r>
        <w:rPr>
          <w:rFonts w:ascii="Arial" w:cs="Arial" w:eastAsia="Arial" w:hAnsi="Arial"/>
          <w:sz w:val="14"/>
          <w:szCs w:val="14"/>
          <w:color w:val="auto"/>
        </w:rPr>
        <w:t>Financial assets designated at fair value through profit or loss</w:t>
      </w:r>
    </w:p>
    <w:p>
      <w:pPr>
        <w:spacing w:after="0" w:line="1" w:lineRule="exact"/>
        <w:rPr>
          <w:sz w:val="20"/>
          <w:szCs w:val="20"/>
          <w:color w:val="auto"/>
        </w:rPr>
      </w:pPr>
    </w:p>
    <w:p>
      <w:pPr>
        <w:ind w:left="160" w:right="340" w:hanging="154"/>
        <w:spacing w:after="0" w:line="231" w:lineRule="auto"/>
        <w:rPr>
          <w:sz w:val="20"/>
          <w:szCs w:val="20"/>
          <w:color w:val="auto"/>
        </w:rPr>
      </w:pPr>
      <w:r>
        <w:rPr>
          <w:rFonts w:ascii="Arial" w:cs="Arial" w:eastAsia="Arial" w:hAnsi="Arial"/>
          <w:sz w:val="14"/>
          <w:szCs w:val="14"/>
          <w:color w:val="auto"/>
        </w:rPr>
        <w:t>Premiums and other policies receivable</w:t>
      </w:r>
    </w:p>
    <w:p>
      <w:pPr>
        <w:spacing w:after="0" w:line="1" w:lineRule="exact"/>
        <w:rPr>
          <w:sz w:val="20"/>
          <w:szCs w:val="20"/>
          <w:color w:val="auto"/>
        </w:rPr>
      </w:pPr>
    </w:p>
    <w:p>
      <w:pPr>
        <w:ind w:left="160" w:right="380" w:hanging="154"/>
        <w:spacing w:after="0" w:line="249" w:lineRule="auto"/>
        <w:rPr>
          <w:sz w:val="20"/>
          <w:szCs w:val="20"/>
          <w:color w:val="auto"/>
        </w:rPr>
      </w:pPr>
      <w:r>
        <w:rPr>
          <w:rFonts w:ascii="Arial" w:cs="Arial" w:eastAsia="Arial" w:hAnsi="Arial"/>
          <w:sz w:val="13"/>
          <w:szCs w:val="13"/>
          <w:color w:val="auto"/>
        </w:rPr>
        <w:t>Accounts receivable from reinsurers and coinsurers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assets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w:t>
      </w:r>
    </w:p>
    <w:p>
      <w:pPr>
        <w:spacing w:after="0" w:line="10" w:lineRule="exact"/>
        <w:rPr>
          <w:sz w:val="20"/>
          <w:szCs w:val="20"/>
          <w:color w:val="auto"/>
        </w:rPr>
      </w:pPr>
    </w:p>
    <w:p>
      <w:pPr>
        <w:ind w:right="480"/>
        <w:spacing w:after="0" w:line="249" w:lineRule="auto"/>
        <w:rPr>
          <w:sz w:val="20"/>
          <w:szCs w:val="20"/>
          <w:color w:val="auto"/>
        </w:rPr>
      </w:pPr>
      <w:r>
        <w:rPr>
          <w:rFonts w:ascii="Arial" w:cs="Arial" w:eastAsia="Arial" w:hAnsi="Arial"/>
          <w:sz w:val="13"/>
          <w:szCs w:val="13"/>
          <w:color w:val="auto"/>
        </w:rPr>
        <w:t>Deposits and obligations Payables from repurchase</w:t>
      </w:r>
    </w:p>
    <w:p>
      <w:pPr>
        <w:spacing w:after="0" w:line="1" w:lineRule="exact"/>
        <w:rPr>
          <w:sz w:val="20"/>
          <w:szCs w:val="20"/>
          <w:color w:val="auto"/>
        </w:rPr>
      </w:pPr>
    </w:p>
    <w:p>
      <w:pPr>
        <w:ind w:left="160" w:right="300"/>
        <w:spacing w:after="0" w:line="231" w:lineRule="auto"/>
        <w:rPr>
          <w:sz w:val="20"/>
          <w:szCs w:val="20"/>
          <w:color w:val="auto"/>
        </w:rPr>
      </w:pPr>
      <w:r>
        <w:rPr>
          <w:rFonts w:ascii="Arial" w:cs="Arial" w:eastAsia="Arial" w:hAnsi="Arial"/>
          <w:sz w:val="14"/>
          <w:szCs w:val="14"/>
          <w:color w:val="auto"/>
        </w:rPr>
        <w:t>agreements and securities lending</w:t>
      </w:r>
    </w:p>
    <w:p>
      <w:pPr>
        <w:spacing w:after="0" w:line="1" w:lineRule="exact"/>
        <w:rPr>
          <w:sz w:val="20"/>
          <w:szCs w:val="20"/>
          <w:color w:val="auto"/>
        </w:rPr>
      </w:pPr>
    </w:p>
    <w:p>
      <w:pPr>
        <w:ind w:left="160" w:right="180" w:hanging="154"/>
        <w:spacing w:after="0" w:line="231" w:lineRule="auto"/>
        <w:rPr>
          <w:sz w:val="20"/>
          <w:szCs w:val="20"/>
          <w:color w:val="auto"/>
        </w:rPr>
      </w:pPr>
      <w:r>
        <w:rPr>
          <w:rFonts w:ascii="Arial" w:cs="Arial" w:eastAsia="Arial" w:hAnsi="Arial"/>
          <w:sz w:val="14"/>
          <w:szCs w:val="14"/>
          <w:color w:val="auto"/>
        </w:rPr>
        <w:t>Accounts payable to reinsurers and coinsurers</w:t>
      </w:r>
    </w:p>
    <w:p>
      <w:pPr>
        <w:spacing w:after="0" w:line="1" w:lineRule="exact"/>
        <w:rPr>
          <w:sz w:val="20"/>
          <w:szCs w:val="20"/>
          <w:color w:val="auto"/>
        </w:rPr>
      </w:pPr>
    </w:p>
    <w:p>
      <w:pPr>
        <w:ind w:left="160" w:right="40" w:hanging="154"/>
        <w:spacing w:after="0" w:line="231" w:lineRule="auto"/>
        <w:rPr>
          <w:sz w:val="20"/>
          <w:szCs w:val="20"/>
          <w:color w:val="auto"/>
        </w:rPr>
      </w:pPr>
      <w:r>
        <w:rPr>
          <w:rFonts w:ascii="Arial" w:cs="Arial" w:eastAsia="Arial" w:hAnsi="Arial"/>
          <w:sz w:val="14"/>
          <w:szCs w:val="14"/>
          <w:color w:val="auto"/>
        </w:rPr>
        <w:t>Technical reserves for claims and insurance premiums</w:t>
      </w:r>
    </w:p>
    <w:p>
      <w:pPr>
        <w:spacing w:after="0" w:line="1" w:lineRule="exact"/>
        <w:rPr>
          <w:sz w:val="20"/>
          <w:szCs w:val="20"/>
          <w:color w:val="auto"/>
        </w:rPr>
      </w:pPr>
    </w:p>
    <w:p>
      <w:pPr>
        <w:ind w:left="160" w:right="220" w:hanging="154"/>
        <w:spacing w:after="0" w:line="231" w:lineRule="auto"/>
        <w:rPr>
          <w:sz w:val="20"/>
          <w:szCs w:val="20"/>
          <w:color w:val="auto"/>
        </w:rPr>
      </w:pPr>
      <w:r>
        <w:rPr>
          <w:rFonts w:ascii="Arial" w:cs="Arial" w:eastAsia="Arial" w:hAnsi="Arial"/>
          <w:sz w:val="14"/>
          <w:szCs w:val="14"/>
          <w:color w:val="auto"/>
        </w:rPr>
        <w:t>Financial liabilities at fair value through profit or loss</w:t>
      </w:r>
    </w:p>
    <w:p>
      <w:pPr>
        <w:spacing w:after="0" w:line="1" w:lineRule="exact"/>
        <w:rPr>
          <w:sz w:val="20"/>
          <w:szCs w:val="20"/>
          <w:color w:val="auto"/>
        </w:rPr>
      </w:pPr>
    </w:p>
    <w:p>
      <w:pPr>
        <w:ind w:right="580"/>
        <w:spacing w:after="0" w:line="236" w:lineRule="auto"/>
        <w:rPr>
          <w:sz w:val="20"/>
          <w:szCs w:val="20"/>
          <w:color w:val="auto"/>
        </w:rPr>
      </w:pPr>
      <w:r>
        <w:rPr>
          <w:rFonts w:ascii="Arial" w:cs="Arial" w:eastAsia="Arial" w:hAnsi="Arial"/>
          <w:sz w:val="14"/>
          <w:szCs w:val="14"/>
          <w:color w:val="auto"/>
        </w:rPr>
        <w:t>Bonds and Notes issued Other liabilities (*)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 and equity</w:t>
      </w:r>
    </w:p>
    <w:p>
      <w:pPr>
        <w:spacing w:after="0" w:line="150" w:lineRule="exact"/>
        <w:rPr>
          <w:sz w:val="20"/>
          <w:szCs w:val="20"/>
          <w:color w:val="auto"/>
        </w:rPr>
      </w:pPr>
    </w:p>
    <w:p>
      <w:pPr>
        <w:ind w:left="160" w:right="760" w:hanging="154"/>
        <w:spacing w:after="0" w:line="262" w:lineRule="auto"/>
        <w:rPr>
          <w:sz w:val="20"/>
          <w:szCs w:val="20"/>
          <w:color w:val="auto"/>
        </w:rPr>
      </w:pPr>
      <w:r>
        <w:rPr>
          <w:rFonts w:ascii="Arial" w:cs="Arial" w:eastAsia="Arial" w:hAnsi="Arial"/>
          <w:sz w:val="13"/>
          <w:szCs w:val="13"/>
          <w:b w:val="1"/>
          <w:bCs w:val="1"/>
          <w:color w:val="auto"/>
        </w:rPr>
        <w:t>Riks and contingent commitments</w:t>
      </w:r>
    </w:p>
    <w:p>
      <w:pPr>
        <w:ind w:right="360"/>
        <w:spacing w:after="0" w:line="274" w:lineRule="auto"/>
        <w:rPr>
          <w:sz w:val="20"/>
          <w:szCs w:val="20"/>
          <w:color w:val="auto"/>
        </w:rPr>
      </w:pPr>
      <w:r>
        <w:rPr>
          <w:rFonts w:ascii="Arial" w:cs="Arial" w:eastAsia="Arial" w:hAnsi="Arial"/>
          <w:sz w:val="13"/>
          <w:szCs w:val="13"/>
          <w:color w:val="auto"/>
        </w:rPr>
        <w:t>Derivative financial assets Derivative financial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Marginal gap</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Accumulated gap</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b w:val="1"/>
          <w:bCs w:val="1"/>
          <w:color w:val="auto"/>
        </w:rPr>
        <w:t>2021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120" w:type="dxa"/>
            <w:vAlign w:val="bottom"/>
            <w:tcBorders>
              <w:top w:val="single" w:sz="8" w:color="auto"/>
            </w:tcBorders>
            <w:gridSpan w:val="2"/>
          </w:tcPr>
          <w:p>
            <w:pPr>
              <w:ind w:left="100"/>
              <w:spacing w:after="0" w:line="137" w:lineRule="exact"/>
              <w:rPr>
                <w:sz w:val="20"/>
                <w:szCs w:val="20"/>
                <w:color w:val="auto"/>
              </w:rPr>
            </w:pPr>
            <w:r>
              <w:rPr>
                <w:rFonts w:ascii="Arial" w:cs="Arial" w:eastAsia="Arial" w:hAnsi="Arial"/>
                <w:sz w:val="14"/>
                <w:szCs w:val="14"/>
                <w:b w:val="1"/>
                <w:bCs w:val="1"/>
                <w:color w:val="auto"/>
              </w:rPr>
              <w:t>Up to 1</w:t>
            </w:r>
          </w:p>
        </w:tc>
        <w:tc>
          <w:tcPr>
            <w:tcW w:w="1120" w:type="dxa"/>
            <w:vAlign w:val="bottom"/>
            <w:tcBorders>
              <w:top w:val="single" w:sz="8" w:color="auto"/>
            </w:tcBorders>
            <w:gridSpan w:val="2"/>
          </w:tcPr>
          <w:p>
            <w:pPr>
              <w:ind w:left="100"/>
              <w:spacing w:after="0" w:line="137" w:lineRule="exact"/>
              <w:rPr>
                <w:sz w:val="20"/>
                <w:szCs w:val="20"/>
                <w:color w:val="auto"/>
              </w:rPr>
            </w:pPr>
            <w:r>
              <w:rPr>
                <w:rFonts w:ascii="Arial" w:cs="Arial" w:eastAsia="Arial" w:hAnsi="Arial"/>
                <w:sz w:val="14"/>
                <w:szCs w:val="14"/>
                <w:b w:val="1"/>
                <w:bCs w:val="1"/>
                <w:color w:val="auto"/>
              </w:rPr>
              <w:t>1 to 3</w:t>
            </w:r>
          </w:p>
        </w:tc>
        <w:tc>
          <w:tcPr>
            <w:tcW w:w="1100" w:type="dxa"/>
            <w:vAlign w:val="bottom"/>
            <w:tcBorders>
              <w:top w:val="single" w:sz="8" w:color="auto"/>
            </w:tcBorders>
            <w:gridSpan w:val="2"/>
          </w:tcPr>
          <w:p>
            <w:pPr>
              <w:ind w:left="80"/>
              <w:spacing w:after="0" w:line="137" w:lineRule="exact"/>
              <w:rPr>
                <w:sz w:val="20"/>
                <w:szCs w:val="20"/>
                <w:color w:val="auto"/>
              </w:rPr>
            </w:pPr>
            <w:r>
              <w:rPr>
                <w:rFonts w:ascii="Arial" w:cs="Arial" w:eastAsia="Arial" w:hAnsi="Arial"/>
                <w:sz w:val="14"/>
                <w:szCs w:val="14"/>
                <w:b w:val="1"/>
                <w:bCs w:val="1"/>
                <w:color w:val="auto"/>
              </w:rPr>
              <w:t>3 to 12</w:t>
            </w:r>
          </w:p>
        </w:tc>
        <w:tc>
          <w:tcPr>
            <w:tcW w:w="1200" w:type="dxa"/>
            <w:vAlign w:val="bottom"/>
            <w:tcBorders>
              <w:top w:val="single" w:sz="8" w:color="auto"/>
            </w:tcBorders>
            <w:gridSpan w:val="2"/>
          </w:tcPr>
          <w:p>
            <w:pPr>
              <w:ind w:left="100"/>
              <w:spacing w:after="0" w:line="137" w:lineRule="exact"/>
              <w:rPr>
                <w:sz w:val="20"/>
                <w:szCs w:val="20"/>
                <w:color w:val="auto"/>
              </w:rPr>
            </w:pPr>
            <w:r>
              <w:rPr>
                <w:rFonts w:ascii="Arial" w:cs="Arial" w:eastAsia="Arial" w:hAnsi="Arial"/>
                <w:sz w:val="14"/>
                <w:szCs w:val="14"/>
                <w:b w:val="1"/>
                <w:bCs w:val="1"/>
                <w:color w:val="auto"/>
              </w:rPr>
              <w:t>1 to 5</w:t>
            </w:r>
          </w:p>
        </w:tc>
        <w:tc>
          <w:tcPr>
            <w:tcW w:w="1180" w:type="dxa"/>
            <w:vAlign w:val="bottom"/>
            <w:tcBorders>
              <w:top w:val="single" w:sz="8" w:color="auto"/>
            </w:tcBorders>
            <w:gridSpan w:val="2"/>
          </w:tcPr>
          <w:p>
            <w:pPr>
              <w:ind w:left="100"/>
              <w:spacing w:after="0" w:line="137" w:lineRule="exact"/>
              <w:rPr>
                <w:sz w:val="20"/>
                <w:szCs w:val="20"/>
                <w:color w:val="auto"/>
              </w:rPr>
            </w:pPr>
            <w:r>
              <w:rPr>
                <w:rFonts w:ascii="Arial" w:cs="Arial" w:eastAsia="Arial" w:hAnsi="Arial"/>
                <w:sz w:val="14"/>
                <w:szCs w:val="14"/>
                <w:b w:val="1"/>
                <w:bCs w:val="1"/>
                <w:color w:val="auto"/>
              </w:rPr>
              <w:t>More than</w:t>
            </w:r>
          </w:p>
        </w:tc>
        <w:tc>
          <w:tcPr>
            <w:tcW w:w="1200" w:type="dxa"/>
            <w:vAlign w:val="bottom"/>
            <w:tcBorders>
              <w:top w:val="single" w:sz="8" w:color="auto"/>
            </w:tcBorders>
            <w:gridSpan w:val="2"/>
          </w:tcPr>
          <w:p>
            <w:pPr>
              <w:ind w:left="80"/>
              <w:spacing w:after="0" w:line="137" w:lineRule="exact"/>
              <w:rPr>
                <w:sz w:val="20"/>
                <w:szCs w:val="20"/>
                <w:color w:val="auto"/>
              </w:rPr>
            </w:pPr>
            <w:r>
              <w:rPr>
                <w:rFonts w:ascii="Arial" w:cs="Arial" w:eastAsia="Arial" w:hAnsi="Arial"/>
                <w:sz w:val="14"/>
                <w:szCs w:val="14"/>
                <w:b w:val="1"/>
                <w:bCs w:val="1"/>
                <w:color w:val="auto"/>
              </w:rPr>
              <w:t>Non-interest</w:t>
            </w:r>
          </w:p>
        </w:tc>
        <w:tc>
          <w:tcPr>
            <w:tcW w:w="980" w:type="dxa"/>
            <w:vAlign w:val="bottom"/>
            <w:tcBorders>
              <w:top w:val="single" w:sz="8" w:color="auto"/>
            </w:tcBorders>
          </w:tcPr>
          <w:p>
            <w:pPr>
              <w:spacing w:after="0"/>
              <w:rPr>
                <w:sz w:val="11"/>
                <w:szCs w:val="11"/>
                <w:color w:val="auto"/>
              </w:rPr>
            </w:pPr>
          </w:p>
        </w:tc>
      </w:tr>
      <w:tr>
        <w:trPr>
          <w:trHeight w:val="167"/>
        </w:trPr>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month</w:t>
            </w: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months</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months</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5 years</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bearing</w:t>
            </w: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r>
      <w:tr>
        <w:trPr>
          <w:trHeight w:val="174"/>
        </w:trPr>
        <w:tc>
          <w:tcPr>
            <w:tcW w:w="8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5"/>
                <w:szCs w:val="15"/>
                <w:color w:val="auto"/>
              </w:rPr>
            </w:pPr>
          </w:p>
        </w:tc>
        <w:tc>
          <w:tcPr>
            <w:tcW w:w="8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5"/>
                <w:szCs w:val="15"/>
                <w:color w:val="auto"/>
              </w:rPr>
            </w:pPr>
          </w:p>
        </w:tc>
        <w:tc>
          <w:tcPr>
            <w:tcW w:w="8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5"/>
                <w:szCs w:val="15"/>
                <w:color w:val="auto"/>
              </w:rPr>
            </w:pPr>
          </w:p>
        </w:tc>
        <w:tc>
          <w:tcPr>
            <w:tcW w:w="9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5"/>
                <w:szCs w:val="15"/>
                <w:color w:val="auto"/>
              </w:rPr>
            </w:pPr>
          </w:p>
        </w:tc>
        <w:tc>
          <w:tcPr>
            <w:tcW w:w="94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5"/>
                <w:szCs w:val="15"/>
                <w:color w:val="auto"/>
              </w:rPr>
            </w:pPr>
          </w:p>
        </w:tc>
        <w:tc>
          <w:tcPr>
            <w:tcW w:w="9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5"/>
                <w:szCs w:val="15"/>
                <w:color w:val="auto"/>
              </w:rPr>
            </w:pPr>
          </w:p>
        </w:tc>
        <w:tc>
          <w:tcPr>
            <w:tcW w:w="9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S/(000)</w:t>
            </w:r>
          </w:p>
        </w:tc>
      </w:tr>
      <w:tr>
        <w:trPr>
          <w:trHeight w:val="455"/>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21,200,113</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835,072</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2,164,640</w:t>
            </w:r>
          </w:p>
        </w:tc>
        <w:tc>
          <w:tcPr>
            <w:tcW w:w="2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8,430,195</w:t>
            </w:r>
          </w:p>
        </w:tc>
        <w:tc>
          <w:tcPr>
            <w:tcW w:w="22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180,678</w:t>
            </w:r>
          </w:p>
        </w:tc>
        <w:tc>
          <w:tcPr>
            <w:tcW w:w="24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8,276,990</w:t>
            </w:r>
          </w:p>
        </w:tc>
        <w:tc>
          <w:tcPr>
            <w:tcW w:w="24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41,087,688</w:t>
            </w:r>
          </w:p>
        </w:tc>
      </w:tr>
      <w:tr>
        <w:trPr>
          <w:trHeight w:val="301"/>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7,712,405</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1,134,280</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3,825,114</w:t>
            </w:r>
          </w:p>
        </w:tc>
        <w:tc>
          <w:tcPr>
            <w:tcW w:w="2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11,313,394</w:t>
            </w:r>
          </w:p>
        </w:tc>
        <w:tc>
          <w:tcPr>
            <w:tcW w:w="22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18,660,101</w:t>
            </w:r>
          </w:p>
        </w:tc>
        <w:tc>
          <w:tcPr>
            <w:tcW w:w="24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378,708</w:t>
            </w:r>
          </w:p>
        </w:tc>
        <w:tc>
          <w:tcPr>
            <w:tcW w:w="24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43,024,002</w:t>
            </w:r>
          </w:p>
        </w:tc>
      </w:tr>
      <w:tr>
        <w:trPr>
          <w:trHeight w:val="165"/>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16,062,211</w:t>
            </w:r>
          </w:p>
        </w:tc>
        <w:tc>
          <w:tcPr>
            <w:tcW w:w="240" w:type="dxa"/>
            <w:vAlign w:val="bottom"/>
          </w:tcPr>
          <w:p>
            <w:pPr>
              <w:spacing w:after="0"/>
              <w:rPr>
                <w:sz w:val="14"/>
                <w:szCs w:val="1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18,690,355</w:t>
            </w:r>
          </w:p>
        </w:tc>
        <w:tc>
          <w:tcPr>
            <w:tcW w:w="240" w:type="dxa"/>
            <w:vAlign w:val="bottom"/>
          </w:tcPr>
          <w:p>
            <w:pPr>
              <w:spacing w:after="0"/>
              <w:rPr>
                <w:sz w:val="14"/>
                <w:szCs w:val="1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38,761,519</w:t>
            </w:r>
          </w:p>
        </w:tc>
        <w:tc>
          <w:tcPr>
            <w:tcW w:w="220" w:type="dxa"/>
            <w:vAlign w:val="bottom"/>
          </w:tcPr>
          <w:p>
            <w:pPr>
              <w:spacing w:after="0"/>
              <w:rPr>
                <w:sz w:val="14"/>
                <w:szCs w:val="1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48,659,533</w:t>
            </w:r>
          </w:p>
        </w:tc>
        <w:tc>
          <w:tcPr>
            <w:tcW w:w="220" w:type="dxa"/>
            <w:vAlign w:val="bottom"/>
          </w:tcPr>
          <w:p>
            <w:pPr>
              <w:spacing w:after="0"/>
              <w:rPr>
                <w:sz w:val="14"/>
                <w:szCs w:val="14"/>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17,619,885</w:t>
            </w:r>
          </w:p>
        </w:tc>
        <w:tc>
          <w:tcPr>
            <w:tcW w:w="240" w:type="dxa"/>
            <w:vAlign w:val="bottom"/>
          </w:tcPr>
          <w:p>
            <w:pPr>
              <w:spacing w:after="0"/>
              <w:rPr>
                <w:sz w:val="14"/>
                <w:szCs w:val="14"/>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(673,399)</w:t>
            </w:r>
          </w:p>
        </w:tc>
        <w:tc>
          <w:tcPr>
            <w:tcW w:w="240" w:type="dxa"/>
            <w:vAlign w:val="bottom"/>
          </w:tcPr>
          <w:p>
            <w:pPr>
              <w:spacing w:after="0"/>
              <w:rPr>
                <w:sz w:val="14"/>
                <w:szCs w:val="1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139,120,104</w:t>
            </w:r>
          </w:p>
        </w:tc>
      </w:tr>
      <w:tr>
        <w:trPr>
          <w:trHeight w:val="233"/>
        </w:trPr>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974,664</w:t>
            </w:r>
          </w:p>
        </w:tc>
        <w:tc>
          <w:tcPr>
            <w:tcW w:w="2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974,664</w:t>
            </w:r>
          </w:p>
        </w:tc>
      </w:tr>
      <w:tr>
        <w:trPr>
          <w:trHeight w:val="311"/>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882,182</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24,565</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9,162</w:t>
            </w:r>
          </w:p>
        </w:tc>
        <w:tc>
          <w:tcPr>
            <w:tcW w:w="2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5,194</w:t>
            </w:r>
          </w:p>
        </w:tc>
        <w:tc>
          <w:tcPr>
            <w:tcW w:w="22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921,103</w:t>
            </w:r>
          </w:p>
        </w:tc>
      </w:tr>
      <w:tr>
        <w:trPr>
          <w:trHeight w:val="311"/>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1,138</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315,184</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876,680</w:t>
            </w:r>
          </w:p>
        </w:tc>
        <w:tc>
          <w:tcPr>
            <w:tcW w:w="2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3,985</w:t>
            </w:r>
          </w:p>
        </w:tc>
        <w:tc>
          <w:tcPr>
            <w:tcW w:w="22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1,392</w:t>
            </w:r>
          </w:p>
        </w:tc>
        <w:tc>
          <w:tcPr>
            <w:tcW w:w="2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1,198,379</w:t>
            </w:r>
          </w:p>
        </w:tc>
      </w:tr>
      <w:tr>
        <w:trPr>
          <w:trHeight w:val="219"/>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299,648</w:t>
            </w:r>
          </w:p>
        </w:tc>
        <w:tc>
          <w:tcPr>
            <w:tcW w:w="2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49,697</w:t>
            </w:r>
          </w:p>
        </w:tc>
        <w:tc>
          <w:tcPr>
            <w:tcW w:w="2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171,495</w:t>
            </w:r>
          </w:p>
        </w:tc>
        <w:tc>
          <w:tcPr>
            <w:tcW w:w="2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62,519</w:t>
            </w:r>
          </w:p>
        </w:tc>
        <w:tc>
          <w:tcPr>
            <w:tcW w:w="2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1,832,448</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2,415,807</w:t>
            </w:r>
          </w:p>
        </w:tc>
      </w:tr>
      <w:tr>
        <w:trPr>
          <w:trHeight w:val="148"/>
        </w:trPr>
        <w:tc>
          <w:tcPr>
            <w:tcW w:w="88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46,157,697</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21,049,153</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45,808,610</w:t>
            </w:r>
          </w:p>
        </w:tc>
        <w:tc>
          <w:tcPr>
            <w:tcW w:w="2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68,412,301</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36,524,575</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10,789,411</w:t>
            </w:r>
          </w:p>
        </w:tc>
        <w:tc>
          <w:tcPr>
            <w:tcW w:w="2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228,741,747</w:t>
            </w:r>
          </w:p>
        </w:tc>
      </w:tr>
      <w:tr>
        <w:trPr>
          <w:trHeight w:val="473"/>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38,932,350</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13,763,617</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21,336,061</w:t>
            </w:r>
          </w:p>
        </w:tc>
        <w:tc>
          <w:tcPr>
            <w:tcW w:w="2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65,231,646</w:t>
            </w:r>
          </w:p>
        </w:tc>
        <w:tc>
          <w:tcPr>
            <w:tcW w:w="22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8,349,313</w:t>
            </w:r>
          </w:p>
        </w:tc>
        <w:tc>
          <w:tcPr>
            <w:tcW w:w="24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2,727,875</w:t>
            </w:r>
          </w:p>
        </w:tc>
        <w:tc>
          <w:tcPr>
            <w:tcW w:w="24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150,340,862</w:t>
            </w:r>
          </w:p>
        </w:tc>
      </w:tr>
      <w:tr>
        <w:trPr>
          <w:trHeight w:val="311"/>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2,414,504</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2,423,081</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9,915,571</w:t>
            </w:r>
          </w:p>
        </w:tc>
        <w:tc>
          <w:tcPr>
            <w:tcW w:w="2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11,713,052</w:t>
            </w:r>
          </w:p>
        </w:tc>
        <w:tc>
          <w:tcPr>
            <w:tcW w:w="22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2,724,155</w:t>
            </w:r>
          </w:p>
        </w:tc>
        <w:tc>
          <w:tcPr>
            <w:tcW w:w="24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36,449</w:t>
            </w:r>
          </w:p>
        </w:tc>
        <w:tc>
          <w:tcPr>
            <w:tcW w:w="24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29,226,812</w:t>
            </w:r>
          </w:p>
        </w:tc>
      </w:tr>
      <w:tr>
        <w:trPr>
          <w:trHeight w:val="389"/>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98,755</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286,473</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55,296</w:t>
            </w:r>
          </w:p>
        </w:tc>
        <w:tc>
          <w:tcPr>
            <w:tcW w:w="2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23,301</w:t>
            </w:r>
          </w:p>
        </w:tc>
        <w:tc>
          <w:tcPr>
            <w:tcW w:w="22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463,825</w:t>
            </w:r>
          </w:p>
        </w:tc>
      </w:tr>
      <w:tr>
        <w:trPr>
          <w:trHeight w:val="311"/>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312,617</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873,375</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1,468,165</w:t>
            </w:r>
          </w:p>
        </w:tc>
        <w:tc>
          <w:tcPr>
            <w:tcW w:w="2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3,387,967</w:t>
            </w:r>
          </w:p>
        </w:tc>
        <w:tc>
          <w:tcPr>
            <w:tcW w:w="22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6,151,093</w:t>
            </w:r>
          </w:p>
        </w:tc>
        <w:tc>
          <w:tcPr>
            <w:tcW w:w="24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341,294</w:t>
            </w:r>
          </w:p>
        </w:tc>
        <w:tc>
          <w:tcPr>
            <w:tcW w:w="24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12,534,511</w:t>
            </w:r>
          </w:p>
        </w:tc>
      </w:tr>
      <w:tr>
        <w:trPr>
          <w:trHeight w:val="311"/>
        </w:trPr>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325,571</w:t>
            </w:r>
          </w:p>
        </w:tc>
        <w:tc>
          <w:tcPr>
            <w:tcW w:w="24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325,571</w:t>
            </w:r>
          </w:p>
        </w:tc>
      </w:tr>
      <w:tr>
        <w:trPr>
          <w:trHeight w:val="224"/>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122,746</w:t>
            </w:r>
          </w:p>
        </w:tc>
        <w:tc>
          <w:tcPr>
            <w:tcW w:w="2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553,109</w:t>
            </w:r>
          </w:p>
        </w:tc>
        <w:tc>
          <w:tcPr>
            <w:tcW w:w="22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15,935,158</w:t>
            </w:r>
          </w:p>
        </w:tc>
        <w:tc>
          <w:tcPr>
            <w:tcW w:w="2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399,728</w:t>
            </w:r>
          </w:p>
        </w:tc>
        <w:tc>
          <w:tcPr>
            <w:tcW w:w="2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68,018</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17,078,829</w:t>
            </w:r>
          </w:p>
        </w:tc>
      </w:tr>
      <w:tr>
        <w:trPr>
          <w:trHeight w:val="155"/>
        </w:trPr>
        <w:tc>
          <w:tcPr>
            <w:tcW w:w="8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135,776</w:t>
            </w:r>
          </w:p>
        </w:tc>
        <w:tc>
          <w:tcPr>
            <w:tcW w:w="240" w:type="dxa"/>
            <w:vAlign w:val="bottom"/>
          </w:tcPr>
          <w:p>
            <w:pPr>
              <w:spacing w:after="0"/>
              <w:rPr>
                <w:sz w:val="13"/>
                <w:szCs w:val="13"/>
                <w:color w:val="auto"/>
              </w:rPr>
            </w:pP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23,896</w:t>
            </w:r>
          </w:p>
        </w:tc>
        <w:tc>
          <w:tcPr>
            <w:tcW w:w="240" w:type="dxa"/>
            <w:vAlign w:val="bottom"/>
          </w:tcPr>
          <w:p>
            <w:pPr>
              <w:spacing w:after="0"/>
              <w:rPr>
                <w:sz w:val="13"/>
                <w:szCs w:val="13"/>
                <w:color w:val="auto"/>
              </w:rPr>
            </w:pPr>
          </w:p>
        </w:tc>
        <w:tc>
          <w:tcPr>
            <w:tcW w:w="8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2,735</w:t>
            </w:r>
          </w:p>
        </w:tc>
        <w:tc>
          <w:tcPr>
            <w:tcW w:w="220" w:type="dxa"/>
            <w:vAlign w:val="bottom"/>
          </w:tcPr>
          <w:p>
            <w:pPr>
              <w:spacing w:after="0"/>
              <w:rPr>
                <w:sz w:val="13"/>
                <w:szCs w:val="13"/>
                <w:color w:val="auto"/>
              </w:rPr>
            </w:pP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57,390</w:t>
            </w:r>
          </w:p>
        </w:tc>
        <w:tc>
          <w:tcPr>
            <w:tcW w:w="220" w:type="dxa"/>
            <w:vAlign w:val="bottom"/>
          </w:tcPr>
          <w:p>
            <w:pPr>
              <w:spacing w:after="0"/>
              <w:rPr>
                <w:sz w:val="13"/>
                <w:szCs w:val="13"/>
                <w:color w:val="auto"/>
              </w:rPr>
            </w:pPr>
          </w:p>
        </w:tc>
        <w:tc>
          <w:tcPr>
            <w:tcW w:w="11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4,163,736</w:t>
            </w:r>
          </w:p>
        </w:tc>
        <w:tc>
          <w:tcPr>
            <w:tcW w:w="240" w:type="dxa"/>
            <w:vAlign w:val="bottom"/>
          </w:tcPr>
          <w:p>
            <w:pPr>
              <w:spacing w:after="0"/>
              <w:rPr>
                <w:sz w:val="13"/>
                <w:szCs w:val="13"/>
                <w:color w:val="auto"/>
              </w:rPr>
            </w:pP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4,383,533</w:t>
            </w:r>
          </w:p>
        </w:tc>
      </w:tr>
      <w:tr>
        <w:trPr>
          <w:trHeight w:val="151"/>
        </w:trPr>
        <w:tc>
          <w:tcPr>
            <w:tcW w:w="1120" w:type="dxa"/>
            <w:vAlign w:val="bottom"/>
            <w:gridSpan w:val="2"/>
          </w:tcPr>
          <w:p>
            <w:pPr>
              <w:jc w:val="right"/>
              <w:ind w:right="320"/>
              <w:spacing w:after="0" w:line="151"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51"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line="151"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40"/>
              <w:spacing w:after="0" w:line="15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line="151" w:lineRule="exact"/>
              <w:rPr>
                <w:sz w:val="20"/>
                <w:szCs w:val="20"/>
                <w:color w:val="auto"/>
              </w:rPr>
            </w:pPr>
            <w:r>
              <w:rPr>
                <w:rFonts w:ascii="Arial" w:cs="Arial" w:eastAsia="Arial" w:hAnsi="Arial"/>
                <w:sz w:val="14"/>
                <w:szCs w:val="14"/>
                <w:color w:val="auto"/>
              </w:rPr>
              <w:t>27,037,439</w:t>
            </w:r>
          </w:p>
        </w:tc>
        <w:tc>
          <w:tcPr>
            <w:tcW w:w="240" w:type="dxa"/>
            <w:vAlign w:val="bottom"/>
          </w:tcPr>
          <w:p>
            <w:pPr>
              <w:spacing w:after="0"/>
              <w:rPr>
                <w:sz w:val="13"/>
                <w:szCs w:val="13"/>
                <w:color w:val="auto"/>
              </w:rPr>
            </w:pPr>
          </w:p>
        </w:tc>
        <w:tc>
          <w:tcPr>
            <w:tcW w:w="980" w:type="dxa"/>
            <w:vAlign w:val="bottom"/>
          </w:tcPr>
          <w:p>
            <w:pPr>
              <w:jc w:val="right"/>
              <w:ind w:right="31"/>
              <w:spacing w:after="0" w:line="151" w:lineRule="exact"/>
              <w:rPr>
                <w:sz w:val="20"/>
                <w:szCs w:val="20"/>
                <w:color w:val="auto"/>
              </w:rPr>
            </w:pPr>
            <w:r>
              <w:rPr>
                <w:rFonts w:ascii="Arial" w:cs="Arial" w:eastAsia="Arial" w:hAnsi="Arial"/>
                <w:sz w:val="14"/>
                <w:szCs w:val="14"/>
                <w:color w:val="auto"/>
              </w:rPr>
              <w:t>27,037,439</w:t>
            </w:r>
          </w:p>
        </w:tc>
      </w:tr>
      <w:tr>
        <w:trPr>
          <w:trHeight w:val="148"/>
        </w:trPr>
        <w:tc>
          <w:tcPr>
            <w:tcW w:w="88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41,894,072</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17,493,188</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33,330,937</w:t>
            </w:r>
          </w:p>
        </w:tc>
        <w:tc>
          <w:tcPr>
            <w:tcW w:w="2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96,348,514</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17,624,289</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34,700,382</w:t>
            </w:r>
          </w:p>
        </w:tc>
        <w:tc>
          <w:tcPr>
            <w:tcW w:w="2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241,391,382</w:t>
            </w:r>
          </w:p>
        </w:tc>
      </w:tr>
      <w:tr>
        <w:trPr>
          <w:trHeight w:val="619"/>
        </w:trPr>
        <w:tc>
          <w:tcPr>
            <w:tcW w:w="880" w:type="dxa"/>
            <w:vAlign w:val="bottom"/>
          </w:tcPr>
          <w:p>
            <w:pPr>
              <w:jc w:val="right"/>
              <w:ind w:right="11"/>
              <w:spacing w:after="0"/>
              <w:rPr>
                <w:sz w:val="20"/>
                <w:szCs w:val="20"/>
                <w:color w:val="auto"/>
              </w:rPr>
            </w:pPr>
            <w:r>
              <w:rPr>
                <w:rFonts w:ascii="Arial" w:cs="Arial" w:eastAsia="Arial" w:hAnsi="Arial"/>
                <w:sz w:val="14"/>
                <w:szCs w:val="14"/>
                <w:color w:val="auto"/>
              </w:rPr>
              <w:t>221,370</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700,009</w:t>
            </w:r>
          </w:p>
        </w:tc>
        <w:tc>
          <w:tcPr>
            <w:tcW w:w="24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167,250</w:t>
            </w:r>
          </w:p>
        </w:tc>
        <w:tc>
          <w:tcPr>
            <w:tcW w:w="2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486,430</w:t>
            </w:r>
          </w:p>
        </w:tc>
        <w:tc>
          <w:tcPr>
            <w:tcW w:w="22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1,575,059</w:t>
            </w:r>
          </w:p>
        </w:tc>
      </w:tr>
      <w:tr>
        <w:trPr>
          <w:trHeight w:val="151"/>
        </w:trPr>
        <w:tc>
          <w:tcPr>
            <w:tcW w:w="880" w:type="dxa"/>
            <w:vAlign w:val="bottom"/>
            <w:tcBorders>
              <w:bottom w:val="single" w:sz="8" w:color="auto"/>
            </w:tcBorders>
          </w:tcPr>
          <w:p>
            <w:pPr>
              <w:jc w:val="right"/>
              <w:ind w:right="11"/>
              <w:spacing w:after="0" w:line="151" w:lineRule="exact"/>
              <w:rPr>
                <w:sz w:val="20"/>
                <w:szCs w:val="20"/>
                <w:color w:val="auto"/>
              </w:rPr>
            </w:pPr>
            <w:r>
              <w:rPr>
                <w:rFonts w:ascii="Arial" w:cs="Arial" w:eastAsia="Arial" w:hAnsi="Arial"/>
                <w:sz w:val="14"/>
                <w:szCs w:val="14"/>
                <w:color w:val="auto"/>
              </w:rPr>
              <w:t>43,164</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222,228</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223,146</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1,001,554</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11"/>
              <w:spacing w:after="0" w:line="15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8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1,490,092</w:t>
            </w:r>
          </w:p>
        </w:tc>
      </w:tr>
      <w:tr>
        <w:trPr>
          <w:trHeight w:val="148"/>
        </w:trPr>
        <w:tc>
          <w:tcPr>
            <w:tcW w:w="8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178,206</w:t>
            </w:r>
          </w:p>
        </w:tc>
        <w:tc>
          <w:tcPr>
            <w:tcW w:w="240" w:type="dxa"/>
            <w:vAlign w:val="bottom"/>
          </w:tcPr>
          <w:p>
            <w:pPr>
              <w:spacing w:after="0"/>
              <w:rPr>
                <w:sz w:val="12"/>
                <w:szCs w:val="12"/>
                <w:color w:val="auto"/>
              </w:rPr>
            </w:pPr>
          </w:p>
        </w:tc>
        <w:tc>
          <w:tcPr>
            <w:tcW w:w="880" w:type="dxa"/>
            <w:vAlign w:val="bottom"/>
          </w:tcPr>
          <w:p>
            <w:pPr>
              <w:jc w:val="right"/>
              <w:ind w:right="31"/>
              <w:spacing w:after="0" w:line="149" w:lineRule="exact"/>
              <w:rPr>
                <w:sz w:val="20"/>
                <w:szCs w:val="20"/>
                <w:color w:val="auto"/>
              </w:rPr>
            </w:pPr>
            <w:r>
              <w:rPr>
                <w:rFonts w:ascii="Arial" w:cs="Arial" w:eastAsia="Arial" w:hAnsi="Arial"/>
                <w:sz w:val="14"/>
                <w:szCs w:val="14"/>
                <w:color w:val="auto"/>
              </w:rPr>
              <w:t>477,781</w:t>
            </w:r>
          </w:p>
        </w:tc>
        <w:tc>
          <w:tcPr>
            <w:tcW w:w="240" w:type="dxa"/>
            <w:vAlign w:val="bottom"/>
          </w:tcPr>
          <w:p>
            <w:pPr>
              <w:spacing w:after="0"/>
              <w:rPr>
                <w:sz w:val="12"/>
                <w:szCs w:val="12"/>
                <w:color w:val="auto"/>
              </w:rPr>
            </w:pPr>
          </w:p>
        </w:tc>
        <w:tc>
          <w:tcPr>
            <w:tcW w:w="880" w:type="dxa"/>
            <w:vAlign w:val="bottom"/>
          </w:tcPr>
          <w:p>
            <w:pPr>
              <w:jc w:val="right"/>
              <w:ind w:right="31"/>
              <w:spacing w:after="0" w:line="149" w:lineRule="exact"/>
              <w:rPr>
                <w:sz w:val="20"/>
                <w:szCs w:val="20"/>
                <w:color w:val="auto"/>
              </w:rPr>
            </w:pPr>
            <w:r>
              <w:rPr>
                <w:rFonts w:ascii="Arial" w:cs="Arial" w:eastAsia="Arial" w:hAnsi="Arial"/>
                <w:sz w:val="14"/>
                <w:szCs w:val="14"/>
                <w:color w:val="auto"/>
              </w:rPr>
              <w:t>(55,896)</w:t>
            </w:r>
          </w:p>
        </w:tc>
        <w:tc>
          <w:tcPr>
            <w:tcW w:w="220" w:type="dxa"/>
            <w:vAlign w:val="bottom"/>
          </w:tcPr>
          <w:p>
            <w:pPr>
              <w:spacing w:after="0"/>
              <w:rPr>
                <w:sz w:val="12"/>
                <w:szCs w:val="12"/>
                <w:color w:val="auto"/>
              </w:rPr>
            </w:pPr>
          </w:p>
        </w:tc>
        <w:tc>
          <w:tcPr>
            <w:tcW w:w="980" w:type="dxa"/>
            <w:vAlign w:val="bottom"/>
          </w:tcPr>
          <w:p>
            <w:pPr>
              <w:jc w:val="right"/>
              <w:ind w:right="31"/>
              <w:spacing w:after="0" w:line="149" w:lineRule="exact"/>
              <w:rPr>
                <w:sz w:val="20"/>
                <w:szCs w:val="20"/>
                <w:color w:val="auto"/>
              </w:rPr>
            </w:pPr>
            <w:r>
              <w:rPr>
                <w:rFonts w:ascii="Arial" w:cs="Arial" w:eastAsia="Arial" w:hAnsi="Arial"/>
                <w:sz w:val="14"/>
                <w:szCs w:val="14"/>
                <w:color w:val="auto"/>
              </w:rPr>
              <w:t>(515,124)</w:t>
            </w: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line="149" w:lineRule="exact"/>
              <w:rPr>
                <w:sz w:val="20"/>
                <w:szCs w:val="20"/>
                <w:color w:val="auto"/>
              </w:rPr>
            </w:pPr>
            <w:r>
              <w:rPr>
                <w:rFonts w:ascii="Arial" w:cs="Arial" w:eastAsia="Arial" w:hAnsi="Arial"/>
                <w:sz w:val="14"/>
                <w:szCs w:val="14"/>
                <w:color w:val="auto"/>
              </w:rPr>
              <w:t>84,967</w:t>
            </w:r>
          </w:p>
        </w:tc>
      </w:tr>
      <w:tr>
        <w:trPr>
          <w:trHeight w:val="148"/>
        </w:trPr>
        <w:tc>
          <w:tcPr>
            <w:tcW w:w="88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4,441,831</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4,033,746</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12,421,777</w:t>
            </w:r>
          </w:p>
        </w:tc>
        <w:tc>
          <w:tcPr>
            <w:tcW w:w="2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(28,451,337)</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18,900,286</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(23,910,971)</w:t>
            </w:r>
          </w:p>
        </w:tc>
        <w:tc>
          <w:tcPr>
            <w:tcW w:w="2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(12,564,668)</w:t>
            </w:r>
          </w:p>
        </w:tc>
      </w:tr>
      <w:tr>
        <w:trPr>
          <w:trHeight w:val="154"/>
        </w:trPr>
        <w:tc>
          <w:tcPr>
            <w:tcW w:w="88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4,441,831</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8,475,577</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20,897,354</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(7,553,983)</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11,346,303</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(12,564,668)</w:t>
            </w:r>
          </w:p>
        </w:tc>
        <w:tc>
          <w:tcPr>
            <w:tcW w:w="240" w:type="dxa"/>
            <w:vAlign w:val="bottom"/>
          </w:tcPr>
          <w:p>
            <w:pPr>
              <w:spacing w:after="0"/>
              <w:rPr>
                <w:sz w:val="13"/>
                <w:szCs w:val="13"/>
                <w:color w:val="auto"/>
              </w:rPr>
            </w:pPr>
          </w:p>
        </w:tc>
        <w:tc>
          <w:tcPr>
            <w:tcW w:w="98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w:t>
            </w:r>
          </w:p>
        </w:tc>
      </w:tr>
    </w:tbl>
    <w:p>
      <w:pPr>
        <w:spacing w:after="0" w:line="155" w:lineRule="exact"/>
        <w:rPr>
          <w:sz w:val="20"/>
          <w:szCs w:val="20"/>
          <w:color w:val="auto"/>
        </w:rPr>
      </w:pPr>
    </w:p>
    <w:p>
      <w:pPr>
        <w:sectPr>
          <w:pgSz w:w="11900" w:h="16838" w:orient="portrait"/>
          <w:cols w:equalWidth="0" w:num="2">
            <w:col w:w="2080" w:space="140"/>
            <w:col w:w="8080"/>
          </w:cols>
          <w:pgMar w:left="1260" w:top="128" w:right="339" w:bottom="1440" w:gutter="0" w:footer="0" w:header="0"/>
        </w:sectPr>
      </w:pPr>
    </w:p>
    <w:p>
      <w:pPr>
        <w:spacing w:after="0"/>
        <w:rPr>
          <w:sz w:val="20"/>
          <w:szCs w:val="20"/>
          <w:color w:val="auto"/>
        </w:rPr>
      </w:pPr>
      <w:r>
        <w:rPr>
          <w:rFonts w:ascii="Arial" w:cs="Arial" w:eastAsia="Arial" w:hAnsi="Arial"/>
          <w:sz w:val="17"/>
          <w:szCs w:val="17"/>
          <w:color w:val="auto"/>
        </w:rPr>
        <w:t>(*) Other assets and other liabilities only include financial accounts.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14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- 164 -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0"/>
          </w:cols>
          <w:pgMar w:left="1260" w:top="128" w:right="339" w:bottom="1440" w:gutter="0" w:footer="0" w:header="0"/>
          <w:type w:val="continuous"/>
        </w:sectPr>
      </w:pPr>
    </w:p>
    <w:bookmarkStart w:id="169" w:name="page170"/>
    <w:bookmarkEnd w:id="169"/>
    <w:p>
      <w:pPr>
        <w:ind w:left="940"/>
        <w:spacing w:after="0"/>
        <w:rPr>
          <w:sz w:val="20"/>
          <w:szCs w:val="20"/>
          <w:color w:val="auto"/>
        </w:rPr>
      </w:pPr>
      <w:r>
        <w:rPr>
          <w:rFonts w:ascii="Arial" w:cs="Arial" w:eastAsia="Arial" w:hAnsi="Arial"/>
          <w:sz w:val="17"/>
          <w:szCs w:val="17"/>
          <w:color w:val="auto"/>
        </w:rPr>
        <w:t>Sensitivity to changes in interest rates -</w:t>
      </w:r>
    </w:p>
    <w:p>
      <w:pPr>
        <w:spacing w:after="0" w:line="192" w:lineRule="exact"/>
        <w:rPr>
          <w:sz w:val="20"/>
          <w:szCs w:val="20"/>
          <w:color w:val="auto"/>
        </w:rPr>
      </w:pPr>
    </w:p>
    <w:p>
      <w:pPr>
        <w:jc w:val="both"/>
        <w:ind w:left="940"/>
        <w:spacing w:after="0" w:line="242" w:lineRule="auto"/>
        <w:rPr>
          <w:sz w:val="20"/>
          <w:szCs w:val="20"/>
          <w:color w:val="auto"/>
        </w:rPr>
      </w:pPr>
      <w:r>
        <w:rPr>
          <w:rFonts w:ascii="Arial" w:cs="Arial" w:eastAsia="Arial" w:hAnsi="Arial"/>
          <w:sz w:val="17"/>
          <w:szCs w:val="17"/>
          <w:color w:val="auto"/>
        </w:rPr>
        <w:t>The sensitivity analysis of a reasonable possible change in interest rates on the banking book comprises an assessment of the sensitivity of the financial margins that seeks to measure the potential changes in the interest accruals over a period of time and the expected movement of the interest rate curves, as well as the sensibility of the net economic value, which is a long-term metric measured as the difference arising between the net economic value of assets and liabilities before and after a variation in interest rates.</w:t>
      </w:r>
    </w:p>
    <w:p>
      <w:pPr>
        <w:spacing w:after="0" w:line="377" w:lineRule="exact"/>
        <w:rPr>
          <w:sz w:val="20"/>
          <w:szCs w:val="20"/>
          <w:color w:val="auto"/>
        </w:rPr>
      </w:pPr>
    </w:p>
    <w:p>
      <w:pPr>
        <w:jc w:val="both"/>
        <w:ind w:left="940"/>
        <w:spacing w:after="0" w:line="246" w:lineRule="auto"/>
        <w:rPr>
          <w:sz w:val="20"/>
          <w:szCs w:val="20"/>
          <w:color w:val="auto"/>
        </w:rPr>
      </w:pPr>
      <w:r>
        <w:rPr>
          <w:rFonts w:ascii="Arial" w:cs="Arial" w:eastAsia="Arial" w:hAnsi="Arial"/>
          <w:sz w:val="17"/>
          <w:szCs w:val="17"/>
          <w:color w:val="auto"/>
        </w:rPr>
        <w:t>The sensitivity of the financial margin is the effect of the assumed changes in interest rates on the net financial interest income before income tax and non-controlling interest for one year, based on non-trading financial assets and financial liabilities held as of December 31, 2022, and 2021, including the effect of derivative instruments.</w:t>
      </w:r>
    </w:p>
    <w:p>
      <w:pPr>
        <w:spacing w:after="0" w:line="176" w:lineRule="exact"/>
        <w:rPr>
          <w:sz w:val="20"/>
          <w:szCs w:val="20"/>
          <w:color w:val="auto"/>
        </w:rPr>
      </w:pPr>
    </w:p>
    <w:p>
      <w:pPr>
        <w:jc w:val="both"/>
        <w:ind w:left="940"/>
        <w:spacing w:after="0" w:line="243" w:lineRule="auto"/>
        <w:rPr>
          <w:sz w:val="20"/>
          <w:szCs w:val="20"/>
          <w:color w:val="auto"/>
        </w:rPr>
      </w:pPr>
      <w:r>
        <w:rPr>
          <w:rFonts w:ascii="Arial" w:cs="Arial" w:eastAsia="Arial" w:hAnsi="Arial"/>
          <w:sz w:val="17"/>
          <w:szCs w:val="17"/>
          <w:color w:val="auto"/>
        </w:rPr>
        <w:t>The sensitivity of the net economic value is calculated by reassessing the financial assets and liabilities sensitive to rates, except for the trading instruments, including the effect of any associated hedge, and derivative instruments designated as a cash flow hedge. Regarding rate risk management, no distinction is made by accounting category for the investments that are considered in these calculations.</w:t>
      </w:r>
    </w:p>
    <w:p>
      <w:pPr>
        <w:spacing w:after="0" w:line="18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results of the sensitivity analysis regarding changes in interest rates as of December 31, 2022 and 2021 are presented below:</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auto"/>
        </w:rPr>
        <w:t>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40" w:type="dxa"/>
            <w:vAlign w:val="bottom"/>
          </w:tcPr>
          <w:p>
            <w:pPr>
              <w:spacing w:after="0"/>
              <w:rPr>
                <w:sz w:val="14"/>
                <w:szCs w:val="14"/>
                <w:color w:val="auto"/>
              </w:rPr>
            </w:pPr>
          </w:p>
        </w:tc>
        <w:tc>
          <w:tcPr>
            <w:tcW w:w="29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100"/>
              <w:spacing w:after="0" w:line="164" w:lineRule="exact"/>
              <w:rPr>
                <w:sz w:val="20"/>
                <w:szCs w:val="20"/>
                <w:color w:val="auto"/>
              </w:rPr>
            </w:pPr>
            <w:r>
              <w:rPr>
                <w:rFonts w:ascii="Arial" w:cs="Arial" w:eastAsia="Arial" w:hAnsi="Arial"/>
                <w:sz w:val="17"/>
                <w:szCs w:val="17"/>
                <w:b w:val="1"/>
                <w:bCs w:val="1"/>
                <w:color w:val="auto"/>
              </w:rPr>
              <w:t>Changes in</w:t>
            </w: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ind w:left="80"/>
              <w:spacing w:after="0" w:line="164" w:lineRule="exact"/>
              <w:rPr>
                <w:sz w:val="20"/>
                <w:szCs w:val="20"/>
                <w:color w:val="auto"/>
              </w:rPr>
            </w:pPr>
            <w:r>
              <w:rPr>
                <w:rFonts w:ascii="Arial" w:cs="Arial" w:eastAsia="Arial" w:hAnsi="Arial"/>
                <w:sz w:val="17"/>
                <w:szCs w:val="17"/>
                <w:b w:val="1"/>
                <w:bCs w:val="1"/>
                <w:color w:val="auto"/>
              </w:rPr>
              <w:t>Sensitivity of net</w:t>
            </w:r>
          </w:p>
        </w:tc>
        <w:tc>
          <w:tcPr>
            <w:tcW w:w="7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gridSpan w:val="2"/>
          </w:tcPr>
          <w:p>
            <w:pPr>
              <w:ind w:left="100"/>
              <w:spacing w:after="0" w:line="164" w:lineRule="exact"/>
              <w:rPr>
                <w:sz w:val="20"/>
                <w:szCs w:val="20"/>
                <w:color w:val="auto"/>
              </w:rPr>
            </w:pPr>
            <w:r>
              <w:rPr>
                <w:rFonts w:ascii="Arial" w:cs="Arial" w:eastAsia="Arial" w:hAnsi="Arial"/>
                <w:sz w:val="17"/>
                <w:szCs w:val="17"/>
                <w:b w:val="1"/>
                <w:bCs w:val="1"/>
                <w:color w:val="auto"/>
              </w:rPr>
              <w:t>Sensitivity of Net</w:t>
            </w:r>
          </w:p>
        </w:tc>
        <w:tc>
          <w:tcPr>
            <w:tcW w:w="180" w:type="dxa"/>
            <w:vAlign w:val="bottom"/>
          </w:tcPr>
          <w:p>
            <w:pPr>
              <w:spacing w:after="0"/>
              <w:rPr>
                <w:sz w:val="14"/>
                <w:szCs w:val="14"/>
                <w:color w:val="auto"/>
              </w:rPr>
            </w:pPr>
          </w:p>
        </w:tc>
      </w:tr>
      <w:tr>
        <w:trPr>
          <w:trHeight w:val="217"/>
        </w:trPr>
        <w:tc>
          <w:tcPr>
            <w:tcW w:w="940" w:type="dxa"/>
            <w:vAlign w:val="bottom"/>
          </w:tcPr>
          <w:p>
            <w:pPr>
              <w:spacing w:after="0"/>
              <w:rPr>
                <w:sz w:val="18"/>
                <w:szCs w:val="18"/>
                <w:color w:val="auto"/>
              </w:rPr>
            </w:pPr>
          </w:p>
        </w:tc>
        <w:tc>
          <w:tcPr>
            <w:tcW w:w="3180" w:type="dxa"/>
            <w:vAlign w:val="bottom"/>
            <w:gridSpan w:val="2"/>
          </w:tcPr>
          <w:p>
            <w:pPr>
              <w:ind w:left="80"/>
              <w:spacing w:after="0"/>
              <w:rPr>
                <w:sz w:val="20"/>
                <w:szCs w:val="20"/>
                <w:color w:val="auto"/>
              </w:rPr>
            </w:pPr>
            <w:r>
              <w:rPr>
                <w:rFonts w:ascii="Arial" w:cs="Arial" w:eastAsia="Arial" w:hAnsi="Arial"/>
                <w:sz w:val="17"/>
                <w:szCs w:val="17"/>
                <w:b w:val="1"/>
                <w:bCs w:val="1"/>
                <w:color w:val="auto"/>
              </w:rPr>
              <w:t>Currency</w:t>
            </w:r>
          </w:p>
        </w:tc>
        <w:tc>
          <w:tcPr>
            <w:tcW w:w="1180" w:type="dxa"/>
            <w:vAlign w:val="bottom"/>
          </w:tcPr>
          <w:p>
            <w:pPr>
              <w:ind w:left="100"/>
              <w:spacing w:after="0"/>
              <w:rPr>
                <w:sz w:val="20"/>
                <w:szCs w:val="20"/>
                <w:color w:val="auto"/>
              </w:rPr>
            </w:pPr>
            <w:r>
              <w:rPr>
                <w:rFonts w:ascii="Arial" w:cs="Arial" w:eastAsia="Arial" w:hAnsi="Arial"/>
                <w:sz w:val="17"/>
                <w:szCs w:val="17"/>
                <w:b w:val="1"/>
                <w:bCs w:val="1"/>
                <w:color w:val="auto"/>
              </w:rPr>
              <w:t>basis points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ind w:left="80"/>
              <w:spacing w:after="0"/>
              <w:rPr>
                <w:sz w:val="20"/>
                <w:szCs w:val="20"/>
                <w:color w:val="auto"/>
              </w:rPr>
            </w:pPr>
            <w:r>
              <w:rPr>
                <w:rFonts w:ascii="Arial" w:cs="Arial" w:eastAsia="Arial" w:hAnsi="Arial"/>
                <w:sz w:val="17"/>
                <w:szCs w:val="17"/>
                <w:b w:val="1"/>
                <w:bCs w:val="1"/>
                <w:color w:val="auto"/>
              </w:rPr>
              <w:t>profit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7"/>
                <w:szCs w:val="17"/>
                <w:b w:val="1"/>
                <w:bCs w:val="1"/>
                <w:color w:val="auto"/>
                <w:w w:val="98"/>
              </w:rPr>
              <w:t>Economic Value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S/(000)</w:t>
            </w: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352"/>
        </w:trPr>
        <w:tc>
          <w:tcPr>
            <w:tcW w:w="9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7"/>
                <w:szCs w:val="17"/>
                <w:color w:val="auto"/>
              </w:rPr>
              <w:t>Soles</w:t>
            </w:r>
          </w:p>
        </w:tc>
        <w:tc>
          <w:tcPr>
            <w:tcW w:w="1180" w:type="dxa"/>
            <w:vAlign w:val="bottom"/>
          </w:tcPr>
          <w:p>
            <w:pPr>
              <w:ind w:lef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40,037</w:t>
            </w:r>
          </w:p>
        </w:tc>
        <w:tc>
          <w:tcPr>
            <w:tcW w:w="24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209,066</w:t>
            </w:r>
          </w:p>
        </w:tc>
        <w:tc>
          <w:tcPr>
            <w:tcW w:w="18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Soles</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75</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60,056</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313,598</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Soles</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100</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80,075</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418,131</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Soles</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150</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120,112</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627,197</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U.S. Dollar</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50</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102,016</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341,233</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U.S. Dollar</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75</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153,023</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511,849</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U.S. Dollar</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100</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204,031</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682,465</w:t>
            </w:r>
          </w:p>
        </w:tc>
        <w:tc>
          <w:tcPr>
            <w:tcW w:w="180" w:type="dxa"/>
            <w:vAlign w:val="bottom"/>
          </w:tcPr>
          <w:p>
            <w:pPr>
              <w:spacing w:after="0"/>
              <w:rPr>
                <w:sz w:val="16"/>
                <w:szCs w:val="16"/>
                <w:color w:val="auto"/>
              </w:rPr>
            </w:pPr>
          </w:p>
        </w:tc>
      </w:tr>
      <w:tr>
        <w:trPr>
          <w:trHeight w:val="208"/>
        </w:trPr>
        <w:tc>
          <w:tcPr>
            <w:tcW w:w="940" w:type="dxa"/>
            <w:vAlign w:val="bottom"/>
          </w:tcPr>
          <w:p>
            <w:pPr>
              <w:spacing w:after="0"/>
              <w:rPr>
                <w:sz w:val="18"/>
                <w:szCs w:val="18"/>
                <w:color w:val="auto"/>
              </w:rPr>
            </w:pPr>
          </w:p>
        </w:tc>
        <w:tc>
          <w:tcPr>
            <w:tcW w:w="3180" w:type="dxa"/>
            <w:vAlign w:val="bottom"/>
            <w:gridSpan w:val="2"/>
          </w:tcPr>
          <w:p>
            <w:pPr>
              <w:ind w:left="80"/>
              <w:spacing w:after="0"/>
              <w:rPr>
                <w:sz w:val="20"/>
                <w:szCs w:val="20"/>
                <w:color w:val="auto"/>
              </w:rPr>
            </w:pPr>
            <w:r>
              <w:rPr>
                <w:rFonts w:ascii="Arial" w:cs="Arial" w:eastAsia="Arial" w:hAnsi="Arial"/>
                <w:sz w:val="17"/>
                <w:szCs w:val="17"/>
                <w:color w:val="auto"/>
              </w:rPr>
              <w:t>U.S. Dollar</w:t>
            </w:r>
          </w:p>
        </w:tc>
        <w:tc>
          <w:tcPr>
            <w:tcW w:w="1180" w:type="dxa"/>
            <w:vAlign w:val="bottom"/>
          </w:tcPr>
          <w:p>
            <w:pPr>
              <w:ind w:lef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150</w:t>
            </w:r>
          </w:p>
        </w:tc>
        <w:tc>
          <w:tcPr>
            <w:tcW w:w="260" w:type="dxa"/>
            <w:vAlign w:val="bottom"/>
          </w:tcPr>
          <w:p>
            <w:pPr>
              <w:spacing w:after="0"/>
              <w:rPr>
                <w:sz w:val="18"/>
                <w:szCs w:val="18"/>
                <w:color w:val="auto"/>
              </w:rPr>
            </w:pPr>
          </w:p>
        </w:tc>
        <w:tc>
          <w:tcPr>
            <w:tcW w:w="152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306,047</w:t>
            </w:r>
          </w:p>
        </w:tc>
        <w:tc>
          <w:tcPr>
            <w:tcW w:w="24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1,023,698</w:t>
            </w:r>
          </w:p>
        </w:tc>
        <w:tc>
          <w:tcPr>
            <w:tcW w:w="180" w:type="dxa"/>
            <w:vAlign w:val="bottom"/>
          </w:tcPr>
          <w:p>
            <w:pPr>
              <w:spacing w:after="0"/>
              <w:rPr>
                <w:sz w:val="18"/>
                <w:szCs w:val="18"/>
                <w:color w:val="auto"/>
              </w:rPr>
            </w:pPr>
          </w:p>
        </w:tc>
      </w:tr>
      <w:tr>
        <w:trPr>
          <w:trHeight w:val="375"/>
        </w:trPr>
        <w:tc>
          <w:tcPr>
            <w:tcW w:w="940" w:type="dxa"/>
            <w:vAlign w:val="bottom"/>
          </w:tcPr>
          <w:p>
            <w:pPr>
              <w:spacing w:after="0"/>
              <w:rPr>
                <w:sz w:val="24"/>
                <w:szCs w:val="24"/>
                <w:color w:val="auto"/>
              </w:rPr>
            </w:pPr>
          </w:p>
        </w:tc>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64"/>
        </w:trPr>
        <w:tc>
          <w:tcPr>
            <w:tcW w:w="9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ind w:left="100"/>
              <w:spacing w:after="0" w:line="164" w:lineRule="exact"/>
              <w:rPr>
                <w:sz w:val="20"/>
                <w:szCs w:val="20"/>
                <w:color w:val="auto"/>
              </w:rPr>
            </w:pPr>
            <w:r>
              <w:rPr>
                <w:rFonts w:ascii="Arial" w:cs="Arial" w:eastAsia="Arial" w:hAnsi="Arial"/>
                <w:sz w:val="17"/>
                <w:szCs w:val="17"/>
                <w:b w:val="1"/>
                <w:bCs w:val="1"/>
                <w:color w:val="auto"/>
              </w:rPr>
              <w:t>Changes in</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ind w:left="80"/>
              <w:spacing w:after="0" w:line="164" w:lineRule="exact"/>
              <w:rPr>
                <w:sz w:val="20"/>
                <w:szCs w:val="20"/>
                <w:color w:val="auto"/>
              </w:rPr>
            </w:pPr>
            <w:r>
              <w:rPr>
                <w:rFonts w:ascii="Arial" w:cs="Arial" w:eastAsia="Arial" w:hAnsi="Arial"/>
                <w:sz w:val="17"/>
                <w:szCs w:val="17"/>
                <w:b w:val="1"/>
                <w:bCs w:val="1"/>
                <w:color w:val="auto"/>
              </w:rPr>
              <w:t>Sensitivity of net</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2"/>
          </w:tcPr>
          <w:p>
            <w:pPr>
              <w:ind w:left="100"/>
              <w:spacing w:after="0" w:line="164" w:lineRule="exact"/>
              <w:rPr>
                <w:sz w:val="20"/>
                <w:szCs w:val="20"/>
                <w:color w:val="auto"/>
              </w:rPr>
            </w:pPr>
            <w:r>
              <w:rPr>
                <w:rFonts w:ascii="Arial" w:cs="Arial" w:eastAsia="Arial" w:hAnsi="Arial"/>
                <w:sz w:val="17"/>
                <w:szCs w:val="17"/>
                <w:b w:val="1"/>
                <w:bCs w:val="1"/>
                <w:color w:val="auto"/>
              </w:rPr>
              <w:t>Sensitivity of Net</w:t>
            </w:r>
          </w:p>
        </w:tc>
        <w:tc>
          <w:tcPr>
            <w:tcW w:w="180" w:type="dxa"/>
            <w:vAlign w:val="bottom"/>
          </w:tcPr>
          <w:p>
            <w:pPr>
              <w:spacing w:after="0"/>
              <w:rPr>
                <w:sz w:val="14"/>
                <w:szCs w:val="14"/>
                <w:color w:val="auto"/>
              </w:rPr>
            </w:pPr>
          </w:p>
        </w:tc>
      </w:tr>
      <w:tr>
        <w:trPr>
          <w:trHeight w:val="217"/>
        </w:trPr>
        <w:tc>
          <w:tcPr>
            <w:tcW w:w="940" w:type="dxa"/>
            <w:vAlign w:val="bottom"/>
          </w:tcPr>
          <w:p>
            <w:pPr>
              <w:spacing w:after="0"/>
              <w:rPr>
                <w:sz w:val="18"/>
                <w:szCs w:val="18"/>
                <w:color w:val="auto"/>
              </w:rPr>
            </w:pPr>
          </w:p>
        </w:tc>
        <w:tc>
          <w:tcPr>
            <w:tcW w:w="3180" w:type="dxa"/>
            <w:vAlign w:val="bottom"/>
            <w:gridSpan w:val="2"/>
          </w:tcPr>
          <w:p>
            <w:pPr>
              <w:ind w:left="80"/>
              <w:spacing w:after="0"/>
              <w:rPr>
                <w:sz w:val="20"/>
                <w:szCs w:val="20"/>
                <w:color w:val="auto"/>
              </w:rPr>
            </w:pPr>
            <w:r>
              <w:rPr>
                <w:rFonts w:ascii="Arial" w:cs="Arial" w:eastAsia="Arial" w:hAnsi="Arial"/>
                <w:sz w:val="17"/>
                <w:szCs w:val="17"/>
                <w:b w:val="1"/>
                <w:bCs w:val="1"/>
                <w:color w:val="auto"/>
              </w:rPr>
              <w:t>Currency</w:t>
            </w:r>
          </w:p>
        </w:tc>
        <w:tc>
          <w:tcPr>
            <w:tcW w:w="1180" w:type="dxa"/>
            <w:vAlign w:val="bottom"/>
          </w:tcPr>
          <w:p>
            <w:pPr>
              <w:ind w:left="100"/>
              <w:spacing w:after="0"/>
              <w:rPr>
                <w:sz w:val="20"/>
                <w:szCs w:val="20"/>
                <w:color w:val="auto"/>
              </w:rPr>
            </w:pPr>
            <w:r>
              <w:rPr>
                <w:rFonts w:ascii="Arial" w:cs="Arial" w:eastAsia="Arial" w:hAnsi="Arial"/>
                <w:sz w:val="17"/>
                <w:szCs w:val="17"/>
                <w:b w:val="1"/>
                <w:bCs w:val="1"/>
                <w:color w:val="auto"/>
              </w:rPr>
              <w:t>basis points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ind w:left="80"/>
              <w:spacing w:after="0"/>
              <w:rPr>
                <w:sz w:val="20"/>
                <w:szCs w:val="20"/>
                <w:color w:val="auto"/>
              </w:rPr>
            </w:pPr>
            <w:r>
              <w:rPr>
                <w:rFonts w:ascii="Arial" w:cs="Arial" w:eastAsia="Arial" w:hAnsi="Arial"/>
                <w:sz w:val="17"/>
                <w:szCs w:val="17"/>
                <w:b w:val="1"/>
                <w:bCs w:val="1"/>
                <w:color w:val="auto"/>
              </w:rPr>
              <w:t>profit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7"/>
                <w:szCs w:val="17"/>
                <w:b w:val="1"/>
                <w:bCs w:val="1"/>
                <w:color w:val="auto"/>
                <w:w w:val="98"/>
              </w:rPr>
              <w:t>Economic Value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S/(000)</w:t>
            </w: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352"/>
        </w:trPr>
        <w:tc>
          <w:tcPr>
            <w:tcW w:w="9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7"/>
                <w:szCs w:val="17"/>
                <w:color w:val="auto"/>
              </w:rPr>
              <w:t>Soles</w:t>
            </w:r>
          </w:p>
        </w:tc>
        <w:tc>
          <w:tcPr>
            <w:tcW w:w="1180" w:type="dxa"/>
            <w:vAlign w:val="bottom"/>
          </w:tcPr>
          <w:p>
            <w:pPr>
              <w:ind w:lef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45,487</w:t>
            </w:r>
          </w:p>
        </w:tc>
        <w:tc>
          <w:tcPr>
            <w:tcW w:w="24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340,772</w:t>
            </w:r>
          </w:p>
        </w:tc>
        <w:tc>
          <w:tcPr>
            <w:tcW w:w="18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Soles</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75</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68,231</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511,158</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Soles</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100</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90,975</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681,544</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Soles</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150</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136,462</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1,022,316</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U.S. Dollar</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50</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115,376</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413,488</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U.S. Dollar</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75</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173,064</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620,232</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1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U.S. Dollar</w:t>
            </w:r>
          </w:p>
        </w:tc>
        <w:tc>
          <w:tcPr>
            <w:tcW w:w="118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100</w:t>
            </w:r>
          </w:p>
        </w:tc>
        <w:tc>
          <w:tcPr>
            <w:tcW w:w="260" w:type="dxa"/>
            <w:vAlign w:val="bottom"/>
          </w:tcPr>
          <w:p>
            <w:pPr>
              <w:spacing w:after="0"/>
              <w:rPr>
                <w:sz w:val="16"/>
                <w:szCs w:val="16"/>
                <w:color w:val="auto"/>
              </w:rPr>
            </w:pPr>
          </w:p>
        </w:tc>
        <w:tc>
          <w:tcPr>
            <w:tcW w:w="15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230,752</w:t>
            </w:r>
          </w:p>
        </w:tc>
        <w:tc>
          <w:tcPr>
            <w:tcW w:w="240" w:type="dxa"/>
            <w:vAlign w:val="bottom"/>
          </w:tcPr>
          <w:p>
            <w:pPr>
              <w:spacing w:after="0"/>
              <w:rPr>
                <w:sz w:val="16"/>
                <w:szCs w:val="16"/>
                <w:color w:val="auto"/>
              </w:rPr>
            </w:pPr>
          </w:p>
        </w:tc>
        <w:tc>
          <w:tcPr>
            <w:tcW w:w="1420" w:type="dxa"/>
            <w:vAlign w:val="bottom"/>
          </w:tcPr>
          <w:p>
            <w:pPr>
              <w:ind w:left="1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826,976</w:t>
            </w:r>
          </w:p>
        </w:tc>
        <w:tc>
          <w:tcPr>
            <w:tcW w:w="180" w:type="dxa"/>
            <w:vAlign w:val="bottom"/>
          </w:tcPr>
          <w:p>
            <w:pPr>
              <w:spacing w:after="0"/>
              <w:rPr>
                <w:sz w:val="16"/>
                <w:szCs w:val="16"/>
                <w:color w:val="auto"/>
              </w:rPr>
            </w:pPr>
          </w:p>
        </w:tc>
      </w:tr>
      <w:tr>
        <w:trPr>
          <w:trHeight w:val="208"/>
        </w:trPr>
        <w:tc>
          <w:tcPr>
            <w:tcW w:w="940" w:type="dxa"/>
            <w:vAlign w:val="bottom"/>
          </w:tcPr>
          <w:p>
            <w:pPr>
              <w:spacing w:after="0"/>
              <w:rPr>
                <w:sz w:val="18"/>
                <w:szCs w:val="18"/>
                <w:color w:val="auto"/>
              </w:rPr>
            </w:pPr>
          </w:p>
        </w:tc>
        <w:tc>
          <w:tcPr>
            <w:tcW w:w="3180" w:type="dxa"/>
            <w:vAlign w:val="bottom"/>
            <w:gridSpan w:val="2"/>
          </w:tcPr>
          <w:p>
            <w:pPr>
              <w:ind w:left="80"/>
              <w:spacing w:after="0"/>
              <w:rPr>
                <w:sz w:val="20"/>
                <w:szCs w:val="20"/>
                <w:color w:val="auto"/>
              </w:rPr>
            </w:pPr>
            <w:r>
              <w:rPr>
                <w:rFonts w:ascii="Arial" w:cs="Arial" w:eastAsia="Arial" w:hAnsi="Arial"/>
                <w:sz w:val="17"/>
                <w:szCs w:val="17"/>
                <w:color w:val="auto"/>
              </w:rPr>
              <w:t>U.S. Dollar</w:t>
            </w:r>
          </w:p>
        </w:tc>
        <w:tc>
          <w:tcPr>
            <w:tcW w:w="1180" w:type="dxa"/>
            <w:vAlign w:val="bottom"/>
          </w:tcPr>
          <w:p>
            <w:pPr>
              <w:ind w:lef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150</w:t>
            </w:r>
          </w:p>
        </w:tc>
        <w:tc>
          <w:tcPr>
            <w:tcW w:w="260" w:type="dxa"/>
            <w:vAlign w:val="bottom"/>
          </w:tcPr>
          <w:p>
            <w:pPr>
              <w:spacing w:after="0"/>
              <w:rPr>
                <w:sz w:val="18"/>
                <w:szCs w:val="18"/>
                <w:color w:val="auto"/>
              </w:rPr>
            </w:pPr>
          </w:p>
        </w:tc>
        <w:tc>
          <w:tcPr>
            <w:tcW w:w="152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346,128</w:t>
            </w:r>
          </w:p>
        </w:tc>
        <w:tc>
          <w:tcPr>
            <w:tcW w:w="24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1,240,463</w:t>
            </w:r>
          </w:p>
        </w:tc>
        <w:tc>
          <w:tcPr>
            <w:tcW w:w="180" w:type="dxa"/>
            <w:vAlign w:val="bottom"/>
          </w:tcPr>
          <w:p>
            <w:pPr>
              <w:spacing w:after="0"/>
              <w:rPr>
                <w:sz w:val="18"/>
                <w:szCs w:val="18"/>
                <w:color w:val="auto"/>
              </w:rPr>
            </w:pPr>
          </w:p>
        </w:tc>
      </w:tr>
      <w:tr>
        <w:trPr>
          <w:trHeight w:val="363"/>
        </w:trPr>
        <w:tc>
          <w:tcPr>
            <w:tcW w:w="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- 165 -</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94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170" w:name="page171"/>
    <w:bookmarkEnd w:id="170"/>
    <w:p>
      <w:pPr>
        <w:jc w:val="both"/>
        <w:ind w:left="940"/>
        <w:spacing w:after="0" w:line="243" w:lineRule="auto"/>
        <w:rPr>
          <w:sz w:val="20"/>
          <w:szCs w:val="20"/>
          <w:color w:val="auto"/>
        </w:rPr>
      </w:pPr>
      <w:r>
        <w:rPr>
          <w:rFonts w:ascii="Arial" w:cs="Arial" w:eastAsia="Arial" w:hAnsi="Arial"/>
          <w:sz w:val="17"/>
          <w:szCs w:val="17"/>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w:t>
      </w:r>
    </w:p>
    <w:p>
      <w:pPr>
        <w:spacing w:after="0" w:line="179" w:lineRule="exact"/>
        <w:rPr>
          <w:sz w:val="20"/>
          <w:szCs w:val="20"/>
          <w:color w:val="auto"/>
        </w:rPr>
      </w:pPr>
    </w:p>
    <w:p>
      <w:pPr>
        <w:jc w:val="both"/>
        <w:ind w:left="940"/>
        <w:spacing w:after="0" w:line="246" w:lineRule="auto"/>
        <w:rPr>
          <w:sz w:val="20"/>
          <w:szCs w:val="20"/>
          <w:color w:val="auto"/>
        </w:rPr>
      </w:pPr>
      <w:r>
        <w:rPr>
          <w:rFonts w:ascii="Arial" w:cs="Arial" w:eastAsia="Arial" w:hAnsi="Arial"/>
          <w:sz w:val="17"/>
          <w:szCs w:val="17"/>
          <w:color w:val="auto"/>
        </w:rPr>
        <w:t>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w:t>
      </w:r>
    </w:p>
    <w:p>
      <w:pPr>
        <w:spacing w:after="0" w:line="176" w:lineRule="exact"/>
        <w:rPr>
          <w:sz w:val="20"/>
          <w:szCs w:val="20"/>
          <w:color w:val="auto"/>
        </w:rPr>
      </w:pPr>
    </w:p>
    <w:p>
      <w:pPr>
        <w:jc w:val="both"/>
        <w:ind w:left="940"/>
        <w:spacing w:after="0" w:line="243" w:lineRule="auto"/>
        <w:rPr>
          <w:sz w:val="20"/>
          <w:szCs w:val="20"/>
          <w:color w:val="auto"/>
        </w:rPr>
      </w:pPr>
      <w:r>
        <w:rPr>
          <w:rFonts w:ascii="Arial" w:cs="Arial" w:eastAsia="Arial" w:hAnsi="Arial"/>
          <w:sz w:val="17"/>
          <w:szCs w:val="17"/>
          <w:color w:val="auto"/>
        </w:rPr>
        <w:t>As of December 31, 2022 and 2021, investments in equity securities and funds that are non-trading, recorded at fair value through other comprehensive income and at fair value through profit or loss, respectively, are not considered as comprising investment securities for interest rate sensitivity calculation purposes; however, sensitivity tests have been conducted for variations of 10, 25 and 30 percent in the market prices of these securities.</w:t>
      </w:r>
    </w:p>
    <w:p>
      <w:pPr>
        <w:spacing w:after="0" w:line="18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market price sensitivity tests as of December 31, 2021 and 2020 are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Equity securities</w:t>
            </w: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64"/>
        </w:trPr>
        <w:tc>
          <w:tcPr>
            <w:tcW w:w="940" w:type="dxa"/>
            <w:vAlign w:val="bottom"/>
          </w:tcPr>
          <w:p>
            <w:pPr>
              <w:spacing w:after="0"/>
              <w:rPr>
                <w:sz w:val="14"/>
                <w:szCs w:val="14"/>
                <w:color w:val="auto"/>
              </w:rPr>
            </w:pPr>
          </w:p>
        </w:tc>
        <w:tc>
          <w:tcPr>
            <w:tcW w:w="4420" w:type="dxa"/>
            <w:vAlign w:val="bottom"/>
          </w:tcPr>
          <w:p>
            <w:pPr>
              <w:ind w:left="80"/>
              <w:spacing w:after="0" w:line="164" w:lineRule="exact"/>
              <w:rPr>
                <w:sz w:val="20"/>
                <w:szCs w:val="20"/>
                <w:color w:val="auto"/>
              </w:rPr>
            </w:pPr>
            <w:r>
              <w:rPr>
                <w:rFonts w:ascii="Arial" w:cs="Arial" w:eastAsia="Arial" w:hAnsi="Arial"/>
                <w:sz w:val="17"/>
                <w:szCs w:val="17"/>
                <w:b w:val="1"/>
                <w:bCs w:val="1"/>
                <w:color w:val="auto"/>
              </w:rPr>
              <w:t>Measured at fair value through</w:t>
            </w:r>
          </w:p>
        </w:tc>
        <w:tc>
          <w:tcPr>
            <w:tcW w:w="240" w:type="dxa"/>
            <w:vAlign w:val="bottom"/>
          </w:tcPr>
          <w:p>
            <w:pPr>
              <w:spacing w:after="0"/>
              <w:rPr>
                <w:sz w:val="14"/>
                <w:szCs w:val="14"/>
                <w:color w:val="auto"/>
              </w:rPr>
            </w:pPr>
          </w:p>
        </w:tc>
        <w:tc>
          <w:tcPr>
            <w:tcW w:w="2220" w:type="dxa"/>
            <w:vAlign w:val="bottom"/>
            <w:gridSpan w:val="2"/>
          </w:tcPr>
          <w:p>
            <w:pPr>
              <w:ind w:left="100"/>
              <w:spacing w:after="0" w:line="164" w:lineRule="exact"/>
              <w:rPr>
                <w:sz w:val="20"/>
                <w:szCs w:val="20"/>
                <w:color w:val="auto"/>
              </w:rPr>
            </w:pPr>
            <w:r>
              <w:rPr>
                <w:rFonts w:ascii="Arial" w:cs="Arial" w:eastAsia="Arial" w:hAnsi="Arial"/>
                <w:sz w:val="17"/>
                <w:szCs w:val="17"/>
                <w:b w:val="1"/>
                <w:bCs w:val="1"/>
                <w:color w:val="auto"/>
              </w:rPr>
              <w:t>Change in</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7"/>
        </w:trPr>
        <w:tc>
          <w:tcPr>
            <w:tcW w:w="940" w:type="dxa"/>
            <w:vAlign w:val="bottom"/>
          </w:tcPr>
          <w:p>
            <w:pPr>
              <w:spacing w:after="0"/>
              <w:rPr>
                <w:sz w:val="18"/>
                <w:szCs w:val="18"/>
                <w:color w:val="auto"/>
              </w:rPr>
            </w:pPr>
          </w:p>
        </w:tc>
        <w:tc>
          <w:tcPr>
            <w:tcW w:w="4420" w:type="dxa"/>
            <w:vAlign w:val="bottom"/>
          </w:tcPr>
          <w:p>
            <w:pPr>
              <w:ind w:left="140"/>
              <w:spacing w:after="0"/>
              <w:rPr>
                <w:sz w:val="20"/>
                <w:szCs w:val="20"/>
                <w:color w:val="auto"/>
              </w:rPr>
            </w:pPr>
            <w:r>
              <w:rPr>
                <w:rFonts w:ascii="Arial" w:cs="Arial" w:eastAsia="Arial" w:hAnsi="Arial"/>
                <w:sz w:val="17"/>
                <w:szCs w:val="17"/>
                <w:b w:val="1"/>
                <w:bCs w:val="1"/>
                <w:color w:val="auto"/>
              </w:rPr>
              <w:t>other comprehensive income</w:t>
            </w:r>
          </w:p>
        </w:tc>
        <w:tc>
          <w:tcPr>
            <w:tcW w:w="240" w:type="dxa"/>
            <w:vAlign w:val="bottom"/>
          </w:tcPr>
          <w:p>
            <w:pPr>
              <w:spacing w:after="0"/>
              <w:rPr>
                <w:sz w:val="18"/>
                <w:szCs w:val="18"/>
                <w:color w:val="auto"/>
              </w:rPr>
            </w:pPr>
          </w:p>
        </w:tc>
        <w:tc>
          <w:tcPr>
            <w:tcW w:w="2220" w:type="dxa"/>
            <w:vAlign w:val="bottom"/>
            <w:gridSpan w:val="2"/>
          </w:tcPr>
          <w:p>
            <w:pPr>
              <w:ind w:left="100"/>
              <w:spacing w:after="0"/>
              <w:rPr>
                <w:sz w:val="20"/>
                <w:szCs w:val="20"/>
                <w:color w:val="auto"/>
              </w:rPr>
            </w:pPr>
            <w:r>
              <w:rPr>
                <w:rFonts w:ascii="Arial" w:cs="Arial" w:eastAsia="Arial" w:hAnsi="Arial"/>
                <w:sz w:val="17"/>
                <w:szCs w:val="17"/>
                <w:b w:val="1"/>
                <w:bCs w:val="1"/>
                <w:color w:val="auto"/>
              </w:rPr>
              <w:t>market prices</w:t>
            </w:r>
          </w:p>
        </w:tc>
        <w:tc>
          <w:tcPr>
            <w:tcW w:w="1500" w:type="dxa"/>
            <w:vAlign w:val="bottom"/>
          </w:tcPr>
          <w:p>
            <w:pPr>
              <w:ind w:left="10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500" w:type="dxa"/>
            <w:vAlign w:val="bottom"/>
          </w:tcPr>
          <w:p>
            <w:pPr>
              <w:ind w:left="10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50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50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940" w:type="dxa"/>
            <w:vAlign w:val="bottom"/>
          </w:tcPr>
          <w:p>
            <w:pPr>
              <w:spacing w:after="0"/>
              <w:rPr>
                <w:sz w:val="24"/>
                <w:szCs w:val="24"/>
                <w:color w:val="auto"/>
              </w:rPr>
            </w:pPr>
          </w:p>
        </w:tc>
        <w:tc>
          <w:tcPr>
            <w:tcW w:w="4420" w:type="dxa"/>
            <w:vAlign w:val="bottom"/>
          </w:tcPr>
          <w:p>
            <w:pPr>
              <w:ind w:left="80"/>
              <w:spacing w:after="0"/>
              <w:rPr>
                <w:sz w:val="20"/>
                <w:szCs w:val="20"/>
                <w:color w:val="auto"/>
              </w:rPr>
            </w:pPr>
            <w:r>
              <w:rPr>
                <w:rFonts w:ascii="Arial" w:cs="Arial" w:eastAsia="Arial" w:hAnsi="Arial"/>
                <w:sz w:val="17"/>
                <w:szCs w:val="17"/>
                <w:color w:val="auto"/>
              </w:rPr>
              <w:t>Equity securities</w:t>
            </w:r>
          </w:p>
        </w:tc>
        <w:tc>
          <w:tcPr>
            <w:tcW w:w="2220" w:type="dxa"/>
            <w:vAlign w:val="bottom"/>
            <w:gridSpan w:val="2"/>
          </w:tcPr>
          <w:p>
            <w:pPr>
              <w:jc w:val="right"/>
              <w:ind w:right="14"/>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24"/>
                <w:szCs w:val="24"/>
                <w:color w:val="auto"/>
              </w:rPr>
            </w:pPr>
          </w:p>
        </w:tc>
        <w:tc>
          <w:tcPr>
            <w:tcW w:w="1500" w:type="dxa"/>
            <w:vAlign w:val="bottom"/>
          </w:tcPr>
          <w:p>
            <w:pPr>
              <w:jc w:val="right"/>
              <w:ind w:right="14"/>
              <w:spacing w:after="0"/>
              <w:rPr>
                <w:sz w:val="20"/>
                <w:szCs w:val="20"/>
                <w:color w:val="auto"/>
              </w:rPr>
            </w:pPr>
            <w:r>
              <w:rPr>
                <w:rFonts w:ascii="Arial" w:cs="Arial" w:eastAsia="Arial" w:hAnsi="Arial"/>
                <w:sz w:val="17"/>
                <w:szCs w:val="17"/>
                <w:color w:val="auto"/>
              </w:rPr>
              <w:t>32,649</w:t>
            </w:r>
          </w:p>
        </w:tc>
        <w:tc>
          <w:tcPr>
            <w:tcW w:w="240" w:type="dxa"/>
            <w:vAlign w:val="bottom"/>
          </w:tcPr>
          <w:p>
            <w:pPr>
              <w:spacing w:after="0"/>
              <w:rPr>
                <w:sz w:val="24"/>
                <w:szCs w:val="24"/>
                <w:color w:val="auto"/>
              </w:rPr>
            </w:pPr>
          </w:p>
        </w:tc>
        <w:tc>
          <w:tcPr>
            <w:tcW w:w="1500" w:type="dxa"/>
            <w:vAlign w:val="bottom"/>
          </w:tcPr>
          <w:p>
            <w:pPr>
              <w:jc w:val="right"/>
              <w:ind w:right="14"/>
              <w:spacing w:after="0"/>
              <w:rPr>
                <w:sz w:val="20"/>
                <w:szCs w:val="20"/>
                <w:color w:val="auto"/>
              </w:rPr>
            </w:pPr>
            <w:r>
              <w:rPr>
                <w:rFonts w:ascii="Arial" w:cs="Arial" w:eastAsia="Arial" w:hAnsi="Arial"/>
                <w:sz w:val="17"/>
                <w:szCs w:val="17"/>
                <w:color w:val="auto"/>
              </w:rPr>
              <w:t>37,783</w:t>
            </w:r>
          </w:p>
        </w:tc>
        <w:tc>
          <w:tcPr>
            <w:tcW w:w="18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Equity securities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81,621</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94,457</w:t>
            </w:r>
          </w:p>
        </w:tc>
        <w:tc>
          <w:tcPr>
            <w:tcW w:w="180" w:type="dxa"/>
            <w:vAlign w:val="bottom"/>
          </w:tcPr>
          <w:p>
            <w:pPr>
              <w:spacing w:after="0"/>
              <w:rPr>
                <w:sz w:val="16"/>
                <w:szCs w:val="16"/>
                <w:color w:val="auto"/>
              </w:rPr>
            </w:pPr>
          </w:p>
        </w:tc>
      </w:tr>
      <w:tr>
        <w:trPr>
          <w:trHeight w:val="208"/>
        </w:trPr>
        <w:tc>
          <w:tcPr>
            <w:tcW w:w="94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7"/>
                <w:szCs w:val="17"/>
                <w:color w:val="auto"/>
              </w:rPr>
              <w:t>Equity securities</w:t>
            </w:r>
          </w:p>
        </w:tc>
        <w:tc>
          <w:tcPr>
            <w:tcW w:w="2220" w:type="dxa"/>
            <w:vAlign w:val="bottom"/>
            <w:gridSpan w:val="2"/>
          </w:tcPr>
          <w:p>
            <w:pPr>
              <w:jc w:val="right"/>
              <w:ind w:right="14"/>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18"/>
                <w:szCs w:val="18"/>
                <w:color w:val="auto"/>
              </w:rPr>
            </w:pPr>
          </w:p>
        </w:tc>
        <w:tc>
          <w:tcPr>
            <w:tcW w:w="1500" w:type="dxa"/>
            <w:vAlign w:val="bottom"/>
          </w:tcPr>
          <w:p>
            <w:pPr>
              <w:jc w:val="right"/>
              <w:ind w:right="14"/>
              <w:spacing w:after="0"/>
              <w:rPr>
                <w:sz w:val="20"/>
                <w:szCs w:val="20"/>
                <w:color w:val="auto"/>
              </w:rPr>
            </w:pPr>
            <w:r>
              <w:rPr>
                <w:rFonts w:ascii="Arial" w:cs="Arial" w:eastAsia="Arial" w:hAnsi="Arial"/>
                <w:sz w:val="17"/>
                <w:szCs w:val="17"/>
                <w:color w:val="auto"/>
              </w:rPr>
              <w:t>97,946</w:t>
            </w:r>
          </w:p>
        </w:tc>
        <w:tc>
          <w:tcPr>
            <w:tcW w:w="240" w:type="dxa"/>
            <w:vAlign w:val="bottom"/>
          </w:tcPr>
          <w:p>
            <w:pPr>
              <w:spacing w:after="0"/>
              <w:rPr>
                <w:sz w:val="18"/>
                <w:szCs w:val="18"/>
                <w:color w:val="auto"/>
              </w:rPr>
            </w:pPr>
          </w:p>
        </w:tc>
        <w:tc>
          <w:tcPr>
            <w:tcW w:w="1500" w:type="dxa"/>
            <w:vAlign w:val="bottom"/>
          </w:tcPr>
          <w:p>
            <w:pPr>
              <w:jc w:val="right"/>
              <w:ind w:right="14"/>
              <w:spacing w:after="0"/>
              <w:rPr>
                <w:sz w:val="20"/>
                <w:szCs w:val="20"/>
                <w:color w:val="auto"/>
              </w:rPr>
            </w:pPr>
            <w:r>
              <w:rPr>
                <w:rFonts w:ascii="Arial" w:cs="Arial" w:eastAsia="Arial" w:hAnsi="Arial"/>
                <w:sz w:val="17"/>
                <w:szCs w:val="17"/>
                <w:color w:val="auto"/>
              </w:rPr>
              <w:t>113,348</w:t>
            </w:r>
          </w:p>
        </w:tc>
        <w:tc>
          <w:tcPr>
            <w:tcW w:w="180" w:type="dxa"/>
            <w:vAlign w:val="bottom"/>
          </w:tcPr>
          <w:p>
            <w:pPr>
              <w:spacing w:after="0"/>
              <w:rPr>
                <w:sz w:val="18"/>
                <w:szCs w:val="18"/>
                <w:color w:val="auto"/>
              </w:rPr>
            </w:pPr>
          </w:p>
        </w:tc>
      </w:tr>
      <w:tr>
        <w:trPr>
          <w:trHeight w:val="375"/>
        </w:trPr>
        <w:tc>
          <w:tcPr>
            <w:tcW w:w="940" w:type="dxa"/>
            <w:vAlign w:val="bottom"/>
          </w:tcPr>
          <w:p>
            <w:pPr>
              <w:spacing w:after="0"/>
              <w:rPr>
                <w:sz w:val="24"/>
                <w:szCs w:val="24"/>
                <w:color w:val="auto"/>
              </w:rPr>
            </w:pPr>
          </w:p>
        </w:tc>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Funds</w:t>
            </w: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64"/>
        </w:trPr>
        <w:tc>
          <w:tcPr>
            <w:tcW w:w="940" w:type="dxa"/>
            <w:vAlign w:val="bottom"/>
          </w:tcPr>
          <w:p>
            <w:pPr>
              <w:spacing w:after="0"/>
              <w:rPr>
                <w:sz w:val="14"/>
                <w:szCs w:val="14"/>
                <w:color w:val="auto"/>
              </w:rPr>
            </w:pPr>
          </w:p>
        </w:tc>
        <w:tc>
          <w:tcPr>
            <w:tcW w:w="4420" w:type="dxa"/>
            <w:vAlign w:val="bottom"/>
          </w:tcPr>
          <w:p>
            <w:pPr>
              <w:ind w:left="80"/>
              <w:spacing w:after="0" w:line="164" w:lineRule="exact"/>
              <w:rPr>
                <w:sz w:val="20"/>
                <w:szCs w:val="20"/>
                <w:color w:val="auto"/>
              </w:rPr>
            </w:pPr>
            <w:r>
              <w:rPr>
                <w:rFonts w:ascii="Arial" w:cs="Arial" w:eastAsia="Arial" w:hAnsi="Arial"/>
                <w:sz w:val="17"/>
                <w:szCs w:val="17"/>
                <w:b w:val="1"/>
                <w:bCs w:val="1"/>
                <w:color w:val="auto"/>
              </w:rPr>
              <w:t>Measured at fair value</w:t>
            </w:r>
          </w:p>
        </w:tc>
        <w:tc>
          <w:tcPr>
            <w:tcW w:w="240" w:type="dxa"/>
            <w:vAlign w:val="bottom"/>
          </w:tcPr>
          <w:p>
            <w:pPr>
              <w:spacing w:after="0"/>
              <w:rPr>
                <w:sz w:val="14"/>
                <w:szCs w:val="14"/>
                <w:color w:val="auto"/>
              </w:rPr>
            </w:pPr>
          </w:p>
        </w:tc>
        <w:tc>
          <w:tcPr>
            <w:tcW w:w="2220" w:type="dxa"/>
            <w:vAlign w:val="bottom"/>
            <w:gridSpan w:val="2"/>
          </w:tcPr>
          <w:p>
            <w:pPr>
              <w:ind w:left="100"/>
              <w:spacing w:after="0" w:line="164" w:lineRule="exact"/>
              <w:rPr>
                <w:sz w:val="20"/>
                <w:szCs w:val="20"/>
                <w:color w:val="auto"/>
              </w:rPr>
            </w:pPr>
            <w:r>
              <w:rPr>
                <w:rFonts w:ascii="Arial" w:cs="Arial" w:eastAsia="Arial" w:hAnsi="Arial"/>
                <w:sz w:val="17"/>
                <w:szCs w:val="17"/>
                <w:b w:val="1"/>
                <w:bCs w:val="1"/>
                <w:color w:val="auto"/>
              </w:rPr>
              <w:t>Change in</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7"/>
        </w:trPr>
        <w:tc>
          <w:tcPr>
            <w:tcW w:w="94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7"/>
                <w:szCs w:val="17"/>
                <w:b w:val="1"/>
                <w:bCs w:val="1"/>
                <w:color w:val="auto"/>
              </w:rPr>
              <w:t>through profit or loss</w:t>
            </w:r>
          </w:p>
        </w:tc>
        <w:tc>
          <w:tcPr>
            <w:tcW w:w="240" w:type="dxa"/>
            <w:vAlign w:val="bottom"/>
          </w:tcPr>
          <w:p>
            <w:pPr>
              <w:spacing w:after="0"/>
              <w:rPr>
                <w:sz w:val="18"/>
                <w:szCs w:val="18"/>
                <w:color w:val="auto"/>
              </w:rPr>
            </w:pPr>
          </w:p>
        </w:tc>
        <w:tc>
          <w:tcPr>
            <w:tcW w:w="2220" w:type="dxa"/>
            <w:vAlign w:val="bottom"/>
            <w:gridSpan w:val="2"/>
          </w:tcPr>
          <w:p>
            <w:pPr>
              <w:ind w:left="100"/>
              <w:spacing w:after="0"/>
              <w:rPr>
                <w:sz w:val="20"/>
                <w:szCs w:val="20"/>
                <w:color w:val="auto"/>
              </w:rPr>
            </w:pPr>
            <w:r>
              <w:rPr>
                <w:rFonts w:ascii="Arial" w:cs="Arial" w:eastAsia="Arial" w:hAnsi="Arial"/>
                <w:sz w:val="17"/>
                <w:szCs w:val="17"/>
                <w:b w:val="1"/>
                <w:bCs w:val="1"/>
                <w:color w:val="auto"/>
              </w:rPr>
              <w:t>market prices</w:t>
            </w:r>
          </w:p>
        </w:tc>
        <w:tc>
          <w:tcPr>
            <w:tcW w:w="1500" w:type="dxa"/>
            <w:vAlign w:val="bottom"/>
          </w:tcPr>
          <w:p>
            <w:pPr>
              <w:ind w:left="10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500" w:type="dxa"/>
            <w:vAlign w:val="bottom"/>
          </w:tcPr>
          <w:p>
            <w:pPr>
              <w:ind w:left="100"/>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50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240" w:type="dxa"/>
            <w:vAlign w:val="bottom"/>
          </w:tcPr>
          <w:p>
            <w:pPr>
              <w:spacing w:after="0"/>
              <w:rPr>
                <w:sz w:val="19"/>
                <w:szCs w:val="19"/>
                <w:color w:val="auto"/>
              </w:rPr>
            </w:pPr>
          </w:p>
        </w:tc>
        <w:tc>
          <w:tcPr>
            <w:tcW w:w="150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S/(000)</w:t>
            </w:r>
          </w:p>
        </w:tc>
        <w:tc>
          <w:tcPr>
            <w:tcW w:w="180" w:type="dxa"/>
            <w:vAlign w:val="bottom"/>
          </w:tcPr>
          <w:p>
            <w:pPr>
              <w:spacing w:after="0"/>
              <w:rPr>
                <w:sz w:val="19"/>
                <w:szCs w:val="19"/>
                <w:color w:val="auto"/>
              </w:rPr>
            </w:pPr>
          </w:p>
        </w:tc>
      </w:tr>
      <w:tr>
        <w:trPr>
          <w:trHeight w:val="352"/>
        </w:trPr>
        <w:tc>
          <w:tcPr>
            <w:tcW w:w="940" w:type="dxa"/>
            <w:vAlign w:val="bottom"/>
          </w:tcPr>
          <w:p>
            <w:pPr>
              <w:spacing w:after="0"/>
              <w:rPr>
                <w:sz w:val="24"/>
                <w:szCs w:val="24"/>
                <w:color w:val="auto"/>
              </w:rPr>
            </w:pPr>
          </w:p>
        </w:tc>
        <w:tc>
          <w:tcPr>
            <w:tcW w:w="4420" w:type="dxa"/>
            <w:vAlign w:val="bottom"/>
          </w:tcPr>
          <w:p>
            <w:pPr>
              <w:ind w:left="80"/>
              <w:spacing w:after="0"/>
              <w:rPr>
                <w:sz w:val="20"/>
                <w:szCs w:val="20"/>
                <w:color w:val="auto"/>
              </w:rPr>
            </w:pPr>
            <w:r>
              <w:rPr>
                <w:rFonts w:ascii="Arial" w:cs="Arial" w:eastAsia="Arial" w:hAnsi="Arial"/>
                <w:sz w:val="17"/>
                <w:szCs w:val="17"/>
                <w:color w:val="auto"/>
              </w:rPr>
              <w:t>Participation in mutual funds</w:t>
            </w:r>
          </w:p>
        </w:tc>
        <w:tc>
          <w:tcPr>
            <w:tcW w:w="2220" w:type="dxa"/>
            <w:vAlign w:val="bottom"/>
            <w:gridSpan w:val="2"/>
          </w:tcPr>
          <w:p>
            <w:pPr>
              <w:jc w:val="right"/>
              <w:ind w:right="14"/>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24"/>
                <w:szCs w:val="24"/>
                <w:color w:val="auto"/>
              </w:rPr>
            </w:pPr>
          </w:p>
        </w:tc>
        <w:tc>
          <w:tcPr>
            <w:tcW w:w="1500" w:type="dxa"/>
            <w:vAlign w:val="bottom"/>
          </w:tcPr>
          <w:p>
            <w:pPr>
              <w:jc w:val="right"/>
              <w:ind w:right="14"/>
              <w:spacing w:after="0"/>
              <w:rPr>
                <w:sz w:val="20"/>
                <w:szCs w:val="20"/>
                <w:color w:val="auto"/>
              </w:rPr>
            </w:pPr>
            <w:r>
              <w:rPr>
                <w:rFonts w:ascii="Arial" w:cs="Arial" w:eastAsia="Arial" w:hAnsi="Arial"/>
                <w:sz w:val="17"/>
                <w:szCs w:val="17"/>
                <w:color w:val="auto"/>
              </w:rPr>
              <w:t>158,478</w:t>
            </w:r>
          </w:p>
        </w:tc>
        <w:tc>
          <w:tcPr>
            <w:tcW w:w="240" w:type="dxa"/>
            <w:vAlign w:val="bottom"/>
          </w:tcPr>
          <w:p>
            <w:pPr>
              <w:spacing w:after="0"/>
              <w:rPr>
                <w:sz w:val="24"/>
                <w:szCs w:val="24"/>
                <w:color w:val="auto"/>
              </w:rPr>
            </w:pPr>
          </w:p>
        </w:tc>
        <w:tc>
          <w:tcPr>
            <w:tcW w:w="1500" w:type="dxa"/>
            <w:vAlign w:val="bottom"/>
          </w:tcPr>
          <w:p>
            <w:pPr>
              <w:jc w:val="right"/>
              <w:ind w:right="14"/>
              <w:spacing w:after="0"/>
              <w:rPr>
                <w:sz w:val="20"/>
                <w:szCs w:val="20"/>
                <w:color w:val="auto"/>
              </w:rPr>
            </w:pPr>
            <w:r>
              <w:rPr>
                <w:rFonts w:ascii="Arial" w:cs="Arial" w:eastAsia="Arial" w:hAnsi="Arial"/>
                <w:sz w:val="17"/>
                <w:szCs w:val="17"/>
                <w:color w:val="auto"/>
              </w:rPr>
              <w:t>157,130</w:t>
            </w:r>
          </w:p>
        </w:tc>
        <w:tc>
          <w:tcPr>
            <w:tcW w:w="18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Participation in mutual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396,195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392,825</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Participation in mutual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+/-30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475,434</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471,390</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Restricted mutual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35,132</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36,595</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Restricted mutual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87,829</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91,489</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Restricted mutual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+/-30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105,395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109,786</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Participation in RAL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16,778</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32,314</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Participation in RAL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41,945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80,785</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Participation in RAL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+/-30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50,334</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96,942</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Investment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91,062</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49,837</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Investment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227,654</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124,591</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Investment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+/-30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273,185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149,510</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Hedge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28</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17,682</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Hedge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44,204</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Hedge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+/-30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84</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53,045</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Exchange Trade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2,504</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10,531</w:t>
            </w:r>
          </w:p>
        </w:tc>
        <w:tc>
          <w:tcPr>
            <w:tcW w:w="18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4420" w:type="dxa"/>
            <w:vAlign w:val="bottom"/>
          </w:tcPr>
          <w:p>
            <w:pPr>
              <w:ind w:left="80"/>
              <w:spacing w:after="0" w:line="194" w:lineRule="exact"/>
              <w:rPr>
                <w:sz w:val="20"/>
                <w:szCs w:val="20"/>
                <w:color w:val="auto"/>
              </w:rPr>
            </w:pPr>
            <w:r>
              <w:rPr>
                <w:rFonts w:ascii="Arial" w:cs="Arial" w:eastAsia="Arial" w:hAnsi="Arial"/>
                <w:sz w:val="17"/>
                <w:szCs w:val="17"/>
                <w:color w:val="auto"/>
              </w:rPr>
              <w:t>Exchange Trade Funds</w:t>
            </w:r>
          </w:p>
        </w:tc>
        <w:tc>
          <w:tcPr>
            <w:tcW w:w="222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6,261</w:t>
            </w:r>
          </w:p>
        </w:tc>
        <w:tc>
          <w:tcPr>
            <w:tcW w:w="240" w:type="dxa"/>
            <w:vAlign w:val="bottom"/>
          </w:tcPr>
          <w:p>
            <w:pPr>
              <w:spacing w:after="0"/>
              <w:rPr>
                <w:sz w:val="16"/>
                <w:szCs w:val="16"/>
                <w:color w:val="auto"/>
              </w:rPr>
            </w:pPr>
          </w:p>
        </w:tc>
        <w:tc>
          <w:tcPr>
            <w:tcW w:w="150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26,326</w:t>
            </w:r>
          </w:p>
        </w:tc>
        <w:tc>
          <w:tcPr>
            <w:tcW w:w="180" w:type="dxa"/>
            <w:vAlign w:val="bottom"/>
          </w:tcPr>
          <w:p>
            <w:pPr>
              <w:spacing w:after="0"/>
              <w:rPr>
                <w:sz w:val="16"/>
                <w:szCs w:val="16"/>
                <w:color w:val="auto"/>
              </w:rPr>
            </w:pPr>
          </w:p>
        </w:tc>
      </w:tr>
      <w:tr>
        <w:trPr>
          <w:trHeight w:val="208"/>
        </w:trPr>
        <w:tc>
          <w:tcPr>
            <w:tcW w:w="94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7"/>
                <w:szCs w:val="17"/>
                <w:color w:val="auto"/>
              </w:rPr>
              <w:t>Exchange Trade Funds</w:t>
            </w:r>
          </w:p>
        </w:tc>
        <w:tc>
          <w:tcPr>
            <w:tcW w:w="2220" w:type="dxa"/>
            <w:vAlign w:val="bottom"/>
            <w:gridSpan w:val="2"/>
          </w:tcPr>
          <w:p>
            <w:pPr>
              <w:jc w:val="right"/>
              <w:ind w:right="14"/>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18"/>
                <w:szCs w:val="18"/>
                <w:color w:val="auto"/>
              </w:rPr>
            </w:pPr>
          </w:p>
        </w:tc>
        <w:tc>
          <w:tcPr>
            <w:tcW w:w="1500" w:type="dxa"/>
            <w:vAlign w:val="bottom"/>
          </w:tcPr>
          <w:p>
            <w:pPr>
              <w:jc w:val="right"/>
              <w:ind w:right="14"/>
              <w:spacing w:after="0"/>
              <w:rPr>
                <w:sz w:val="20"/>
                <w:szCs w:val="20"/>
                <w:color w:val="auto"/>
              </w:rPr>
            </w:pPr>
            <w:r>
              <w:rPr>
                <w:rFonts w:ascii="Arial" w:cs="Arial" w:eastAsia="Arial" w:hAnsi="Arial"/>
                <w:sz w:val="17"/>
                <w:szCs w:val="17"/>
                <w:color w:val="auto"/>
              </w:rPr>
              <w:t>7,513</w:t>
            </w:r>
          </w:p>
        </w:tc>
        <w:tc>
          <w:tcPr>
            <w:tcW w:w="240" w:type="dxa"/>
            <w:vAlign w:val="bottom"/>
          </w:tcPr>
          <w:p>
            <w:pPr>
              <w:spacing w:after="0"/>
              <w:rPr>
                <w:sz w:val="18"/>
                <w:szCs w:val="18"/>
                <w:color w:val="auto"/>
              </w:rPr>
            </w:pPr>
          </w:p>
        </w:tc>
        <w:tc>
          <w:tcPr>
            <w:tcW w:w="1500" w:type="dxa"/>
            <w:vAlign w:val="bottom"/>
          </w:tcPr>
          <w:p>
            <w:pPr>
              <w:jc w:val="right"/>
              <w:ind w:right="14"/>
              <w:spacing w:after="0"/>
              <w:rPr>
                <w:sz w:val="20"/>
                <w:szCs w:val="20"/>
                <w:color w:val="auto"/>
              </w:rPr>
            </w:pPr>
            <w:r>
              <w:rPr>
                <w:rFonts w:ascii="Arial" w:cs="Arial" w:eastAsia="Arial" w:hAnsi="Arial"/>
                <w:sz w:val="17"/>
                <w:szCs w:val="17"/>
                <w:color w:val="auto"/>
              </w:rPr>
              <w:t>31,592</w:t>
            </w:r>
          </w:p>
        </w:tc>
        <w:tc>
          <w:tcPr>
            <w:tcW w:w="180" w:type="dxa"/>
            <w:vAlign w:val="bottom"/>
          </w:tcPr>
          <w:p>
            <w:pPr>
              <w:spacing w:after="0"/>
              <w:rPr>
                <w:sz w:val="18"/>
                <w:szCs w:val="18"/>
                <w:color w:val="auto"/>
              </w:rPr>
            </w:pPr>
          </w:p>
        </w:tc>
      </w:tr>
      <w:tr>
        <w:trPr>
          <w:trHeight w:val="363"/>
        </w:trPr>
        <w:tc>
          <w:tcPr>
            <w:tcW w:w="9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20" w:type="dxa"/>
            <w:vAlign w:val="bottom"/>
            <w:gridSpan w:val="2"/>
          </w:tcPr>
          <w:p>
            <w:pPr>
              <w:jc w:val="right"/>
              <w:ind w:right="1614"/>
              <w:spacing w:after="0"/>
              <w:rPr>
                <w:sz w:val="20"/>
                <w:szCs w:val="20"/>
                <w:color w:val="auto"/>
              </w:rPr>
            </w:pPr>
            <w:r>
              <w:rPr>
                <w:rFonts w:ascii="Arial" w:cs="Arial" w:eastAsia="Arial" w:hAnsi="Arial"/>
                <w:sz w:val="17"/>
                <w:szCs w:val="17"/>
                <w:color w:val="auto"/>
              </w:rPr>
              <w:t>- 166 -</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
        </w:trPr>
        <w:tc>
          <w:tcPr>
            <w:tcW w:w="94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171" w:name="page172"/>
    <w:bookmarkEnd w:id="171"/>
    <w:p>
      <w:pPr>
        <w:ind w:left="315" w:hanging="315"/>
        <w:spacing w:after="0"/>
        <w:tabs>
          <w:tab w:leader="none" w:pos="31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Foreign currency exchange risk –</w:t>
      </w:r>
    </w:p>
    <w:p>
      <w:pPr>
        <w:spacing w:after="0" w:line="192"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The Group is exposed to fluctuations in foreign currency exchange rates, which impact net open monetary positions and equity positions in a different currency than the Group's functional currency.</w:t>
      </w:r>
    </w:p>
    <w:p>
      <w:pPr>
        <w:spacing w:after="0" w:line="169" w:lineRule="exact"/>
        <w:rPr>
          <w:rFonts w:ascii="Arial" w:cs="Arial" w:eastAsia="Arial" w:hAnsi="Arial"/>
          <w:sz w:val="17"/>
          <w:szCs w:val="17"/>
          <w:color w:val="auto"/>
        </w:rPr>
      </w:pPr>
    </w:p>
    <w:p>
      <w:pPr>
        <w:jc w:val="both"/>
        <w:ind w:left="315"/>
        <w:spacing w:after="0" w:line="242" w:lineRule="auto"/>
        <w:rPr>
          <w:rFonts w:ascii="Arial" w:cs="Arial" w:eastAsia="Arial" w:hAnsi="Arial"/>
          <w:sz w:val="17"/>
          <w:szCs w:val="17"/>
          <w:color w:val="auto"/>
        </w:rPr>
      </w:pPr>
      <w:r>
        <w:rPr>
          <w:rFonts w:ascii="Arial" w:cs="Arial" w:eastAsia="Arial" w:hAnsi="Arial"/>
          <w:sz w:val="17"/>
          <w:szCs w:val="17"/>
          <w:color w:val="auto"/>
        </w:rPr>
        <w:t>The Group's monetary position is made up of the net open position of monetary assets, monetary liabilities and off-balance sheet items expressed in foreign currency for which the entity itself assumes the risk; as well as the equity position generated by the investment in the Group's subsidiaries whose functional currency is different from soles. In the first case, any appreciation/depreciation of the foreign currency would affect the consolidated income statement, on the contrary, in the case of the equity position, any appreciation/depreciation of the foreign currency will be recognized in other comprehensive income.</w:t>
      </w:r>
    </w:p>
    <w:p>
      <w:pPr>
        <w:spacing w:after="0" w:line="180" w:lineRule="exact"/>
        <w:rPr>
          <w:rFonts w:ascii="Arial" w:cs="Arial" w:eastAsia="Arial" w:hAnsi="Arial"/>
          <w:sz w:val="17"/>
          <w:szCs w:val="17"/>
          <w:color w:val="auto"/>
        </w:rPr>
      </w:pPr>
    </w:p>
    <w:p>
      <w:pPr>
        <w:jc w:val="both"/>
        <w:ind w:left="315"/>
        <w:spacing w:after="0" w:line="242" w:lineRule="auto"/>
        <w:rPr>
          <w:rFonts w:ascii="Arial" w:cs="Arial" w:eastAsia="Arial" w:hAnsi="Arial"/>
          <w:sz w:val="17"/>
          <w:szCs w:val="17"/>
          <w:color w:val="auto"/>
        </w:rPr>
      </w:pPr>
      <w:r>
        <w:rPr>
          <w:rFonts w:ascii="Arial" w:cs="Arial" w:eastAsia="Arial" w:hAnsi="Arial"/>
          <w:sz w:val="17"/>
          <w:szCs w:val="17"/>
          <w:color w:val="auto"/>
        </w:rPr>
        <w:t>The Group manages foreign currency exchange risk, which affects the income statement, by monitoring and controlling currency positions exposed to movements in exchange rates. The market risk units of each subsidiary establish limits for said positions, which are approved by their own committees, and monitor and follow up the limits considering their foreign exchange trading positions, their most structural foreign exchange positions, as well as their sensitivities. Additionally, there is a monetary position limit at the Credicorp level, which is monitored and reported to the Group's Risk Committee.</w:t>
      </w:r>
    </w:p>
    <w:p>
      <w:pPr>
        <w:spacing w:after="0" w:line="180" w:lineRule="exact"/>
        <w:rPr>
          <w:rFonts w:ascii="Arial" w:cs="Arial" w:eastAsia="Arial" w:hAnsi="Arial"/>
          <w:sz w:val="17"/>
          <w:szCs w:val="17"/>
          <w:color w:val="auto"/>
        </w:rPr>
      </w:pPr>
    </w:p>
    <w:p>
      <w:pPr>
        <w:ind w:left="315"/>
        <w:spacing w:after="0" w:line="254" w:lineRule="auto"/>
        <w:rPr>
          <w:rFonts w:ascii="Arial" w:cs="Arial" w:eastAsia="Arial" w:hAnsi="Arial"/>
          <w:sz w:val="17"/>
          <w:szCs w:val="17"/>
          <w:color w:val="auto"/>
        </w:rPr>
      </w:pPr>
      <w:r>
        <w:rPr>
          <w:rFonts w:ascii="Arial" w:cs="Arial" w:eastAsia="Arial" w:hAnsi="Arial"/>
          <w:sz w:val="17"/>
          <w:szCs w:val="17"/>
          <w:color w:val="auto"/>
        </w:rPr>
        <w:t>On the other hand, the Group manages foreign currency exchange risk whose fluctuation is recognized in other comprehensive income, monitoring and controlling equity positions and their sensitivities, which are reported to the Group's Risk Committee.</w:t>
      </w:r>
    </w:p>
    <w:p>
      <w:pPr>
        <w:spacing w:after="0" w:line="169"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Net foreign exchange gains/losses recognized in the consolidated statement of income are disclosed in the following items:</w:t>
      </w:r>
    </w:p>
    <w:p>
      <w:pPr>
        <w:spacing w:after="0" w:line="191" w:lineRule="exact"/>
        <w:rPr>
          <w:rFonts w:ascii="Arial" w:cs="Arial" w:eastAsia="Arial" w:hAnsi="Arial"/>
          <w:sz w:val="17"/>
          <w:szCs w:val="17"/>
          <w:color w:val="auto"/>
        </w:rPr>
      </w:pPr>
    </w:p>
    <w:p>
      <w:pPr>
        <w:ind w:left="615" w:hanging="304"/>
        <w:spacing w:after="0"/>
        <w:tabs>
          <w:tab w:leader="none" w:pos="615" w:val="left"/>
        </w:tabs>
        <w:numPr>
          <w:ilvl w:val="1"/>
          <w:numId w:val="201"/>
        </w:numPr>
        <w:rPr>
          <w:rFonts w:ascii="Arial" w:cs="Arial" w:eastAsia="Arial" w:hAnsi="Arial"/>
          <w:sz w:val="17"/>
          <w:szCs w:val="17"/>
          <w:color w:val="auto"/>
        </w:rPr>
      </w:pPr>
      <w:r>
        <w:rPr>
          <w:rFonts w:ascii="Arial" w:cs="Arial" w:eastAsia="Arial" w:hAnsi="Arial"/>
          <w:sz w:val="17"/>
          <w:szCs w:val="17"/>
          <w:color w:val="auto"/>
        </w:rPr>
        <w:t>Net gain on foreign exchange transactions.</w:t>
      </w:r>
    </w:p>
    <w:p>
      <w:pPr>
        <w:ind w:left="615" w:hanging="304"/>
        <w:spacing w:after="0" w:line="238" w:lineRule="auto"/>
        <w:tabs>
          <w:tab w:leader="none" w:pos="615" w:val="left"/>
        </w:tabs>
        <w:numPr>
          <w:ilvl w:val="1"/>
          <w:numId w:val="201"/>
        </w:numPr>
        <w:rPr>
          <w:rFonts w:ascii="Arial" w:cs="Arial" w:eastAsia="Arial" w:hAnsi="Arial"/>
          <w:sz w:val="17"/>
          <w:szCs w:val="17"/>
          <w:color w:val="auto"/>
        </w:rPr>
      </w:pPr>
      <w:r>
        <w:rPr>
          <w:rFonts w:ascii="Arial" w:cs="Arial" w:eastAsia="Arial" w:hAnsi="Arial"/>
          <w:sz w:val="17"/>
          <w:szCs w:val="17"/>
          <w:color w:val="auto"/>
        </w:rPr>
        <w:t>Net gain on Derivatives held for trading.</w:t>
      </w:r>
    </w:p>
    <w:p>
      <w:pPr>
        <w:ind w:left="615" w:hanging="304"/>
        <w:spacing w:after="0"/>
        <w:tabs>
          <w:tab w:leader="none" w:pos="615" w:val="left"/>
        </w:tabs>
        <w:numPr>
          <w:ilvl w:val="1"/>
          <w:numId w:val="201"/>
        </w:numPr>
        <w:rPr>
          <w:rFonts w:ascii="Arial" w:cs="Arial" w:eastAsia="Arial" w:hAnsi="Arial"/>
          <w:sz w:val="17"/>
          <w:szCs w:val="17"/>
          <w:color w:val="auto"/>
        </w:rPr>
      </w:pPr>
      <w:r>
        <w:rPr>
          <w:rFonts w:ascii="Arial" w:cs="Arial" w:eastAsia="Arial" w:hAnsi="Arial"/>
          <w:sz w:val="17"/>
          <w:szCs w:val="17"/>
          <w:color w:val="auto"/>
        </w:rPr>
        <w:t>Net Result from exchange difference.</w:t>
      </w:r>
    </w:p>
    <w:p>
      <w:pPr>
        <w:spacing w:after="0" w:line="193" w:lineRule="exact"/>
        <w:rPr>
          <w:sz w:val="20"/>
          <w:szCs w:val="20"/>
          <w:color w:val="auto"/>
        </w:rPr>
      </w:pPr>
    </w:p>
    <w:p>
      <w:pPr>
        <w:jc w:val="both"/>
        <w:ind w:left="315"/>
        <w:spacing w:after="0" w:line="246" w:lineRule="auto"/>
        <w:rPr>
          <w:sz w:val="20"/>
          <w:szCs w:val="20"/>
          <w:color w:val="auto"/>
        </w:rPr>
      </w:pPr>
      <w:r>
        <w:rPr>
          <w:rFonts w:ascii="Arial" w:cs="Arial" w:eastAsia="Arial" w:hAnsi="Arial"/>
          <w:sz w:val="17"/>
          <w:szCs w:val="17"/>
          <w:color w:val="auto"/>
        </w:rPr>
        <w:t>As of December 31, 2022, the foreign currency in which the Group has the greatest exposure is the U.S. Dollar. The free market exchange rate for purchase and sale transactions of each U.S. dollar as of December 31, 2022 was S/3.814 (S/3.987 as of December 31, 2021).</w:t>
      </w:r>
    </w:p>
    <w:p>
      <w:pPr>
        <w:spacing w:after="0" w:line="344" w:lineRule="exact"/>
        <w:rPr>
          <w:sz w:val="20"/>
          <w:szCs w:val="20"/>
          <w:color w:val="auto"/>
        </w:rPr>
      </w:pPr>
    </w:p>
    <w:p>
      <w:pPr>
        <w:ind w:left="4755"/>
        <w:spacing w:after="0"/>
        <w:rPr>
          <w:sz w:val="20"/>
          <w:szCs w:val="20"/>
          <w:color w:val="auto"/>
        </w:rPr>
      </w:pPr>
      <w:r>
        <w:rPr>
          <w:rFonts w:ascii="Arial" w:cs="Arial" w:eastAsia="Arial" w:hAnsi="Arial"/>
          <w:sz w:val="17"/>
          <w:szCs w:val="17"/>
          <w:color w:val="auto"/>
        </w:rPr>
        <w:t>- 167 -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wp:posOffset>
            </wp:positionV>
            <wp:extent cx="7138035"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5"/>
          </w:cols>
          <w:pgMar w:left="945" w:top="140" w:right="339" w:bottom="1440" w:gutter="0" w:footer="0" w:header="0"/>
        </w:sectPr>
      </w:pPr>
    </w:p>
    <w:bookmarkStart w:id="172" w:name="page173"/>
    <w:bookmarkEnd w:id="172"/>
    <w:p>
      <w:pPr>
        <w:jc w:val="both"/>
        <w:spacing w:after="0" w:line="245" w:lineRule="auto"/>
        <w:rPr>
          <w:sz w:val="20"/>
          <w:szCs w:val="20"/>
          <w:color w:val="auto"/>
        </w:rPr>
      </w:pPr>
      <w:r>
        <w:rPr>
          <w:rFonts w:ascii="Arial" w:cs="Arial" w:eastAsia="Arial" w:hAnsi="Arial"/>
          <w:sz w:val="17"/>
          <w:szCs w:val="17"/>
          <w:color w:val="auto"/>
        </w:rPr>
        <w:t>Transactions in foreign currency are made at free market exchange rates of the countries where Credicorp’s Subsidiaries are established. As of December 31,2022 and 2021, the net open monetary position with effect on results and the equity position of the Group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b w:val="1"/>
                <w:bCs w:val="1"/>
                <w:color w:val="auto"/>
              </w:rPr>
              <w:t>Other</w:t>
            </w: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80"/>
              <w:spacing w:after="0" w:line="150" w:lineRule="exact"/>
              <w:rPr>
                <w:sz w:val="20"/>
                <w:szCs w:val="20"/>
                <w:color w:val="auto"/>
              </w:rPr>
            </w:pPr>
            <w:r>
              <w:rPr>
                <w:rFonts w:ascii="Arial" w:cs="Arial" w:eastAsia="Arial" w:hAnsi="Arial"/>
                <w:sz w:val="14"/>
                <w:szCs w:val="14"/>
                <w:b w:val="1"/>
                <w:bCs w:val="1"/>
                <w:color w:val="auto"/>
              </w:rPr>
              <w:t>Other</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U.S. Dollar</w:t>
            </w:r>
          </w:p>
        </w:tc>
        <w:tc>
          <w:tcPr>
            <w:tcW w:w="1000" w:type="dxa"/>
            <w:vAlign w:val="bottom"/>
          </w:tcPr>
          <w:p>
            <w:pPr>
              <w:spacing w:after="0"/>
              <w:rPr>
                <w:sz w:val="20"/>
                <w:szCs w:val="20"/>
                <w:color w:val="auto"/>
              </w:rPr>
            </w:pPr>
            <w:r>
              <w:rPr>
                <w:rFonts w:ascii="Arial" w:cs="Arial" w:eastAsia="Arial" w:hAnsi="Arial"/>
                <w:sz w:val="14"/>
                <w:szCs w:val="14"/>
                <w:b w:val="1"/>
                <w:bCs w:val="1"/>
                <w:color w:val="auto"/>
              </w:rPr>
              <w:t>currencies</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U.S. Dollar</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currencies</w:t>
            </w: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299"/>
        </w:trPr>
        <w:tc>
          <w:tcPr>
            <w:tcW w:w="2620" w:type="dxa"/>
            <w:vAlign w:val="bottom"/>
          </w:tcPr>
          <w:p>
            <w:pPr>
              <w:spacing w:after="0"/>
              <w:rPr>
                <w:sz w:val="20"/>
                <w:szCs w:val="20"/>
                <w:color w:val="auto"/>
              </w:rPr>
            </w:pPr>
            <w:r>
              <w:rPr>
                <w:rFonts w:ascii="Arial" w:cs="Arial" w:eastAsia="Arial" w:hAnsi="Arial"/>
                <w:sz w:val="14"/>
                <w:szCs w:val="14"/>
                <w:color w:val="auto"/>
              </w:rPr>
              <w:t>Total monetary assets</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77,853,626</w:t>
            </w:r>
          </w:p>
        </w:tc>
        <w:tc>
          <w:tcPr>
            <w:tcW w:w="10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364,108</w:t>
            </w:r>
          </w:p>
        </w:tc>
        <w:tc>
          <w:tcPr>
            <w:tcW w:w="1080" w:type="dxa"/>
            <w:vAlign w:val="bottom"/>
            <w:gridSpan w:val="2"/>
          </w:tcPr>
          <w:p>
            <w:pPr>
              <w:jc w:val="right"/>
              <w:ind w:right="11"/>
              <w:spacing w:after="0"/>
              <w:rPr>
                <w:sz w:val="20"/>
                <w:szCs w:val="20"/>
                <w:color w:val="auto"/>
              </w:rPr>
            </w:pPr>
            <w:r>
              <w:rPr>
                <w:rFonts w:ascii="Arial" w:cs="Arial" w:eastAsia="Arial" w:hAnsi="Arial"/>
                <w:sz w:val="14"/>
                <w:szCs w:val="14"/>
                <w:color w:val="auto"/>
              </w:rPr>
              <w:t>78,217,734</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79,005,337</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color w:val="auto"/>
              </w:rPr>
              <w:t>503,809</w:t>
            </w:r>
          </w:p>
        </w:tc>
        <w:tc>
          <w:tcPr>
            <w:tcW w:w="1040" w:type="dxa"/>
            <w:vAlign w:val="bottom"/>
            <w:gridSpan w:val="3"/>
          </w:tcPr>
          <w:p>
            <w:pPr>
              <w:jc w:val="right"/>
              <w:ind w:right="11"/>
              <w:spacing w:after="0"/>
              <w:rPr>
                <w:sz w:val="20"/>
                <w:szCs w:val="20"/>
                <w:color w:val="auto"/>
              </w:rPr>
            </w:pPr>
            <w:r>
              <w:rPr>
                <w:rFonts w:ascii="Arial" w:cs="Arial" w:eastAsia="Arial" w:hAnsi="Arial"/>
                <w:sz w:val="14"/>
                <w:szCs w:val="14"/>
                <w:color w:val="auto"/>
              </w:rPr>
              <w:t>79,509,146</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20"/>
                <w:szCs w:val="20"/>
                <w:color w:val="auto"/>
              </w:rPr>
            </w:pPr>
            <w:r>
              <w:rPr>
                <w:rFonts w:ascii="Arial" w:cs="Arial" w:eastAsia="Arial" w:hAnsi="Arial"/>
                <w:sz w:val="14"/>
                <w:szCs w:val="14"/>
                <w:color w:val="auto"/>
              </w:rPr>
              <w:t>Total monetary liabilities</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(79,016,765)</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(217,568)</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(79,234,333)</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(81,716,408)</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(415,951)</w:t>
            </w:r>
          </w:p>
        </w:tc>
        <w:tc>
          <w:tcPr>
            <w:tcW w:w="100" w:type="dxa"/>
            <w:vAlign w:val="bottom"/>
            <w:gridSpan w:val="2"/>
          </w:tcPr>
          <w:p>
            <w:pPr>
              <w:spacing w:after="0"/>
              <w:rPr>
                <w:sz w:val="15"/>
                <w:szCs w:val="15"/>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(82,132,359)</w:t>
            </w:r>
          </w:p>
        </w:tc>
        <w:tc>
          <w:tcPr>
            <w:tcW w:w="0" w:type="dxa"/>
            <w:vAlign w:val="bottom"/>
          </w:tcPr>
          <w:p>
            <w:pPr>
              <w:spacing w:after="0"/>
              <w:rPr>
                <w:sz w:val="1"/>
                <w:szCs w:val="1"/>
                <w:color w:val="auto"/>
              </w:rPr>
            </w:pPr>
          </w:p>
        </w:tc>
      </w:tr>
      <w:tr>
        <w:trPr>
          <w:trHeight w:val="201"/>
        </w:trPr>
        <w:tc>
          <w:tcPr>
            <w:tcW w:w="2620" w:type="dxa"/>
            <w:vAlign w:val="bottom"/>
          </w:tcPr>
          <w:p>
            <w:pPr>
              <w:spacing w:after="0"/>
              <w:rPr>
                <w:sz w:val="17"/>
                <w:szCs w:val="17"/>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(1,163,139)</w:t>
            </w:r>
          </w:p>
        </w:tc>
        <w:tc>
          <w:tcPr>
            <w:tcW w:w="10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146,540</w:t>
            </w:r>
          </w:p>
        </w:tc>
        <w:tc>
          <w:tcPr>
            <w:tcW w:w="1080" w:type="dxa"/>
            <w:vAlign w:val="bottom"/>
            <w:gridSpan w:val="2"/>
          </w:tcPr>
          <w:p>
            <w:pPr>
              <w:jc w:val="right"/>
              <w:ind w:right="11"/>
              <w:spacing w:after="0"/>
              <w:rPr>
                <w:sz w:val="20"/>
                <w:szCs w:val="20"/>
                <w:color w:val="auto"/>
              </w:rPr>
            </w:pPr>
            <w:r>
              <w:rPr>
                <w:rFonts w:ascii="Arial" w:cs="Arial" w:eastAsia="Arial" w:hAnsi="Arial"/>
                <w:sz w:val="14"/>
                <w:szCs w:val="14"/>
                <w:color w:val="auto"/>
              </w:rPr>
              <w:t>(1,016,599)</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(2,711,071)</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color w:val="auto"/>
              </w:rPr>
              <w:t>87,858</w:t>
            </w:r>
          </w:p>
        </w:tc>
        <w:tc>
          <w:tcPr>
            <w:tcW w:w="1040" w:type="dxa"/>
            <w:vAlign w:val="bottom"/>
            <w:gridSpan w:val="3"/>
          </w:tcPr>
          <w:p>
            <w:pPr>
              <w:jc w:val="right"/>
              <w:ind w:right="11"/>
              <w:spacing w:after="0"/>
              <w:rPr>
                <w:sz w:val="20"/>
                <w:szCs w:val="20"/>
                <w:color w:val="auto"/>
              </w:rPr>
            </w:pPr>
            <w:r>
              <w:rPr>
                <w:rFonts w:ascii="Arial" w:cs="Arial" w:eastAsia="Arial" w:hAnsi="Arial"/>
                <w:sz w:val="14"/>
                <w:szCs w:val="14"/>
                <w:color w:val="auto"/>
              </w:rPr>
              <w:t>(2,623,213)</w:t>
            </w:r>
          </w:p>
        </w:tc>
        <w:tc>
          <w:tcPr>
            <w:tcW w:w="0" w:type="dxa"/>
            <w:vAlign w:val="bottom"/>
          </w:tcPr>
          <w:p>
            <w:pPr>
              <w:spacing w:after="0"/>
              <w:rPr>
                <w:sz w:val="1"/>
                <w:szCs w:val="1"/>
                <w:color w:val="auto"/>
              </w:rPr>
            </w:pPr>
          </w:p>
        </w:tc>
      </w:tr>
      <w:tr>
        <w:trPr>
          <w:trHeight w:val="350"/>
        </w:trPr>
        <w:tc>
          <w:tcPr>
            <w:tcW w:w="2620" w:type="dxa"/>
            <w:vAlign w:val="bottom"/>
          </w:tcPr>
          <w:p>
            <w:pPr>
              <w:spacing w:after="0"/>
              <w:rPr>
                <w:sz w:val="20"/>
                <w:szCs w:val="20"/>
                <w:color w:val="auto"/>
              </w:rPr>
            </w:pPr>
            <w:r>
              <w:rPr>
                <w:rFonts w:ascii="Arial" w:cs="Arial" w:eastAsia="Arial" w:hAnsi="Arial"/>
                <w:sz w:val="14"/>
                <w:szCs w:val="14"/>
                <w:color w:val="auto"/>
              </w:rPr>
              <w:t>Currency derivatives</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353,166</w:t>
            </w:r>
          </w:p>
        </w:tc>
        <w:tc>
          <w:tcPr>
            <w:tcW w:w="10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(127,382)</w:t>
            </w:r>
          </w:p>
        </w:tc>
        <w:tc>
          <w:tcPr>
            <w:tcW w:w="1080" w:type="dxa"/>
            <w:vAlign w:val="bottom"/>
            <w:gridSpan w:val="2"/>
          </w:tcPr>
          <w:p>
            <w:pPr>
              <w:jc w:val="right"/>
              <w:ind w:right="11"/>
              <w:spacing w:after="0"/>
              <w:rPr>
                <w:sz w:val="20"/>
                <w:szCs w:val="20"/>
                <w:color w:val="auto"/>
              </w:rPr>
            </w:pPr>
            <w:r>
              <w:rPr>
                <w:rFonts w:ascii="Arial" w:cs="Arial" w:eastAsia="Arial" w:hAnsi="Arial"/>
                <w:sz w:val="14"/>
                <w:szCs w:val="14"/>
                <w:color w:val="auto"/>
              </w:rPr>
              <w:t>225,784</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2,142,654</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color w:val="auto"/>
              </w:rPr>
              <w:t>(55,696)</w:t>
            </w:r>
          </w:p>
        </w:tc>
        <w:tc>
          <w:tcPr>
            <w:tcW w:w="1040" w:type="dxa"/>
            <w:vAlign w:val="bottom"/>
            <w:gridSpan w:val="3"/>
          </w:tcPr>
          <w:p>
            <w:pPr>
              <w:jc w:val="right"/>
              <w:ind w:right="11"/>
              <w:spacing w:after="0"/>
              <w:rPr>
                <w:sz w:val="20"/>
                <w:szCs w:val="20"/>
                <w:color w:val="auto"/>
              </w:rPr>
            </w:pPr>
            <w:r>
              <w:rPr>
                <w:rFonts w:ascii="Arial" w:cs="Arial" w:eastAsia="Arial" w:hAnsi="Arial"/>
                <w:sz w:val="14"/>
                <w:szCs w:val="14"/>
                <w:color w:val="auto"/>
              </w:rPr>
              <w:t>2,086,958</w:t>
            </w:r>
          </w:p>
        </w:tc>
        <w:tc>
          <w:tcPr>
            <w:tcW w:w="0" w:type="dxa"/>
            <w:vAlign w:val="bottom"/>
          </w:tcPr>
          <w:p>
            <w:pPr>
              <w:spacing w:after="0"/>
              <w:rPr>
                <w:sz w:val="1"/>
                <w:szCs w:val="1"/>
                <w:color w:val="auto"/>
              </w:rPr>
            </w:pPr>
          </w:p>
        </w:tc>
      </w:tr>
      <w:tr>
        <w:trPr>
          <w:trHeight w:val="301"/>
        </w:trPr>
        <w:tc>
          <w:tcPr>
            <w:tcW w:w="2620" w:type="dxa"/>
            <w:vAlign w:val="bottom"/>
          </w:tcPr>
          <w:p>
            <w:pPr>
              <w:spacing w:after="0"/>
              <w:rPr>
                <w:sz w:val="20"/>
                <w:szCs w:val="20"/>
                <w:color w:val="auto"/>
              </w:rPr>
            </w:pPr>
            <w:r>
              <w:rPr>
                <w:rFonts w:ascii="Arial" w:cs="Arial" w:eastAsia="Arial" w:hAnsi="Arial"/>
                <w:sz w:val="14"/>
                <w:szCs w:val="14"/>
                <w:color w:val="auto"/>
              </w:rPr>
              <w:t>Accounting hedge (investment abroad)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62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872,750</w:t>
            </w:r>
          </w:p>
        </w:tc>
        <w:tc>
          <w:tcPr>
            <w:tcW w:w="10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1"/>
              <w:spacing w:after="0"/>
              <w:rPr>
                <w:sz w:val="20"/>
                <w:szCs w:val="20"/>
                <w:color w:val="auto"/>
              </w:rPr>
            </w:pPr>
            <w:r>
              <w:rPr>
                <w:rFonts w:ascii="Arial" w:cs="Arial" w:eastAsia="Arial" w:hAnsi="Arial"/>
                <w:sz w:val="14"/>
                <w:szCs w:val="14"/>
                <w:color w:val="auto"/>
              </w:rPr>
              <w:t>872,750</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912,337</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1"/>
              <w:spacing w:after="0"/>
              <w:rPr>
                <w:sz w:val="20"/>
                <w:szCs w:val="20"/>
                <w:color w:val="auto"/>
              </w:rPr>
            </w:pPr>
            <w:r>
              <w:rPr>
                <w:rFonts w:ascii="Arial" w:cs="Arial" w:eastAsia="Arial" w:hAnsi="Arial"/>
                <w:sz w:val="14"/>
                <w:szCs w:val="14"/>
                <w:color w:val="auto"/>
              </w:rPr>
              <w:t>912,337</w:t>
            </w:r>
          </w:p>
        </w:tc>
        <w:tc>
          <w:tcPr>
            <w:tcW w:w="0" w:type="dxa"/>
            <w:vAlign w:val="bottom"/>
          </w:tcPr>
          <w:p>
            <w:pPr>
              <w:spacing w:after="0"/>
              <w:rPr>
                <w:sz w:val="1"/>
                <w:szCs w:val="1"/>
                <w:color w:val="auto"/>
              </w:rPr>
            </w:pPr>
          </w:p>
        </w:tc>
      </w:tr>
      <w:tr>
        <w:trPr>
          <w:trHeight w:val="154"/>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Net monetary position with effect on</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20"/>
                <w:szCs w:val="20"/>
                <w:color w:val="auto"/>
              </w:rPr>
            </w:pPr>
            <w:r>
              <w:rPr>
                <w:rFonts w:ascii="Arial" w:cs="Arial" w:eastAsia="Arial" w:hAnsi="Arial"/>
                <w:sz w:val="14"/>
                <w:szCs w:val="14"/>
                <w:b w:val="1"/>
                <w:bCs w:val="1"/>
                <w:color w:val="auto"/>
              </w:rPr>
              <w:t>consolidated statement of income</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62,777</w:t>
            </w:r>
          </w:p>
        </w:tc>
        <w:tc>
          <w:tcPr>
            <w:tcW w:w="10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19,158</w:t>
            </w:r>
          </w:p>
        </w:tc>
        <w:tc>
          <w:tcPr>
            <w:tcW w:w="1080" w:type="dxa"/>
            <w:vAlign w:val="bottom"/>
            <w:gridSpan w:val="2"/>
          </w:tcPr>
          <w:p>
            <w:pPr>
              <w:jc w:val="right"/>
              <w:ind w:right="11"/>
              <w:spacing w:after="0"/>
              <w:rPr>
                <w:sz w:val="20"/>
                <w:szCs w:val="20"/>
                <w:color w:val="auto"/>
              </w:rPr>
            </w:pPr>
            <w:r>
              <w:rPr>
                <w:rFonts w:ascii="Arial" w:cs="Arial" w:eastAsia="Arial" w:hAnsi="Arial"/>
                <w:sz w:val="14"/>
                <w:szCs w:val="14"/>
                <w:color w:val="auto"/>
              </w:rPr>
              <w:t>81,935</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343,920</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color w:val="auto"/>
              </w:rPr>
              <w:t>32,162</w:t>
            </w:r>
          </w:p>
        </w:tc>
        <w:tc>
          <w:tcPr>
            <w:tcW w:w="1040" w:type="dxa"/>
            <w:vAlign w:val="bottom"/>
            <w:gridSpan w:val="3"/>
          </w:tcPr>
          <w:p>
            <w:pPr>
              <w:jc w:val="right"/>
              <w:ind w:right="11"/>
              <w:spacing w:after="0"/>
              <w:rPr>
                <w:sz w:val="20"/>
                <w:szCs w:val="20"/>
                <w:color w:val="auto"/>
              </w:rPr>
            </w:pPr>
            <w:r>
              <w:rPr>
                <w:rFonts w:ascii="Arial" w:cs="Arial" w:eastAsia="Arial" w:hAnsi="Arial"/>
                <w:sz w:val="14"/>
                <w:szCs w:val="14"/>
                <w:color w:val="auto"/>
              </w:rPr>
              <w:t>376,082</w:t>
            </w:r>
          </w:p>
        </w:tc>
        <w:tc>
          <w:tcPr>
            <w:tcW w:w="0" w:type="dxa"/>
            <w:vAlign w:val="bottom"/>
          </w:tcPr>
          <w:p>
            <w:pPr>
              <w:spacing w:after="0"/>
              <w:rPr>
                <w:sz w:val="1"/>
                <w:szCs w:val="1"/>
                <w:color w:val="auto"/>
              </w:rPr>
            </w:pPr>
          </w:p>
        </w:tc>
      </w:tr>
      <w:tr>
        <w:trPr>
          <w:trHeight w:val="285"/>
        </w:trPr>
        <w:tc>
          <w:tcPr>
            <w:tcW w:w="2620" w:type="dxa"/>
            <w:vAlign w:val="bottom"/>
          </w:tcPr>
          <w:p>
            <w:pPr>
              <w:spacing w:after="0"/>
              <w:rPr>
                <w:sz w:val="20"/>
                <w:szCs w:val="20"/>
                <w:color w:val="auto"/>
              </w:rPr>
            </w:pPr>
            <w:r>
              <w:rPr>
                <w:rFonts w:ascii="Arial" w:cs="Arial" w:eastAsia="Arial" w:hAnsi="Arial"/>
                <w:sz w:val="14"/>
                <w:szCs w:val="14"/>
                <w:b w:val="1"/>
                <w:bCs w:val="1"/>
                <w:color w:val="auto"/>
              </w:rPr>
              <w:t>Net monetary position with effect on</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20"/>
                <w:szCs w:val="20"/>
                <w:color w:val="auto"/>
              </w:rPr>
            </w:pPr>
            <w:r>
              <w:rPr>
                <w:rFonts w:ascii="Arial" w:cs="Arial" w:eastAsia="Arial" w:hAnsi="Arial"/>
                <w:sz w:val="14"/>
                <w:szCs w:val="14"/>
                <w:b w:val="1"/>
                <w:bCs w:val="1"/>
                <w:color w:val="auto"/>
              </w:rPr>
              <w:t>equity</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785,030</w:t>
            </w:r>
          </w:p>
        </w:tc>
        <w:tc>
          <w:tcPr>
            <w:tcW w:w="10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1,872,697</w:t>
            </w:r>
          </w:p>
        </w:tc>
        <w:tc>
          <w:tcPr>
            <w:tcW w:w="1080" w:type="dxa"/>
            <w:vAlign w:val="bottom"/>
            <w:gridSpan w:val="2"/>
          </w:tcPr>
          <w:p>
            <w:pPr>
              <w:jc w:val="right"/>
              <w:ind w:right="11"/>
              <w:spacing w:after="0"/>
              <w:rPr>
                <w:sz w:val="20"/>
                <w:szCs w:val="20"/>
                <w:color w:val="auto"/>
              </w:rPr>
            </w:pPr>
            <w:r>
              <w:rPr>
                <w:rFonts w:ascii="Arial" w:cs="Arial" w:eastAsia="Arial" w:hAnsi="Arial"/>
                <w:sz w:val="14"/>
                <w:szCs w:val="14"/>
                <w:color w:val="auto"/>
              </w:rPr>
              <w:t>2,657,727</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1,021,603</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color w:val="auto"/>
              </w:rPr>
              <w:t>1,864,335</w:t>
            </w:r>
          </w:p>
        </w:tc>
        <w:tc>
          <w:tcPr>
            <w:tcW w:w="1040" w:type="dxa"/>
            <w:vAlign w:val="bottom"/>
            <w:gridSpan w:val="3"/>
          </w:tcPr>
          <w:p>
            <w:pPr>
              <w:jc w:val="right"/>
              <w:ind w:right="11"/>
              <w:spacing w:after="0"/>
              <w:rPr>
                <w:sz w:val="20"/>
                <w:szCs w:val="20"/>
                <w:color w:val="auto"/>
              </w:rPr>
            </w:pPr>
            <w:r>
              <w:rPr>
                <w:rFonts w:ascii="Arial" w:cs="Arial" w:eastAsia="Arial" w:hAnsi="Arial"/>
                <w:sz w:val="14"/>
                <w:szCs w:val="14"/>
                <w:color w:val="auto"/>
              </w:rPr>
              <w:t>2,885,938</w:t>
            </w:r>
          </w:p>
        </w:tc>
        <w:tc>
          <w:tcPr>
            <w:tcW w:w="0" w:type="dxa"/>
            <w:vAlign w:val="bottom"/>
          </w:tcPr>
          <w:p>
            <w:pPr>
              <w:spacing w:after="0"/>
              <w:rPr>
                <w:sz w:val="1"/>
                <w:szCs w:val="1"/>
                <w:color w:val="auto"/>
              </w:rPr>
            </w:pPr>
          </w:p>
        </w:tc>
      </w:tr>
      <w:tr>
        <w:trPr>
          <w:trHeight w:val="154"/>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Net monetary position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100" w:type="dxa"/>
            <w:vAlign w:val="bottom"/>
            <w:gridSpan w:val="2"/>
          </w:tcPr>
          <w:p>
            <w:pPr>
              <w:spacing w:after="0"/>
              <w:rPr>
                <w:sz w:val="13"/>
                <w:szCs w:val="13"/>
                <w:color w:val="auto"/>
              </w:rPr>
            </w:pPr>
          </w:p>
        </w:tc>
        <w:tc>
          <w:tcPr>
            <w:tcW w:w="10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20" w:type="dxa"/>
            <w:vAlign w:val="bottom"/>
            <w:vMerge w:val="continue"/>
          </w:tcPr>
          <w:p>
            <w:pPr>
              <w:spacing w:after="0"/>
              <w:rPr>
                <w:sz w:val="13"/>
                <w:szCs w:val="13"/>
                <w:color w:val="auto"/>
              </w:rPr>
            </w:pPr>
          </w:p>
        </w:tc>
        <w:tc>
          <w:tcPr>
            <w:tcW w:w="98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b w:val="1"/>
                <w:bCs w:val="1"/>
                <w:color w:val="auto"/>
              </w:rPr>
              <w:t>847,807</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rPr>
              <w:t>1,891,855</w:t>
            </w: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b w:val="1"/>
                <w:bCs w:val="1"/>
                <w:color w:val="auto"/>
              </w:rPr>
              <w:t>2,739,662</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rPr>
              <w:t>1,365,523</w:t>
            </w:r>
          </w:p>
        </w:tc>
        <w:tc>
          <w:tcPr>
            <w:tcW w:w="8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b w:val="1"/>
                <w:bCs w:val="1"/>
                <w:color w:val="auto"/>
              </w:rPr>
              <w:t>1,896,497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11"/>
              <w:spacing w:after="0" w:line="149" w:lineRule="exact"/>
              <w:rPr>
                <w:sz w:val="20"/>
                <w:szCs w:val="20"/>
                <w:color w:val="auto"/>
              </w:rPr>
            </w:pPr>
            <w:r>
              <w:rPr>
                <w:rFonts w:ascii="Arial" w:cs="Arial" w:eastAsia="Arial" w:hAnsi="Arial"/>
                <w:sz w:val="14"/>
                <w:szCs w:val="14"/>
                <w:b w:val="1"/>
                <w:bCs w:val="1"/>
                <w:color w:val="auto"/>
              </w:rPr>
              <w:t>3,262,020</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As of December 31, 2022, the monetary position with effect on equity in other currencies is mainly made up of the equity of subsidiaries in Bolivian pesos for S/954.7 million, in Colombian pesos for S/566.7 million and, in Chilean pesos for S/348.0 million, among other minors. As of December 31, 2021, the monetary position with effect on equity in other currencies was mainly made up of the equity of subsidiaries in Bolivian pesos for S/928.6 million, in Colombian pesos for S/638.6 million and, in Chilean pesos for S/304.4 million, among other minors.</w:t>
      </w:r>
    </w:p>
    <w:p>
      <w:pPr>
        <w:spacing w:after="0" w:line="180" w:lineRule="exact"/>
        <w:rPr>
          <w:sz w:val="20"/>
          <w:szCs w:val="20"/>
          <w:color w:val="auto"/>
        </w:rPr>
      </w:pPr>
    </w:p>
    <w:p>
      <w:pPr>
        <w:ind w:left="300" w:hanging="294"/>
        <w:spacing w:after="0" w:line="246" w:lineRule="auto"/>
        <w:tabs>
          <w:tab w:leader="none" w:pos="23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 accounting hedge of net investment abroad was carried out where part of our liability position in dollars related to the balance of the caption "bonds and notes issued", see Note 17(iv), was designated as cover our permanent investment in Atlantic Security Holding.</w:t>
      </w:r>
    </w:p>
    <w:p>
      <w:pPr>
        <w:spacing w:after="0" w:line="150" w:lineRule="exact"/>
        <w:rPr>
          <w:rFonts w:ascii="Arial" w:cs="Arial" w:eastAsia="Arial" w:hAnsi="Arial"/>
          <w:sz w:val="17"/>
          <w:szCs w:val="17"/>
          <w:color w:val="auto"/>
        </w:rPr>
      </w:pPr>
    </w:p>
    <w:p>
      <w:pPr>
        <w:ind w:left="4540" w:hanging="105"/>
        <w:spacing w:after="0"/>
        <w:tabs>
          <w:tab w:leader="none" w:pos="454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168 -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0"/>
          </w:cols>
          <w:pgMar w:left="1260" w:top="140" w:right="339" w:bottom="1440" w:gutter="0" w:footer="0" w:header="0"/>
        </w:sectPr>
      </w:pPr>
    </w:p>
    <w:bookmarkStart w:id="173" w:name="page174"/>
    <w:bookmarkEnd w:id="173"/>
    <w:p>
      <w:pPr>
        <w:jc w:val="both"/>
        <w:ind w:left="940"/>
        <w:spacing w:after="0" w:line="253" w:lineRule="auto"/>
        <w:rPr>
          <w:sz w:val="20"/>
          <w:szCs w:val="20"/>
          <w:color w:val="auto"/>
        </w:rPr>
      </w:pPr>
      <w:r>
        <w:rPr>
          <w:rFonts w:ascii="Arial" w:cs="Arial" w:eastAsia="Arial" w:hAnsi="Arial"/>
          <w:sz w:val="17"/>
          <w:szCs w:val="17"/>
          <w:color w:val="auto"/>
        </w:rPr>
        <w:t>The following tables show the sensitivity analysis of the main currencies to which the Group is exposed, and which affect the consolidated income statement and other comprehensive income as of December 31, 2022 and 2021.</w:t>
      </w:r>
    </w:p>
    <w:p>
      <w:pPr>
        <w:spacing w:after="0" w:line="170" w:lineRule="exact"/>
        <w:rPr>
          <w:sz w:val="20"/>
          <w:szCs w:val="20"/>
          <w:color w:val="auto"/>
        </w:rPr>
      </w:pPr>
    </w:p>
    <w:p>
      <w:pPr>
        <w:jc w:val="both"/>
        <w:ind w:left="940"/>
        <w:spacing w:after="0" w:line="246" w:lineRule="auto"/>
        <w:rPr>
          <w:sz w:val="20"/>
          <w:szCs w:val="20"/>
          <w:color w:val="auto"/>
        </w:rPr>
      </w:pPr>
      <w:r>
        <w:rPr>
          <w:rFonts w:ascii="Arial" w:cs="Arial" w:eastAsia="Arial" w:hAnsi="Arial"/>
          <w:sz w:val="17"/>
          <w:szCs w:val="17"/>
          <w:color w:val="auto"/>
        </w:rPr>
        <w:t>The analysis determines the effect of a reasonably possible variation of the exchange rate against the sun for each of the currencies independently, considering all other variables constant. A negative amount shows a potential net reduction in the consolidated income statement and other comprehensive income, while a positive amount reflects a potential increase.</w:t>
      </w:r>
    </w:p>
    <w:p>
      <w:pPr>
        <w:spacing w:after="0" w:line="17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Sensitivity analysis of the foreign exchange position with effect in the consolidated income statement is shown below:</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Arial" w:cs="Arial" w:eastAsia="Arial" w:hAnsi="Arial"/>
                <w:sz w:val="17"/>
                <w:szCs w:val="17"/>
                <w:b w:val="1"/>
                <w:bCs w:val="1"/>
                <w:color w:val="auto"/>
              </w:rPr>
              <w:t>Change in</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7"/>
        </w:trPr>
        <w:tc>
          <w:tcPr>
            <w:tcW w:w="4380" w:type="dxa"/>
            <w:vAlign w:val="bottom"/>
            <w:gridSpan w:val="2"/>
          </w:tcPr>
          <w:p>
            <w:pPr>
              <w:spacing w:after="0"/>
              <w:rPr>
                <w:sz w:val="20"/>
                <w:szCs w:val="20"/>
                <w:color w:val="auto"/>
              </w:rPr>
            </w:pPr>
            <w:r>
              <w:rPr>
                <w:rFonts w:ascii="Arial" w:cs="Arial" w:eastAsia="Arial" w:hAnsi="Arial"/>
                <w:sz w:val="17"/>
                <w:szCs w:val="17"/>
                <w:b w:val="1"/>
                <w:bCs w:val="1"/>
                <w:color w:val="auto"/>
              </w:rPr>
              <w:t>Currency rate sensibility</w:t>
            </w:r>
          </w:p>
        </w:tc>
        <w:tc>
          <w:tcPr>
            <w:tcW w:w="1460" w:type="dxa"/>
            <w:vAlign w:val="bottom"/>
          </w:tcPr>
          <w:p>
            <w:pPr>
              <w:spacing w:after="0"/>
              <w:rPr>
                <w:sz w:val="20"/>
                <w:szCs w:val="20"/>
                <w:color w:val="auto"/>
              </w:rPr>
            </w:pPr>
            <w:r>
              <w:rPr>
                <w:rFonts w:ascii="Arial" w:cs="Arial" w:eastAsia="Arial" w:hAnsi="Arial"/>
                <w:sz w:val="17"/>
                <w:szCs w:val="17"/>
                <w:b w:val="1"/>
                <w:bCs w:val="1"/>
                <w:color w:val="auto"/>
              </w:rPr>
              <w:t>currency rates</w:t>
            </w:r>
          </w:p>
        </w:tc>
        <w:tc>
          <w:tcPr>
            <w:tcW w:w="1560" w:type="dxa"/>
            <w:vAlign w:val="bottom"/>
            <w:gridSpan w:val="2"/>
          </w:tcPr>
          <w:p>
            <w:pPr>
              <w:ind w:left="80"/>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b w:val="1"/>
                <w:bCs w:val="1"/>
                <w:color w:val="auto"/>
              </w:rPr>
              <w:t>2021</w:t>
            </w:r>
          </w:p>
        </w:tc>
      </w:tr>
      <w:tr>
        <w:trPr>
          <w:trHeight w:val="223"/>
        </w:trPr>
        <w:tc>
          <w:tcPr>
            <w:tcW w:w="4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r>
    </w:tbl>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95"/>
        </w:trPr>
        <w:tc>
          <w:tcPr>
            <w:tcW w:w="3920" w:type="dxa"/>
            <w:vAlign w:val="bottom"/>
          </w:tcPr>
          <w:p>
            <w:pPr>
              <w:spacing w:after="0"/>
              <w:rPr>
                <w:sz w:val="20"/>
                <w:szCs w:val="20"/>
                <w:color w:val="auto"/>
              </w:rPr>
            </w:pPr>
            <w:r>
              <w:rPr>
                <w:rFonts w:ascii="Arial" w:cs="Arial" w:eastAsia="Arial" w:hAnsi="Arial"/>
                <w:sz w:val="17"/>
                <w:szCs w:val="17"/>
                <w:color w:val="auto"/>
              </w:rPr>
              <w:t>Depreciation -</w:t>
            </w:r>
          </w:p>
        </w:tc>
        <w:tc>
          <w:tcPr>
            <w:tcW w:w="2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3920" w:type="dxa"/>
            <w:vAlign w:val="bottom"/>
          </w:tcPr>
          <w:p>
            <w:pPr>
              <w:spacing w:after="0" w:line="194" w:lineRule="exact"/>
              <w:rPr>
                <w:sz w:val="20"/>
                <w:szCs w:val="20"/>
                <w:color w:val="auto"/>
              </w:rPr>
            </w:pPr>
            <w:r>
              <w:rPr>
                <w:rFonts w:ascii="Arial" w:cs="Arial" w:eastAsia="Arial" w:hAnsi="Arial"/>
                <w:sz w:val="17"/>
                <w:szCs w:val="17"/>
                <w:color w:val="auto"/>
              </w:rPr>
              <w:t>Soles in relation to U.S. Dollar</w:t>
            </w:r>
          </w:p>
        </w:tc>
        <w:tc>
          <w:tcPr>
            <w:tcW w:w="2320" w:type="dxa"/>
            <w:vAlign w:val="bottom"/>
          </w:tcPr>
          <w:p>
            <w:pPr>
              <w:jc w:val="right"/>
              <w:ind w:right="414"/>
              <w:spacing w:after="0" w:line="194" w:lineRule="exact"/>
              <w:rPr>
                <w:sz w:val="20"/>
                <w:szCs w:val="20"/>
                <w:color w:val="auto"/>
              </w:rPr>
            </w:pPr>
            <w:r>
              <w:rPr>
                <w:rFonts w:ascii="Arial" w:cs="Arial" w:eastAsia="Arial" w:hAnsi="Arial"/>
                <w:sz w:val="17"/>
                <w:szCs w:val="17"/>
                <w:color w:val="auto"/>
              </w:rPr>
              <w:t>5</w:t>
            </w:r>
          </w:p>
        </w:tc>
        <w:tc>
          <w:tcPr>
            <w:tcW w:w="1520" w:type="dxa"/>
            <w:vAlign w:val="bottom"/>
          </w:tcPr>
          <w:p>
            <w:pPr>
              <w:jc w:val="right"/>
              <w:ind w:right="374"/>
              <w:spacing w:after="0" w:line="194" w:lineRule="exact"/>
              <w:rPr>
                <w:sz w:val="20"/>
                <w:szCs w:val="20"/>
                <w:color w:val="auto"/>
              </w:rPr>
            </w:pPr>
            <w:r>
              <w:rPr>
                <w:rFonts w:ascii="Arial" w:cs="Arial" w:eastAsia="Arial" w:hAnsi="Arial"/>
                <w:sz w:val="17"/>
                <w:szCs w:val="17"/>
                <w:color w:val="auto"/>
              </w:rPr>
              <w:t>2,989</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16,377</w:t>
            </w:r>
          </w:p>
        </w:tc>
      </w:tr>
      <w:tr>
        <w:trPr>
          <w:trHeight w:val="208"/>
        </w:trPr>
        <w:tc>
          <w:tcPr>
            <w:tcW w:w="3920" w:type="dxa"/>
            <w:vAlign w:val="bottom"/>
          </w:tcPr>
          <w:p>
            <w:pPr>
              <w:spacing w:after="0"/>
              <w:rPr>
                <w:sz w:val="20"/>
                <w:szCs w:val="20"/>
                <w:color w:val="auto"/>
              </w:rPr>
            </w:pPr>
            <w:r>
              <w:rPr>
                <w:rFonts w:ascii="Arial" w:cs="Arial" w:eastAsia="Arial" w:hAnsi="Arial"/>
                <w:sz w:val="17"/>
                <w:szCs w:val="17"/>
                <w:color w:val="auto"/>
              </w:rPr>
              <w:t>Soles in relation to U.S. Dollar</w:t>
            </w:r>
          </w:p>
        </w:tc>
        <w:tc>
          <w:tcPr>
            <w:tcW w:w="2320" w:type="dxa"/>
            <w:vAlign w:val="bottom"/>
          </w:tcPr>
          <w:p>
            <w:pPr>
              <w:jc w:val="right"/>
              <w:ind w:right="414"/>
              <w:spacing w:after="0"/>
              <w:rPr>
                <w:sz w:val="20"/>
                <w:szCs w:val="20"/>
                <w:color w:val="auto"/>
              </w:rPr>
            </w:pPr>
            <w:r>
              <w:rPr>
                <w:rFonts w:ascii="Arial" w:cs="Arial" w:eastAsia="Arial" w:hAnsi="Arial"/>
                <w:sz w:val="17"/>
                <w:szCs w:val="17"/>
                <w:color w:val="auto"/>
              </w:rPr>
              <w:t>10</w:t>
            </w:r>
          </w:p>
        </w:tc>
        <w:tc>
          <w:tcPr>
            <w:tcW w:w="1520" w:type="dxa"/>
            <w:vAlign w:val="bottom"/>
          </w:tcPr>
          <w:p>
            <w:pPr>
              <w:jc w:val="right"/>
              <w:ind w:right="374"/>
              <w:spacing w:after="0"/>
              <w:rPr>
                <w:sz w:val="20"/>
                <w:szCs w:val="20"/>
                <w:color w:val="auto"/>
              </w:rPr>
            </w:pPr>
            <w:r>
              <w:rPr>
                <w:rFonts w:ascii="Arial" w:cs="Arial" w:eastAsia="Arial" w:hAnsi="Arial"/>
                <w:sz w:val="17"/>
                <w:szCs w:val="17"/>
                <w:color w:val="auto"/>
              </w:rPr>
              <w:t>5,707</w:t>
            </w:r>
          </w:p>
        </w:tc>
        <w:tc>
          <w:tcPr>
            <w:tcW w:w="1120" w:type="dxa"/>
            <w:vAlign w:val="bottom"/>
          </w:tcPr>
          <w:p>
            <w:pPr>
              <w:jc w:val="right"/>
              <w:spacing w:after="0"/>
              <w:rPr>
                <w:sz w:val="20"/>
                <w:szCs w:val="20"/>
                <w:color w:val="auto"/>
              </w:rPr>
            </w:pPr>
            <w:r>
              <w:rPr>
                <w:rFonts w:ascii="Arial" w:cs="Arial" w:eastAsia="Arial" w:hAnsi="Arial"/>
                <w:sz w:val="17"/>
                <w:szCs w:val="17"/>
                <w:color w:val="auto"/>
              </w:rPr>
              <w:t>31,265</w:t>
            </w:r>
          </w:p>
        </w:tc>
      </w:tr>
      <w:tr>
        <w:trPr>
          <w:trHeight w:val="375"/>
        </w:trPr>
        <w:tc>
          <w:tcPr>
            <w:tcW w:w="3920" w:type="dxa"/>
            <w:vAlign w:val="bottom"/>
          </w:tcPr>
          <w:p>
            <w:pPr>
              <w:spacing w:after="0"/>
              <w:rPr>
                <w:sz w:val="20"/>
                <w:szCs w:val="20"/>
                <w:color w:val="auto"/>
              </w:rPr>
            </w:pPr>
            <w:r>
              <w:rPr>
                <w:rFonts w:ascii="Arial" w:cs="Arial" w:eastAsia="Arial" w:hAnsi="Arial"/>
                <w:sz w:val="17"/>
                <w:szCs w:val="17"/>
                <w:color w:val="auto"/>
              </w:rPr>
              <w:t>Appreciation -</w:t>
            </w:r>
          </w:p>
        </w:tc>
        <w:tc>
          <w:tcPr>
            <w:tcW w:w="2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3920" w:type="dxa"/>
            <w:vAlign w:val="bottom"/>
          </w:tcPr>
          <w:p>
            <w:pPr>
              <w:spacing w:after="0" w:line="194" w:lineRule="exact"/>
              <w:rPr>
                <w:sz w:val="20"/>
                <w:szCs w:val="20"/>
                <w:color w:val="auto"/>
              </w:rPr>
            </w:pPr>
            <w:r>
              <w:rPr>
                <w:rFonts w:ascii="Arial" w:cs="Arial" w:eastAsia="Arial" w:hAnsi="Arial"/>
                <w:sz w:val="17"/>
                <w:szCs w:val="17"/>
                <w:color w:val="auto"/>
              </w:rPr>
              <w:t>Soles in relation to U.S. Dollar</w:t>
            </w:r>
          </w:p>
        </w:tc>
        <w:tc>
          <w:tcPr>
            <w:tcW w:w="2320" w:type="dxa"/>
            <w:vAlign w:val="bottom"/>
          </w:tcPr>
          <w:p>
            <w:pPr>
              <w:jc w:val="right"/>
              <w:ind w:right="414"/>
              <w:spacing w:after="0" w:line="194" w:lineRule="exact"/>
              <w:rPr>
                <w:sz w:val="20"/>
                <w:szCs w:val="20"/>
                <w:color w:val="auto"/>
              </w:rPr>
            </w:pPr>
            <w:r>
              <w:rPr>
                <w:rFonts w:ascii="Arial" w:cs="Arial" w:eastAsia="Arial" w:hAnsi="Arial"/>
                <w:sz w:val="17"/>
                <w:szCs w:val="17"/>
                <w:color w:val="auto"/>
              </w:rPr>
              <w:t>5</w:t>
            </w:r>
          </w:p>
        </w:tc>
        <w:tc>
          <w:tcPr>
            <w:tcW w:w="1520" w:type="dxa"/>
            <w:vAlign w:val="bottom"/>
          </w:tcPr>
          <w:p>
            <w:pPr>
              <w:jc w:val="right"/>
              <w:ind w:right="374"/>
              <w:spacing w:after="0" w:line="194" w:lineRule="exact"/>
              <w:rPr>
                <w:sz w:val="20"/>
                <w:szCs w:val="20"/>
                <w:color w:val="auto"/>
              </w:rPr>
            </w:pPr>
            <w:r>
              <w:rPr>
                <w:rFonts w:ascii="Arial" w:cs="Arial" w:eastAsia="Arial" w:hAnsi="Arial"/>
                <w:sz w:val="17"/>
                <w:szCs w:val="17"/>
                <w:color w:val="auto"/>
              </w:rPr>
              <w:t>(3,304)</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(18,101)</w:t>
            </w:r>
          </w:p>
        </w:tc>
      </w:tr>
      <w:tr>
        <w:trPr>
          <w:trHeight w:val="208"/>
        </w:trPr>
        <w:tc>
          <w:tcPr>
            <w:tcW w:w="3920" w:type="dxa"/>
            <w:vAlign w:val="bottom"/>
          </w:tcPr>
          <w:p>
            <w:pPr>
              <w:spacing w:after="0"/>
              <w:rPr>
                <w:sz w:val="20"/>
                <w:szCs w:val="20"/>
                <w:color w:val="auto"/>
              </w:rPr>
            </w:pPr>
            <w:r>
              <w:rPr>
                <w:rFonts w:ascii="Arial" w:cs="Arial" w:eastAsia="Arial" w:hAnsi="Arial"/>
                <w:sz w:val="17"/>
                <w:szCs w:val="17"/>
                <w:color w:val="auto"/>
              </w:rPr>
              <w:t>Soles in relation to U.S. Dollar</w:t>
            </w:r>
          </w:p>
        </w:tc>
        <w:tc>
          <w:tcPr>
            <w:tcW w:w="2320" w:type="dxa"/>
            <w:vAlign w:val="bottom"/>
          </w:tcPr>
          <w:p>
            <w:pPr>
              <w:jc w:val="right"/>
              <w:ind w:right="414"/>
              <w:spacing w:after="0"/>
              <w:rPr>
                <w:sz w:val="20"/>
                <w:szCs w:val="20"/>
                <w:color w:val="auto"/>
              </w:rPr>
            </w:pPr>
            <w:r>
              <w:rPr>
                <w:rFonts w:ascii="Arial" w:cs="Arial" w:eastAsia="Arial" w:hAnsi="Arial"/>
                <w:sz w:val="17"/>
                <w:szCs w:val="17"/>
                <w:color w:val="auto"/>
              </w:rPr>
              <w:t>10</w:t>
            </w:r>
          </w:p>
        </w:tc>
        <w:tc>
          <w:tcPr>
            <w:tcW w:w="1520" w:type="dxa"/>
            <w:vAlign w:val="bottom"/>
          </w:tcPr>
          <w:p>
            <w:pPr>
              <w:jc w:val="right"/>
              <w:ind w:right="374"/>
              <w:spacing w:after="0"/>
              <w:rPr>
                <w:sz w:val="20"/>
                <w:szCs w:val="20"/>
                <w:color w:val="auto"/>
              </w:rPr>
            </w:pPr>
            <w:r>
              <w:rPr>
                <w:rFonts w:ascii="Arial" w:cs="Arial" w:eastAsia="Arial" w:hAnsi="Arial"/>
                <w:sz w:val="17"/>
                <w:szCs w:val="17"/>
                <w:color w:val="auto"/>
              </w:rPr>
              <w:t>(6,975)</w:t>
            </w:r>
          </w:p>
        </w:tc>
        <w:tc>
          <w:tcPr>
            <w:tcW w:w="1120" w:type="dxa"/>
            <w:vAlign w:val="bottom"/>
          </w:tcPr>
          <w:p>
            <w:pPr>
              <w:jc w:val="right"/>
              <w:spacing w:after="0"/>
              <w:rPr>
                <w:sz w:val="20"/>
                <w:szCs w:val="20"/>
                <w:color w:val="auto"/>
              </w:rPr>
            </w:pPr>
            <w:r>
              <w:rPr>
                <w:rFonts w:ascii="Arial" w:cs="Arial" w:eastAsia="Arial" w:hAnsi="Arial"/>
                <w:sz w:val="17"/>
                <w:szCs w:val="17"/>
                <w:color w:val="auto"/>
              </w:rPr>
              <w:t>(38,213)</w:t>
            </w:r>
          </w:p>
        </w:tc>
      </w:tr>
    </w:tbl>
    <w:p>
      <w:pPr>
        <w:spacing w:after="0" w:line="180" w:lineRule="exact"/>
        <w:rPr>
          <w:sz w:val="20"/>
          <w:szCs w:val="20"/>
          <w:color w:val="auto"/>
        </w:rPr>
      </w:pPr>
    </w:p>
    <w:p>
      <w:pPr>
        <w:jc w:val="both"/>
        <w:ind w:left="940"/>
        <w:spacing w:after="0" w:line="246" w:lineRule="auto"/>
        <w:rPr>
          <w:sz w:val="20"/>
          <w:szCs w:val="20"/>
          <w:color w:val="auto"/>
        </w:rPr>
      </w:pPr>
      <w:r>
        <w:rPr>
          <w:rFonts w:ascii="Arial" w:cs="Arial" w:eastAsia="Arial" w:hAnsi="Arial"/>
          <w:sz w:val="17"/>
          <w:szCs w:val="17"/>
          <w:color w:val="auto"/>
        </w:rPr>
        <w:t>The following is the sensitivity analysis of the foreign exchange position with effect in other comprehensive income, being the main currencies of exposure: U.S. Dollar, Boliviano, Colombian Peso and Chilean Peso. This analysis is shown as of December 31, 2022 and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Arial" w:cs="Arial" w:eastAsia="Arial" w:hAnsi="Arial"/>
                <w:sz w:val="17"/>
                <w:szCs w:val="17"/>
                <w:b w:val="1"/>
                <w:bCs w:val="1"/>
                <w:color w:val="auto"/>
              </w:rPr>
              <w:t>Change in</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7"/>
        </w:trPr>
        <w:tc>
          <w:tcPr>
            <w:tcW w:w="5320" w:type="dxa"/>
            <w:vAlign w:val="bottom"/>
            <w:gridSpan w:val="3"/>
          </w:tcPr>
          <w:p>
            <w:pPr>
              <w:ind w:left="940"/>
              <w:spacing w:after="0"/>
              <w:rPr>
                <w:sz w:val="20"/>
                <w:szCs w:val="20"/>
                <w:color w:val="auto"/>
              </w:rPr>
            </w:pPr>
            <w:r>
              <w:rPr>
                <w:rFonts w:ascii="Arial" w:cs="Arial" w:eastAsia="Arial" w:hAnsi="Arial"/>
                <w:sz w:val="17"/>
                <w:szCs w:val="17"/>
                <w:b w:val="1"/>
                <w:bCs w:val="1"/>
                <w:color w:val="auto"/>
              </w:rPr>
              <w:t>Currency rate sensibility</w:t>
            </w:r>
          </w:p>
        </w:tc>
        <w:tc>
          <w:tcPr>
            <w:tcW w:w="1460" w:type="dxa"/>
            <w:vAlign w:val="bottom"/>
          </w:tcPr>
          <w:p>
            <w:pPr>
              <w:spacing w:after="0"/>
              <w:rPr>
                <w:sz w:val="20"/>
                <w:szCs w:val="20"/>
                <w:color w:val="auto"/>
              </w:rPr>
            </w:pPr>
            <w:r>
              <w:rPr>
                <w:rFonts w:ascii="Arial" w:cs="Arial" w:eastAsia="Arial" w:hAnsi="Arial"/>
                <w:sz w:val="17"/>
                <w:szCs w:val="17"/>
                <w:b w:val="1"/>
                <w:bCs w:val="1"/>
                <w:color w:val="auto"/>
              </w:rPr>
              <w:t>currency rates</w:t>
            </w:r>
          </w:p>
        </w:tc>
        <w:tc>
          <w:tcPr>
            <w:tcW w:w="1560" w:type="dxa"/>
            <w:vAlign w:val="bottom"/>
            <w:gridSpan w:val="2"/>
          </w:tcPr>
          <w:p>
            <w:pPr>
              <w:ind w:left="80"/>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132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320" w:type="dxa"/>
            <w:vAlign w:val="bottom"/>
          </w:tcPr>
          <w:p>
            <w:pPr>
              <w:spacing w:after="0"/>
              <w:rPr>
                <w:sz w:val="19"/>
                <w:szCs w:val="19"/>
                <w:color w:val="auto"/>
              </w:rPr>
            </w:pPr>
          </w:p>
        </w:tc>
      </w:tr>
      <w:tr>
        <w:trPr>
          <w:trHeight w:val="352"/>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Depreciation -</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320" w:type="dxa"/>
            <w:vAlign w:val="bottom"/>
            <w:gridSpan w:val="3"/>
          </w:tcPr>
          <w:p>
            <w:pPr>
              <w:ind w:left="940"/>
              <w:spacing w:after="0" w:line="194" w:lineRule="exact"/>
              <w:rPr>
                <w:sz w:val="20"/>
                <w:szCs w:val="20"/>
                <w:color w:val="auto"/>
              </w:rPr>
            </w:pPr>
            <w:r>
              <w:rPr>
                <w:rFonts w:ascii="Arial" w:cs="Arial" w:eastAsia="Arial" w:hAnsi="Arial"/>
                <w:sz w:val="17"/>
                <w:szCs w:val="17"/>
                <w:color w:val="auto"/>
              </w:rPr>
              <w:t>Soles in relation to U.S. Dollar</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w:t>
            </w:r>
          </w:p>
        </w:tc>
        <w:tc>
          <w:tcPr>
            <w:tcW w:w="15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37,382</w:t>
            </w:r>
          </w:p>
        </w:tc>
        <w:tc>
          <w:tcPr>
            <w:tcW w:w="100" w:type="dxa"/>
            <w:vAlign w:val="bottom"/>
          </w:tcPr>
          <w:p>
            <w:pPr>
              <w:spacing w:after="0"/>
              <w:rPr>
                <w:sz w:val="16"/>
                <w:szCs w:val="16"/>
                <w:color w:val="auto"/>
              </w:rPr>
            </w:pP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48,648</w:t>
            </w:r>
          </w:p>
        </w:tc>
        <w:tc>
          <w:tcPr>
            <w:tcW w:w="1320" w:type="dxa"/>
            <w:vAlign w:val="bottom"/>
          </w:tcPr>
          <w:p>
            <w:pPr>
              <w:spacing w:after="0"/>
              <w:rPr>
                <w:sz w:val="16"/>
                <w:szCs w:val="16"/>
                <w:color w:val="auto"/>
              </w:rPr>
            </w:pPr>
          </w:p>
        </w:tc>
      </w:tr>
      <w:tr>
        <w:trPr>
          <w:trHeight w:val="208"/>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Soles in relation to U.S. Dollar</w:t>
            </w:r>
          </w:p>
        </w:tc>
        <w:tc>
          <w:tcPr>
            <w:tcW w:w="146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1560" w:type="dxa"/>
            <w:vAlign w:val="bottom"/>
            <w:gridSpan w:val="2"/>
          </w:tcPr>
          <w:p>
            <w:pPr>
              <w:jc w:val="right"/>
              <w:ind w:right="14"/>
              <w:spacing w:after="0"/>
              <w:rPr>
                <w:sz w:val="20"/>
                <w:szCs w:val="20"/>
                <w:color w:val="auto"/>
              </w:rPr>
            </w:pPr>
            <w:r>
              <w:rPr>
                <w:rFonts w:ascii="Arial" w:cs="Arial" w:eastAsia="Arial" w:hAnsi="Arial"/>
                <w:sz w:val="17"/>
                <w:szCs w:val="17"/>
                <w:color w:val="auto"/>
              </w:rPr>
              <w:t>71,366</w:t>
            </w:r>
          </w:p>
        </w:tc>
        <w:tc>
          <w:tcPr>
            <w:tcW w:w="10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92,873</w:t>
            </w:r>
          </w:p>
        </w:tc>
        <w:tc>
          <w:tcPr>
            <w:tcW w:w="1320" w:type="dxa"/>
            <w:vAlign w:val="bottom"/>
          </w:tcPr>
          <w:p>
            <w:pPr>
              <w:spacing w:after="0"/>
              <w:rPr>
                <w:sz w:val="18"/>
                <w:szCs w:val="18"/>
                <w:color w:val="auto"/>
              </w:rPr>
            </w:pPr>
          </w:p>
        </w:tc>
      </w:tr>
      <w:tr>
        <w:trPr>
          <w:trHeight w:val="375"/>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Appreciation -</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320" w:type="dxa"/>
            <w:vAlign w:val="bottom"/>
            <w:gridSpan w:val="3"/>
          </w:tcPr>
          <w:p>
            <w:pPr>
              <w:ind w:left="940"/>
              <w:spacing w:after="0" w:line="194" w:lineRule="exact"/>
              <w:rPr>
                <w:sz w:val="20"/>
                <w:szCs w:val="20"/>
                <w:color w:val="auto"/>
              </w:rPr>
            </w:pPr>
            <w:r>
              <w:rPr>
                <w:rFonts w:ascii="Arial" w:cs="Arial" w:eastAsia="Arial" w:hAnsi="Arial"/>
                <w:sz w:val="17"/>
                <w:szCs w:val="17"/>
                <w:color w:val="auto"/>
              </w:rPr>
              <w:t>Soles in relation to U.S. Dollar</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w:t>
            </w:r>
          </w:p>
        </w:tc>
        <w:tc>
          <w:tcPr>
            <w:tcW w:w="15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(41,317)</w:t>
            </w:r>
          </w:p>
        </w:tc>
        <w:tc>
          <w:tcPr>
            <w:tcW w:w="100" w:type="dxa"/>
            <w:vAlign w:val="bottom"/>
          </w:tcPr>
          <w:p>
            <w:pPr>
              <w:spacing w:after="0"/>
              <w:rPr>
                <w:sz w:val="16"/>
                <w:szCs w:val="16"/>
                <w:color w:val="auto"/>
              </w:rPr>
            </w:pP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(53,769)</w:t>
            </w:r>
          </w:p>
        </w:tc>
        <w:tc>
          <w:tcPr>
            <w:tcW w:w="1320" w:type="dxa"/>
            <w:vAlign w:val="bottom"/>
          </w:tcPr>
          <w:p>
            <w:pPr>
              <w:spacing w:after="0"/>
              <w:rPr>
                <w:sz w:val="16"/>
                <w:szCs w:val="16"/>
                <w:color w:val="auto"/>
              </w:rPr>
            </w:pPr>
          </w:p>
        </w:tc>
      </w:tr>
      <w:tr>
        <w:trPr>
          <w:trHeight w:val="208"/>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Soles in relation to U.S. Dollar</w:t>
            </w:r>
          </w:p>
        </w:tc>
        <w:tc>
          <w:tcPr>
            <w:tcW w:w="146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1560" w:type="dxa"/>
            <w:vAlign w:val="bottom"/>
            <w:gridSpan w:val="2"/>
          </w:tcPr>
          <w:p>
            <w:pPr>
              <w:jc w:val="right"/>
              <w:ind w:right="14"/>
              <w:spacing w:after="0"/>
              <w:rPr>
                <w:sz w:val="20"/>
                <w:szCs w:val="20"/>
                <w:color w:val="auto"/>
              </w:rPr>
            </w:pPr>
            <w:r>
              <w:rPr>
                <w:rFonts w:ascii="Arial" w:cs="Arial" w:eastAsia="Arial" w:hAnsi="Arial"/>
                <w:sz w:val="17"/>
                <w:szCs w:val="17"/>
                <w:color w:val="auto"/>
              </w:rPr>
              <w:t>(87,226)</w:t>
            </w:r>
          </w:p>
        </w:tc>
        <w:tc>
          <w:tcPr>
            <w:tcW w:w="10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(113,511)</w:t>
            </w:r>
          </w:p>
        </w:tc>
        <w:tc>
          <w:tcPr>
            <w:tcW w:w="1320" w:type="dxa"/>
            <w:vAlign w:val="bottom"/>
          </w:tcPr>
          <w:p>
            <w:pPr>
              <w:spacing w:after="0"/>
              <w:rPr>
                <w:sz w:val="18"/>
                <w:szCs w:val="18"/>
                <w:color w:val="auto"/>
              </w:rPr>
            </w:pPr>
          </w:p>
        </w:tc>
      </w:tr>
      <w:tr>
        <w:trPr>
          <w:trHeight w:val="353"/>
        </w:trPr>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7"/>
                <w:szCs w:val="17"/>
                <w:b w:val="1"/>
                <w:bCs w:val="1"/>
                <w:color w:val="auto"/>
              </w:rPr>
              <w:t>Change in</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7"/>
        </w:trPr>
        <w:tc>
          <w:tcPr>
            <w:tcW w:w="5320" w:type="dxa"/>
            <w:vAlign w:val="bottom"/>
            <w:gridSpan w:val="3"/>
          </w:tcPr>
          <w:p>
            <w:pPr>
              <w:ind w:left="940"/>
              <w:spacing w:after="0"/>
              <w:rPr>
                <w:sz w:val="20"/>
                <w:szCs w:val="20"/>
                <w:color w:val="auto"/>
              </w:rPr>
            </w:pPr>
            <w:r>
              <w:rPr>
                <w:rFonts w:ascii="Arial" w:cs="Arial" w:eastAsia="Arial" w:hAnsi="Arial"/>
                <w:sz w:val="17"/>
                <w:szCs w:val="17"/>
                <w:b w:val="1"/>
                <w:bCs w:val="1"/>
                <w:color w:val="auto"/>
              </w:rPr>
              <w:t>Currency rate sensibility</w:t>
            </w:r>
          </w:p>
        </w:tc>
        <w:tc>
          <w:tcPr>
            <w:tcW w:w="1460" w:type="dxa"/>
            <w:vAlign w:val="bottom"/>
          </w:tcPr>
          <w:p>
            <w:pPr>
              <w:spacing w:after="0"/>
              <w:rPr>
                <w:sz w:val="20"/>
                <w:szCs w:val="20"/>
                <w:color w:val="auto"/>
              </w:rPr>
            </w:pPr>
            <w:r>
              <w:rPr>
                <w:rFonts w:ascii="Arial" w:cs="Arial" w:eastAsia="Arial" w:hAnsi="Arial"/>
                <w:sz w:val="17"/>
                <w:szCs w:val="17"/>
                <w:b w:val="1"/>
                <w:bCs w:val="1"/>
                <w:color w:val="auto"/>
              </w:rPr>
              <w:t>currency rates</w:t>
            </w:r>
          </w:p>
        </w:tc>
        <w:tc>
          <w:tcPr>
            <w:tcW w:w="1560" w:type="dxa"/>
            <w:vAlign w:val="bottom"/>
            <w:gridSpan w:val="2"/>
          </w:tcPr>
          <w:p>
            <w:pPr>
              <w:ind w:left="80"/>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132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320" w:type="dxa"/>
            <w:vAlign w:val="bottom"/>
          </w:tcPr>
          <w:p>
            <w:pPr>
              <w:spacing w:after="0"/>
              <w:rPr>
                <w:sz w:val="19"/>
                <w:szCs w:val="19"/>
                <w:color w:val="auto"/>
              </w:rPr>
            </w:pPr>
          </w:p>
        </w:tc>
      </w:tr>
      <w:tr>
        <w:trPr>
          <w:trHeight w:val="352"/>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Depreciation -</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320" w:type="dxa"/>
            <w:vAlign w:val="bottom"/>
            <w:gridSpan w:val="3"/>
          </w:tcPr>
          <w:p>
            <w:pPr>
              <w:ind w:left="940"/>
              <w:spacing w:after="0" w:line="194" w:lineRule="exact"/>
              <w:rPr>
                <w:sz w:val="20"/>
                <w:szCs w:val="20"/>
                <w:color w:val="auto"/>
              </w:rPr>
            </w:pPr>
            <w:r>
              <w:rPr>
                <w:rFonts w:ascii="Arial" w:cs="Arial" w:eastAsia="Arial" w:hAnsi="Arial"/>
                <w:sz w:val="17"/>
                <w:szCs w:val="17"/>
                <w:color w:val="auto"/>
              </w:rPr>
              <w:t>Soles in relation to Boliviano</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w:t>
            </w:r>
          </w:p>
        </w:tc>
        <w:tc>
          <w:tcPr>
            <w:tcW w:w="15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45,462</w:t>
            </w:r>
          </w:p>
        </w:tc>
        <w:tc>
          <w:tcPr>
            <w:tcW w:w="100" w:type="dxa"/>
            <w:vAlign w:val="bottom"/>
          </w:tcPr>
          <w:p>
            <w:pPr>
              <w:spacing w:after="0"/>
              <w:rPr>
                <w:sz w:val="16"/>
                <w:szCs w:val="16"/>
                <w:color w:val="auto"/>
              </w:rPr>
            </w:pP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44,220</w:t>
            </w:r>
          </w:p>
        </w:tc>
        <w:tc>
          <w:tcPr>
            <w:tcW w:w="1320" w:type="dxa"/>
            <w:vAlign w:val="bottom"/>
          </w:tcPr>
          <w:p>
            <w:pPr>
              <w:spacing w:after="0"/>
              <w:rPr>
                <w:sz w:val="16"/>
                <w:szCs w:val="16"/>
                <w:color w:val="auto"/>
              </w:rPr>
            </w:pPr>
          </w:p>
        </w:tc>
      </w:tr>
      <w:tr>
        <w:trPr>
          <w:trHeight w:val="208"/>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Soles in relation to Boliviano</w:t>
            </w:r>
          </w:p>
        </w:tc>
        <w:tc>
          <w:tcPr>
            <w:tcW w:w="146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1560" w:type="dxa"/>
            <w:vAlign w:val="bottom"/>
            <w:gridSpan w:val="2"/>
          </w:tcPr>
          <w:p>
            <w:pPr>
              <w:jc w:val="right"/>
              <w:ind w:right="14"/>
              <w:spacing w:after="0"/>
              <w:rPr>
                <w:sz w:val="20"/>
                <w:szCs w:val="20"/>
                <w:color w:val="auto"/>
              </w:rPr>
            </w:pPr>
            <w:r>
              <w:rPr>
                <w:rFonts w:ascii="Arial" w:cs="Arial" w:eastAsia="Arial" w:hAnsi="Arial"/>
                <w:sz w:val="17"/>
                <w:szCs w:val="17"/>
                <w:color w:val="auto"/>
              </w:rPr>
              <w:t>86,791</w:t>
            </w:r>
          </w:p>
        </w:tc>
        <w:tc>
          <w:tcPr>
            <w:tcW w:w="10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84,421</w:t>
            </w:r>
          </w:p>
        </w:tc>
        <w:tc>
          <w:tcPr>
            <w:tcW w:w="1320" w:type="dxa"/>
            <w:vAlign w:val="bottom"/>
          </w:tcPr>
          <w:p>
            <w:pPr>
              <w:spacing w:after="0"/>
              <w:rPr>
                <w:sz w:val="18"/>
                <w:szCs w:val="18"/>
                <w:color w:val="auto"/>
              </w:rPr>
            </w:pPr>
          </w:p>
        </w:tc>
      </w:tr>
      <w:tr>
        <w:trPr>
          <w:trHeight w:val="375"/>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Appreciation -</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320" w:type="dxa"/>
            <w:vAlign w:val="bottom"/>
            <w:gridSpan w:val="3"/>
          </w:tcPr>
          <w:p>
            <w:pPr>
              <w:ind w:left="940"/>
              <w:spacing w:after="0" w:line="194" w:lineRule="exact"/>
              <w:rPr>
                <w:sz w:val="20"/>
                <w:szCs w:val="20"/>
                <w:color w:val="auto"/>
              </w:rPr>
            </w:pPr>
            <w:r>
              <w:rPr>
                <w:rFonts w:ascii="Arial" w:cs="Arial" w:eastAsia="Arial" w:hAnsi="Arial"/>
                <w:sz w:val="17"/>
                <w:szCs w:val="17"/>
                <w:color w:val="auto"/>
              </w:rPr>
              <w:t>Soles in relation to Boliviano</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w:t>
            </w:r>
          </w:p>
        </w:tc>
        <w:tc>
          <w:tcPr>
            <w:tcW w:w="15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(50,247)</w:t>
            </w:r>
          </w:p>
        </w:tc>
        <w:tc>
          <w:tcPr>
            <w:tcW w:w="100" w:type="dxa"/>
            <w:vAlign w:val="bottom"/>
          </w:tcPr>
          <w:p>
            <w:pPr>
              <w:spacing w:after="0"/>
              <w:rPr>
                <w:sz w:val="16"/>
                <w:szCs w:val="16"/>
                <w:color w:val="auto"/>
              </w:rPr>
            </w:pP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(48,875)</w:t>
            </w:r>
          </w:p>
        </w:tc>
        <w:tc>
          <w:tcPr>
            <w:tcW w:w="1320" w:type="dxa"/>
            <w:vAlign w:val="bottom"/>
          </w:tcPr>
          <w:p>
            <w:pPr>
              <w:spacing w:after="0"/>
              <w:rPr>
                <w:sz w:val="16"/>
                <w:szCs w:val="16"/>
                <w:color w:val="auto"/>
              </w:rPr>
            </w:pPr>
          </w:p>
        </w:tc>
      </w:tr>
      <w:tr>
        <w:trPr>
          <w:trHeight w:val="208"/>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Soles in relation to Boliviano</w:t>
            </w:r>
          </w:p>
        </w:tc>
        <w:tc>
          <w:tcPr>
            <w:tcW w:w="146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1560" w:type="dxa"/>
            <w:vAlign w:val="bottom"/>
            <w:gridSpan w:val="2"/>
          </w:tcPr>
          <w:p>
            <w:pPr>
              <w:jc w:val="right"/>
              <w:ind w:right="14"/>
              <w:spacing w:after="0"/>
              <w:rPr>
                <w:sz w:val="20"/>
                <w:szCs w:val="20"/>
                <w:color w:val="auto"/>
              </w:rPr>
            </w:pPr>
            <w:r>
              <w:rPr>
                <w:rFonts w:ascii="Arial" w:cs="Arial" w:eastAsia="Arial" w:hAnsi="Arial"/>
                <w:sz w:val="17"/>
                <w:szCs w:val="17"/>
                <w:color w:val="auto"/>
              </w:rPr>
              <w:t>(106,078)</w:t>
            </w:r>
          </w:p>
        </w:tc>
        <w:tc>
          <w:tcPr>
            <w:tcW w:w="10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(103,181)</w:t>
            </w:r>
          </w:p>
        </w:tc>
        <w:tc>
          <w:tcPr>
            <w:tcW w:w="1320" w:type="dxa"/>
            <w:vAlign w:val="bottom"/>
          </w:tcPr>
          <w:p>
            <w:pPr>
              <w:spacing w:after="0"/>
              <w:rPr>
                <w:sz w:val="18"/>
                <w:szCs w:val="18"/>
                <w:color w:val="auto"/>
              </w:rPr>
            </w:pPr>
          </w:p>
        </w:tc>
      </w:tr>
      <w:tr>
        <w:trPr>
          <w:trHeight w:val="557"/>
        </w:trPr>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ind w:right="814"/>
              <w:spacing w:after="0"/>
              <w:rPr>
                <w:sz w:val="20"/>
                <w:szCs w:val="20"/>
                <w:color w:val="auto"/>
              </w:rPr>
            </w:pPr>
            <w:r>
              <w:rPr>
                <w:rFonts w:ascii="Arial" w:cs="Arial" w:eastAsia="Arial" w:hAnsi="Arial"/>
                <w:sz w:val="17"/>
                <w:szCs w:val="17"/>
                <w:color w:val="auto"/>
              </w:rPr>
              <w:t>- 169 -</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
        </w:trPr>
        <w:tc>
          <w:tcPr>
            <w:tcW w:w="940" w:type="dxa"/>
            <w:vAlign w:val="bottom"/>
            <w:tcBorders>
              <w:bottom w:val="single" w:sz="8" w:color="auto"/>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Arial" w:cs="Arial" w:eastAsia="Arial" w:hAnsi="Arial"/>
                <w:sz w:val="17"/>
                <w:szCs w:val="17"/>
                <w:b w:val="1"/>
                <w:bCs w:val="1"/>
                <w:color w:val="auto"/>
              </w:rPr>
              <w:t>Change in</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7"/>
        </w:trPr>
        <w:tc>
          <w:tcPr>
            <w:tcW w:w="5320" w:type="dxa"/>
            <w:vAlign w:val="bottom"/>
            <w:gridSpan w:val="3"/>
          </w:tcPr>
          <w:p>
            <w:pPr>
              <w:ind w:left="940"/>
              <w:spacing w:after="0"/>
              <w:rPr>
                <w:sz w:val="20"/>
                <w:szCs w:val="20"/>
                <w:color w:val="auto"/>
              </w:rPr>
            </w:pPr>
            <w:r>
              <w:rPr>
                <w:rFonts w:ascii="Arial" w:cs="Arial" w:eastAsia="Arial" w:hAnsi="Arial"/>
                <w:sz w:val="17"/>
                <w:szCs w:val="17"/>
                <w:b w:val="1"/>
                <w:bCs w:val="1"/>
                <w:color w:val="auto"/>
              </w:rPr>
              <w:t>Currency rate sensibility</w:t>
            </w:r>
          </w:p>
        </w:tc>
        <w:tc>
          <w:tcPr>
            <w:tcW w:w="1460" w:type="dxa"/>
            <w:vAlign w:val="bottom"/>
          </w:tcPr>
          <w:p>
            <w:pPr>
              <w:spacing w:after="0"/>
              <w:rPr>
                <w:sz w:val="20"/>
                <w:szCs w:val="20"/>
                <w:color w:val="auto"/>
              </w:rPr>
            </w:pPr>
            <w:r>
              <w:rPr>
                <w:rFonts w:ascii="Arial" w:cs="Arial" w:eastAsia="Arial" w:hAnsi="Arial"/>
                <w:sz w:val="17"/>
                <w:szCs w:val="17"/>
                <w:b w:val="1"/>
                <w:bCs w:val="1"/>
                <w:color w:val="auto"/>
              </w:rPr>
              <w:t>currency rates</w:t>
            </w:r>
          </w:p>
        </w:tc>
        <w:tc>
          <w:tcPr>
            <w:tcW w:w="1560" w:type="dxa"/>
            <w:vAlign w:val="bottom"/>
            <w:gridSpan w:val="2"/>
          </w:tcPr>
          <w:p>
            <w:pPr>
              <w:ind w:left="80"/>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132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320" w:type="dxa"/>
            <w:vAlign w:val="bottom"/>
          </w:tcPr>
          <w:p>
            <w:pPr>
              <w:spacing w:after="0"/>
              <w:rPr>
                <w:sz w:val="19"/>
                <w:szCs w:val="19"/>
                <w:color w:val="auto"/>
              </w:rPr>
            </w:pPr>
          </w:p>
        </w:tc>
      </w:tr>
      <w:tr>
        <w:trPr>
          <w:trHeight w:val="352"/>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Depreciation -</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320" w:type="dxa"/>
            <w:vAlign w:val="bottom"/>
            <w:gridSpan w:val="3"/>
          </w:tcPr>
          <w:p>
            <w:pPr>
              <w:ind w:left="940"/>
              <w:spacing w:after="0" w:line="194" w:lineRule="exact"/>
              <w:rPr>
                <w:sz w:val="20"/>
                <w:szCs w:val="20"/>
                <w:color w:val="auto"/>
              </w:rPr>
            </w:pPr>
            <w:r>
              <w:rPr>
                <w:rFonts w:ascii="Arial" w:cs="Arial" w:eastAsia="Arial" w:hAnsi="Arial"/>
                <w:sz w:val="17"/>
                <w:szCs w:val="17"/>
                <w:color w:val="auto"/>
              </w:rPr>
              <w:t>Soles in relation to Colombian Peso</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w:t>
            </w:r>
          </w:p>
        </w:tc>
        <w:tc>
          <w:tcPr>
            <w:tcW w:w="15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26,984</w:t>
            </w:r>
          </w:p>
        </w:tc>
        <w:tc>
          <w:tcPr>
            <w:tcW w:w="100" w:type="dxa"/>
            <w:vAlign w:val="bottom"/>
          </w:tcPr>
          <w:p>
            <w:pPr>
              <w:spacing w:after="0"/>
              <w:rPr>
                <w:sz w:val="16"/>
                <w:szCs w:val="16"/>
                <w:color w:val="auto"/>
              </w:rPr>
            </w:pP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29,933</w:t>
            </w:r>
          </w:p>
        </w:tc>
        <w:tc>
          <w:tcPr>
            <w:tcW w:w="1320" w:type="dxa"/>
            <w:vAlign w:val="bottom"/>
          </w:tcPr>
          <w:p>
            <w:pPr>
              <w:spacing w:after="0"/>
              <w:rPr>
                <w:sz w:val="16"/>
                <w:szCs w:val="16"/>
                <w:color w:val="auto"/>
              </w:rPr>
            </w:pPr>
          </w:p>
        </w:tc>
      </w:tr>
      <w:tr>
        <w:trPr>
          <w:trHeight w:val="208"/>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Soles in relation to Colombian Peso</w:t>
            </w:r>
          </w:p>
        </w:tc>
        <w:tc>
          <w:tcPr>
            <w:tcW w:w="146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1560" w:type="dxa"/>
            <w:vAlign w:val="bottom"/>
            <w:gridSpan w:val="2"/>
          </w:tcPr>
          <w:p>
            <w:pPr>
              <w:jc w:val="right"/>
              <w:ind w:right="14"/>
              <w:spacing w:after="0"/>
              <w:rPr>
                <w:sz w:val="20"/>
                <w:szCs w:val="20"/>
                <w:color w:val="auto"/>
              </w:rPr>
            </w:pPr>
            <w:r>
              <w:rPr>
                <w:rFonts w:ascii="Arial" w:cs="Arial" w:eastAsia="Arial" w:hAnsi="Arial"/>
                <w:sz w:val="17"/>
                <w:szCs w:val="17"/>
                <w:color w:val="auto"/>
              </w:rPr>
              <w:t>51,515</w:t>
            </w:r>
          </w:p>
        </w:tc>
        <w:tc>
          <w:tcPr>
            <w:tcW w:w="10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57,145</w:t>
            </w:r>
          </w:p>
        </w:tc>
        <w:tc>
          <w:tcPr>
            <w:tcW w:w="1320" w:type="dxa"/>
            <w:vAlign w:val="bottom"/>
          </w:tcPr>
          <w:p>
            <w:pPr>
              <w:spacing w:after="0"/>
              <w:rPr>
                <w:sz w:val="18"/>
                <w:szCs w:val="18"/>
                <w:color w:val="auto"/>
              </w:rPr>
            </w:pPr>
          </w:p>
        </w:tc>
      </w:tr>
      <w:tr>
        <w:trPr>
          <w:trHeight w:val="375"/>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Appreciation -</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320" w:type="dxa"/>
            <w:vAlign w:val="bottom"/>
            <w:gridSpan w:val="3"/>
          </w:tcPr>
          <w:p>
            <w:pPr>
              <w:ind w:left="940"/>
              <w:spacing w:after="0" w:line="194" w:lineRule="exact"/>
              <w:rPr>
                <w:sz w:val="20"/>
                <w:szCs w:val="20"/>
                <w:color w:val="auto"/>
              </w:rPr>
            </w:pPr>
            <w:r>
              <w:rPr>
                <w:rFonts w:ascii="Arial" w:cs="Arial" w:eastAsia="Arial" w:hAnsi="Arial"/>
                <w:sz w:val="17"/>
                <w:szCs w:val="17"/>
                <w:color w:val="auto"/>
              </w:rPr>
              <w:t>Soles in relation to Colombian Peso</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w:t>
            </w:r>
          </w:p>
        </w:tc>
        <w:tc>
          <w:tcPr>
            <w:tcW w:w="15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(29,825)</w:t>
            </w:r>
          </w:p>
        </w:tc>
        <w:tc>
          <w:tcPr>
            <w:tcW w:w="100" w:type="dxa"/>
            <w:vAlign w:val="bottom"/>
          </w:tcPr>
          <w:p>
            <w:pPr>
              <w:spacing w:after="0"/>
              <w:rPr>
                <w:sz w:val="16"/>
                <w:szCs w:val="16"/>
                <w:color w:val="auto"/>
              </w:rPr>
            </w:pP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(33,084)</w:t>
            </w:r>
          </w:p>
        </w:tc>
        <w:tc>
          <w:tcPr>
            <w:tcW w:w="1320" w:type="dxa"/>
            <w:vAlign w:val="bottom"/>
          </w:tcPr>
          <w:p>
            <w:pPr>
              <w:spacing w:after="0"/>
              <w:rPr>
                <w:sz w:val="16"/>
                <w:szCs w:val="16"/>
                <w:color w:val="auto"/>
              </w:rPr>
            </w:pPr>
          </w:p>
        </w:tc>
      </w:tr>
      <w:tr>
        <w:trPr>
          <w:trHeight w:val="208"/>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Soles in relation to Colombian Peso</w:t>
            </w:r>
          </w:p>
        </w:tc>
        <w:tc>
          <w:tcPr>
            <w:tcW w:w="146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1560" w:type="dxa"/>
            <w:vAlign w:val="bottom"/>
            <w:gridSpan w:val="2"/>
          </w:tcPr>
          <w:p>
            <w:pPr>
              <w:jc w:val="right"/>
              <w:ind w:right="14"/>
              <w:spacing w:after="0"/>
              <w:rPr>
                <w:sz w:val="20"/>
                <w:szCs w:val="20"/>
                <w:color w:val="auto"/>
              </w:rPr>
            </w:pPr>
            <w:r>
              <w:rPr>
                <w:rFonts w:ascii="Arial" w:cs="Arial" w:eastAsia="Arial" w:hAnsi="Arial"/>
                <w:sz w:val="17"/>
                <w:szCs w:val="17"/>
                <w:color w:val="auto"/>
              </w:rPr>
              <w:t>(62,963)</w:t>
            </w:r>
          </w:p>
        </w:tc>
        <w:tc>
          <w:tcPr>
            <w:tcW w:w="10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(69,844)</w:t>
            </w:r>
          </w:p>
        </w:tc>
        <w:tc>
          <w:tcPr>
            <w:tcW w:w="1320" w:type="dxa"/>
            <w:vAlign w:val="bottom"/>
          </w:tcPr>
          <w:p>
            <w:pPr>
              <w:spacing w:after="0"/>
              <w:rPr>
                <w:sz w:val="18"/>
                <w:szCs w:val="18"/>
                <w:color w:val="auto"/>
              </w:rPr>
            </w:pPr>
          </w:p>
        </w:tc>
      </w:tr>
      <w:tr>
        <w:trPr>
          <w:trHeight w:val="353"/>
        </w:trPr>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7"/>
                <w:szCs w:val="17"/>
                <w:b w:val="1"/>
                <w:bCs w:val="1"/>
                <w:color w:val="auto"/>
              </w:rPr>
              <w:t>Change in</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7"/>
        </w:trPr>
        <w:tc>
          <w:tcPr>
            <w:tcW w:w="5320" w:type="dxa"/>
            <w:vAlign w:val="bottom"/>
            <w:gridSpan w:val="3"/>
          </w:tcPr>
          <w:p>
            <w:pPr>
              <w:ind w:left="940"/>
              <w:spacing w:after="0"/>
              <w:rPr>
                <w:sz w:val="20"/>
                <w:szCs w:val="20"/>
                <w:color w:val="auto"/>
              </w:rPr>
            </w:pPr>
            <w:r>
              <w:rPr>
                <w:rFonts w:ascii="Arial" w:cs="Arial" w:eastAsia="Arial" w:hAnsi="Arial"/>
                <w:sz w:val="17"/>
                <w:szCs w:val="17"/>
                <w:b w:val="1"/>
                <w:bCs w:val="1"/>
                <w:color w:val="auto"/>
              </w:rPr>
              <w:t>Currency rate sensibility</w:t>
            </w:r>
          </w:p>
        </w:tc>
        <w:tc>
          <w:tcPr>
            <w:tcW w:w="1460" w:type="dxa"/>
            <w:vAlign w:val="bottom"/>
          </w:tcPr>
          <w:p>
            <w:pPr>
              <w:spacing w:after="0"/>
              <w:rPr>
                <w:sz w:val="20"/>
                <w:szCs w:val="20"/>
                <w:color w:val="auto"/>
              </w:rPr>
            </w:pPr>
            <w:r>
              <w:rPr>
                <w:rFonts w:ascii="Arial" w:cs="Arial" w:eastAsia="Arial" w:hAnsi="Arial"/>
                <w:sz w:val="17"/>
                <w:szCs w:val="17"/>
                <w:b w:val="1"/>
                <w:bCs w:val="1"/>
                <w:color w:val="auto"/>
              </w:rPr>
              <w:t>currency rates</w:t>
            </w:r>
          </w:p>
        </w:tc>
        <w:tc>
          <w:tcPr>
            <w:tcW w:w="1560" w:type="dxa"/>
            <w:vAlign w:val="bottom"/>
            <w:gridSpan w:val="2"/>
          </w:tcPr>
          <w:p>
            <w:pPr>
              <w:ind w:left="80"/>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132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S/(000)</w:t>
            </w:r>
          </w:p>
        </w:tc>
        <w:tc>
          <w:tcPr>
            <w:tcW w:w="1320" w:type="dxa"/>
            <w:vAlign w:val="bottom"/>
          </w:tcPr>
          <w:p>
            <w:pPr>
              <w:spacing w:after="0"/>
              <w:rPr>
                <w:sz w:val="19"/>
                <w:szCs w:val="19"/>
                <w:color w:val="auto"/>
              </w:rPr>
            </w:pPr>
          </w:p>
        </w:tc>
      </w:tr>
      <w:tr>
        <w:trPr>
          <w:trHeight w:val="352"/>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Depreciation -</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320" w:type="dxa"/>
            <w:vAlign w:val="bottom"/>
            <w:gridSpan w:val="3"/>
          </w:tcPr>
          <w:p>
            <w:pPr>
              <w:ind w:left="940"/>
              <w:spacing w:after="0" w:line="194" w:lineRule="exact"/>
              <w:rPr>
                <w:sz w:val="20"/>
                <w:szCs w:val="20"/>
                <w:color w:val="auto"/>
              </w:rPr>
            </w:pPr>
            <w:r>
              <w:rPr>
                <w:rFonts w:ascii="Arial" w:cs="Arial" w:eastAsia="Arial" w:hAnsi="Arial"/>
                <w:sz w:val="17"/>
                <w:szCs w:val="17"/>
                <w:color w:val="auto"/>
              </w:rPr>
              <w:t>Soles in relation to Chilean Peso</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w:t>
            </w:r>
          </w:p>
        </w:tc>
        <w:tc>
          <w:tcPr>
            <w:tcW w:w="15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16,571</w:t>
            </w:r>
          </w:p>
        </w:tc>
        <w:tc>
          <w:tcPr>
            <w:tcW w:w="100" w:type="dxa"/>
            <w:vAlign w:val="bottom"/>
          </w:tcPr>
          <w:p>
            <w:pPr>
              <w:spacing w:after="0"/>
              <w:rPr>
                <w:sz w:val="16"/>
                <w:szCs w:val="16"/>
                <w:color w:val="auto"/>
              </w:rPr>
            </w:pP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14,494</w:t>
            </w:r>
          </w:p>
        </w:tc>
        <w:tc>
          <w:tcPr>
            <w:tcW w:w="1320" w:type="dxa"/>
            <w:vAlign w:val="bottom"/>
          </w:tcPr>
          <w:p>
            <w:pPr>
              <w:spacing w:after="0"/>
              <w:rPr>
                <w:sz w:val="16"/>
                <w:szCs w:val="16"/>
                <w:color w:val="auto"/>
              </w:rPr>
            </w:pPr>
          </w:p>
        </w:tc>
      </w:tr>
      <w:tr>
        <w:trPr>
          <w:trHeight w:val="208"/>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Soles in relation to Chilean Peso</w:t>
            </w:r>
          </w:p>
        </w:tc>
        <w:tc>
          <w:tcPr>
            <w:tcW w:w="146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1560" w:type="dxa"/>
            <w:vAlign w:val="bottom"/>
            <w:gridSpan w:val="2"/>
          </w:tcPr>
          <w:p>
            <w:pPr>
              <w:jc w:val="right"/>
              <w:ind w:right="14"/>
              <w:spacing w:after="0"/>
              <w:rPr>
                <w:sz w:val="20"/>
                <w:szCs w:val="20"/>
                <w:color w:val="auto"/>
              </w:rPr>
            </w:pPr>
            <w:r>
              <w:rPr>
                <w:rFonts w:ascii="Arial" w:cs="Arial" w:eastAsia="Arial" w:hAnsi="Arial"/>
                <w:sz w:val="17"/>
                <w:szCs w:val="17"/>
                <w:color w:val="auto"/>
              </w:rPr>
              <w:t>31,636</w:t>
            </w:r>
          </w:p>
        </w:tc>
        <w:tc>
          <w:tcPr>
            <w:tcW w:w="10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27,671</w:t>
            </w:r>
          </w:p>
        </w:tc>
        <w:tc>
          <w:tcPr>
            <w:tcW w:w="1320" w:type="dxa"/>
            <w:vAlign w:val="bottom"/>
          </w:tcPr>
          <w:p>
            <w:pPr>
              <w:spacing w:after="0"/>
              <w:rPr>
                <w:sz w:val="18"/>
                <w:szCs w:val="18"/>
                <w:color w:val="auto"/>
              </w:rPr>
            </w:pPr>
          </w:p>
        </w:tc>
      </w:tr>
      <w:tr>
        <w:trPr>
          <w:trHeight w:val="375"/>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Appreciation -</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320" w:type="dxa"/>
            <w:vAlign w:val="bottom"/>
            <w:gridSpan w:val="3"/>
          </w:tcPr>
          <w:p>
            <w:pPr>
              <w:ind w:left="940"/>
              <w:spacing w:after="0" w:line="194" w:lineRule="exact"/>
              <w:rPr>
                <w:sz w:val="20"/>
                <w:szCs w:val="20"/>
                <w:color w:val="auto"/>
              </w:rPr>
            </w:pPr>
            <w:r>
              <w:rPr>
                <w:rFonts w:ascii="Arial" w:cs="Arial" w:eastAsia="Arial" w:hAnsi="Arial"/>
                <w:sz w:val="17"/>
                <w:szCs w:val="17"/>
                <w:color w:val="auto"/>
              </w:rPr>
              <w:t>Soles in relation to Chilean Peso</w:t>
            </w:r>
          </w:p>
        </w:tc>
        <w:tc>
          <w:tcPr>
            <w:tcW w:w="14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w:t>
            </w:r>
          </w:p>
        </w:tc>
        <w:tc>
          <w:tcPr>
            <w:tcW w:w="156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(18,316)</w:t>
            </w:r>
          </w:p>
        </w:tc>
        <w:tc>
          <w:tcPr>
            <w:tcW w:w="100" w:type="dxa"/>
            <w:vAlign w:val="bottom"/>
          </w:tcPr>
          <w:p>
            <w:pPr>
              <w:spacing w:after="0"/>
              <w:rPr>
                <w:sz w:val="16"/>
                <w:szCs w:val="16"/>
                <w:color w:val="auto"/>
              </w:rPr>
            </w:pP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(16,020)</w:t>
            </w:r>
          </w:p>
        </w:tc>
        <w:tc>
          <w:tcPr>
            <w:tcW w:w="1320" w:type="dxa"/>
            <w:vAlign w:val="bottom"/>
          </w:tcPr>
          <w:p>
            <w:pPr>
              <w:spacing w:after="0"/>
              <w:rPr>
                <w:sz w:val="16"/>
                <w:szCs w:val="16"/>
                <w:color w:val="auto"/>
              </w:rPr>
            </w:pPr>
          </w:p>
        </w:tc>
      </w:tr>
      <w:tr>
        <w:trPr>
          <w:trHeight w:val="208"/>
        </w:trPr>
        <w:tc>
          <w:tcPr>
            <w:tcW w:w="5320" w:type="dxa"/>
            <w:vAlign w:val="bottom"/>
            <w:gridSpan w:val="3"/>
          </w:tcPr>
          <w:p>
            <w:pPr>
              <w:ind w:left="940"/>
              <w:spacing w:after="0"/>
              <w:rPr>
                <w:sz w:val="20"/>
                <w:szCs w:val="20"/>
                <w:color w:val="auto"/>
              </w:rPr>
            </w:pPr>
            <w:r>
              <w:rPr>
                <w:rFonts w:ascii="Arial" w:cs="Arial" w:eastAsia="Arial" w:hAnsi="Arial"/>
                <w:sz w:val="17"/>
                <w:szCs w:val="17"/>
                <w:color w:val="auto"/>
              </w:rPr>
              <w:t>Soles in relation to Chilean Peso</w:t>
            </w:r>
          </w:p>
        </w:tc>
        <w:tc>
          <w:tcPr>
            <w:tcW w:w="146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1560" w:type="dxa"/>
            <w:vAlign w:val="bottom"/>
            <w:gridSpan w:val="2"/>
          </w:tcPr>
          <w:p>
            <w:pPr>
              <w:jc w:val="right"/>
              <w:ind w:right="14"/>
              <w:spacing w:after="0"/>
              <w:rPr>
                <w:sz w:val="20"/>
                <w:szCs w:val="20"/>
                <w:color w:val="auto"/>
              </w:rPr>
            </w:pPr>
            <w:r>
              <w:rPr>
                <w:rFonts w:ascii="Arial" w:cs="Arial" w:eastAsia="Arial" w:hAnsi="Arial"/>
                <w:sz w:val="17"/>
                <w:szCs w:val="17"/>
                <w:color w:val="auto"/>
              </w:rPr>
              <w:t>(38,667)</w:t>
            </w:r>
          </w:p>
        </w:tc>
        <w:tc>
          <w:tcPr>
            <w:tcW w:w="10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(33,820)</w:t>
            </w:r>
          </w:p>
        </w:tc>
        <w:tc>
          <w:tcPr>
            <w:tcW w:w="1320" w:type="dxa"/>
            <w:vAlign w:val="bottom"/>
          </w:tcPr>
          <w:p>
            <w:pPr>
              <w:spacing w:after="0"/>
              <w:rPr>
                <w:sz w:val="18"/>
                <w:szCs w:val="18"/>
                <w:color w:val="auto"/>
              </w:rPr>
            </w:pPr>
          </w:p>
        </w:tc>
      </w:tr>
      <w:tr>
        <w:trPr>
          <w:trHeight w:val="363"/>
        </w:trPr>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ind w:right="814"/>
              <w:spacing w:after="0"/>
              <w:rPr>
                <w:sz w:val="20"/>
                <w:szCs w:val="20"/>
                <w:color w:val="auto"/>
              </w:rPr>
            </w:pPr>
            <w:r>
              <w:rPr>
                <w:rFonts w:ascii="Arial" w:cs="Arial" w:eastAsia="Arial" w:hAnsi="Arial"/>
                <w:sz w:val="17"/>
                <w:szCs w:val="17"/>
                <w:color w:val="auto"/>
              </w:rPr>
              <w:t>- 170 -</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
        </w:trPr>
        <w:tc>
          <w:tcPr>
            <w:tcW w:w="940" w:type="dxa"/>
            <w:vAlign w:val="bottom"/>
            <w:tcBorders>
              <w:bottom w:val="single" w:sz="8" w:color="auto"/>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75" w:name="page176"/>
    <w:bookmarkEnd w:id="175"/>
    <w:p>
      <w:pPr>
        <w:spacing w:after="0"/>
        <w:tabs>
          <w:tab w:leader="none" w:pos="600" w:val="left"/>
        </w:tabs>
        <w:rPr>
          <w:sz w:val="20"/>
          <w:szCs w:val="20"/>
          <w:color w:val="auto"/>
        </w:rPr>
      </w:pPr>
      <w:r>
        <w:rPr>
          <w:rFonts w:ascii="Arial" w:cs="Arial" w:eastAsia="Arial" w:hAnsi="Arial"/>
          <w:sz w:val="17"/>
          <w:szCs w:val="17"/>
          <w:b w:val="1"/>
          <w:bCs w:val="1"/>
          <w:color w:val="auto"/>
        </w:rPr>
        <w:t>34.3</w:t>
        <w:tab/>
        <w:t>Liquidity risk</w:t>
      </w:r>
    </w:p>
    <w:p>
      <w:pPr>
        <w:spacing w:after="0" w:line="214"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Liquidity risk is the risk that the Group is unable to meet its short-term payment obligations associated with its financial liabilities when they fall due and to replace funds when they are withdrawn. In this sense, the company that is facing a liquidity crisis would be failing to comply with the obligations to pay depositors and with commitments to lend or satisfy other operational cash needs.</w:t>
      </w:r>
    </w:p>
    <w:p>
      <w:pPr>
        <w:spacing w:after="0" w:line="176" w:lineRule="exact"/>
        <w:rPr>
          <w:sz w:val="20"/>
          <w:szCs w:val="20"/>
          <w:color w:val="auto"/>
        </w:rPr>
      </w:pPr>
    </w:p>
    <w:p>
      <w:pPr>
        <w:jc w:val="both"/>
        <w:ind w:left="620"/>
        <w:spacing w:after="0" w:line="242" w:lineRule="auto"/>
        <w:rPr>
          <w:sz w:val="20"/>
          <w:szCs w:val="20"/>
          <w:color w:val="auto"/>
        </w:rPr>
      </w:pPr>
      <w:r>
        <w:rPr>
          <w:rFonts w:ascii="Arial" w:cs="Arial" w:eastAsia="Arial" w:hAnsi="Arial"/>
          <w:sz w:val="17"/>
          <w:szCs w:val="17"/>
          <w:color w:val="auto"/>
        </w:rPr>
        <w:t>The Group is exposed to daily cash requirements, interbank deposits, current accounts, time deposits, use of loans, guarantees and other requirements. The Management of the Group's subsidiaries establishes limits for the minimum funds amount available to cover such cash withdrawals and on the minimum level of inter-bank and other borrowing facilities that should be in place to cover withdrawals at unexpected levels of demand. Sources of liquidity are regularly reviewed by the corresponding risk teams to maintain a wide diversification by currency, geography, type of funding, provider, producer and term.</w:t>
      </w:r>
    </w:p>
    <w:p>
      <w:pPr>
        <w:spacing w:after="0" w:line="180" w:lineRule="exact"/>
        <w:rPr>
          <w:sz w:val="20"/>
          <w:szCs w:val="20"/>
          <w:color w:val="auto"/>
        </w:rPr>
      </w:pPr>
    </w:p>
    <w:p>
      <w:pPr>
        <w:jc w:val="both"/>
        <w:ind w:left="620"/>
        <w:spacing w:after="0" w:line="244" w:lineRule="auto"/>
        <w:rPr>
          <w:sz w:val="20"/>
          <w:szCs w:val="20"/>
          <w:color w:val="auto"/>
        </w:rPr>
      </w:pPr>
      <w:r>
        <w:rPr>
          <w:rFonts w:ascii="Arial" w:cs="Arial" w:eastAsia="Arial" w:hAnsi="Arial"/>
          <w:sz w:val="17"/>
          <w:szCs w:val="17"/>
          <w:color w:val="auto"/>
        </w:rPr>
        <w:t>The procedure to control the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liquidity risk, which generates exposure to potential losses.</w:t>
      </w:r>
    </w:p>
    <w:p>
      <w:pPr>
        <w:spacing w:after="0" w:line="375"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Maturities of assets and liabilities and the ability to replace them, at an acceptable cost are important factors in assessing the liquidity of the Group.</w:t>
      </w:r>
    </w:p>
    <w:p>
      <w:pPr>
        <w:spacing w:after="0" w:line="169"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auto"/>
        </w:rPr>
        <w:t>A mismatch, in maturity of long-term illiquid assets against short-term liabilities, exposes the consolidated statement of financial position to risks related both to rollover and to interest rates. If liquid assets do not cover maturing debts, a consolidated statement of financial position is vulnerable to a rollover risk. Furthermore, a sharp increase in interest rates can dramatically increase the cost of rolling over short-term liabilities, leading to a rapid increase in debt cost. The contractual-maturity gap report is useful in showing liquidity characteristics.</w:t>
      </w:r>
    </w:p>
    <w:p>
      <w:pPr>
        <w:spacing w:after="0" w:line="180"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Commercial banking and Microfinance:</w:t>
      </w:r>
    </w:p>
    <w:p>
      <w:pPr>
        <w:spacing w:after="0" w:line="193" w:lineRule="exact"/>
        <w:rPr>
          <w:sz w:val="20"/>
          <w:szCs w:val="20"/>
          <w:color w:val="auto"/>
        </w:rPr>
      </w:pPr>
    </w:p>
    <w:p>
      <w:pPr>
        <w:jc w:val="both"/>
        <w:ind w:left="620"/>
        <w:spacing w:after="0" w:line="241" w:lineRule="auto"/>
        <w:rPr>
          <w:sz w:val="20"/>
          <w:szCs w:val="20"/>
          <w:color w:val="auto"/>
        </w:rPr>
      </w:pPr>
      <w:r>
        <w:rPr>
          <w:rFonts w:ascii="Arial" w:cs="Arial" w:eastAsia="Arial" w:hAnsi="Arial"/>
          <w:sz w:val="17"/>
          <w:szCs w:val="17"/>
          <w:color w:val="auto"/>
        </w:rPr>
        <w:t>Liquidity risk exposure in BCP, BCB, Mibanco and Mibanco Colombia is based on indicators such as the Internal Liquidity Coverage 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and works as a minimum compliance mechanism that supplements the RCLI. The core limits of these indicators are 100 percent and any excess is presented in the Credicorp Treasury Risk Committee, Credicorp Risk Committee and the Assets Liabilities Committee (ALCO) of the respective subsidiary.</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Insurances and Pensions:</w:t>
      </w:r>
    </w:p>
    <w:p>
      <w:pPr>
        <w:spacing w:after="0" w:line="171" w:lineRule="exact"/>
        <w:rPr>
          <w:sz w:val="20"/>
          <w:szCs w:val="20"/>
          <w:color w:val="auto"/>
        </w:rPr>
      </w:pPr>
    </w:p>
    <w:p>
      <w:pPr>
        <w:jc w:val="both"/>
        <w:ind w:left="620"/>
        <w:spacing w:after="0" w:line="252" w:lineRule="auto"/>
        <w:rPr>
          <w:sz w:val="20"/>
          <w:szCs w:val="20"/>
          <w:color w:val="auto"/>
        </w:rPr>
      </w:pPr>
      <w:r>
        <w:rPr>
          <w:rFonts w:ascii="Arial" w:cs="Arial" w:eastAsia="Arial" w:hAnsi="Arial"/>
          <w:sz w:val="17"/>
          <w:szCs w:val="17"/>
          <w:u w:val="single" w:color="auto"/>
          <w:color w:val="auto"/>
        </w:rPr>
        <w:t>Insurances</w:t>
      </w:r>
      <w:r>
        <w:rPr>
          <w:rFonts w:ascii="Arial" w:cs="Arial" w:eastAsia="Arial" w:hAnsi="Arial"/>
          <w:sz w:val="17"/>
          <w:szCs w:val="17"/>
          <w:b w:val="1"/>
          <w:bCs w:val="1"/>
          <w:color w:val="auto"/>
        </w:rPr>
        <w:t>:</w:t>
      </w:r>
      <w:r>
        <w:rPr>
          <w:rFonts w:ascii="Arial" w:cs="Arial" w:eastAsia="Arial" w:hAnsi="Arial"/>
          <w:sz w:val="17"/>
          <w:szCs w:val="17"/>
          <w:color w:val="auto"/>
        </w:rPr>
        <w:t xml:space="preserve"> Liquidity risk management in Pacífico Grupo Asegurador follows a particular approach given the nature of the business. For annually renewable businesses, mainly general insurance, the emphasis of liquidity is focused on the quick availability of resources in the event of a systemic event (for example, earthquake); for this purpose, there are minimum investment indicators in place relating to local cash/time deposits and foreign fixed-income instruments of high quality and liquidity abroad.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jc w:val="both"/>
        <w:spacing w:after="0" w:line="243" w:lineRule="auto"/>
        <w:rPr>
          <w:sz w:val="20"/>
          <w:szCs w:val="20"/>
          <w:color w:val="auto"/>
        </w:rPr>
      </w:pPr>
      <w:r>
        <w:rPr>
          <w:rFonts w:ascii="Arial" w:cs="Arial" w:eastAsia="Arial" w:hAnsi="Arial"/>
          <w:sz w:val="17"/>
          <w:szCs w:val="17"/>
          <w:color w:val="auto"/>
        </w:rPr>
        <w:t>For long-term businesses such as Pacífico Seguros, given the nature of the products offered and the contractual relationship with customers (the liquidity risk is not material); the emphasis is on maintaining sufficient flow of assets and matching their maturities with maturities of obligations (mathematical technical reserves); for this purpose there are indicators that measure the asset/liability sufficiency and adequacy as well as calculations or economic capital subject to interest rate risk, this last under the methodology of Credicorp.</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u w:val="single" w:color="auto"/>
          <w:color w:val="auto"/>
        </w:rPr>
        <w:t>Pensions</w:t>
      </w:r>
      <w:r>
        <w:rPr>
          <w:rFonts w:ascii="Arial" w:cs="Arial" w:eastAsia="Arial" w:hAnsi="Arial"/>
          <w:sz w:val="17"/>
          <w:szCs w:val="17"/>
          <w:b w:val="1"/>
          <w:bCs w:val="1"/>
          <w:color w:val="auto"/>
        </w:rPr>
        <w:t>:</w:t>
      </w:r>
      <w:r>
        <w:rPr>
          <w:rFonts w:ascii="Arial" w:cs="Arial" w:eastAsia="Arial" w:hAnsi="Arial"/>
          <w:sz w:val="17"/>
          <w:szCs w:val="17"/>
          <w:color w:val="auto"/>
        </w:rPr>
        <w:t xml:space="preserve"> Liquidity risk management in AFP Prima is carried out in a differentiated manner between the fund administrator and the funds being managed. Liquidity management regarding the fund administrator is focused on hedge meeting periodic operating expense needs, which are supported with the collection of commissions. The fund administering entity does not record unexpected outflows of liquidity.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Investment banking:</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Liquidity risk in the Grupo Credicorp Capital principally affects the security brokerage. In managing this risk, limits of use of liquidity have been established as well as mismatching by dealing desk; follow-up on liquidity is performed on daily basis for a short-term horizon covering the coming settlements. If short-term unmatched maturities are identified, repos are used. On the other hand, structural liquidity risk of Credicorp Capital is not significant given the low levels of debt, which is monitored regularly using financial planning tools.</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the case of ASB Bank Corp. the risk liquidity management performs through indicators such as Internal Liquidity Coverage Ratio (RCLI, the Spanish acronym) and the Internal Ratio of Stable Net Funding (RFNEI, the Spanish acronym) with the core limits of 100 percent and any excess is presented in the Credicorp Treasury Risk Committee, Credicorp Risk Committee and the Assets Liabilities Committee (ALCO) of the respective subsidiary.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Companies perform a liquidity risk management using the liquidity Gap or contractual maturity Gap.</w:t>
      </w:r>
    </w:p>
    <w:p>
      <w:pPr>
        <w:spacing w:after="0" w:line="167"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- 172 -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140" w:right="339" w:bottom="1440" w:gutter="0" w:footer="0" w:header="0"/>
        </w:sectPr>
      </w:pPr>
    </w:p>
    <w:bookmarkStart w:id="177" w:name="page178"/>
    <w:bookmarkEnd w:id="177"/>
    <w:p>
      <w:pPr>
        <w:jc w:val="both"/>
        <w:ind w:left="620"/>
        <w:spacing w:after="0" w:line="247" w:lineRule="auto"/>
        <w:rPr>
          <w:sz w:val="20"/>
          <w:szCs w:val="20"/>
          <w:color w:val="auto"/>
        </w:rPr>
      </w:pPr>
      <w:r>
        <w:rPr>
          <w:rFonts w:ascii="Arial" w:cs="Arial" w:eastAsia="Arial" w:hAnsi="Arial"/>
          <w:sz w:val="17"/>
          <w:szCs w:val="17"/>
          <w:color w:val="auto"/>
        </w:rPr>
        <w:t>The table below presents the cash flows payable by the Group by remaining contractual maturities (including future interest payments) at the date of the consolidated statement of financial position. The amounts disclosed in the table are the contractual undiscounted cash flows: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3"/>
          </w:tcPr>
          <w:p>
            <w:pPr>
              <w:ind w:left="10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40" w:type="dxa"/>
            <w:vAlign w:val="bottom"/>
          </w:tcPr>
          <w:p>
            <w:pPr>
              <w:spacing w:after="0"/>
              <w:rPr>
                <w:sz w:val="8"/>
                <w:szCs w:val="8"/>
                <w:color w:val="auto"/>
              </w:rPr>
            </w:pPr>
          </w:p>
        </w:tc>
        <w:tc>
          <w:tcPr>
            <w:tcW w:w="68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Up to a</w:t>
            </w:r>
          </w:p>
        </w:tc>
        <w:tc>
          <w:tcPr>
            <w:tcW w:w="760" w:type="dxa"/>
            <w:vAlign w:val="bottom"/>
            <w:tcBorders>
              <w:top w:val="single" w:sz="8" w:color="auto"/>
            </w:tcBorders>
            <w:gridSpan w:val="2"/>
          </w:tcPr>
          <w:p>
            <w:pPr>
              <w:ind w:left="100"/>
              <w:spacing w:after="0" w:line="103" w:lineRule="exact"/>
              <w:rPr>
                <w:sz w:val="20"/>
                <w:szCs w:val="20"/>
                <w:color w:val="auto"/>
              </w:rPr>
            </w:pPr>
            <w:r>
              <w:rPr>
                <w:rFonts w:ascii="Arial" w:cs="Arial" w:eastAsia="Arial" w:hAnsi="Arial"/>
                <w:sz w:val="11"/>
                <w:szCs w:val="11"/>
                <w:b w:val="1"/>
                <w:bCs w:val="1"/>
                <w:color w:val="auto"/>
              </w:rPr>
              <w:t>From 1 to</w:t>
            </w:r>
          </w:p>
        </w:tc>
        <w:tc>
          <w:tcPr>
            <w:tcW w:w="860" w:type="dxa"/>
            <w:vAlign w:val="bottom"/>
            <w:tcBorders>
              <w:top w:val="single" w:sz="8" w:color="auto"/>
            </w:tcBorders>
            <w:gridSpan w:val="3"/>
          </w:tcPr>
          <w:p>
            <w:pPr>
              <w:ind w:left="100"/>
              <w:spacing w:after="0" w:line="103" w:lineRule="exact"/>
              <w:rPr>
                <w:sz w:val="20"/>
                <w:szCs w:val="20"/>
                <w:color w:val="auto"/>
              </w:rPr>
            </w:pPr>
            <w:r>
              <w:rPr>
                <w:rFonts w:ascii="Arial" w:cs="Arial" w:eastAsia="Arial" w:hAnsi="Arial"/>
                <w:sz w:val="11"/>
                <w:szCs w:val="11"/>
                <w:b w:val="1"/>
                <w:bCs w:val="1"/>
                <w:color w:val="auto"/>
              </w:rPr>
              <w:t>From 3 to</w:t>
            </w:r>
          </w:p>
        </w:tc>
        <w:tc>
          <w:tcPr>
            <w:tcW w:w="760" w:type="dxa"/>
            <w:vAlign w:val="bottom"/>
            <w:tcBorders>
              <w:top w:val="single" w:sz="8" w:color="auto"/>
            </w:tcBorders>
            <w:gridSpan w:val="2"/>
          </w:tcPr>
          <w:p>
            <w:pPr>
              <w:spacing w:after="0" w:line="103" w:lineRule="exact"/>
              <w:rPr>
                <w:sz w:val="20"/>
                <w:szCs w:val="20"/>
                <w:color w:val="auto"/>
              </w:rPr>
            </w:pPr>
            <w:r>
              <w:rPr>
                <w:rFonts w:ascii="Arial" w:cs="Arial" w:eastAsia="Arial" w:hAnsi="Arial"/>
                <w:sz w:val="11"/>
                <w:szCs w:val="11"/>
                <w:b w:val="1"/>
                <w:bCs w:val="1"/>
                <w:color w:val="auto"/>
              </w:rPr>
              <w:t>From 1 to</w:t>
            </w:r>
          </w:p>
        </w:tc>
        <w:tc>
          <w:tcPr>
            <w:tcW w:w="66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Over 5</w:t>
            </w: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gridSpan w:val="3"/>
          </w:tcPr>
          <w:p>
            <w:pPr>
              <w:spacing w:after="0" w:line="103" w:lineRule="exact"/>
              <w:rPr>
                <w:sz w:val="20"/>
                <w:szCs w:val="20"/>
                <w:color w:val="auto"/>
              </w:rPr>
            </w:pPr>
            <w:r>
              <w:rPr>
                <w:rFonts w:ascii="Arial" w:cs="Arial" w:eastAsia="Arial" w:hAnsi="Arial"/>
                <w:sz w:val="11"/>
                <w:szCs w:val="11"/>
                <w:b w:val="1"/>
                <w:bCs w:val="1"/>
                <w:color w:val="auto"/>
              </w:rPr>
              <w:t>Up to a</w:t>
            </w:r>
          </w:p>
        </w:tc>
        <w:tc>
          <w:tcPr>
            <w:tcW w:w="760" w:type="dxa"/>
            <w:vAlign w:val="bottom"/>
            <w:tcBorders>
              <w:top w:val="single" w:sz="8" w:color="auto"/>
            </w:tcBorders>
            <w:gridSpan w:val="2"/>
          </w:tcPr>
          <w:p>
            <w:pPr>
              <w:spacing w:after="0" w:line="103" w:lineRule="exact"/>
              <w:rPr>
                <w:sz w:val="20"/>
                <w:szCs w:val="20"/>
                <w:color w:val="auto"/>
              </w:rPr>
            </w:pPr>
            <w:r>
              <w:rPr>
                <w:rFonts w:ascii="Arial" w:cs="Arial" w:eastAsia="Arial" w:hAnsi="Arial"/>
                <w:sz w:val="11"/>
                <w:szCs w:val="11"/>
                <w:b w:val="1"/>
                <w:bCs w:val="1"/>
                <w:color w:val="auto"/>
              </w:rPr>
              <w:t>From 1 to</w:t>
            </w:r>
          </w:p>
        </w:tc>
        <w:tc>
          <w:tcPr>
            <w:tcW w:w="66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From 3 to</w:t>
            </w:r>
          </w:p>
        </w:tc>
        <w:tc>
          <w:tcPr>
            <w:tcW w:w="880" w:type="dxa"/>
            <w:vAlign w:val="bottom"/>
            <w:tcBorders>
              <w:top w:val="single" w:sz="8" w:color="auto"/>
            </w:tcBorders>
            <w:gridSpan w:val="3"/>
          </w:tcPr>
          <w:p>
            <w:pPr>
              <w:ind w:left="120"/>
              <w:spacing w:after="0" w:line="103" w:lineRule="exact"/>
              <w:rPr>
                <w:sz w:val="20"/>
                <w:szCs w:val="20"/>
                <w:color w:val="auto"/>
              </w:rPr>
            </w:pPr>
            <w:r>
              <w:rPr>
                <w:rFonts w:ascii="Arial" w:cs="Arial" w:eastAsia="Arial" w:hAnsi="Arial"/>
                <w:sz w:val="11"/>
                <w:szCs w:val="11"/>
                <w:b w:val="1"/>
                <w:bCs w:val="1"/>
                <w:color w:val="auto"/>
              </w:rPr>
              <w:t>From 1 to</w:t>
            </w:r>
          </w:p>
        </w:tc>
        <w:tc>
          <w:tcPr>
            <w:tcW w:w="760" w:type="dxa"/>
            <w:vAlign w:val="bottom"/>
            <w:tcBorders>
              <w:top w:val="single" w:sz="8" w:color="auto"/>
            </w:tcBorders>
            <w:gridSpan w:val="2"/>
          </w:tcPr>
          <w:p>
            <w:pPr>
              <w:spacing w:after="0" w:line="103" w:lineRule="exact"/>
              <w:rPr>
                <w:sz w:val="20"/>
                <w:szCs w:val="20"/>
                <w:color w:val="auto"/>
              </w:rPr>
            </w:pPr>
            <w:r>
              <w:rPr>
                <w:rFonts w:ascii="Arial" w:cs="Arial" w:eastAsia="Arial" w:hAnsi="Arial"/>
                <w:sz w:val="11"/>
                <w:szCs w:val="11"/>
                <w:b w:val="1"/>
                <w:bCs w:val="1"/>
                <w:color w:val="auto"/>
              </w:rPr>
              <w:t>Over 5</w:t>
            </w: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month</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months</w:t>
            </w:r>
          </w:p>
        </w:tc>
        <w:tc>
          <w:tcPr>
            <w:tcW w:w="860" w:type="dxa"/>
            <w:vAlign w:val="bottom"/>
            <w:gridSpan w:val="3"/>
          </w:tcPr>
          <w:p>
            <w:pPr>
              <w:ind w:left="100"/>
              <w:spacing w:after="0"/>
              <w:rPr>
                <w:sz w:val="20"/>
                <w:szCs w:val="20"/>
                <w:color w:val="auto"/>
              </w:rPr>
            </w:pPr>
            <w:r>
              <w:rPr>
                <w:rFonts w:ascii="Arial" w:cs="Arial" w:eastAsia="Arial" w:hAnsi="Arial"/>
                <w:sz w:val="12"/>
                <w:szCs w:val="12"/>
                <w:b w:val="1"/>
                <w:bCs w:val="1"/>
                <w:color w:val="auto"/>
              </w:rPr>
              <w:t>12 months</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years</w:t>
            </w:r>
          </w:p>
        </w:tc>
        <w:tc>
          <w:tcPr>
            <w:tcW w:w="660" w:type="dxa"/>
            <w:vAlign w:val="bottom"/>
          </w:tcPr>
          <w:p>
            <w:pPr>
              <w:spacing w:after="0"/>
              <w:rPr>
                <w:sz w:val="20"/>
                <w:szCs w:val="20"/>
                <w:color w:val="auto"/>
              </w:rPr>
            </w:pPr>
            <w:r>
              <w:rPr>
                <w:rFonts w:ascii="Arial" w:cs="Arial" w:eastAsia="Arial" w:hAnsi="Arial"/>
                <w:sz w:val="12"/>
                <w:szCs w:val="12"/>
                <w:b w:val="1"/>
                <w:bCs w:val="1"/>
                <w:color w:val="auto"/>
              </w:rPr>
              <w:t>Year</w:t>
            </w:r>
          </w:p>
        </w:tc>
        <w:tc>
          <w:tcPr>
            <w:tcW w:w="8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month</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3 months</w:t>
            </w:r>
          </w:p>
        </w:tc>
        <w:tc>
          <w:tcPr>
            <w:tcW w:w="660" w:type="dxa"/>
            <w:vAlign w:val="bottom"/>
          </w:tcPr>
          <w:p>
            <w:pPr>
              <w:spacing w:after="0"/>
              <w:rPr>
                <w:sz w:val="20"/>
                <w:szCs w:val="20"/>
                <w:color w:val="auto"/>
              </w:rPr>
            </w:pPr>
            <w:r>
              <w:rPr>
                <w:rFonts w:ascii="Arial" w:cs="Arial" w:eastAsia="Arial" w:hAnsi="Arial"/>
                <w:sz w:val="12"/>
                <w:szCs w:val="12"/>
                <w:b w:val="1"/>
                <w:bCs w:val="1"/>
                <w:color w:val="auto"/>
              </w:rPr>
              <w:t>12 months</w:t>
            </w:r>
          </w:p>
        </w:tc>
        <w:tc>
          <w:tcPr>
            <w:tcW w:w="880" w:type="dxa"/>
            <w:vAlign w:val="bottom"/>
            <w:gridSpan w:val="3"/>
          </w:tcPr>
          <w:p>
            <w:pPr>
              <w:ind w:left="120"/>
              <w:spacing w:after="0"/>
              <w:rPr>
                <w:sz w:val="20"/>
                <w:szCs w:val="20"/>
                <w:color w:val="auto"/>
              </w:rPr>
            </w:pPr>
            <w:r>
              <w:rPr>
                <w:rFonts w:ascii="Arial" w:cs="Arial" w:eastAsia="Arial" w:hAnsi="Arial"/>
                <w:sz w:val="12"/>
                <w:szCs w:val="12"/>
                <w:b w:val="1"/>
                <w:bCs w:val="1"/>
                <w:color w:val="auto"/>
              </w:rPr>
              <w:t>5 years</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Year</w:t>
            </w:r>
          </w:p>
        </w:tc>
        <w:tc>
          <w:tcPr>
            <w:tcW w:w="7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r>
              <w:rPr>
                <w:rFonts w:ascii="Arial" w:cs="Arial" w:eastAsia="Arial" w:hAnsi="Arial"/>
                <w:sz w:val="12"/>
                <w:szCs w:val="12"/>
                <w:b w:val="1"/>
                <w:bCs w:val="1"/>
                <w:color w:val="auto"/>
              </w:rPr>
              <w:t>Financial assets</w:t>
            </w:r>
          </w:p>
        </w:tc>
        <w:tc>
          <w:tcPr>
            <w:tcW w:w="680" w:type="dxa"/>
            <w:vAlign w:val="bottom"/>
          </w:tcPr>
          <w:p>
            <w:pPr>
              <w:jc w:val="right"/>
              <w:spacing w:after="0"/>
              <w:rPr>
                <w:sz w:val="20"/>
                <w:szCs w:val="20"/>
                <w:color w:val="auto"/>
              </w:rPr>
            </w:pPr>
            <w:r>
              <w:rPr>
                <w:rFonts w:ascii="Arial" w:cs="Arial" w:eastAsia="Arial" w:hAnsi="Arial"/>
                <w:sz w:val="12"/>
                <w:szCs w:val="12"/>
                <w:color w:val="auto"/>
                <w:w w:val="99"/>
              </w:rPr>
              <w:t>52,536,473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29,896,708</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56,269,244</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81,866,805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45,786,353</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266,355,583</w:t>
            </w: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53,974,020</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29,392,887</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57,407,776</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87,518,411</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6"/>
              </w:rPr>
              <w:t>52,533,115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w w:val="98"/>
              </w:rPr>
              <w:t>280,826,209</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12"/>
                <w:szCs w:val="12"/>
                <w:b w:val="1"/>
                <w:bCs w:val="1"/>
                <w:color w:val="auto"/>
              </w:rPr>
              <w:t>Financial liabilities by type -</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Deposits and obligations</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w w:val="99"/>
              </w:rPr>
              <w:t>37,822,104</w:t>
            </w:r>
          </w:p>
        </w:tc>
        <w:tc>
          <w:tcPr>
            <w:tcW w:w="7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13,802,039</w:t>
            </w:r>
          </w:p>
        </w:tc>
        <w:tc>
          <w:tcPr>
            <w:tcW w:w="7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25,833,124</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w w:val="99"/>
              </w:rPr>
              <w:t>64,047,112</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8,546,334</w:t>
            </w:r>
          </w:p>
        </w:tc>
        <w:tc>
          <w:tcPr>
            <w:tcW w:w="8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150,050,713</w:t>
            </w:r>
          </w:p>
        </w:tc>
        <w:tc>
          <w:tcPr>
            <w:tcW w:w="76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39,925,283</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w w:val="99"/>
              </w:rPr>
              <w:t>14,114,645</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w w:val="99"/>
              </w:rPr>
              <w:t>21,880,217</w:t>
            </w:r>
          </w:p>
        </w:tc>
        <w:tc>
          <w:tcPr>
            <w:tcW w:w="78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66,895,318</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8,562,256</w:t>
            </w: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w w:val="98"/>
              </w:rPr>
              <w:t>151,377,719</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Payables from reverse purchase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agreements and security lendings</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4,359,993</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2,368,114</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6,525,912</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7,913,422</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w w:val="99"/>
              </w:rPr>
              <w:t>10,387,277</w:t>
            </w: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31,554,718</w:t>
            </w:r>
          </w:p>
        </w:tc>
        <w:tc>
          <w:tcPr>
            <w:tcW w:w="760" w:type="dxa"/>
            <w:vAlign w:val="bottom"/>
            <w:gridSpan w:val="3"/>
            <w:vMerge w:val="restart"/>
          </w:tcPr>
          <w:p>
            <w:pPr>
              <w:jc w:val="right"/>
              <w:spacing w:after="0"/>
              <w:rPr>
                <w:sz w:val="20"/>
                <w:szCs w:val="20"/>
                <w:color w:val="auto"/>
              </w:rPr>
            </w:pPr>
            <w:r>
              <w:rPr>
                <w:rFonts w:ascii="Arial" w:cs="Arial" w:eastAsia="Arial" w:hAnsi="Arial"/>
                <w:sz w:val="12"/>
                <w:szCs w:val="12"/>
                <w:color w:val="auto"/>
              </w:rPr>
              <w:t>2,905,794</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2,425,239</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w w:val="99"/>
              </w:rPr>
              <w:t>10,284,733</w:t>
            </w:r>
          </w:p>
        </w:tc>
        <w:tc>
          <w:tcPr>
            <w:tcW w:w="780" w:type="dxa"/>
            <w:vAlign w:val="bottom"/>
            <w:gridSpan w:val="2"/>
            <w:vMerge w:val="restart"/>
          </w:tcPr>
          <w:p>
            <w:pPr>
              <w:jc w:val="right"/>
              <w:spacing w:after="0"/>
              <w:rPr>
                <w:sz w:val="20"/>
                <w:szCs w:val="20"/>
                <w:color w:val="auto"/>
              </w:rPr>
            </w:pPr>
            <w:r>
              <w:rPr>
                <w:rFonts w:ascii="Arial" w:cs="Arial" w:eastAsia="Arial" w:hAnsi="Arial"/>
                <w:sz w:val="12"/>
                <w:szCs w:val="12"/>
                <w:color w:val="auto"/>
              </w:rPr>
              <w:t>12,265,794</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9,383,273</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37,264,833</w:t>
            </w:r>
          </w:p>
        </w:tc>
        <w:tc>
          <w:tcPr>
            <w:tcW w:w="0" w:type="dxa"/>
            <w:vAlign w:val="bottom"/>
          </w:tcPr>
          <w:p>
            <w:pPr>
              <w:spacing w:after="0"/>
              <w:rPr>
                <w:sz w:val="1"/>
                <w:szCs w:val="1"/>
                <w:color w:val="auto"/>
              </w:rPr>
            </w:pPr>
          </w:p>
        </w:tc>
      </w:tr>
      <w:tr>
        <w:trPr>
          <w:trHeight w:val="81"/>
        </w:trPr>
        <w:tc>
          <w:tcPr>
            <w:tcW w:w="2040" w:type="dxa"/>
            <w:vAlign w:val="bottom"/>
            <w:vMerge w:val="restart"/>
          </w:tcPr>
          <w:p>
            <w:pPr>
              <w:spacing w:after="0" w:line="130" w:lineRule="exact"/>
              <w:rPr>
                <w:sz w:val="20"/>
                <w:szCs w:val="20"/>
                <w:color w:val="auto"/>
              </w:rPr>
            </w:pPr>
            <w:r>
              <w:rPr>
                <w:rFonts w:ascii="Arial" w:cs="Arial" w:eastAsia="Arial" w:hAnsi="Arial"/>
                <w:sz w:val="12"/>
                <w:szCs w:val="12"/>
                <w:color w:val="auto"/>
              </w:rPr>
              <w:t>and due to banks and</w:t>
            </w:r>
          </w:p>
        </w:tc>
        <w:tc>
          <w:tcPr>
            <w:tcW w:w="6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correspondents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Accounts payable to reinsurers</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89,444</w:t>
            </w:r>
          </w:p>
        </w:tc>
        <w:tc>
          <w:tcPr>
            <w:tcW w:w="7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259,463</w:t>
            </w:r>
          </w:p>
        </w:tc>
        <w:tc>
          <w:tcPr>
            <w:tcW w:w="7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50,083</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21,104</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420,094</w:t>
            </w:r>
          </w:p>
        </w:tc>
        <w:tc>
          <w:tcPr>
            <w:tcW w:w="76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98,755</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286,473</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55,296</w:t>
            </w:r>
          </w:p>
        </w:tc>
        <w:tc>
          <w:tcPr>
            <w:tcW w:w="78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23,301</w:t>
            </w: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463,825</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Financial liabilities designated at fair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value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40" w:type="dxa"/>
            <w:vAlign w:val="bottom"/>
          </w:tcPr>
          <w:p>
            <w:pPr>
              <w:ind w:left="40"/>
              <w:spacing w:after="0" w:line="130" w:lineRule="exact"/>
              <w:rPr>
                <w:sz w:val="20"/>
                <w:szCs w:val="20"/>
                <w:color w:val="auto"/>
              </w:rPr>
            </w:pPr>
            <w:r>
              <w:rPr>
                <w:rFonts w:ascii="Arial" w:cs="Arial" w:eastAsia="Arial" w:hAnsi="Arial"/>
                <w:sz w:val="12"/>
                <w:szCs w:val="12"/>
                <w:color w:val="auto"/>
              </w:rPr>
              <w:t>through profit or loss</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191,010</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191,010</w:t>
            </w:r>
          </w:p>
        </w:tc>
        <w:tc>
          <w:tcPr>
            <w:tcW w:w="76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325,571</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325,571</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Bonds and notes issued</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217,504</w:t>
            </w:r>
          </w:p>
        </w:tc>
        <w:tc>
          <w:tcPr>
            <w:tcW w:w="7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171,471</w:t>
            </w:r>
          </w:p>
        </w:tc>
        <w:tc>
          <w:tcPr>
            <w:tcW w:w="7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3,357,173</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w w:val="99"/>
              </w:rPr>
              <w:t>13,402,553</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374,935</w:t>
            </w:r>
          </w:p>
        </w:tc>
        <w:tc>
          <w:tcPr>
            <w:tcW w:w="8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17,523,636</w:t>
            </w:r>
          </w:p>
        </w:tc>
        <w:tc>
          <w:tcPr>
            <w:tcW w:w="76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216,167</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219,177</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1,024,759</w:t>
            </w:r>
          </w:p>
        </w:tc>
        <w:tc>
          <w:tcPr>
            <w:tcW w:w="78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17,124,890</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424,338</w:t>
            </w: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19,009,331</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Lease liabilities</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32,390</w:t>
            </w:r>
          </w:p>
        </w:tc>
        <w:tc>
          <w:tcPr>
            <w:tcW w:w="7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35,637</w:t>
            </w:r>
          </w:p>
        </w:tc>
        <w:tc>
          <w:tcPr>
            <w:tcW w:w="7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105,931</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314,714</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129,445</w:t>
            </w:r>
          </w:p>
        </w:tc>
        <w:tc>
          <w:tcPr>
            <w:tcW w:w="84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618,117</w:t>
            </w:r>
          </w:p>
        </w:tc>
        <w:tc>
          <w:tcPr>
            <w:tcW w:w="760" w:type="dxa"/>
            <w:vAlign w:val="bottom"/>
            <w:gridSpan w:val="3"/>
          </w:tcPr>
          <w:p>
            <w:pPr>
              <w:jc w:val="right"/>
              <w:spacing w:after="0" w:line="130" w:lineRule="exact"/>
              <w:rPr>
                <w:sz w:val="20"/>
                <w:szCs w:val="20"/>
                <w:color w:val="auto"/>
              </w:rPr>
            </w:pPr>
            <w:r>
              <w:rPr>
                <w:rFonts w:ascii="Arial" w:cs="Arial" w:eastAsia="Arial" w:hAnsi="Arial"/>
                <w:sz w:val="12"/>
                <w:szCs w:val="12"/>
                <w:color w:val="auto"/>
              </w:rPr>
              <w:t>30,048</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37,284</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106,712</w:t>
            </w:r>
          </w:p>
        </w:tc>
        <w:tc>
          <w:tcPr>
            <w:tcW w:w="78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386,878</w:t>
            </w: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2"/>
                <w:szCs w:val="12"/>
                <w:color w:val="auto"/>
              </w:rPr>
              <w:t>170,976</w:t>
            </w: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731,898</w:t>
            </w:r>
          </w:p>
        </w:tc>
        <w:tc>
          <w:tcPr>
            <w:tcW w:w="0" w:type="dxa"/>
            <w:vAlign w:val="bottom"/>
          </w:tcPr>
          <w:p>
            <w:pPr>
              <w:spacing w:after="0"/>
              <w:rPr>
                <w:sz w:val="1"/>
                <w:szCs w:val="1"/>
                <w:color w:val="auto"/>
              </w:rPr>
            </w:pPr>
          </w:p>
        </w:tc>
      </w:tr>
      <w:tr>
        <w:trPr>
          <w:trHeight w:val="128"/>
        </w:trPr>
        <w:tc>
          <w:tcPr>
            <w:tcW w:w="2040" w:type="dxa"/>
            <w:vAlign w:val="bottom"/>
          </w:tcPr>
          <w:p>
            <w:pPr>
              <w:spacing w:after="0" w:line="115" w:lineRule="exact"/>
              <w:rPr>
                <w:sz w:val="20"/>
                <w:szCs w:val="20"/>
                <w:color w:val="auto"/>
              </w:rPr>
            </w:pPr>
            <w:r>
              <w:rPr>
                <w:rFonts w:ascii="Arial" w:cs="Arial" w:eastAsia="Arial" w:hAnsi="Arial"/>
                <w:sz w:val="12"/>
                <w:szCs w:val="12"/>
                <w:color w:val="auto"/>
              </w:rPr>
              <w:t>Other liabilities</w:t>
            </w:r>
          </w:p>
        </w:tc>
        <w:tc>
          <w:tcPr>
            <w:tcW w:w="680" w:type="dxa"/>
            <w:vAlign w:val="bottom"/>
          </w:tcPr>
          <w:p>
            <w:pPr>
              <w:jc w:val="right"/>
              <w:spacing w:after="0" w:line="115" w:lineRule="exact"/>
              <w:rPr>
                <w:sz w:val="20"/>
                <w:szCs w:val="20"/>
                <w:color w:val="auto"/>
              </w:rPr>
            </w:pPr>
            <w:r>
              <w:rPr>
                <w:rFonts w:ascii="Arial" w:cs="Arial" w:eastAsia="Arial" w:hAnsi="Arial"/>
                <w:sz w:val="12"/>
                <w:szCs w:val="12"/>
                <w:color w:val="auto"/>
              </w:rPr>
              <w:t>3,951,313</w:t>
            </w:r>
          </w:p>
        </w:tc>
        <w:tc>
          <w:tcPr>
            <w:tcW w:w="7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220,760</w:t>
            </w:r>
          </w:p>
        </w:tc>
        <w:tc>
          <w:tcPr>
            <w:tcW w:w="7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253,965</w:t>
            </w:r>
          </w:p>
        </w:tc>
        <w:tc>
          <w:tcPr>
            <w:tcW w:w="100" w:type="dxa"/>
            <w:vAlign w:val="bottom"/>
          </w:tcPr>
          <w:p>
            <w:pPr>
              <w:spacing w:after="0"/>
              <w:rPr>
                <w:sz w:val="11"/>
                <w:szCs w:val="11"/>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2"/>
                <w:szCs w:val="12"/>
                <w:color w:val="auto"/>
              </w:rPr>
              <w:t>7,783</w:t>
            </w:r>
          </w:p>
        </w:tc>
        <w:tc>
          <w:tcPr>
            <w:tcW w:w="100" w:type="dxa"/>
            <w:vAlign w:val="bottom"/>
          </w:tcPr>
          <w:p>
            <w:pPr>
              <w:spacing w:after="0"/>
              <w:rPr>
                <w:sz w:val="11"/>
                <w:szCs w:val="11"/>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2"/>
                <w:szCs w:val="12"/>
                <w:color w:val="auto"/>
              </w:rPr>
              <w:t>1,676,819</w:t>
            </w:r>
          </w:p>
        </w:tc>
        <w:tc>
          <w:tcPr>
            <w:tcW w:w="8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6,110,640</w:t>
            </w:r>
          </w:p>
        </w:tc>
        <w:tc>
          <w:tcPr>
            <w:tcW w:w="760" w:type="dxa"/>
            <w:vAlign w:val="bottom"/>
            <w:gridSpan w:val="3"/>
          </w:tcPr>
          <w:p>
            <w:pPr>
              <w:jc w:val="right"/>
              <w:spacing w:after="0" w:line="115" w:lineRule="exact"/>
              <w:rPr>
                <w:sz w:val="20"/>
                <w:szCs w:val="20"/>
                <w:color w:val="auto"/>
              </w:rPr>
            </w:pPr>
            <w:r>
              <w:rPr>
                <w:rFonts w:ascii="Arial" w:cs="Arial" w:eastAsia="Arial" w:hAnsi="Arial"/>
                <w:sz w:val="12"/>
                <w:szCs w:val="12"/>
                <w:color w:val="auto"/>
              </w:rPr>
              <w:t>3,458,357</w:t>
            </w:r>
          </w:p>
        </w:tc>
        <w:tc>
          <w:tcPr>
            <w:tcW w:w="100" w:type="dxa"/>
            <w:vAlign w:val="bottom"/>
          </w:tcPr>
          <w:p>
            <w:pPr>
              <w:spacing w:after="0"/>
              <w:rPr>
                <w:sz w:val="11"/>
                <w:szCs w:val="11"/>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2"/>
                <w:szCs w:val="12"/>
                <w:color w:val="auto"/>
              </w:rPr>
              <w:t>264,424</w:t>
            </w:r>
          </w:p>
        </w:tc>
        <w:tc>
          <w:tcPr>
            <w:tcW w:w="100" w:type="dxa"/>
            <w:vAlign w:val="bottom"/>
          </w:tcPr>
          <w:p>
            <w:pPr>
              <w:spacing w:after="0"/>
              <w:rPr>
                <w:sz w:val="11"/>
                <w:szCs w:val="11"/>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2"/>
                <w:szCs w:val="12"/>
                <w:color w:val="auto"/>
              </w:rPr>
              <w:t>206,805</w:t>
            </w:r>
          </w:p>
        </w:tc>
        <w:tc>
          <w:tcPr>
            <w:tcW w:w="78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44,905</w:t>
            </w:r>
          </w:p>
        </w:tc>
        <w:tc>
          <w:tcPr>
            <w:tcW w:w="100" w:type="dxa"/>
            <w:vAlign w:val="bottom"/>
          </w:tcPr>
          <w:p>
            <w:pPr>
              <w:spacing w:after="0"/>
              <w:rPr>
                <w:sz w:val="11"/>
                <w:szCs w:val="11"/>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2"/>
                <w:szCs w:val="12"/>
                <w:color w:val="auto"/>
              </w:rPr>
              <w:t>1,383,704</w:t>
            </w:r>
          </w:p>
        </w:tc>
        <w:tc>
          <w:tcPr>
            <w:tcW w:w="100" w:type="dxa"/>
            <w:vAlign w:val="bottom"/>
          </w:tcPr>
          <w:p>
            <w:pPr>
              <w:spacing w:after="0"/>
              <w:rPr>
                <w:sz w:val="11"/>
                <w:szCs w:val="11"/>
                <w:color w:val="auto"/>
              </w:rPr>
            </w:pPr>
          </w:p>
        </w:tc>
        <w:tc>
          <w:tcPr>
            <w:tcW w:w="720" w:type="dxa"/>
            <w:vAlign w:val="bottom"/>
          </w:tcPr>
          <w:p>
            <w:pPr>
              <w:jc w:val="right"/>
              <w:spacing w:after="0" w:line="115" w:lineRule="exact"/>
              <w:rPr>
                <w:sz w:val="20"/>
                <w:szCs w:val="20"/>
                <w:color w:val="auto"/>
              </w:rPr>
            </w:pPr>
            <w:r>
              <w:rPr>
                <w:rFonts w:ascii="Arial" w:cs="Arial" w:eastAsia="Arial" w:hAnsi="Arial"/>
                <w:sz w:val="12"/>
                <w:szCs w:val="12"/>
                <w:color w:val="auto"/>
              </w:rPr>
              <w:t>5,358,195</w:t>
            </w:r>
          </w:p>
        </w:tc>
        <w:tc>
          <w:tcPr>
            <w:tcW w:w="0" w:type="dxa"/>
            <w:vAlign w:val="bottom"/>
          </w:tcPr>
          <w:p>
            <w:pPr>
              <w:spacing w:after="0"/>
              <w:rPr>
                <w:sz w:val="1"/>
                <w:szCs w:val="1"/>
                <w:color w:val="auto"/>
              </w:rPr>
            </w:pPr>
          </w:p>
        </w:tc>
      </w:tr>
      <w:tr>
        <w:trPr>
          <w:trHeight w:val="130"/>
        </w:trPr>
        <w:tc>
          <w:tcPr>
            <w:tcW w:w="2040" w:type="dxa"/>
            <w:vAlign w:val="bottom"/>
          </w:tcPr>
          <w:p>
            <w:pPr>
              <w:spacing w:after="0" w:line="127" w:lineRule="exact"/>
              <w:rPr>
                <w:sz w:val="20"/>
                <w:szCs w:val="20"/>
                <w:color w:val="auto"/>
              </w:rPr>
            </w:pPr>
            <w:r>
              <w:rPr>
                <w:rFonts w:ascii="Arial" w:cs="Arial" w:eastAsia="Arial" w:hAnsi="Arial"/>
                <w:sz w:val="12"/>
                <w:szCs w:val="12"/>
                <w:b w:val="1"/>
                <w:bCs w:val="1"/>
                <w:color w:val="auto"/>
              </w:rPr>
              <w:t>Total liabilities</w:t>
            </w:r>
          </w:p>
        </w:tc>
        <w:tc>
          <w:tcPr>
            <w:tcW w:w="68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9"/>
              </w:rPr>
              <w:t>46,663,758</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6"/>
              </w:rPr>
              <w:t>16,857,484</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6"/>
              </w:rPr>
              <w:t>36,126,188</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9"/>
              </w:rPr>
              <w:t>85,706,688</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9"/>
              </w:rPr>
              <w:t>21,114,810</w:t>
            </w:r>
          </w:p>
        </w:tc>
        <w:tc>
          <w:tcPr>
            <w:tcW w:w="1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5"/>
              </w:rPr>
              <w:t>206,468,928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3"/>
              </w:rPr>
              <w:t>46,959,975</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9"/>
              </w:rPr>
              <w:t>17,347,242</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9"/>
              </w:rPr>
              <w:t>33,558,522</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6"/>
              </w:rPr>
              <w:t>96,741,086</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6"/>
              </w:rPr>
              <w:t>19,924,547</w:t>
            </w:r>
          </w:p>
        </w:tc>
        <w:tc>
          <w:tcPr>
            <w:tcW w:w="1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w w:val="98"/>
              </w:rPr>
              <w:t>214,531,372</w:t>
            </w:r>
          </w:p>
        </w:tc>
        <w:tc>
          <w:tcPr>
            <w:tcW w:w="0" w:type="dxa"/>
            <w:vAlign w:val="bottom"/>
          </w:tcPr>
          <w:p>
            <w:pPr>
              <w:spacing w:after="0"/>
              <w:rPr>
                <w:sz w:val="1"/>
                <w:szCs w:val="1"/>
                <w:color w:val="auto"/>
              </w:rPr>
            </w:pPr>
          </w:p>
        </w:tc>
      </w:tr>
      <w:tr>
        <w:trPr>
          <w:trHeight w:val="246"/>
        </w:trPr>
        <w:tc>
          <w:tcPr>
            <w:tcW w:w="2040" w:type="dxa"/>
            <w:vAlign w:val="bottom"/>
          </w:tcPr>
          <w:p>
            <w:pPr>
              <w:spacing w:after="0"/>
              <w:rPr>
                <w:sz w:val="20"/>
                <w:szCs w:val="20"/>
                <w:color w:val="auto"/>
              </w:rPr>
            </w:pPr>
            <w:r>
              <w:rPr>
                <w:rFonts w:ascii="Arial" w:cs="Arial" w:eastAsia="Arial" w:hAnsi="Arial"/>
                <w:sz w:val="12"/>
                <w:szCs w:val="12"/>
                <w:b w:val="1"/>
                <w:bCs w:val="1"/>
                <w:color w:val="auto"/>
              </w:rPr>
              <w:t>Derivative financial liabilities -</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Contractual amounts receivable</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1,451,819</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1,931,304</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972,276</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876,270</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384,857</w:t>
            </w: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5,616,526</w:t>
            </w:r>
          </w:p>
        </w:tc>
        <w:tc>
          <w:tcPr>
            <w:tcW w:w="760" w:type="dxa"/>
            <w:vAlign w:val="bottom"/>
            <w:gridSpan w:val="3"/>
            <w:vMerge w:val="restart"/>
          </w:tcPr>
          <w:p>
            <w:pPr>
              <w:jc w:val="right"/>
              <w:spacing w:after="0"/>
              <w:rPr>
                <w:sz w:val="20"/>
                <w:szCs w:val="20"/>
                <w:color w:val="auto"/>
              </w:rPr>
            </w:pPr>
            <w:r>
              <w:rPr>
                <w:rFonts w:ascii="Arial" w:cs="Arial" w:eastAsia="Arial" w:hAnsi="Arial"/>
                <w:sz w:val="12"/>
                <w:szCs w:val="12"/>
                <w:color w:val="auto"/>
              </w:rPr>
              <w:t>216,642</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400,857</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2,633,067</w:t>
            </w:r>
          </w:p>
        </w:tc>
        <w:tc>
          <w:tcPr>
            <w:tcW w:w="780" w:type="dxa"/>
            <w:vAlign w:val="bottom"/>
            <w:gridSpan w:val="2"/>
            <w:vMerge w:val="restart"/>
          </w:tcPr>
          <w:p>
            <w:pPr>
              <w:jc w:val="right"/>
              <w:spacing w:after="0"/>
              <w:rPr>
                <w:sz w:val="20"/>
                <w:szCs w:val="20"/>
                <w:color w:val="auto"/>
              </w:rPr>
            </w:pPr>
            <w:r>
              <w:rPr>
                <w:rFonts w:ascii="Arial" w:cs="Arial" w:eastAsia="Arial" w:hAnsi="Arial"/>
                <w:sz w:val="12"/>
                <w:szCs w:val="12"/>
                <w:color w:val="auto"/>
              </w:rPr>
              <w:t>758,817</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771,008</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4,780,391</w:t>
            </w:r>
          </w:p>
        </w:tc>
        <w:tc>
          <w:tcPr>
            <w:tcW w:w="0" w:type="dxa"/>
            <w:vAlign w:val="bottom"/>
          </w:tcPr>
          <w:p>
            <w:pPr>
              <w:spacing w:after="0"/>
              <w:rPr>
                <w:sz w:val="1"/>
                <w:szCs w:val="1"/>
                <w:color w:val="auto"/>
              </w:rPr>
            </w:pPr>
          </w:p>
        </w:tc>
      </w:tr>
      <w:tr>
        <w:trPr>
          <w:trHeight w:val="81"/>
        </w:trPr>
        <w:tc>
          <w:tcPr>
            <w:tcW w:w="2040" w:type="dxa"/>
            <w:vAlign w:val="bottom"/>
            <w:vMerge w:val="restart"/>
          </w:tcPr>
          <w:p>
            <w:pPr>
              <w:spacing w:after="0" w:line="130" w:lineRule="exact"/>
              <w:rPr>
                <w:sz w:val="20"/>
                <w:szCs w:val="20"/>
                <w:color w:val="auto"/>
              </w:rPr>
            </w:pPr>
            <w:r>
              <w:rPr>
                <w:rFonts w:ascii="Arial" w:cs="Arial" w:eastAsia="Arial" w:hAnsi="Arial"/>
                <w:sz w:val="12"/>
                <w:szCs w:val="12"/>
                <w:color w:val="auto"/>
              </w:rPr>
              <w:t>(Inflows)</w:t>
            </w:r>
          </w:p>
        </w:tc>
        <w:tc>
          <w:tcPr>
            <w:tcW w:w="6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2"/>
                <w:szCs w:val="12"/>
                <w:color w:val="auto"/>
              </w:rPr>
              <w:t>Contractual amounts payable</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1,454,360</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1,932,240</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977,394</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840,215</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334,500</w:t>
            </w: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5,538,709</w:t>
            </w:r>
          </w:p>
        </w:tc>
        <w:tc>
          <w:tcPr>
            <w:tcW w:w="760" w:type="dxa"/>
            <w:vAlign w:val="bottom"/>
            <w:gridSpan w:val="3"/>
            <w:vMerge w:val="restart"/>
          </w:tcPr>
          <w:p>
            <w:pPr>
              <w:jc w:val="right"/>
              <w:spacing w:after="0"/>
              <w:rPr>
                <w:sz w:val="20"/>
                <w:szCs w:val="20"/>
                <w:color w:val="auto"/>
              </w:rPr>
            </w:pPr>
            <w:r>
              <w:rPr>
                <w:rFonts w:ascii="Arial" w:cs="Arial" w:eastAsia="Arial" w:hAnsi="Arial"/>
                <w:sz w:val="12"/>
                <w:szCs w:val="12"/>
                <w:color w:val="auto"/>
              </w:rPr>
              <w:t>209,197</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401,809</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2,574,730</w:t>
            </w:r>
          </w:p>
        </w:tc>
        <w:tc>
          <w:tcPr>
            <w:tcW w:w="780" w:type="dxa"/>
            <w:vAlign w:val="bottom"/>
            <w:gridSpan w:val="2"/>
            <w:vMerge w:val="restart"/>
          </w:tcPr>
          <w:p>
            <w:pPr>
              <w:jc w:val="right"/>
              <w:spacing w:after="0"/>
              <w:rPr>
                <w:sz w:val="20"/>
                <w:szCs w:val="20"/>
                <w:color w:val="auto"/>
              </w:rPr>
            </w:pPr>
            <w:r>
              <w:rPr>
                <w:rFonts w:ascii="Arial" w:cs="Arial" w:eastAsia="Arial" w:hAnsi="Arial"/>
                <w:sz w:val="12"/>
                <w:szCs w:val="12"/>
                <w:color w:val="auto"/>
              </w:rPr>
              <w:t>717,419</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646,397</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4,549,552</w:t>
            </w:r>
          </w:p>
        </w:tc>
        <w:tc>
          <w:tcPr>
            <w:tcW w:w="0" w:type="dxa"/>
            <w:vAlign w:val="bottom"/>
          </w:tcPr>
          <w:p>
            <w:pPr>
              <w:spacing w:after="0"/>
              <w:rPr>
                <w:sz w:val="1"/>
                <w:szCs w:val="1"/>
                <w:color w:val="auto"/>
              </w:rPr>
            </w:pPr>
          </w:p>
        </w:tc>
      </w:tr>
      <w:tr>
        <w:trPr>
          <w:trHeight w:val="81"/>
        </w:trPr>
        <w:tc>
          <w:tcPr>
            <w:tcW w:w="2040" w:type="dxa"/>
            <w:vAlign w:val="bottom"/>
            <w:vMerge w:val="restart"/>
          </w:tcPr>
          <w:p>
            <w:pPr>
              <w:spacing w:after="0" w:line="115" w:lineRule="exact"/>
              <w:rPr>
                <w:sz w:val="20"/>
                <w:szCs w:val="20"/>
                <w:color w:val="auto"/>
              </w:rPr>
            </w:pPr>
            <w:r>
              <w:rPr>
                <w:rFonts w:ascii="Arial" w:cs="Arial" w:eastAsia="Arial" w:hAnsi="Arial"/>
                <w:sz w:val="12"/>
                <w:szCs w:val="12"/>
                <w:color w:val="auto"/>
              </w:rPr>
              <w:t>(outflows)</w:t>
            </w:r>
          </w:p>
        </w:tc>
        <w:tc>
          <w:tcPr>
            <w:tcW w:w="6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40" w:type="dxa"/>
            <w:vAlign w:val="bottom"/>
            <w:vMerge w:val="continue"/>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line="127" w:lineRule="exact"/>
              <w:rPr>
                <w:sz w:val="20"/>
                <w:szCs w:val="20"/>
                <w:color w:val="auto"/>
              </w:rPr>
            </w:pPr>
            <w:r>
              <w:rPr>
                <w:rFonts w:ascii="Arial" w:cs="Arial" w:eastAsia="Arial" w:hAnsi="Arial"/>
                <w:sz w:val="12"/>
                <w:szCs w:val="12"/>
                <w:b w:val="1"/>
                <w:bCs w:val="1"/>
                <w:color w:val="auto"/>
              </w:rPr>
              <w:t>Total liabilities</w:t>
            </w:r>
          </w:p>
        </w:tc>
        <w:tc>
          <w:tcPr>
            <w:tcW w:w="6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(2,541)</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(936)</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(5,118)</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36,055</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50,357</w:t>
            </w:r>
          </w:p>
        </w:tc>
        <w:tc>
          <w:tcPr>
            <w:tcW w:w="12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77,817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7,445</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(952)</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58,337</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41,398</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124,611</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230,839</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8" w:name="page179"/>
    <w:bookmarkEnd w:id="178"/>
    <w:p>
      <w:pPr>
        <w:spacing w:after="0"/>
        <w:tabs>
          <w:tab w:leader="none" w:pos="600" w:val="left"/>
        </w:tabs>
        <w:rPr>
          <w:sz w:val="20"/>
          <w:szCs w:val="20"/>
          <w:color w:val="auto"/>
        </w:rPr>
      </w:pPr>
      <w:r>
        <w:rPr>
          <w:rFonts w:ascii="Arial" w:cs="Arial" w:eastAsia="Arial" w:hAnsi="Arial"/>
          <w:sz w:val="17"/>
          <w:szCs w:val="17"/>
          <w:b w:val="1"/>
          <w:bCs w:val="1"/>
          <w:color w:val="auto"/>
        </w:rPr>
        <w:t>34.4</w:t>
        <w:tab/>
        <w:t>No financial risk -</w:t>
      </w:r>
    </w:p>
    <w:p>
      <w:pPr>
        <w:spacing w:after="0" w:line="214"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202124"/>
        </w:rPr>
        <w:t>A non-financial risk (NFR) is a broad term that is generally defined by exclusion; that is, any risk other than the traditional financial risks of the market, credit and liquidity. RNFs can have substantial negative strategic, business, economic and/or reputational implications. RNF includes the operational risks defined in the seven Basel operational risk event types, but also other major risks such as technology, cyber, behavioral, model, compliance, strategic, and third-party risk.</w:t>
      </w:r>
    </w:p>
    <w:p>
      <w:pPr>
        <w:spacing w:after="0" w:line="180"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202124"/>
        </w:rPr>
        <w:t>Non-Financial Risk management has become more challenging due to the added complexity of rapid changes in technology, extensive process automation, increased reliance on systems rather than people, as well as transformational processes such as business agility. These changes in the way financial institutions do business have led to new risk exposures, whether in the form of attacks affecting the Bank's service, data theft or online fraud.</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Operational risk</w:t>
      </w:r>
    </w:p>
    <w:p>
      <w:pPr>
        <w:spacing w:after="0" w:line="193"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auto"/>
        </w:rPr>
        <w:t>Operational risk is the possibility of the occurrence of losses arising from inadequate processes, human error, failure of information technology, relations with third parties or external events. Operational risks can, lead to financial losses and have legal or regulatory compliance consequences but exclude strategic or reputational risk (except for companies under Colombian regulations, where reputational risk is included in operational risk).</w:t>
      </w:r>
    </w:p>
    <w:p>
      <w:pPr>
        <w:spacing w:after="0" w:line="180"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Operational risks are grouped into internal fraud, external fraud, labor relations and job security, relations with customers, business products and practices, damages to material assets, business and systems interruption, and failures in process execution, delivery and management of processes.</w:t>
      </w:r>
    </w:p>
    <w:p>
      <w:pPr>
        <w:spacing w:after="0" w:line="176"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One of the Group’s pillars is to develop an efficient risk culture, and to achieve this, it records operational risks and their respective process controls. The risk map permits their monitoring, prioritization and proposed treatment according to established governance. Likewise carries out an active cybersecurity and fraud prevention management, aligned with the best international practices.</w:t>
      </w:r>
    </w:p>
    <w:p>
      <w:pPr>
        <w:spacing w:after="0" w:line="176"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auto"/>
        </w:rPr>
        <w:t>The business continuity management system enables the establishing, implementing, operating, monitoring, reviewing, maintaining and improving of business continuity based on best practices and regulatory requirements. The Group implements recovery strategies for the resources that support important products and services of the organization, which will be periodically tested to measure the effectiveness of the strategy.</w:t>
      </w:r>
    </w:p>
    <w:p>
      <w:pPr>
        <w:spacing w:after="0" w:line="180"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In the management of operational risk, cybersecurity, fraud prevention and business continuity, corporate guidelines are used, and methodologies and best practices are shared among the Group's companies.</w:t>
      </w:r>
    </w:p>
    <w:p>
      <w:pPr>
        <w:spacing w:after="0" w:line="169" w:lineRule="exact"/>
        <w:rPr>
          <w:sz w:val="20"/>
          <w:szCs w:val="20"/>
          <w:color w:val="auto"/>
        </w:rPr>
      </w:pPr>
    </w:p>
    <w:p>
      <w:pPr>
        <w:jc w:val="both"/>
        <w:ind w:left="620"/>
        <w:spacing w:after="0" w:line="241" w:lineRule="auto"/>
        <w:rPr>
          <w:sz w:val="20"/>
          <w:szCs w:val="20"/>
          <w:color w:val="auto"/>
        </w:rPr>
      </w:pPr>
      <w:r>
        <w:rPr>
          <w:rFonts w:ascii="Arial" w:cs="Arial" w:eastAsia="Arial" w:hAnsi="Arial"/>
          <w:sz w:val="17"/>
          <w:szCs w:val="17"/>
          <w:color w:val="auto"/>
        </w:rPr>
        <w:t>Finally, it is incorporated as a mechanism of recovery in front of the materialization of operational risks, the management of the Transfer of Non-Financial Risks, mainly through Insurance Policies contracted individually or corporately in the local and international market, which cover losses due to fraud, civil and professional liability, cyber risks, damage to physical assets, among others. The insurance design is in accordance with the Group's main operating risks, the coverage needs of key areas and the organization's risk appetite, constantly seeking efficiencies in the cost of policies, working together with the insurers that make up the Group and the most important insurance/reinsurance brokers in the international market.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ind w:left="620"/>
        <w:spacing w:after="0"/>
        <w:rPr>
          <w:sz w:val="20"/>
          <w:szCs w:val="20"/>
          <w:color w:val="auto"/>
        </w:rPr>
      </w:pPr>
      <w:r>
        <w:rPr>
          <w:rFonts w:ascii="Arial" w:cs="Arial" w:eastAsia="Arial" w:hAnsi="Arial"/>
          <w:sz w:val="17"/>
          <w:szCs w:val="17"/>
          <w:color w:val="auto"/>
        </w:rPr>
        <w:t>Cybersecurity</w:t>
      </w:r>
    </w:p>
    <w:p>
      <w:pPr>
        <w:spacing w:after="0" w:line="192"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202124"/>
        </w:rPr>
        <w:t>Credicorp focuses its efforts on the most cost-efficient strategies to reduce exposure to cybersecurity risk; thereby complying with the Group's risk appetite. To achieve this, different levels of controls are applied adapted to the different areas and companies potentially exposed. For this reason, it maintains an important investment program, which allows it to have the technologies and processes necessary to keep the Group's operations and assets safe.</w:t>
      </w:r>
    </w:p>
    <w:p>
      <w:pPr>
        <w:spacing w:after="0" w:line="180" w:lineRule="exact"/>
        <w:rPr>
          <w:sz w:val="20"/>
          <w:szCs w:val="20"/>
          <w:color w:val="auto"/>
        </w:rPr>
      </w:pPr>
    </w:p>
    <w:p>
      <w:pPr>
        <w:jc w:val="both"/>
        <w:ind w:left="620"/>
        <w:spacing w:after="0" w:line="241" w:lineRule="auto"/>
        <w:rPr>
          <w:sz w:val="20"/>
          <w:szCs w:val="20"/>
          <w:color w:val="auto"/>
        </w:rPr>
      </w:pPr>
      <w:r>
        <w:rPr>
          <w:rFonts w:ascii="Arial" w:cs="Arial" w:eastAsia="Arial" w:hAnsi="Arial"/>
          <w:sz w:val="17"/>
          <w:szCs w:val="17"/>
          <w:color w:val="202124"/>
        </w:rPr>
        <w:t>As part of cybersecurity management, the Group has lines of action that allow this risk to be mitigated and that, at the corporate level, implementation and improvement priorities have been established according to the different realities of the companies. These lines of work include the Cybersecurity Strategy, which is constantly reviewed considering the global scenario, standards, frameworks and regulations, in order to guarantee business continuity, resilience and data privacy, as well as the adoption of security and cybersecurity frameworks that allow cybersecurity controls to be adapted for each of the Group companies, adequate management and remediation of vulnerabilities on time.</w:t>
      </w:r>
    </w:p>
    <w:p>
      <w:pPr>
        <w:spacing w:after="0" w:line="182"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202124"/>
        </w:rPr>
        <w:t>There is an awareness program focused in constant training for employees to generate a culture of cybersecurity awareness in all Group companies and cybersecurity indicators, which ensure alignment between operations and the business strategy of group companies.</w:t>
      </w:r>
    </w:p>
    <w:p>
      <w:pPr>
        <w:spacing w:after="0" w:line="169"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202124"/>
        </w:rPr>
        <w:t>The Government of Third Parties, which includes suppliers, consumers, strategic allies and clients, allows us to ensure adherence and compliance with Group policies, as well as the implementation of security technologies, to comprehensively ensure all business processes.</w:t>
      </w:r>
    </w:p>
    <w:p>
      <w:pPr>
        <w:spacing w:after="0" w:line="169"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202124"/>
        </w:rPr>
        <w:t>Finally, information security management of information assets is carried out through a systemic process, documented and known by the entire organization under the best practices and regulatory requirements. Guidelines are designed and developed based on the policies and procedures to have availability, privacy and integrity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-380365</wp:posOffset>
            </wp:positionV>
            <wp:extent cx="6743065" cy="4933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43065" cy="493395"/>
                    </a:xfrm>
                    <a:prstGeom prst="rect">
                      <a:avLst/>
                    </a:prstGeom>
                    <a:noFill/>
                  </pic:spPr>
                </pic:pic>
              </a:graphicData>
            </a:graphic>
          </wp:anchor>
        </w:drawing>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Corporate Security and Cybercrime</w:t>
      </w:r>
    </w:p>
    <w:p>
      <w:pPr>
        <w:spacing w:after="0" w:line="193"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202124"/>
        </w:rPr>
        <w:t>As part of the management of Non-Financial Risks, the Corporate Security &amp; Cybercrime Operations Center's function is to detect and respond to incidents of fraud, cyber crime and physical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-261620</wp:posOffset>
            </wp:positionV>
            <wp:extent cx="6743065" cy="18503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43065" cy="1850390"/>
                    </a:xfrm>
                    <a:prstGeom prst="rect">
                      <a:avLst/>
                    </a:prstGeom>
                    <a:noFill/>
                  </pic:spPr>
                </pic:pic>
              </a:graphicData>
            </a:graphic>
          </wp:anchor>
        </w:drawing>
      </w:r>
    </w:p>
    <w:p>
      <w:pPr>
        <w:spacing w:after="0" w:line="149"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202124"/>
        </w:rPr>
        <w:t>These tasks are carried out by teams specialized in transactional monitoring, investigations, "cybercrime", electronic security, disaster risk management and strategic intelligence activities, including social conflicts, which allow safeguarding the safety of workers, clients, suppliers and company assets.</w:t>
      </w:r>
    </w:p>
    <w:p>
      <w:pPr>
        <w:spacing w:after="0" w:line="176" w:lineRule="exact"/>
        <w:rPr>
          <w:sz w:val="20"/>
          <w:szCs w:val="20"/>
          <w:color w:val="auto"/>
        </w:rPr>
      </w:pPr>
    </w:p>
    <w:p>
      <w:pPr>
        <w:jc w:val="both"/>
        <w:ind w:left="620"/>
        <w:spacing w:after="0" w:line="244" w:lineRule="auto"/>
        <w:rPr>
          <w:sz w:val="20"/>
          <w:szCs w:val="20"/>
          <w:color w:val="auto"/>
        </w:rPr>
      </w:pPr>
      <w:r>
        <w:rPr>
          <w:rFonts w:ascii="Arial" w:cs="Arial" w:eastAsia="Arial" w:hAnsi="Arial"/>
          <w:sz w:val="17"/>
          <w:szCs w:val="17"/>
          <w:color w:val="202124"/>
        </w:rPr>
        <w:t>To this end, the designed strategy includes the use of state-of-the-art technological tools in the monitoring platform, digital video surveillance and advanced risk profile analysis models, among other fronts. Likewise, there is highly specialized and trained talent on these fronts that allows the proper use of artificial intelligence, electronics, advanced analytics and "cyber forensic" achieving high efficiency standards.</w:t>
      </w:r>
    </w:p>
    <w:p>
      <w:pPr>
        <w:spacing w:after="0" w:line="375"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202124"/>
        </w:rPr>
        <w:t>Finally, The Group contributes to the security of the Financial System through union activities that it develops at the local level in the Association of Banks of Peru (ASBANC) and at the Latin American level in the Committee of Security Experts of the Latin American Federation of Banks (FELABAN).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-10160</wp:posOffset>
            </wp:positionV>
            <wp:extent cx="6907530" cy="1231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07530" cy="123190"/>
                    </a:xfrm>
                    <a:prstGeom prst="rect">
                      <a:avLst/>
                    </a:prstGeom>
                    <a:noFill/>
                  </pic:spPr>
                </pic:pic>
              </a:graphicData>
            </a:graphic>
          </wp:anchor>
        </w:drawing>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34.5</w:t>
        <w:tab/>
        <w:t>Model Risk -</w:t>
      </w:r>
    </w:p>
    <w:p>
      <w:pPr>
        <w:spacing w:after="0" w:line="215"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The Group uses models for different purposes such as credit admission, capital calculation, behavior, provisions, market risk, liquidity, among others.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0" w:name="page181"/>
    <w:bookmarkEnd w:id="180"/>
    <w:p>
      <w:pPr>
        <w:jc w:val="both"/>
        <w:ind w:left="620"/>
        <w:spacing w:after="0" w:line="245" w:lineRule="auto"/>
        <w:rPr>
          <w:sz w:val="20"/>
          <w:szCs w:val="20"/>
          <w:color w:val="auto"/>
        </w:rPr>
      </w:pPr>
      <w:r>
        <w:rPr>
          <w:rFonts w:ascii="Arial" w:cs="Arial" w:eastAsia="Arial" w:hAnsi="Arial"/>
          <w:sz w:val="17"/>
          <w:szCs w:val="17"/>
          <w:color w:val="auto"/>
        </w:rPr>
        <w:t>Model risk is defined as the probability of loss resulting from decisions (credit, market, among others) based on the use of poorly designed and/or poorly implemented models. The sources that generate this risk are mainly: deficiencies in data, errors in the model (from design to implementation), use of the model.</w:t>
      </w:r>
    </w:p>
    <w:p>
      <w:pPr>
        <w:spacing w:after="0" w:line="177"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auto"/>
        </w:rPr>
        <w:t>The management of model risk is proportional to the importance of each model. In this sense, a concept of “tiering” (measurement system that orders the models depending to the importance according to the impact on the business) is defined as the main attribute to synthesize the level of importance or relevance of a model, from which is determined the intensity of the model risk management processes to be followed.</w:t>
      </w:r>
    </w:p>
    <w:p>
      <w:pPr>
        <w:spacing w:after="0" w:line="180"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Model risk management is structured around a set of processes known as the life cycle of the model. The definition of phases of the life cycle of the model in the Group is detailed below: Identification, Planning, Development, Internal Validation, Approval, Implementation and use, and Monitoring and control</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34.6</w:t>
        <w:tab/>
        <w:t>Risk of the insurance activity -</w:t>
      </w:r>
    </w:p>
    <w:p>
      <w:pPr>
        <w:spacing w:after="0" w:line="215"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The main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enough reserves are available to cover these liabilities.</w:t>
      </w:r>
    </w:p>
    <w:p>
      <w:pPr>
        <w:spacing w:after="0" w:line="176"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auto"/>
        </w:rPr>
        <w:t>The risk exposure is mitigated by diversification across a large portfolio of insurance contracts and by having different lines of business. The risks are also mitigated by careful selection and implementation of underwriting strategy guidelines, as well as the use of reinsurance arrangements. The Group’s placement of reinsurance is diversified so that it is neither dependent on a single reinsurer nor are the operations of the Group substantially dependent upon any single reinsurance contract.</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Life insurance contracts -</w:t>
      </w:r>
    </w:p>
    <w:p>
      <w:pPr>
        <w:spacing w:after="0" w:line="193" w:lineRule="exact"/>
        <w:rPr>
          <w:sz w:val="20"/>
          <w:szCs w:val="20"/>
          <w:color w:val="auto"/>
        </w:rPr>
      </w:pPr>
    </w:p>
    <w:p>
      <w:pPr>
        <w:jc w:val="both"/>
        <w:ind w:left="620"/>
        <w:spacing w:after="0" w:line="246" w:lineRule="auto"/>
        <w:rPr>
          <w:sz w:val="20"/>
          <w:szCs w:val="20"/>
          <w:color w:val="auto"/>
        </w:rPr>
      </w:pPr>
      <w:r>
        <w:rPr>
          <w:rFonts w:ascii="Arial" w:cs="Arial" w:eastAsia="Arial" w:hAnsi="Arial"/>
          <w:sz w:val="17"/>
          <w:szCs w:val="17"/>
          <w:color w:val="auto"/>
        </w:rPr>
        <w:t>The main risks that the Group is exposed to are mortality, morbidity, longevity, investment yield and flow, losses arising from policies due to the expense incurred being different than expected, and the policyholder decision; all of which, do not vary significantly in relation to the location of the risk insured by the Group, type of risk insured or industry.</w:t>
      </w:r>
    </w:p>
    <w:p>
      <w:pPr>
        <w:spacing w:after="0" w:line="176" w:lineRule="exact"/>
        <w:rPr>
          <w:sz w:val="20"/>
          <w:szCs w:val="20"/>
          <w:color w:val="auto"/>
        </w:rPr>
      </w:pPr>
    </w:p>
    <w:p>
      <w:pPr>
        <w:jc w:val="both"/>
        <w:ind w:left="620"/>
        <w:spacing w:after="0" w:line="242" w:lineRule="auto"/>
        <w:rPr>
          <w:sz w:val="20"/>
          <w:szCs w:val="20"/>
          <w:color w:val="auto"/>
        </w:rPr>
      </w:pPr>
      <w:r>
        <w:rPr>
          <w:rFonts w:ascii="Arial" w:cs="Arial" w:eastAsia="Arial" w:hAnsi="Arial"/>
          <w:sz w:val="17"/>
          <w:szCs w:val="17"/>
          <w:color w:val="auto"/>
        </w:rPr>
        <w:t>The Group’s underwriting strategy is designed to ensure that risks are well diversified in terms of type of risk and level of insured benefits. This is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80"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For contracts when death or disability is the insured risk, the significant factors that could increase the overall frequency of claims are epidemics, widespread changes in lifestyle and natural disasters, resulting in more claims than expected.</w:t>
      </w:r>
    </w:p>
    <w:p>
      <w:pPr>
        <w:spacing w:after="0" w:line="169"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For retirement, survival and disability annuities contracts, the most significant factor is continuing improvement in medical science and social conditions that increase longevity.</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Management has performed a sensitivity analysis of the technical reserve estimates, Note 16(c).</w:t>
      </w:r>
    </w:p>
    <w:p>
      <w:pPr>
        <w:spacing w:after="0" w:line="167"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- 176 -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1" w:name="page182"/>
    <w:bookmarkEnd w:id="181"/>
    <w:p>
      <w:pPr>
        <w:jc w:val="both"/>
        <w:spacing w:after="0" w:line="243" w:lineRule="auto"/>
        <w:rPr>
          <w:sz w:val="20"/>
          <w:szCs w:val="20"/>
          <w:color w:val="auto"/>
        </w:rPr>
      </w:pPr>
      <w:r>
        <w:rPr>
          <w:rFonts w:ascii="Arial" w:cs="Arial" w:eastAsia="Arial" w:hAnsi="Arial"/>
          <w:sz w:val="17"/>
          <w:szCs w:val="17"/>
          <w:color w:val="auto"/>
        </w:rPr>
        <w:t>Since the start of the Covid-19 pandemic in March 2020, the mortality of the portfolio of life business policyholders has increased significantly. The main businesses affected have been the current Social Security Insurance and Credit Life Insurance, due to the number of policyholders in each business (more than 2.5 million people in each case). The other businesses affected are Individual Life, Group Life and Law Life, but with a reduced impact. However, during 2022 the mortality due to Covid-19 has been reduced compared to 2021.</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these businesses, the reserve for pending claims has increased, as well as the reserve for Claims Occurred and Not Reported (IBNR) due to the increase in deaths and the delay experienced in reporting claims. Since March 2020, the month in which the national emergency began, the size of the portfolios, the reported claims and the reserves necessary to cover the expected excess mortality (expected deaths above the average number of premature deaths) have been continuously monitored. pandemic). Likewise, conservative criteria have been applied in estimating loss reserves, considering the uncertainty involved.</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the other hand, in the pension businesses, more deceased annuitants have also been registered since the start of the pandemic, which has led to a greater release of mathematical reserves for this concept compared to previous years, however during 2022, the level of death of rentiers has decreased compared to 2021, this is a product of the vaccination advancement.</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Finally, although the risk of increased mortality remains given the declaration of the fitht wave of COVID-19 by the Ministry of Health, the risk is largely mitigated because the population fully vaccinated exceeds 90 percent at the end of december 2022. For this reason, during 2022 there was a decrease in mortality compared to the national emergency declaration.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Non-life insurance contracts (general insurance and healthcare) -</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Group mainly issues the following types of non-life general insurance contracts: automobile, technical branches, business and healthcare insurances. Healthcare contracts provide medical expense cover to policyholders. Risks under non-life insurance policies usually cover 12 months.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types of damages. For healthcare contracts the most significant risks arise from lifestyle changes, epidemics and medical science and technology improvements.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Most of these risks do not vary significantly in relation to the location of the risk insured by the Group, type of risk insured or industry.</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above risk exposures are mitigated by diversification across a large portfolio of insurance contracts and by having different business lines. The variability of risk is improved by careful selection and implementation of underwriting strategies, which are designed to ensure that risks are diversified in terms of type of risks and level of insured benefits. This is achieved, in various cases, through diversification across industry sectors and geography.</w:t>
      </w:r>
    </w:p>
    <w:p>
      <w:pPr>
        <w:spacing w:after="0" w:line="18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Furthermore, strict claim review policies to assess all new and ongoing claims and in process of settlement,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 In this sense, constant monitoring is being carried out on claims that may arise as a result of the social political crisis, which began at the end of 2022.</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Group has also limited its exposure by imposing maximum claim amounts on certain contracts as well as the use of reinsurance arrangements in order to limit its exposure to catastrophic events.</w:t>
      </w:r>
    </w:p>
    <w:p>
      <w:pPr>
        <w:spacing w:after="0" w:line="14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- 177 -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140" w:right="339" w:bottom="1440" w:gutter="0" w:footer="0" w:header="0"/>
        </w:sectPr>
      </w:pPr>
    </w:p>
    <w:bookmarkStart w:id="182" w:name="page183"/>
    <w:bookmarkEnd w:id="182"/>
    <w:p>
      <w:pPr>
        <w:jc w:val="both"/>
        <w:ind w:left="620"/>
        <w:spacing w:after="0" w:line="241" w:lineRule="auto"/>
        <w:rPr>
          <w:sz w:val="20"/>
          <w:szCs w:val="20"/>
          <w:color w:val="auto"/>
        </w:rPr>
      </w:pPr>
      <w:r>
        <w:rPr>
          <w:rFonts w:ascii="Arial" w:cs="Arial" w:eastAsia="Arial" w:hAnsi="Arial"/>
          <w:sz w:val="17"/>
          <w:szCs w:val="17"/>
          <w:color w:val="auto"/>
        </w:rPr>
        <w:t>In the Medical Assistance branch, the pandemic had two simultaneous effects on the accident rate: an increase in outpatient care and hospitalizations (normal and in the ICU) for COVID-19 cases and a decrease in care and hospitalizations for other ailments. For this business, reserves for claims pending, as well as reserves for claims that have occurred and not reported (IBNR) are being continuously monitored and have been estimated with prudent criteria due to the variability and uncertainty of the frequency and cost of cases and the Greater delay in reporting claims by health centers, whose care during the pandemic is focused on patient care. During 2022, care for Covid-19 has decreased compared to 2021, allowing an increase in outpatient and hospital care for other illnesses.</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34.7</w:t>
        <w:tab/>
        <w:t>Capital management -</w:t>
      </w:r>
    </w:p>
    <w:p>
      <w:pPr>
        <w:spacing w:after="0" w:line="215" w:lineRule="exact"/>
        <w:rPr>
          <w:sz w:val="20"/>
          <w:szCs w:val="20"/>
          <w:color w:val="auto"/>
        </w:rPr>
      </w:pPr>
    </w:p>
    <w:p>
      <w:pPr>
        <w:jc w:val="both"/>
        <w:ind w:left="620"/>
        <w:spacing w:after="0" w:line="242" w:lineRule="auto"/>
        <w:rPr>
          <w:sz w:val="20"/>
          <w:szCs w:val="20"/>
          <w:color w:val="auto"/>
        </w:rPr>
      </w:pPr>
      <w:r>
        <w:rPr>
          <w:rFonts w:ascii="Arial" w:cs="Arial" w:eastAsia="Arial" w:hAnsi="Arial"/>
          <w:sz w:val="17"/>
          <w:szCs w:val="17"/>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 Furthermore, capital management responds to market expectations in relation to the solvency of the Group and to support the growth of the businesses considered in the strategic planning. In this way, the capital maintained by the Group enables it to assume unexpected losses in normal conditions and conditions of severe stress.</w:t>
      </w:r>
    </w:p>
    <w:p>
      <w:pPr>
        <w:spacing w:after="0" w:line="180"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auto"/>
        </w:rPr>
        <w:t>The Group’s objectives when managing capital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80"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auto"/>
        </w:rPr>
        <w:t>As of December 31, 2022, and 2021, the regulatory capital for the subsidiaries engaged in financial and insurance activities amounted to approximately S/31,754.6 million and S/ 29,741.6 million, respectively. The regulatory capital has been determined in accordance with SBS regulations in force as of said dates. Under the SBS regulations, the Group’s regulatory capital exceeds by approximately S/8,157.0 million the minimum regulatory capital required as of December 31, 2021 (approximately S/ 10,294.3 million as of December 31, 2021).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3" w:name="page184"/>
    <w:bookmarkEnd w:id="183"/>
    <w:p>
      <w:pPr>
        <w:spacing w:after="0"/>
        <w:tabs>
          <w:tab w:leader="none" w:pos="600" w:val="left"/>
        </w:tabs>
        <w:rPr>
          <w:sz w:val="20"/>
          <w:szCs w:val="20"/>
          <w:color w:val="auto"/>
        </w:rPr>
      </w:pPr>
      <w:r>
        <w:rPr>
          <w:rFonts w:ascii="Arial" w:cs="Arial" w:eastAsia="Arial" w:hAnsi="Arial"/>
          <w:sz w:val="17"/>
          <w:szCs w:val="17"/>
          <w:b w:val="1"/>
          <w:bCs w:val="1"/>
          <w:color w:val="auto"/>
        </w:rPr>
        <w:t>34.8</w:t>
        <w:tab/>
        <w:t>Fair values –</w:t>
      </w:r>
    </w:p>
    <w:p>
      <w:pPr>
        <w:spacing w:after="0" w:line="214" w:lineRule="exact"/>
        <w:rPr>
          <w:sz w:val="20"/>
          <w:szCs w:val="20"/>
          <w:color w:val="auto"/>
        </w:rPr>
      </w:pPr>
    </w:p>
    <w:p>
      <w:pPr>
        <w:ind w:left="940" w:hanging="315"/>
        <w:spacing w:after="0"/>
        <w:tabs>
          <w:tab w:leader="none" w:pos="9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Financial instruments recorded at fair value and fair value hierarchy –</w:t>
      </w:r>
    </w:p>
    <w:p>
      <w:pPr>
        <w:spacing w:after="0" w:line="193" w:lineRule="exact"/>
        <w:rPr>
          <w:rFonts w:ascii="Arial" w:cs="Arial" w:eastAsia="Arial" w:hAnsi="Arial"/>
          <w:sz w:val="17"/>
          <w:szCs w:val="17"/>
          <w:color w:val="auto"/>
        </w:rPr>
      </w:pPr>
    </w:p>
    <w:p>
      <w:pPr>
        <w:jc w:val="both"/>
        <w:ind w:left="940"/>
        <w:spacing w:after="0" w:line="246" w:lineRule="auto"/>
        <w:rPr>
          <w:rFonts w:ascii="Arial" w:cs="Arial" w:eastAsia="Arial" w:hAnsi="Arial"/>
          <w:sz w:val="17"/>
          <w:szCs w:val="17"/>
          <w:color w:val="auto"/>
        </w:rPr>
      </w:pPr>
      <w:r>
        <w:rPr>
          <w:rFonts w:ascii="Arial" w:cs="Arial" w:eastAsia="Arial" w:hAnsi="Arial"/>
          <w:sz w:val="17"/>
          <w:szCs w:val="17"/>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Financial assets</w:t>
      </w:r>
    </w:p>
    <w:p>
      <w:pPr>
        <w:ind w:left="940"/>
        <w:spacing w:after="0" w:line="234" w:lineRule="auto"/>
        <w:rPr>
          <w:sz w:val="20"/>
          <w:szCs w:val="20"/>
          <w:color w:val="auto"/>
        </w:rPr>
      </w:pPr>
      <w:r>
        <w:rPr>
          <w:rFonts w:ascii="Arial" w:cs="Arial" w:eastAsia="Arial" w:hAnsi="Arial"/>
          <w:sz w:val="12"/>
          <w:szCs w:val="12"/>
          <w:b w:val="1"/>
          <w:bCs w:val="1"/>
          <w:color w:val="auto"/>
        </w:rPr>
        <w:t>Derivative financial instruments:</w:t>
      </w:r>
    </w:p>
    <w:p>
      <w:pPr>
        <w:ind w:left="1000"/>
        <w:spacing w:after="0" w:line="226" w:lineRule="auto"/>
        <w:rPr>
          <w:sz w:val="20"/>
          <w:szCs w:val="20"/>
          <w:color w:val="auto"/>
        </w:rPr>
      </w:pPr>
      <w:r>
        <w:rPr>
          <w:rFonts w:ascii="Arial" w:cs="Arial" w:eastAsia="Arial" w:hAnsi="Arial"/>
          <w:sz w:val="12"/>
          <w:szCs w:val="12"/>
          <w:color w:val="auto"/>
        </w:rPr>
        <w:t>Currency swaps</w:t>
      </w:r>
    </w:p>
    <w:p>
      <w:pPr>
        <w:ind w:left="1000"/>
        <w:spacing w:after="0" w:line="225" w:lineRule="auto"/>
        <w:rPr>
          <w:sz w:val="20"/>
          <w:szCs w:val="20"/>
          <w:color w:val="auto"/>
        </w:rPr>
      </w:pPr>
      <w:r>
        <w:rPr>
          <w:rFonts w:ascii="Arial" w:cs="Arial" w:eastAsia="Arial" w:hAnsi="Arial"/>
          <w:sz w:val="12"/>
          <w:szCs w:val="12"/>
          <w:color w:val="auto"/>
        </w:rPr>
        <w:t>Interest rate swaps</w:t>
      </w:r>
    </w:p>
    <w:p>
      <w:pPr>
        <w:ind w:left="1000"/>
        <w:spacing w:after="0" w:line="225" w:lineRule="auto"/>
        <w:rPr>
          <w:sz w:val="20"/>
          <w:szCs w:val="20"/>
          <w:color w:val="auto"/>
        </w:rPr>
      </w:pPr>
      <w:r>
        <w:rPr>
          <w:rFonts w:ascii="Arial" w:cs="Arial" w:eastAsia="Arial" w:hAnsi="Arial"/>
          <w:sz w:val="12"/>
          <w:szCs w:val="12"/>
          <w:color w:val="auto"/>
        </w:rPr>
        <w:t>Foreign currency forwards</w:t>
      </w:r>
    </w:p>
    <w:p>
      <w:pPr>
        <w:ind w:left="1000"/>
        <w:spacing w:after="0" w:line="225" w:lineRule="auto"/>
        <w:rPr>
          <w:sz w:val="20"/>
          <w:szCs w:val="20"/>
          <w:color w:val="auto"/>
        </w:rPr>
      </w:pPr>
      <w:r>
        <w:rPr>
          <w:rFonts w:ascii="Arial" w:cs="Arial" w:eastAsia="Arial" w:hAnsi="Arial"/>
          <w:sz w:val="12"/>
          <w:szCs w:val="12"/>
          <w:color w:val="auto"/>
        </w:rPr>
        <w:t>Cross currency swaps</w:t>
      </w:r>
    </w:p>
    <w:p>
      <w:pPr>
        <w:ind w:left="1000"/>
        <w:spacing w:after="0" w:line="226" w:lineRule="auto"/>
        <w:rPr>
          <w:sz w:val="20"/>
          <w:szCs w:val="20"/>
          <w:color w:val="auto"/>
        </w:rPr>
      </w:pPr>
      <w:r>
        <w:rPr>
          <w:rFonts w:ascii="Arial" w:cs="Arial" w:eastAsia="Arial" w:hAnsi="Arial"/>
          <w:sz w:val="12"/>
          <w:szCs w:val="12"/>
          <w:color w:val="auto"/>
        </w:rPr>
        <w:t>Foreign exchange options</w:t>
      </w:r>
    </w:p>
    <w:p>
      <w:pPr>
        <w:ind w:left="1000"/>
        <w:spacing w:after="0"/>
        <w:rPr>
          <w:sz w:val="20"/>
          <w:szCs w:val="20"/>
          <w:color w:val="auto"/>
        </w:rPr>
      </w:pPr>
      <w:r>
        <w:rPr>
          <w:rFonts w:ascii="Arial" w:cs="Arial" w:eastAsia="Arial" w:hAnsi="Arial"/>
          <w:sz w:val="12"/>
          <w:szCs w:val="12"/>
          <w:color w:val="auto"/>
        </w:rPr>
        <w:t>Futures</w:t>
      </w:r>
    </w:p>
    <w:p>
      <w:pPr>
        <w:spacing w:after="0" w:line="263" w:lineRule="exact"/>
        <w:rPr>
          <w:sz w:val="20"/>
          <w:szCs w:val="20"/>
          <w:color w:val="auto"/>
        </w:rPr>
      </w:pPr>
    </w:p>
    <w:p>
      <w:pPr>
        <w:ind w:left="1100" w:right="220" w:hanging="154"/>
        <w:spacing w:after="0" w:line="225" w:lineRule="auto"/>
        <w:rPr>
          <w:sz w:val="20"/>
          <w:szCs w:val="20"/>
          <w:color w:val="auto"/>
        </w:rPr>
      </w:pPr>
      <w:r>
        <w:rPr>
          <w:rFonts w:ascii="Arial" w:cs="Arial" w:eastAsia="Arial" w:hAnsi="Arial"/>
          <w:sz w:val="12"/>
          <w:szCs w:val="12"/>
          <w:color w:val="auto"/>
        </w:rPr>
        <w:t>Investments at fair value through profit of loss</w:t>
      </w:r>
    </w:p>
    <w:p>
      <w:pPr>
        <w:ind w:left="1100" w:hanging="154"/>
        <w:spacing w:after="0" w:line="239" w:lineRule="auto"/>
        <w:rPr>
          <w:sz w:val="20"/>
          <w:szCs w:val="20"/>
          <w:color w:val="auto"/>
        </w:rPr>
      </w:pPr>
      <w:r>
        <w:rPr>
          <w:rFonts w:ascii="Arial" w:cs="Arial" w:eastAsia="Arial" w:hAnsi="Arial"/>
          <w:sz w:val="12"/>
          <w:szCs w:val="12"/>
          <w:color w:val="auto"/>
        </w:rPr>
        <w:t>Financial assets at fair value through profit of loss</w:t>
      </w:r>
    </w:p>
    <w:p>
      <w:pPr>
        <w:spacing w:after="0" w:line="100" w:lineRule="exact"/>
        <w:rPr>
          <w:sz w:val="20"/>
          <w:szCs w:val="20"/>
          <w:color w:val="auto"/>
        </w:rPr>
      </w:pPr>
    </w:p>
    <w:p>
      <w:pPr>
        <w:ind w:left="1100" w:right="160" w:hanging="154"/>
        <w:spacing w:after="0" w:line="237" w:lineRule="auto"/>
        <w:rPr>
          <w:sz w:val="20"/>
          <w:szCs w:val="20"/>
          <w:color w:val="auto"/>
        </w:rPr>
      </w:pPr>
      <w:r>
        <w:rPr>
          <w:rFonts w:ascii="Arial" w:cs="Arial" w:eastAsia="Arial" w:hAnsi="Arial"/>
          <w:sz w:val="12"/>
          <w:szCs w:val="12"/>
          <w:b w:val="1"/>
          <w:bCs w:val="1"/>
          <w:color w:val="auto"/>
        </w:rPr>
        <w:t>Investments at fair value through other comprehensive income:</w:t>
      </w:r>
    </w:p>
    <w:p>
      <w:pPr>
        <w:jc w:val="center"/>
        <w:ind w:right="540"/>
        <w:spacing w:after="0" w:line="226" w:lineRule="auto"/>
        <w:rPr>
          <w:sz w:val="20"/>
          <w:szCs w:val="20"/>
          <w:color w:val="auto"/>
        </w:rPr>
      </w:pPr>
      <w:r>
        <w:rPr>
          <w:rFonts w:ascii="Arial" w:cs="Arial" w:eastAsia="Arial" w:hAnsi="Arial"/>
          <w:sz w:val="12"/>
          <w:szCs w:val="12"/>
          <w:color w:val="auto"/>
        </w:rPr>
        <w:t>Debt Instruments</w:t>
      </w:r>
    </w:p>
    <w:p>
      <w:pPr>
        <w:jc w:val="center"/>
        <w:ind w:right="420"/>
        <w:spacing w:after="0" w:line="225" w:lineRule="auto"/>
        <w:rPr>
          <w:sz w:val="20"/>
          <w:szCs w:val="20"/>
          <w:color w:val="auto"/>
        </w:rPr>
      </w:pPr>
      <w:r>
        <w:rPr>
          <w:rFonts w:ascii="Arial" w:cs="Arial" w:eastAsia="Arial" w:hAnsi="Arial"/>
          <w:sz w:val="12"/>
          <w:szCs w:val="12"/>
          <w:color w:val="auto"/>
        </w:rPr>
        <w:t>Corporate bonds</w:t>
      </w:r>
    </w:p>
    <w:p>
      <w:pPr>
        <w:jc w:val="center"/>
        <w:ind w:right="420"/>
        <w:spacing w:after="0" w:line="225" w:lineRule="auto"/>
        <w:rPr>
          <w:sz w:val="20"/>
          <w:szCs w:val="20"/>
          <w:color w:val="auto"/>
        </w:rPr>
      </w:pPr>
      <w:r>
        <w:rPr>
          <w:rFonts w:ascii="Arial" w:cs="Arial" w:eastAsia="Arial" w:hAnsi="Arial"/>
          <w:sz w:val="12"/>
          <w:szCs w:val="12"/>
          <w:color w:val="auto"/>
        </w:rPr>
        <w:t>Government Bonds</w:t>
      </w:r>
    </w:p>
    <w:p>
      <w:pPr>
        <w:ind w:left="1000" w:right="600"/>
        <w:spacing w:after="0" w:line="225" w:lineRule="auto"/>
        <w:rPr>
          <w:sz w:val="20"/>
          <w:szCs w:val="20"/>
          <w:color w:val="auto"/>
        </w:rPr>
      </w:pPr>
      <w:r>
        <w:rPr>
          <w:rFonts w:ascii="Arial" w:cs="Arial" w:eastAsia="Arial" w:hAnsi="Arial"/>
          <w:sz w:val="12"/>
          <w:szCs w:val="12"/>
          <w:color w:val="auto"/>
        </w:rPr>
        <w:t>Certificates of deposit BCRP Negotiable certificates of deposit Securitization instruments Subordinated bonds Other instruments</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2"/>
          <w:szCs w:val="12"/>
          <w:color w:val="auto"/>
        </w:rPr>
        <w:t>Equity instruments</w:t>
      </w:r>
    </w:p>
    <w:p>
      <w:pPr>
        <w:spacing w:after="0" w:line="249"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Total financial assets</w:t>
      </w:r>
    </w:p>
    <w:p>
      <w:pPr>
        <w:spacing w:after="0" w:line="160"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Financial liabilities</w:t>
      </w:r>
    </w:p>
    <w:p>
      <w:pPr>
        <w:ind w:left="940"/>
        <w:spacing w:after="0" w:line="234" w:lineRule="auto"/>
        <w:rPr>
          <w:sz w:val="20"/>
          <w:szCs w:val="20"/>
          <w:color w:val="auto"/>
        </w:rPr>
      </w:pPr>
      <w:r>
        <w:rPr>
          <w:rFonts w:ascii="Arial" w:cs="Arial" w:eastAsia="Arial" w:hAnsi="Arial"/>
          <w:sz w:val="12"/>
          <w:szCs w:val="12"/>
          <w:b w:val="1"/>
          <w:bCs w:val="1"/>
          <w:color w:val="auto"/>
        </w:rPr>
        <w:t>Derivatives financial instruments:</w:t>
      </w:r>
    </w:p>
    <w:p>
      <w:pPr>
        <w:ind w:left="1000"/>
        <w:spacing w:after="0" w:line="226" w:lineRule="auto"/>
        <w:rPr>
          <w:sz w:val="20"/>
          <w:szCs w:val="20"/>
          <w:color w:val="auto"/>
        </w:rPr>
      </w:pPr>
      <w:r>
        <w:rPr>
          <w:rFonts w:ascii="Arial" w:cs="Arial" w:eastAsia="Arial" w:hAnsi="Arial"/>
          <w:sz w:val="12"/>
          <w:szCs w:val="12"/>
          <w:color w:val="auto"/>
        </w:rPr>
        <w:t>Currency swaps</w:t>
      </w:r>
    </w:p>
    <w:p>
      <w:pPr>
        <w:ind w:left="1000"/>
        <w:spacing w:after="0" w:line="225" w:lineRule="auto"/>
        <w:rPr>
          <w:sz w:val="20"/>
          <w:szCs w:val="20"/>
          <w:color w:val="auto"/>
        </w:rPr>
      </w:pPr>
      <w:r>
        <w:rPr>
          <w:rFonts w:ascii="Arial" w:cs="Arial" w:eastAsia="Arial" w:hAnsi="Arial"/>
          <w:sz w:val="12"/>
          <w:szCs w:val="12"/>
          <w:color w:val="auto"/>
        </w:rPr>
        <w:t>Foreign currency forwards</w:t>
      </w:r>
    </w:p>
    <w:p>
      <w:pPr>
        <w:ind w:left="1000"/>
        <w:spacing w:after="0" w:line="225" w:lineRule="auto"/>
        <w:rPr>
          <w:sz w:val="20"/>
          <w:szCs w:val="20"/>
          <w:color w:val="auto"/>
        </w:rPr>
      </w:pPr>
      <w:r>
        <w:rPr>
          <w:rFonts w:ascii="Arial" w:cs="Arial" w:eastAsia="Arial" w:hAnsi="Arial"/>
          <w:sz w:val="12"/>
          <w:szCs w:val="12"/>
          <w:color w:val="auto"/>
        </w:rPr>
        <w:t>Interest rate swaps</w:t>
      </w:r>
    </w:p>
    <w:p>
      <w:pPr>
        <w:ind w:left="1000"/>
        <w:spacing w:after="0" w:line="225" w:lineRule="auto"/>
        <w:rPr>
          <w:sz w:val="20"/>
          <w:szCs w:val="20"/>
          <w:color w:val="auto"/>
        </w:rPr>
      </w:pPr>
      <w:r>
        <w:rPr>
          <w:rFonts w:ascii="Arial" w:cs="Arial" w:eastAsia="Arial" w:hAnsi="Arial"/>
          <w:sz w:val="12"/>
          <w:szCs w:val="12"/>
          <w:color w:val="auto"/>
        </w:rPr>
        <w:t>Cross currency swaps</w:t>
      </w:r>
    </w:p>
    <w:p>
      <w:pPr>
        <w:ind w:left="1000"/>
        <w:spacing w:after="0" w:line="226" w:lineRule="auto"/>
        <w:rPr>
          <w:sz w:val="20"/>
          <w:szCs w:val="20"/>
          <w:color w:val="auto"/>
        </w:rPr>
      </w:pPr>
      <w:r>
        <w:rPr>
          <w:rFonts w:ascii="Arial" w:cs="Arial" w:eastAsia="Arial" w:hAnsi="Arial"/>
          <w:sz w:val="12"/>
          <w:szCs w:val="12"/>
          <w:color w:val="auto"/>
        </w:rPr>
        <w:t>Foreign exchange options</w:t>
      </w:r>
    </w:p>
    <w:p>
      <w:pPr>
        <w:ind w:left="1000"/>
        <w:spacing w:after="0"/>
        <w:rPr>
          <w:sz w:val="20"/>
          <w:szCs w:val="20"/>
          <w:color w:val="auto"/>
        </w:rPr>
      </w:pPr>
      <w:r>
        <w:rPr>
          <w:rFonts w:ascii="Arial" w:cs="Arial" w:eastAsia="Arial" w:hAnsi="Arial"/>
          <w:sz w:val="12"/>
          <w:szCs w:val="12"/>
          <w:color w:val="auto"/>
        </w:rPr>
        <w:t>Futures</w:t>
      </w:r>
    </w:p>
    <w:p>
      <w:pPr>
        <w:spacing w:after="0" w:line="134" w:lineRule="exact"/>
        <w:rPr>
          <w:sz w:val="20"/>
          <w:szCs w:val="20"/>
          <w:color w:val="auto"/>
        </w:rPr>
      </w:pPr>
    </w:p>
    <w:p>
      <w:pPr>
        <w:ind w:left="1020" w:right="20" w:hanging="73"/>
        <w:spacing w:after="0" w:line="225" w:lineRule="auto"/>
        <w:rPr>
          <w:sz w:val="20"/>
          <w:szCs w:val="20"/>
          <w:color w:val="auto"/>
        </w:rPr>
      </w:pPr>
      <w:r>
        <w:rPr>
          <w:rFonts w:ascii="Arial" w:cs="Arial" w:eastAsia="Arial" w:hAnsi="Arial"/>
          <w:sz w:val="12"/>
          <w:szCs w:val="12"/>
          <w:color w:val="auto"/>
        </w:rPr>
        <w:t>Financial liabilities at fair value through profit or loss</w:t>
      </w:r>
    </w:p>
    <w:p>
      <w:pPr>
        <w:ind w:left="940"/>
        <w:spacing w:after="0"/>
        <w:rPr>
          <w:sz w:val="20"/>
          <w:szCs w:val="20"/>
          <w:color w:val="auto"/>
        </w:rPr>
      </w:pPr>
      <w:r>
        <w:rPr>
          <w:rFonts w:ascii="Arial" w:cs="Arial" w:eastAsia="Arial" w:hAnsi="Arial"/>
          <w:sz w:val="12"/>
          <w:szCs w:val="12"/>
          <w:b w:val="1"/>
          <w:bCs w:val="1"/>
          <w:color w:val="auto"/>
        </w:rPr>
        <w:t>Total financial liabilities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Note</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2022</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gridSpan w:val="3"/>
          </w:tcPr>
          <w:p>
            <w:pPr>
              <w:ind w:left="22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Level 1</w:t>
            </w:r>
          </w:p>
        </w:tc>
        <w:tc>
          <w:tcPr>
            <w:tcW w:w="1140" w:type="dxa"/>
            <w:vAlign w:val="bottom"/>
            <w:tcBorders>
              <w:top w:val="single" w:sz="8" w:color="auto"/>
            </w:tcBorders>
            <w:gridSpan w:val="3"/>
          </w:tcPr>
          <w:p>
            <w:pPr>
              <w:ind w:left="220"/>
              <w:spacing w:after="0" w:line="122" w:lineRule="exact"/>
              <w:rPr>
                <w:sz w:val="20"/>
                <w:szCs w:val="20"/>
                <w:color w:val="auto"/>
              </w:rPr>
            </w:pPr>
            <w:r>
              <w:rPr>
                <w:rFonts w:ascii="Arial" w:cs="Arial" w:eastAsia="Arial" w:hAnsi="Arial"/>
                <w:sz w:val="12"/>
                <w:szCs w:val="12"/>
                <w:b w:val="1"/>
                <w:bCs w:val="1"/>
                <w:color w:val="auto"/>
              </w:rPr>
              <w:t>Level 2</w:t>
            </w:r>
          </w:p>
        </w:tc>
        <w:tc>
          <w:tcPr>
            <w:tcW w:w="72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2"/>
                <w:szCs w:val="12"/>
                <w:b w:val="1"/>
                <w:bCs w:val="1"/>
                <w:color w:val="auto"/>
              </w:rPr>
              <w:t>Level 3</w:t>
            </w:r>
          </w:p>
        </w:tc>
        <w:tc>
          <w:tcPr>
            <w:tcW w:w="70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0"/>
                <w:szCs w:val="10"/>
                <w:color w:val="auto"/>
              </w:rPr>
            </w:pPr>
          </w:p>
        </w:tc>
        <w:tc>
          <w:tcPr>
            <w:tcW w:w="920" w:type="dxa"/>
            <w:vAlign w:val="bottom"/>
            <w:tcBorders>
              <w:top w:val="single" w:sz="8" w:color="auto"/>
            </w:tcBorders>
            <w:gridSpan w:val="3"/>
          </w:tcPr>
          <w:p>
            <w:pPr>
              <w:spacing w:after="0" w:line="122" w:lineRule="exact"/>
              <w:rPr>
                <w:sz w:val="20"/>
                <w:szCs w:val="20"/>
                <w:color w:val="auto"/>
              </w:rPr>
            </w:pPr>
            <w:r>
              <w:rPr>
                <w:rFonts w:ascii="Arial" w:cs="Arial" w:eastAsia="Arial" w:hAnsi="Arial"/>
                <w:sz w:val="12"/>
                <w:szCs w:val="12"/>
                <w:b w:val="1"/>
                <w:bCs w:val="1"/>
                <w:color w:val="auto"/>
              </w:rPr>
              <w:t>Level 1</w:t>
            </w:r>
          </w:p>
        </w:tc>
        <w:tc>
          <w:tcPr>
            <w:tcW w:w="92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2"/>
                <w:szCs w:val="12"/>
                <w:b w:val="1"/>
                <w:bCs w:val="1"/>
                <w:color w:val="auto"/>
              </w:rPr>
              <w:t>Level 2</w:t>
            </w:r>
          </w:p>
        </w:tc>
        <w:tc>
          <w:tcPr>
            <w:tcW w:w="72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2"/>
                <w:szCs w:val="12"/>
                <w:b w:val="1"/>
                <w:bCs w:val="1"/>
                <w:color w:val="auto"/>
              </w:rPr>
              <w:t>Level 3</w:t>
            </w:r>
          </w:p>
        </w:tc>
        <w:tc>
          <w:tcPr>
            <w:tcW w:w="86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6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410,439</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410,439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860,170</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860,170</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467,140</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467,140</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367,906</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367,906</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500,348</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500,348</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344,780</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344,780</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98,656</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98,656</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86,268</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86,268</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1,349</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1,349</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2,485</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2,485</w:t>
            </w: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ind w:right="300"/>
              <w:spacing w:after="0"/>
              <w:rPr>
                <w:sz w:val="20"/>
                <w:szCs w:val="20"/>
                <w:color w:val="auto"/>
              </w:rPr>
            </w:pPr>
            <w:r>
              <w:rPr>
                <w:rFonts w:ascii="Arial" w:cs="Arial" w:eastAsia="Arial" w:hAnsi="Arial"/>
                <w:sz w:val="12"/>
                <w:szCs w:val="12"/>
                <w:color w:val="auto"/>
              </w:rPr>
              <w:t>13(c)</w:t>
            </w: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794</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794</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19</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38"/>
        </w:trPr>
        <w:tc>
          <w:tcPr>
            <w:tcW w:w="640" w:type="dxa"/>
            <w:vAlign w:val="bottom"/>
            <w:vMerge w:val="continue"/>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1,478,726</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1,478,726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1,661,628</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1,661,628</w:t>
            </w:r>
          </w:p>
        </w:tc>
        <w:tc>
          <w:tcPr>
            <w:tcW w:w="0" w:type="dxa"/>
            <w:vAlign w:val="bottom"/>
          </w:tcPr>
          <w:p>
            <w:pPr>
              <w:spacing w:after="0"/>
              <w:rPr>
                <w:sz w:val="1"/>
                <w:szCs w:val="1"/>
                <w:color w:val="auto"/>
              </w:rPr>
            </w:pPr>
          </w:p>
        </w:tc>
      </w:tr>
      <w:tr>
        <w:trPr>
          <w:trHeight w:val="318"/>
        </w:trPr>
        <w:tc>
          <w:tcPr>
            <w:tcW w:w="640" w:type="dxa"/>
            <w:vAlign w:val="bottom"/>
          </w:tcPr>
          <w:p>
            <w:pPr>
              <w:jc w:val="center"/>
              <w:ind w:right="320"/>
              <w:spacing w:after="0"/>
              <w:rPr>
                <w:sz w:val="20"/>
                <w:szCs w:val="20"/>
                <w:color w:val="auto"/>
              </w:rPr>
            </w:pPr>
            <w:r>
              <w:rPr>
                <w:rFonts w:ascii="Arial" w:cs="Arial" w:eastAsia="Arial" w:hAnsi="Arial"/>
                <w:sz w:val="12"/>
                <w:szCs w:val="12"/>
                <w:color w:val="auto"/>
              </w:rPr>
              <w:t>6(a)</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2,619,090</w:t>
            </w:r>
          </w:p>
        </w:tc>
        <w:tc>
          <w:tcPr>
            <w:tcW w:w="22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608,714</w:t>
            </w:r>
          </w:p>
        </w:tc>
        <w:tc>
          <w:tcPr>
            <w:tcW w:w="22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971,530</w:t>
            </w:r>
          </w:p>
        </w:tc>
        <w:tc>
          <w:tcPr>
            <w:tcW w:w="22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4,199,334</w:t>
            </w:r>
          </w:p>
        </w:tc>
        <w:tc>
          <w:tcPr>
            <w:tcW w:w="22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3,158,519</w:t>
            </w:r>
          </w:p>
        </w:tc>
        <w:tc>
          <w:tcPr>
            <w:tcW w:w="22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1,813,915</w:t>
            </w:r>
          </w:p>
        </w:tc>
        <w:tc>
          <w:tcPr>
            <w:tcW w:w="22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956,104</w:t>
            </w:r>
          </w:p>
        </w:tc>
        <w:tc>
          <w:tcPr>
            <w:tcW w:w="2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5,928,538</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6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768,187</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614</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768,801</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971,923</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10,647</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4,512</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987,082</w:t>
            </w:r>
          </w:p>
        </w:tc>
        <w:tc>
          <w:tcPr>
            <w:tcW w:w="0" w:type="dxa"/>
            <w:vAlign w:val="bottom"/>
          </w:tcPr>
          <w:p>
            <w:pPr>
              <w:spacing w:after="0"/>
              <w:rPr>
                <w:sz w:val="1"/>
                <w:szCs w:val="1"/>
                <w:color w:val="auto"/>
              </w:rPr>
            </w:pPr>
          </w:p>
        </w:tc>
      </w:tr>
      <w:tr>
        <w:trPr>
          <w:trHeight w:val="632"/>
        </w:trPr>
        <w:tc>
          <w:tcPr>
            <w:tcW w:w="6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6,103,452</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6,874,613</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12,978,065</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5,765,402</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9,134,002</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14,899,404</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7,917,699</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768,441</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8,686,140</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8,631,470</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784,703</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9,416,173</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7,019,479</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7,019,479</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8,337,432</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8,337,432</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607,218</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607,218</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642,218</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642,218</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673,836</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673,836</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730,115</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730,115</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176,712</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186,714</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363,426</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72,738</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148,825</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221,563</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121,642</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121,642</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133,711</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133,711</w:t>
            </w: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ind w:right="320"/>
              <w:spacing w:after="0"/>
              <w:rPr>
                <w:sz w:val="20"/>
                <w:szCs w:val="20"/>
                <w:color w:val="auto"/>
              </w:rPr>
            </w:pPr>
            <w:r>
              <w:rPr>
                <w:rFonts w:ascii="Arial" w:cs="Arial" w:eastAsia="Arial" w:hAnsi="Arial"/>
                <w:sz w:val="12"/>
                <w:szCs w:val="12"/>
                <w:color w:val="auto"/>
              </w:rPr>
              <w:t>6(b)</w:t>
            </w: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159,240</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160,738</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16,377</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336,355</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175,676</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184,712</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17,439</w:t>
            </w:r>
          </w:p>
        </w:tc>
        <w:tc>
          <w:tcPr>
            <w:tcW w:w="22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377,827</w:t>
            </w:r>
          </w:p>
        </w:tc>
        <w:tc>
          <w:tcPr>
            <w:tcW w:w="0" w:type="dxa"/>
            <w:vAlign w:val="bottom"/>
          </w:tcPr>
          <w:p>
            <w:pPr>
              <w:spacing w:after="0"/>
              <w:rPr>
                <w:sz w:val="1"/>
                <w:szCs w:val="1"/>
                <w:color w:val="auto"/>
              </w:rPr>
            </w:pPr>
          </w:p>
        </w:tc>
      </w:tr>
      <w:tr>
        <w:trPr>
          <w:trHeight w:val="138"/>
        </w:trPr>
        <w:tc>
          <w:tcPr>
            <w:tcW w:w="640" w:type="dxa"/>
            <w:vAlign w:val="bottom"/>
            <w:vMerge w:val="continue"/>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14,357,103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16,412,681</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16,377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30,786,161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14,645,286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20,095,718</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17,439</w:t>
            </w: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34,758,443</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17,744,380</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18,500,735</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987,907</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37,233,022</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18,775,728</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23,581,908</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978,055</w:t>
            </w:r>
          </w:p>
        </w:tc>
        <w:tc>
          <w:tcPr>
            <w:tcW w:w="22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43,335,691</w:t>
            </w:r>
          </w:p>
        </w:tc>
        <w:tc>
          <w:tcPr>
            <w:tcW w:w="0" w:type="dxa"/>
            <w:vAlign w:val="bottom"/>
          </w:tcPr>
          <w:p>
            <w:pPr>
              <w:spacing w:after="0"/>
              <w:rPr>
                <w:sz w:val="1"/>
                <w:szCs w:val="1"/>
                <w:color w:val="auto"/>
              </w:rPr>
            </w:pPr>
          </w:p>
        </w:tc>
      </w:tr>
      <w:tr>
        <w:trPr>
          <w:trHeight w:val="512"/>
        </w:trPr>
        <w:tc>
          <w:tcPr>
            <w:tcW w:w="6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749,420</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749,420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795,845</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795,845</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288,857</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288,857</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387,371</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387,371</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278,385</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278,385</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333,540</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333,540</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24,385</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24,385</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4,342</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4,342</w:t>
            </w:r>
          </w:p>
        </w:tc>
        <w:tc>
          <w:tcPr>
            <w:tcW w:w="0" w:type="dxa"/>
            <w:vAlign w:val="bottom"/>
          </w:tcPr>
          <w:p>
            <w:pPr>
              <w:spacing w:after="0"/>
              <w:rPr>
                <w:sz w:val="1"/>
                <w:szCs w:val="1"/>
                <w:color w:val="auto"/>
              </w:rPr>
            </w:pPr>
          </w:p>
        </w:tc>
      </w:tr>
      <w:tr>
        <w:trPr>
          <w:trHeight w:val="130"/>
        </w:trPr>
        <w:tc>
          <w:tcPr>
            <w:tcW w:w="64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3,168</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3,168</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3,258</w:t>
            </w:r>
          </w:p>
        </w:tc>
        <w:tc>
          <w:tcPr>
            <w:tcW w:w="2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2"/>
                <w:szCs w:val="12"/>
                <w:color w:val="auto"/>
              </w:rPr>
              <w:t>3,258</w:t>
            </w: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ind w:right="300"/>
              <w:spacing w:after="0"/>
              <w:rPr>
                <w:sz w:val="20"/>
                <w:szCs w:val="20"/>
                <w:color w:val="auto"/>
              </w:rPr>
            </w:pPr>
            <w:r>
              <w:rPr>
                <w:rFonts w:ascii="Arial" w:cs="Arial" w:eastAsia="Arial" w:hAnsi="Arial"/>
                <w:sz w:val="12"/>
                <w:szCs w:val="12"/>
                <w:color w:val="auto"/>
              </w:rPr>
              <w:t>13(c)</w:t>
            </w: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1,450</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1,450</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405</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405</w:t>
            </w:r>
          </w:p>
        </w:tc>
        <w:tc>
          <w:tcPr>
            <w:tcW w:w="0" w:type="dxa"/>
            <w:vAlign w:val="bottom"/>
          </w:tcPr>
          <w:p>
            <w:pPr>
              <w:spacing w:after="0"/>
              <w:rPr>
                <w:sz w:val="1"/>
                <w:szCs w:val="1"/>
                <w:color w:val="auto"/>
              </w:rPr>
            </w:pPr>
          </w:p>
        </w:tc>
      </w:tr>
      <w:tr>
        <w:trPr>
          <w:trHeight w:val="138"/>
        </w:trPr>
        <w:tc>
          <w:tcPr>
            <w:tcW w:w="640" w:type="dxa"/>
            <w:vAlign w:val="bottom"/>
            <w:vMerge w:val="continue"/>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1,345,665</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1,345,665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1,524,761</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1,524,761</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191,010</w:t>
            </w:r>
          </w:p>
        </w:tc>
        <w:tc>
          <w:tcPr>
            <w:tcW w:w="22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191,010</w:t>
            </w:r>
          </w:p>
        </w:tc>
        <w:tc>
          <w:tcPr>
            <w:tcW w:w="22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337,909</w:t>
            </w:r>
          </w:p>
        </w:tc>
        <w:tc>
          <w:tcPr>
            <w:tcW w:w="22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337,909</w:t>
            </w: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1,536,675</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1,536,675</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1,862,670</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1,862,670</w:t>
            </w:r>
          </w:p>
        </w:tc>
        <w:tc>
          <w:tcPr>
            <w:tcW w:w="0" w:type="dxa"/>
            <w:vAlign w:val="bottom"/>
          </w:tcPr>
          <w:p>
            <w:pPr>
              <w:spacing w:after="0"/>
              <w:rPr>
                <w:sz w:val="1"/>
                <w:szCs w:val="1"/>
                <w:color w:val="auto"/>
              </w:rPr>
            </w:pPr>
          </w:p>
        </w:tc>
      </w:tr>
    </w:tbl>
    <w:p>
      <w:pPr>
        <w:spacing w:after="0" w:line="168" w:lineRule="exact"/>
        <w:rPr>
          <w:sz w:val="20"/>
          <w:szCs w:val="20"/>
          <w:color w:val="auto"/>
        </w:rPr>
      </w:pPr>
    </w:p>
    <w:p>
      <w:pPr>
        <w:sectPr>
          <w:pgSz w:w="11900" w:h="16838" w:orient="portrait"/>
          <w:cols w:equalWidth="0" w:num="2">
            <w:col w:w="3340" w:space="40"/>
            <w:col w:w="7860"/>
          </w:cols>
          <w:pgMar w:left="320" w:top="118"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- 179 -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4" w:name="page185"/>
    <w:bookmarkEnd w:id="184"/>
    <w:p>
      <w:pPr>
        <w:jc w:val="both"/>
        <w:spacing w:after="0" w:line="243" w:lineRule="auto"/>
        <w:rPr>
          <w:sz w:val="20"/>
          <w:szCs w:val="20"/>
          <w:color w:val="auto"/>
        </w:rPr>
      </w:pPr>
      <w:r>
        <w:rPr>
          <w:rFonts w:ascii="Arial" w:cs="Arial" w:eastAsia="Arial" w:hAnsi="Arial"/>
          <w:sz w:val="17"/>
          <w:szCs w:val="17"/>
          <w:color w:val="auto"/>
        </w:rPr>
        <w:t>Financial instruments included in the Level 1 category are those that are measured based on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Financial instruments included in the Level 2 category are those that are measured based on observable market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7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tab/>
        <w:t>Valuation of derivative financial instruments -</w:t>
      </w:r>
    </w:p>
    <w:p>
      <w:pPr>
        <w:spacing w:after="0" w:line="245" w:lineRule="exact"/>
        <w:rPr>
          <w:sz w:val="20"/>
          <w:szCs w:val="20"/>
          <w:color w:val="auto"/>
        </w:rPr>
      </w:pPr>
    </w:p>
    <w:p>
      <w:pPr>
        <w:jc w:val="both"/>
        <w:ind w:left="300"/>
        <w:spacing w:after="0" w:line="243" w:lineRule="auto"/>
        <w:rPr>
          <w:sz w:val="20"/>
          <w:szCs w:val="20"/>
          <w:color w:val="auto"/>
        </w:rPr>
      </w:pPr>
      <w:r>
        <w:rPr>
          <w:rFonts w:ascii="Arial" w:cs="Arial" w:eastAsia="Arial" w:hAnsi="Arial"/>
          <w:sz w:val="17"/>
          <w:szCs w:val="17"/>
          <w:color w:val="auto"/>
        </w:rPr>
        <w:t>Interest rate swaps, currency swaps and forward exchange contracts are measured by using valuation techniques where inputs are based on market data. The most frequently applied valuation techniques include forward pricing and swap models, using present value calculations. The models incorporate various inputs, including the credit quality of counterparties, spot exchange rates, forward rates and interest rate curves. Options are valued using well-known, widely accepted valuation models.</w:t>
      </w:r>
    </w:p>
    <w:p>
      <w:pPr>
        <w:spacing w:after="0" w:line="180" w:lineRule="exact"/>
        <w:rPr>
          <w:sz w:val="20"/>
          <w:szCs w:val="20"/>
          <w:color w:val="auto"/>
        </w:rPr>
      </w:pPr>
    </w:p>
    <w:p>
      <w:pPr>
        <w:jc w:val="both"/>
        <w:ind w:left="300"/>
        <w:spacing w:after="0" w:line="243" w:lineRule="auto"/>
        <w:rPr>
          <w:sz w:val="20"/>
          <w:szCs w:val="20"/>
          <w:color w:val="auto"/>
        </w:rPr>
      </w:pPr>
      <w:r>
        <w:rPr>
          <w:rFonts w:ascii="Arial" w:cs="Arial" w:eastAsia="Arial" w:hAnsi="Arial"/>
          <w:sz w:val="17"/>
          <w:szCs w:val="17"/>
          <w:color w:val="auto"/>
        </w:rPr>
        <w:t>A credit valuation adjustment (CVA) is applied to the “Over-The-Counter”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180" w:lineRule="exact"/>
        <w:rPr>
          <w:sz w:val="20"/>
          <w:szCs w:val="20"/>
          <w:color w:val="auto"/>
        </w:rPr>
      </w:pPr>
    </w:p>
    <w:p>
      <w:pPr>
        <w:jc w:val="both"/>
        <w:ind w:left="300"/>
        <w:spacing w:after="0" w:line="254" w:lineRule="auto"/>
        <w:rPr>
          <w:sz w:val="20"/>
          <w:szCs w:val="20"/>
          <w:color w:val="auto"/>
        </w:rPr>
      </w:pPr>
      <w:r>
        <w:rPr>
          <w:rFonts w:ascii="Arial" w:cs="Arial" w:eastAsia="Arial" w:hAnsi="Arial"/>
          <w:sz w:val="17"/>
          <w:szCs w:val="17"/>
          <w:color w:val="auto"/>
        </w:rPr>
        <w:t>A debit valuation adjustment (DVA) is applied to include the Group’s own credit risk in the fair value of derivatives (that is the risk that the Group might default on its contractual obligations), using the same methodology as for CVA.</w:t>
      </w:r>
    </w:p>
    <w:p>
      <w:pPr>
        <w:spacing w:after="0" w:line="33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- 180 -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0"/>
          </w:cols>
          <w:pgMar w:left="1260" w:top="346" w:right="339" w:bottom="1440" w:gutter="0" w:footer="0" w:header="0"/>
        </w:sectPr>
      </w:pPr>
    </w:p>
    <w:bookmarkStart w:id="185" w:name="page186"/>
    <w:bookmarkEnd w:id="185"/>
    <w:p>
      <w:pPr>
        <w:jc w:val="both"/>
        <w:ind w:left="300"/>
        <w:spacing w:after="0" w:line="241" w:lineRule="auto"/>
        <w:rPr>
          <w:sz w:val="20"/>
          <w:szCs w:val="20"/>
          <w:color w:val="auto"/>
        </w:rPr>
      </w:pPr>
      <w:r>
        <w:rPr>
          <w:rFonts w:ascii="Arial" w:cs="Arial" w:eastAsia="Arial" w:hAnsi="Arial"/>
          <w:sz w:val="17"/>
          <w:szCs w:val="17"/>
          <w:color w:val="auto"/>
        </w:rPr>
        <w:t>As of December 31, 2022, the balance of receivables and payables corresponding to derivatives amounted to S/1,478.7 million and S/1,345.7 million respectively, See Note 13(c), generating DVA and CVA adjustments for approximately S/7.5 million and S/11.2 million respectively. The net impact of both items in the consolidated statement of income amounted to S/6.0 million of loss. As of December 31, 2021, the balance of receivables and payables corresponding to derivatives amounted to S/1,661.6 million and S/1,524.8 million, respectively, See Note 13(c), generating DVA and CVA adjustments for approximately S/7.8 million and S/17.3 million, respectively. Also, the net impact of both items in the consolidated statement of income amounted to S/0.3 million of loss.</w:t>
      </w:r>
    </w:p>
    <w:p>
      <w:pPr>
        <w:spacing w:after="0" w:line="37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tab/>
        <w:t>Valuation of debt securities classified in the category “at fair value through other comprehensive income” and included in level 2 -</w:t>
      </w:r>
    </w:p>
    <w:p>
      <w:pPr>
        <w:spacing w:after="0" w:line="245" w:lineRule="exact"/>
        <w:rPr>
          <w:sz w:val="20"/>
          <w:szCs w:val="20"/>
          <w:color w:val="auto"/>
        </w:rPr>
      </w:pPr>
    </w:p>
    <w:p>
      <w:pPr>
        <w:jc w:val="both"/>
        <w:ind w:left="300"/>
        <w:spacing w:after="0" w:line="246" w:lineRule="auto"/>
        <w:rPr>
          <w:sz w:val="20"/>
          <w:szCs w:val="20"/>
          <w:color w:val="auto"/>
        </w:rPr>
      </w:pPr>
      <w:r>
        <w:rPr>
          <w:rFonts w:ascii="Arial" w:cs="Arial" w:eastAsia="Arial" w:hAnsi="Arial"/>
          <w:sz w:val="17"/>
          <w:szCs w:val="17"/>
          <w:color w:val="auto"/>
        </w:rPr>
        <w:t>Valuation of certificates of deposit BCRP, corporate, leasing, subordinated bonds and Government treasury bonds are measured by calculating their Net Present Values (NPV) through discounted cash flows, using appropriate and relevant zero coupon rate curves to discount cash flows in the respective currency and considering observable current market transactions.</w:t>
      </w:r>
    </w:p>
    <w:p>
      <w:pPr>
        <w:spacing w:after="0" w:line="176" w:lineRule="exact"/>
        <w:rPr>
          <w:sz w:val="20"/>
          <w:szCs w:val="20"/>
          <w:color w:val="auto"/>
        </w:rPr>
      </w:pPr>
    </w:p>
    <w:p>
      <w:pPr>
        <w:jc w:val="both"/>
        <w:ind w:left="300"/>
        <w:spacing w:after="0" w:line="246" w:lineRule="auto"/>
        <w:rPr>
          <w:sz w:val="20"/>
          <w:szCs w:val="20"/>
          <w:color w:val="auto"/>
        </w:rPr>
      </w:pPr>
      <w:r>
        <w:rPr>
          <w:rFonts w:ascii="Arial" w:cs="Arial" w:eastAsia="Arial" w:hAnsi="Arial"/>
          <w:sz w:val="17"/>
          <w:szCs w:val="17"/>
          <w:color w:val="auto"/>
        </w:rPr>
        <w:t>Certificates of deposit BCRP (CD BCRP) are securities issued at a discount in order to regulate the liquidity of the financial system. They are placed mainly through public auction or direct placement, are freely negotiable by their holders in the Peruvian secondary market and may be used as collateral in Repurchase Agreement Transactions of Securities with the BCRP.</w:t>
      </w:r>
    </w:p>
    <w:p>
      <w:pPr>
        <w:spacing w:after="0" w:line="176" w:lineRule="exact"/>
        <w:rPr>
          <w:sz w:val="20"/>
          <w:szCs w:val="20"/>
          <w:color w:val="auto"/>
        </w:rPr>
      </w:pPr>
    </w:p>
    <w:p>
      <w:pPr>
        <w:jc w:val="both"/>
        <w:ind w:left="300"/>
        <w:spacing w:after="0" w:line="243" w:lineRule="auto"/>
        <w:rPr>
          <w:sz w:val="20"/>
          <w:szCs w:val="20"/>
          <w:color w:val="auto"/>
        </w:rPr>
      </w:pPr>
      <w:r>
        <w:rPr>
          <w:rFonts w:ascii="Arial" w:cs="Arial" w:eastAsia="Arial" w:hAnsi="Arial"/>
          <w:sz w:val="17"/>
          <w:szCs w:val="17"/>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80"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tab/>
        <w:t>Valuation of financial instruments included in level 3 -</w:t>
      </w:r>
    </w:p>
    <w:p>
      <w:pPr>
        <w:spacing w:after="0" w:line="245" w:lineRule="exact"/>
        <w:rPr>
          <w:sz w:val="20"/>
          <w:szCs w:val="20"/>
          <w:color w:val="auto"/>
        </w:rPr>
      </w:pPr>
    </w:p>
    <w:p>
      <w:pPr>
        <w:jc w:val="both"/>
        <w:ind w:left="300"/>
        <w:spacing w:after="0" w:line="254" w:lineRule="auto"/>
        <w:rPr>
          <w:sz w:val="20"/>
          <w:szCs w:val="20"/>
          <w:color w:val="auto"/>
        </w:rPr>
      </w:pPr>
      <w:r>
        <w:rPr>
          <w:rFonts w:ascii="Arial" w:cs="Arial" w:eastAsia="Arial" w:hAnsi="Arial"/>
          <w:sz w:val="17"/>
          <w:szCs w:val="17"/>
          <w:color w:val="auto"/>
        </w:rPr>
        <w:t>These are measured using valuation techniques (internal models), based on assumptions that are not supported by transaction prices observable in the market for the same instrument, nor based on available market data.</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this regard, no significant differences were noted between the estimated fair values and the respective carrying amounts.</w:t>
      </w:r>
    </w:p>
    <w:p>
      <w:pPr>
        <w:spacing w:after="0" w:line="193" w:lineRule="exact"/>
        <w:rPr>
          <w:sz w:val="20"/>
          <w:szCs w:val="20"/>
          <w:color w:val="auto"/>
        </w:rPr>
      </w:pPr>
    </w:p>
    <w:p>
      <w:pPr>
        <w:jc w:val="both"/>
        <w:ind w:left="300"/>
        <w:spacing w:after="0" w:line="243" w:lineRule="auto"/>
        <w:rPr>
          <w:sz w:val="20"/>
          <w:szCs w:val="20"/>
          <w:color w:val="auto"/>
        </w:rPr>
      </w:pPr>
      <w:r>
        <w:rPr>
          <w:rFonts w:ascii="Arial" w:cs="Arial" w:eastAsia="Arial" w:hAnsi="Arial"/>
          <w:sz w:val="17"/>
          <w:szCs w:val="17"/>
          <w:color w:val="auto"/>
        </w:rPr>
        <w:t>As of December 31, 2022 and 2021, the net unrealized loss of Level 3 financial instruments amounted to S/0.1 million and S/0.7 million, respectively. During 2022 and 2021, changes in the carrying amount of Level 3 financial instruments have not been significant since there were no purchases, issuances, settlements or any other significant movements or transfers from level 3 to Level 1 or Level 2 or vice versa.</w:t>
      </w:r>
    </w:p>
    <w:p>
      <w:pPr>
        <w:spacing w:after="0" w:line="34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- 181 -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32385</wp:posOffset>
            </wp:positionV>
            <wp:extent cx="713803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0"/>
          </w:cols>
          <w:pgMar w:left="1260" w:top="333" w:right="339" w:bottom="1440" w:gutter="0" w:footer="0" w:header="0"/>
        </w:sectPr>
      </w:pPr>
    </w:p>
    <w:bookmarkStart w:id="186" w:name="page187"/>
    <w:bookmarkEnd w:id="186"/>
    <w:p>
      <w:pPr>
        <w:spacing w:after="0"/>
        <w:tabs>
          <w:tab w:leader="none" w:pos="300" w:val="left"/>
        </w:tabs>
        <w:rPr>
          <w:sz w:val="20"/>
          <w:szCs w:val="20"/>
          <w:color w:val="auto"/>
        </w:rPr>
      </w:pPr>
      <w:r>
        <w:rPr>
          <w:rFonts w:ascii="Arial" w:cs="Arial" w:eastAsia="Arial" w:hAnsi="Arial"/>
          <w:sz w:val="17"/>
          <w:szCs w:val="17"/>
          <w:color w:val="auto"/>
        </w:rPr>
        <w:t>b)</w:t>
        <w:tab/>
        <w:t>Financial instruments not measured at fair value -</w:t>
      </w:r>
    </w:p>
    <w:p>
      <w:pPr>
        <w:spacing w:after="0" w:line="193" w:lineRule="exact"/>
        <w:rPr>
          <w:sz w:val="20"/>
          <w:szCs w:val="20"/>
          <w:color w:val="auto"/>
        </w:rPr>
      </w:pPr>
    </w:p>
    <w:p>
      <w:pPr>
        <w:ind w:left="320"/>
        <w:spacing w:after="0" w:line="254" w:lineRule="auto"/>
        <w:rPr>
          <w:sz w:val="20"/>
          <w:szCs w:val="20"/>
          <w:color w:val="auto"/>
        </w:rPr>
      </w:pPr>
      <w:r>
        <w:rPr>
          <w:rFonts w:ascii="Arial" w:cs="Arial" w:eastAsia="Arial" w:hAnsi="Arial"/>
          <w:sz w:val="17"/>
          <w:szCs w:val="17"/>
          <w:color w:val="auto"/>
        </w:rPr>
        <w:t>We present below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158" w:lineRule="exact"/>
        <w:rPr>
          <w:sz w:val="20"/>
          <w:szCs w:val="20"/>
          <w:color w:val="auto"/>
        </w:rPr>
      </w:pPr>
    </w:p>
    <w:tbl>
      <w:tblPr>
        <w:tblLayout w:type="fixed"/>
        <w:tblInd w:w="1860" w:type="dxa"/>
        <w:tblCellMar>
          <w:top w:w="0" w:type="dxa"/>
          <w:left w:w="0" w:type="dxa"/>
          <w:bottom w:w="0" w:type="dxa"/>
          <w:right w:w="0" w:type="dxa"/>
        </w:tblCellMar>
      </w:tblPr>
      <w:tr>
        <w:trPr>
          <w:trHeight w:val="167"/>
        </w:trPr>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8"/>
        </w:trPr>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Level 1</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Level 3</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Fair value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Book value</w:t>
            </w:r>
          </w:p>
        </w:tc>
        <w:tc>
          <w:tcPr>
            <w:tcW w:w="16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Level 1</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Level 3</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Fair value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Book value</w:t>
            </w:r>
          </w:p>
        </w:tc>
      </w:tr>
      <w:tr>
        <w:trPr>
          <w:trHeight w:val="153"/>
        </w:trPr>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56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56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S/(000)</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b w:val="1"/>
                <w:bCs w:val="1"/>
                <w:color w:val="auto"/>
              </w:rPr>
              <w:t>Assets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Cash and due from</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banks</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34,183,840</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34,183,840</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34,183,840</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39,320,740</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39,320,740</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39,320,740</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Cash collateral,</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reverse repurchase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agreements and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securities borrowing</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1,101,856</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1,101,856</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1,101,856</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1,766,948</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1,766,948</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1,766,948</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Investments at</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amortized cost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8,849,683</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292,335</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9,142,018</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10,445,729</w:t>
            </w:r>
          </w:p>
        </w:tc>
        <w:tc>
          <w:tcPr>
            <w:tcW w:w="1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7,618,178</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321,495</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7,939,673</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8,265,559</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Loans, net</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140,753,972</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140,753,972</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140,753,972</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139,120,104</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139,120,104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139,120,104</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Premiums and other</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policies receivable</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913,124</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913,124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913,124</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921,103</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921,103</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921,103</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Accounts receivable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from reinsurers and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coinsurers</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1,106,674</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1,106,674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1,106,674</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1,198,379</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1,198,379</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1,198,379</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Due from customers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on banker’s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acceptances</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699,678</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699,678</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699,678</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532,404</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532,404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532,404</w:t>
            </w:r>
          </w:p>
        </w:tc>
      </w:tr>
      <w:tr>
        <w:trPr>
          <w:trHeight w:val="151"/>
        </w:trPr>
        <w:tc>
          <w:tcPr>
            <w:tcW w:w="1540" w:type="dxa"/>
            <w:vAlign w:val="bottom"/>
          </w:tcPr>
          <w:p>
            <w:pPr>
              <w:spacing w:after="0" w:line="151" w:lineRule="exact"/>
              <w:rPr>
                <w:sz w:val="20"/>
                <w:szCs w:val="20"/>
                <w:color w:val="auto"/>
              </w:rPr>
            </w:pPr>
            <w:r>
              <w:rPr>
                <w:rFonts w:ascii="Arial" w:cs="Arial" w:eastAsia="Arial" w:hAnsi="Arial"/>
                <w:sz w:val="14"/>
                <w:szCs w:val="14"/>
                <w:color w:val="auto"/>
              </w:rPr>
              <w:t>Other assets</w:t>
            </w: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1,755,899</w:t>
            </w:r>
          </w:p>
        </w:tc>
        <w:tc>
          <w:tcPr>
            <w:tcW w:w="140" w:type="dxa"/>
            <w:vAlign w:val="bottom"/>
          </w:tcPr>
          <w:p>
            <w:pPr>
              <w:spacing w:after="0"/>
              <w:rPr>
                <w:sz w:val="13"/>
                <w:szCs w:val="13"/>
                <w:color w:val="auto"/>
              </w:rPr>
            </w:pPr>
          </w:p>
        </w:tc>
        <w:tc>
          <w:tcPr>
            <w:tcW w:w="560" w:type="dxa"/>
            <w:vAlign w:val="bottom"/>
            <w:tcBorders>
              <w:bottom w:val="single" w:sz="8" w:color="auto"/>
            </w:tcBorders>
          </w:tcPr>
          <w:p>
            <w:pPr>
              <w:ind w:left="440"/>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1,755,899</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1,755,899</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1,809,431</w:t>
            </w:r>
          </w:p>
        </w:tc>
        <w:tc>
          <w:tcPr>
            <w:tcW w:w="140" w:type="dxa"/>
            <w:vAlign w:val="bottom"/>
          </w:tcPr>
          <w:p>
            <w:pPr>
              <w:spacing w:after="0"/>
              <w:rPr>
                <w:sz w:val="13"/>
                <w:szCs w:val="13"/>
                <w:color w:val="auto"/>
              </w:rPr>
            </w:pPr>
          </w:p>
        </w:tc>
        <w:tc>
          <w:tcPr>
            <w:tcW w:w="560" w:type="dxa"/>
            <w:vAlign w:val="bottom"/>
            <w:tcBorders>
              <w:bottom w:val="single" w:sz="8" w:color="auto"/>
            </w:tcBorders>
          </w:tcPr>
          <w:p>
            <w:pPr>
              <w:ind w:left="420"/>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1,809,431</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1,809,431</w:t>
            </w: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rPr>
              <w:t>Total</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8,849,683</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180,807,378</w:t>
            </w:r>
          </w:p>
        </w:tc>
        <w:tc>
          <w:tcPr>
            <w:tcW w:w="14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189,657,061</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190,960,772</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7,618,178</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184,990,604</w:t>
            </w:r>
          </w:p>
        </w:tc>
        <w:tc>
          <w:tcPr>
            <w:tcW w:w="14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192,608,782</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192,934,668</w:t>
            </w:r>
          </w:p>
        </w:tc>
      </w:tr>
      <w:tr>
        <w:trPr>
          <w:trHeight w:val="308"/>
        </w:trPr>
        <w:tc>
          <w:tcPr>
            <w:tcW w:w="154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Deposits and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obligations</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147,020,787</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147,020,787</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147,020,787</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150,340,862</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150,340,862</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149,596,545</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Payables on</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repurchase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agreements and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securities lending</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12,966,725</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12,966,725</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12,966,725</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22,013,866</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22,013,866</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22,013,866</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Due to Banks and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correspondents and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other entities</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9,012,529</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9,012,529</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8,937,411</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8,910,930</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8,910,930</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7,212,946</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Due from customers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on banker’s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acceptances</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699,678</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699,678</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699,678</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532,404</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532,404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532,404</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Payable to reinsurers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and coinsurers</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420,094</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420,094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420,094</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463,825</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463,825</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463,825</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Lease liabilities</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578,074</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578,074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578,074</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655,294</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655,294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655,294</w:t>
            </w: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Bond and notes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1540" w:type="dxa"/>
            <w:vAlign w:val="bottom"/>
          </w:tcPr>
          <w:p>
            <w:pPr>
              <w:spacing w:after="0" w:line="155" w:lineRule="exact"/>
              <w:rPr>
                <w:sz w:val="20"/>
                <w:szCs w:val="20"/>
                <w:color w:val="auto"/>
              </w:rPr>
            </w:pPr>
            <w:r>
              <w:rPr>
                <w:rFonts w:ascii="Arial" w:cs="Arial" w:eastAsia="Arial" w:hAnsi="Arial"/>
                <w:sz w:val="14"/>
                <w:szCs w:val="14"/>
                <w:color w:val="auto"/>
              </w:rPr>
              <w:t>issued</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16,610,504</w:t>
            </w:r>
          </w:p>
        </w:tc>
        <w:tc>
          <w:tcPr>
            <w:tcW w:w="140" w:type="dxa"/>
            <w:vAlign w:val="bottom"/>
          </w:tcPr>
          <w:p>
            <w:pPr>
              <w:spacing w:after="0"/>
              <w:rPr>
                <w:sz w:val="13"/>
                <w:szCs w:val="13"/>
                <w:color w:val="auto"/>
              </w:rPr>
            </w:pPr>
          </w:p>
        </w:tc>
        <w:tc>
          <w:tcPr>
            <w:tcW w:w="7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16,610,504</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17,007,194</w:t>
            </w:r>
          </w:p>
        </w:tc>
        <w:tc>
          <w:tcPr>
            <w:tcW w:w="16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17,344,990</w:t>
            </w:r>
          </w:p>
        </w:tc>
        <w:tc>
          <w:tcPr>
            <w:tcW w:w="140" w:type="dxa"/>
            <w:vAlign w:val="bottom"/>
          </w:tcPr>
          <w:p>
            <w:pPr>
              <w:spacing w:after="0"/>
              <w:rPr>
                <w:sz w:val="13"/>
                <w:szCs w:val="13"/>
                <w:color w:val="auto"/>
              </w:rPr>
            </w:pP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17,344,990</w:t>
            </w: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17,823,146</w:t>
            </w:r>
          </w:p>
        </w:tc>
      </w:tr>
      <w:tr>
        <w:trPr>
          <w:trHeight w:val="151"/>
        </w:trPr>
        <w:tc>
          <w:tcPr>
            <w:tcW w:w="1540" w:type="dxa"/>
            <w:vAlign w:val="bottom"/>
          </w:tcPr>
          <w:p>
            <w:pPr>
              <w:spacing w:after="0" w:line="151" w:lineRule="exact"/>
              <w:rPr>
                <w:sz w:val="20"/>
                <w:szCs w:val="20"/>
                <w:color w:val="auto"/>
              </w:rPr>
            </w:pPr>
            <w:r>
              <w:rPr>
                <w:rFonts w:ascii="Arial" w:cs="Arial" w:eastAsia="Arial" w:hAnsi="Arial"/>
                <w:sz w:val="14"/>
                <w:szCs w:val="14"/>
                <w:color w:val="auto"/>
              </w:rPr>
              <w:t>Other liabilities</w:t>
            </w: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4,065,297</w:t>
            </w:r>
          </w:p>
        </w:tc>
        <w:tc>
          <w:tcPr>
            <w:tcW w:w="140" w:type="dxa"/>
            <w:vAlign w:val="bottom"/>
          </w:tcPr>
          <w:p>
            <w:pPr>
              <w:spacing w:after="0"/>
              <w:rPr>
                <w:sz w:val="13"/>
                <w:szCs w:val="13"/>
                <w:color w:val="auto"/>
              </w:rPr>
            </w:pPr>
          </w:p>
        </w:tc>
        <w:tc>
          <w:tcPr>
            <w:tcW w:w="560" w:type="dxa"/>
            <w:vAlign w:val="bottom"/>
            <w:tcBorders>
              <w:bottom w:val="single" w:sz="8" w:color="auto"/>
            </w:tcBorders>
          </w:tcPr>
          <w:p>
            <w:pPr>
              <w:ind w:left="440"/>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4,065,297</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4,065,297</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3,845,852</w:t>
            </w:r>
          </w:p>
        </w:tc>
        <w:tc>
          <w:tcPr>
            <w:tcW w:w="140" w:type="dxa"/>
            <w:vAlign w:val="bottom"/>
          </w:tcPr>
          <w:p>
            <w:pPr>
              <w:spacing w:after="0"/>
              <w:rPr>
                <w:sz w:val="13"/>
                <w:szCs w:val="13"/>
                <w:color w:val="auto"/>
              </w:rPr>
            </w:pPr>
          </w:p>
        </w:tc>
        <w:tc>
          <w:tcPr>
            <w:tcW w:w="560" w:type="dxa"/>
            <w:vAlign w:val="bottom"/>
            <w:tcBorders>
              <w:bottom w:val="single" w:sz="8" w:color="auto"/>
            </w:tcBorders>
          </w:tcPr>
          <w:p>
            <w:pPr>
              <w:ind w:left="420"/>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3,845,852</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3,845,852</w:t>
            </w:r>
          </w:p>
        </w:tc>
      </w:tr>
      <w:tr>
        <w:trPr>
          <w:trHeight w:val="154"/>
        </w:trPr>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191,373,688</w:t>
            </w:r>
          </w:p>
        </w:tc>
        <w:tc>
          <w:tcPr>
            <w:tcW w:w="140" w:type="dxa"/>
            <w:vAlign w:val="bottom"/>
          </w:tcPr>
          <w:p>
            <w:pPr>
              <w:spacing w:after="0"/>
              <w:rPr>
                <w:sz w:val="13"/>
                <w:szCs w:val="13"/>
                <w:color w:val="auto"/>
              </w:rPr>
            </w:pPr>
          </w:p>
        </w:tc>
        <w:tc>
          <w:tcPr>
            <w:tcW w:w="56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191,373,688</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191,695,260</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204,108,023</w:t>
            </w:r>
          </w:p>
        </w:tc>
        <w:tc>
          <w:tcPr>
            <w:tcW w:w="140" w:type="dxa"/>
            <w:vAlign w:val="bottom"/>
          </w:tcPr>
          <w:p>
            <w:pPr>
              <w:spacing w:after="0"/>
              <w:rPr>
                <w:sz w:val="13"/>
                <w:szCs w:val="13"/>
                <w:color w:val="auto"/>
              </w:rPr>
            </w:pPr>
          </w:p>
        </w:tc>
        <w:tc>
          <w:tcPr>
            <w:tcW w:w="56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204,108,023</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202,143,878</w:t>
            </w:r>
          </w:p>
        </w:tc>
      </w:tr>
    </w:tbl>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7" w:name="page188"/>
    <w:bookmarkEnd w:id="187"/>
    <w:p>
      <w:pPr>
        <w:ind w:left="4"/>
        <w:spacing w:after="0" w:line="254" w:lineRule="auto"/>
        <w:rPr>
          <w:sz w:val="20"/>
          <w:szCs w:val="20"/>
          <w:color w:val="auto"/>
        </w:rPr>
      </w:pPr>
      <w:r>
        <w:rPr>
          <w:rFonts w:ascii="Arial" w:cs="Arial" w:eastAsia="Arial" w:hAnsi="Arial"/>
          <w:sz w:val="17"/>
          <w:szCs w:val="17"/>
          <w:color w:val="auto"/>
        </w:rPr>
        <w:t>The methodologies and assumptions used by the Group to determine fair values depend on the terms and risk characteristics of the various financial instruments and include the following:</w:t>
      </w:r>
    </w:p>
    <w:p>
      <w:pPr>
        <w:spacing w:after="0" w:line="169" w:lineRule="exact"/>
        <w:rPr>
          <w:sz w:val="20"/>
          <w:szCs w:val="20"/>
          <w:color w:val="auto"/>
        </w:rPr>
      </w:pPr>
    </w:p>
    <w:p>
      <w:pPr>
        <w:ind w:left="304" w:right="160" w:hanging="304"/>
        <w:spacing w:after="0" w:line="243" w:lineRule="auto"/>
        <w:tabs>
          <w:tab w:leader="none" w:pos="30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taken into account for the incurred losses of these loans. As of December 31, 2022 and 2021, the carrying amounts of loans, net of allowances, were not materially different from their calculated fair values.</w:t>
      </w:r>
    </w:p>
    <w:p>
      <w:pPr>
        <w:spacing w:after="0" w:line="179" w:lineRule="exact"/>
        <w:rPr>
          <w:rFonts w:ascii="Arial" w:cs="Arial" w:eastAsia="Arial" w:hAnsi="Arial"/>
          <w:sz w:val="17"/>
          <w:szCs w:val="17"/>
          <w:color w:val="auto"/>
        </w:rPr>
      </w:pPr>
    </w:p>
    <w:p>
      <w:pPr>
        <w:ind w:left="304" w:right="180" w:hanging="304"/>
        <w:spacing w:after="0" w:line="243" w:lineRule="auto"/>
        <w:tabs>
          <w:tab w:leader="none" w:pos="30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Assets for which fair values approximate their carrying value - For financial assets and financial liabilities that are liquid or have a short term maturity (less than three months) it is assumed that the carrying amounts approximate to their fair values. This assumption is also applied to demand deposits, savings accounts without a specific maturity and variable rate financial instruments.</w:t>
      </w:r>
    </w:p>
    <w:p>
      <w:pPr>
        <w:spacing w:after="0" w:line="179" w:lineRule="exact"/>
        <w:rPr>
          <w:rFonts w:ascii="Arial" w:cs="Arial" w:eastAsia="Arial" w:hAnsi="Arial"/>
          <w:sz w:val="17"/>
          <w:szCs w:val="17"/>
          <w:color w:val="auto"/>
        </w:rPr>
      </w:pPr>
    </w:p>
    <w:p>
      <w:pPr>
        <w:ind w:left="304" w:right="140" w:hanging="304"/>
        <w:spacing w:after="0" w:line="241" w:lineRule="auto"/>
        <w:tabs>
          <w:tab w:leader="none" w:pos="30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350" w:lineRule="exact"/>
        <w:rPr>
          <w:rFonts w:ascii="Arial" w:cs="Arial" w:eastAsia="Arial" w:hAnsi="Arial"/>
          <w:sz w:val="17"/>
          <w:szCs w:val="17"/>
          <w:color w:val="auto"/>
        </w:rPr>
      </w:pPr>
    </w:p>
    <w:p>
      <w:pPr>
        <w:ind w:left="4544" w:hanging="105"/>
        <w:spacing w:after="0"/>
        <w:tabs>
          <w:tab w:leader="none" w:pos="4544" w:val="left"/>
        </w:tabs>
        <w:numPr>
          <w:ilvl w:val="1"/>
          <w:numId w:val="204"/>
        </w:numPr>
        <w:rPr>
          <w:rFonts w:ascii="Arial" w:cs="Arial" w:eastAsia="Arial" w:hAnsi="Arial"/>
          <w:sz w:val="17"/>
          <w:szCs w:val="17"/>
          <w:color w:val="auto"/>
        </w:rPr>
      </w:pPr>
      <w:r>
        <w:rPr>
          <w:rFonts w:ascii="Arial" w:cs="Arial" w:eastAsia="Arial" w:hAnsi="Arial"/>
          <w:sz w:val="17"/>
          <w:szCs w:val="17"/>
          <w:color w:val="auto"/>
        </w:rPr>
        <w:t>183 -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32385</wp:posOffset>
            </wp:positionV>
            <wp:extent cx="713803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304"/>
          </w:cols>
          <w:pgMar w:left="1256" w:top="333" w:right="339" w:bottom="1440" w:gutter="0" w:footer="0" w:header="0"/>
        </w:sectPr>
      </w:pPr>
    </w:p>
    <w:bookmarkStart w:id="188" w:name="page189"/>
    <w:bookmarkEnd w:id="188"/>
    <w:p>
      <w:pPr>
        <w:spacing w:after="0"/>
        <w:tabs>
          <w:tab w:leader="none" w:pos="600" w:val="left"/>
        </w:tabs>
        <w:rPr>
          <w:sz w:val="20"/>
          <w:szCs w:val="20"/>
          <w:color w:val="auto"/>
        </w:rPr>
      </w:pPr>
      <w:r>
        <w:rPr>
          <w:rFonts w:ascii="Arial" w:cs="Arial" w:eastAsia="Arial" w:hAnsi="Arial"/>
          <w:sz w:val="17"/>
          <w:szCs w:val="17"/>
          <w:b w:val="1"/>
          <w:bCs w:val="1"/>
          <w:color w:val="auto"/>
        </w:rPr>
        <w:t>34.9</w:t>
        <w:tab/>
        <w:t>Fiduciary activities, management of funds and pension funds -</w:t>
      </w:r>
    </w:p>
    <w:p>
      <w:pPr>
        <w:spacing w:after="0" w:line="215" w:lineRule="exact"/>
        <w:rPr>
          <w:sz w:val="20"/>
          <w:szCs w:val="20"/>
          <w:color w:val="auto"/>
        </w:rPr>
      </w:pPr>
    </w:p>
    <w:p>
      <w:pPr>
        <w:jc w:val="both"/>
        <w:ind w:left="620"/>
        <w:spacing w:after="0" w:line="243" w:lineRule="auto"/>
        <w:rPr>
          <w:sz w:val="20"/>
          <w:szCs w:val="20"/>
          <w:color w:val="auto"/>
        </w:rPr>
      </w:pPr>
      <w:r>
        <w:rPr>
          <w:rFonts w:ascii="Arial" w:cs="Arial" w:eastAsia="Arial" w:hAnsi="Arial"/>
          <w:sz w:val="17"/>
          <w:szCs w:val="17"/>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80" w:lineRule="exact"/>
        <w:rPr>
          <w:sz w:val="20"/>
          <w:szCs w:val="20"/>
          <w:color w:val="auto"/>
        </w:rPr>
      </w:pPr>
    </w:p>
    <w:p>
      <w:pPr>
        <w:jc w:val="both"/>
        <w:ind w:left="620"/>
        <w:spacing w:after="0" w:line="247" w:lineRule="auto"/>
        <w:rPr>
          <w:sz w:val="20"/>
          <w:szCs w:val="20"/>
          <w:color w:val="auto"/>
        </w:rPr>
      </w:pPr>
      <w:r>
        <w:rPr>
          <w:rFonts w:ascii="Arial" w:cs="Arial" w:eastAsia="Arial" w:hAnsi="Arial"/>
          <w:sz w:val="17"/>
          <w:szCs w:val="17"/>
          <w:color w:val="auto"/>
        </w:rPr>
        <w:t>As of December 31, 2022 and 2021, the value of the net assets under administration off the balance sheet (in millions of soles)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c>
          <w:tcPr>
            <w:tcW w:w="3880" w:type="dxa"/>
            <w:vAlign w:val="bottom"/>
          </w:tcPr>
          <w:p>
            <w:pPr>
              <w:spacing w:after="0"/>
              <w:rPr>
                <w:sz w:val="18"/>
                <w:szCs w:val="18"/>
                <w:color w:val="auto"/>
              </w:rPr>
            </w:pPr>
          </w:p>
        </w:tc>
      </w:tr>
      <w:tr>
        <w:trPr>
          <w:trHeight w:val="381"/>
        </w:trPr>
        <w:tc>
          <w:tcPr>
            <w:tcW w:w="5360" w:type="dxa"/>
            <w:vAlign w:val="bottom"/>
            <w:gridSpan w:val="2"/>
          </w:tcPr>
          <w:p>
            <w:pPr>
              <w:ind w:left="680"/>
              <w:spacing w:after="0"/>
              <w:rPr>
                <w:sz w:val="20"/>
                <w:szCs w:val="20"/>
                <w:color w:val="auto"/>
              </w:rPr>
            </w:pPr>
            <w:r>
              <w:rPr>
                <w:rFonts w:ascii="Arial" w:cs="Arial" w:eastAsia="Arial" w:hAnsi="Arial"/>
                <w:sz w:val="17"/>
                <w:szCs w:val="17"/>
                <w:color w:val="auto"/>
              </w:rPr>
              <w:t>Investment funds and mutual funds</w:t>
            </w:r>
          </w:p>
        </w:tc>
        <w:tc>
          <w:tcPr>
            <w:tcW w:w="700" w:type="dxa"/>
            <w:vAlign w:val="bottom"/>
          </w:tcPr>
          <w:p>
            <w:pPr>
              <w:jc w:val="right"/>
              <w:spacing w:after="0"/>
              <w:rPr>
                <w:sz w:val="20"/>
                <w:szCs w:val="20"/>
                <w:color w:val="auto"/>
              </w:rPr>
            </w:pPr>
            <w:r>
              <w:rPr>
                <w:rFonts w:ascii="Arial" w:cs="Arial" w:eastAsia="Arial" w:hAnsi="Arial"/>
                <w:sz w:val="17"/>
                <w:szCs w:val="17"/>
                <w:color w:val="auto"/>
              </w:rPr>
              <w:t>69,264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53,365</w:t>
            </w:r>
          </w:p>
        </w:tc>
        <w:tc>
          <w:tcPr>
            <w:tcW w:w="3880" w:type="dxa"/>
            <w:vAlign w:val="bottom"/>
          </w:tcPr>
          <w:p>
            <w:pPr>
              <w:spacing w:after="0"/>
              <w:rPr>
                <w:sz w:val="24"/>
                <w:szCs w:val="24"/>
                <w:color w:val="auto"/>
              </w:rPr>
            </w:pPr>
          </w:p>
        </w:tc>
      </w:tr>
      <w:tr>
        <w:trPr>
          <w:trHeight w:val="194"/>
        </w:trPr>
        <w:tc>
          <w:tcPr>
            <w:tcW w:w="5360" w:type="dxa"/>
            <w:vAlign w:val="bottom"/>
            <w:gridSpan w:val="2"/>
          </w:tcPr>
          <w:p>
            <w:pPr>
              <w:ind w:left="680"/>
              <w:spacing w:after="0" w:line="194" w:lineRule="exact"/>
              <w:rPr>
                <w:sz w:val="20"/>
                <w:szCs w:val="20"/>
                <w:color w:val="auto"/>
              </w:rPr>
            </w:pPr>
            <w:r>
              <w:rPr>
                <w:rFonts w:ascii="Arial" w:cs="Arial" w:eastAsia="Arial" w:hAnsi="Arial"/>
                <w:sz w:val="17"/>
                <w:szCs w:val="17"/>
                <w:color w:val="auto"/>
              </w:rPr>
              <w:t>Equity managed</w:t>
            </w: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35,062</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28,768</w:t>
            </w:r>
          </w:p>
        </w:tc>
        <w:tc>
          <w:tcPr>
            <w:tcW w:w="3880" w:type="dxa"/>
            <w:vAlign w:val="bottom"/>
          </w:tcPr>
          <w:p>
            <w:pPr>
              <w:spacing w:after="0"/>
              <w:rPr>
                <w:sz w:val="16"/>
                <w:szCs w:val="16"/>
                <w:color w:val="auto"/>
              </w:rPr>
            </w:pPr>
          </w:p>
        </w:tc>
      </w:tr>
      <w:tr>
        <w:trPr>
          <w:trHeight w:val="194"/>
        </w:trPr>
        <w:tc>
          <w:tcPr>
            <w:tcW w:w="5360" w:type="dxa"/>
            <w:vAlign w:val="bottom"/>
            <w:gridSpan w:val="2"/>
          </w:tcPr>
          <w:p>
            <w:pPr>
              <w:ind w:left="680"/>
              <w:spacing w:after="0" w:line="194" w:lineRule="exact"/>
              <w:rPr>
                <w:sz w:val="20"/>
                <w:szCs w:val="20"/>
                <w:color w:val="auto"/>
              </w:rPr>
            </w:pPr>
            <w:r>
              <w:rPr>
                <w:rFonts w:ascii="Arial" w:cs="Arial" w:eastAsia="Arial" w:hAnsi="Arial"/>
                <w:sz w:val="17"/>
                <w:szCs w:val="17"/>
                <w:color w:val="auto"/>
              </w:rPr>
              <w:t>Pension funds</w:t>
            </w: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30,596</w:t>
            </w:r>
          </w:p>
        </w:tc>
        <w:tc>
          <w:tcPr>
            <w:tcW w:w="1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40,024</w:t>
            </w:r>
          </w:p>
        </w:tc>
        <w:tc>
          <w:tcPr>
            <w:tcW w:w="3880" w:type="dxa"/>
            <w:vAlign w:val="bottom"/>
          </w:tcPr>
          <w:p>
            <w:pPr>
              <w:spacing w:after="0"/>
              <w:rPr>
                <w:sz w:val="16"/>
                <w:szCs w:val="16"/>
                <w:color w:val="auto"/>
              </w:rPr>
            </w:pPr>
          </w:p>
        </w:tc>
      </w:tr>
      <w:tr>
        <w:trPr>
          <w:trHeight w:val="195"/>
        </w:trPr>
        <w:tc>
          <w:tcPr>
            <w:tcW w:w="5360" w:type="dxa"/>
            <w:vAlign w:val="bottom"/>
            <w:gridSpan w:val="2"/>
          </w:tcPr>
          <w:p>
            <w:pPr>
              <w:ind w:left="680"/>
              <w:spacing w:after="0"/>
              <w:rPr>
                <w:sz w:val="20"/>
                <w:szCs w:val="20"/>
                <w:color w:val="auto"/>
              </w:rPr>
            </w:pPr>
            <w:r>
              <w:rPr>
                <w:rFonts w:ascii="Arial" w:cs="Arial" w:eastAsia="Arial" w:hAnsi="Arial"/>
                <w:sz w:val="17"/>
                <w:szCs w:val="17"/>
                <w:color w:val="auto"/>
              </w:rPr>
              <w:t>Bank trusts</w:t>
            </w:r>
          </w:p>
        </w:tc>
        <w:tc>
          <w:tcPr>
            <w:tcW w:w="700" w:type="dxa"/>
            <w:vAlign w:val="bottom"/>
          </w:tcPr>
          <w:p>
            <w:pPr>
              <w:jc w:val="right"/>
              <w:spacing w:after="0"/>
              <w:rPr>
                <w:sz w:val="20"/>
                <w:szCs w:val="20"/>
                <w:color w:val="auto"/>
              </w:rPr>
            </w:pPr>
            <w:r>
              <w:rPr>
                <w:rFonts w:ascii="Arial" w:cs="Arial" w:eastAsia="Arial" w:hAnsi="Arial"/>
                <w:sz w:val="17"/>
                <w:szCs w:val="17"/>
                <w:color w:val="auto"/>
              </w:rPr>
              <w:t>4,269</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5,395</w:t>
            </w:r>
          </w:p>
        </w:tc>
        <w:tc>
          <w:tcPr>
            <w:tcW w:w="3880" w:type="dxa"/>
            <w:vAlign w:val="bottom"/>
          </w:tcPr>
          <w:p>
            <w:pPr>
              <w:spacing w:after="0"/>
              <w:rPr>
                <w:sz w:val="16"/>
                <w:szCs w:val="16"/>
                <w:color w:val="auto"/>
              </w:rPr>
            </w:pPr>
          </w:p>
        </w:tc>
      </w:tr>
      <w:tr>
        <w:trPr>
          <w:trHeight w:val="193"/>
        </w:trPr>
        <w:tc>
          <w:tcPr>
            <w:tcW w:w="4920" w:type="dxa"/>
            <w:vAlign w:val="bottom"/>
          </w:tcPr>
          <w:p>
            <w:pPr>
              <w:ind w:left="680"/>
              <w:spacing w:after="0" w:line="187" w:lineRule="exact"/>
              <w:rPr>
                <w:sz w:val="20"/>
                <w:szCs w:val="20"/>
                <w:color w:val="auto"/>
              </w:rPr>
            </w:pPr>
            <w:r>
              <w:rPr>
                <w:rFonts w:ascii="Arial" w:cs="Arial" w:eastAsia="Arial" w:hAnsi="Arial"/>
                <w:sz w:val="17"/>
                <w:szCs w:val="17"/>
                <w:b w:val="1"/>
                <w:bCs w:val="1"/>
                <w:color w:val="auto"/>
              </w:rPr>
              <w:t>Total</w:t>
            </w:r>
          </w:p>
        </w:tc>
        <w:tc>
          <w:tcPr>
            <w:tcW w:w="4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139,191</w:t>
            </w:r>
          </w:p>
        </w:tc>
        <w:tc>
          <w:tcPr>
            <w:tcW w:w="16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127,552</w:t>
            </w:r>
          </w:p>
        </w:tc>
        <w:tc>
          <w:tcPr>
            <w:tcW w:w="3880" w:type="dxa"/>
            <w:vAlign w:val="bottom"/>
          </w:tcPr>
          <w:p>
            <w:pPr>
              <w:spacing w:after="0"/>
              <w:rPr>
                <w:sz w:val="16"/>
                <w:szCs w:val="16"/>
                <w:color w:val="auto"/>
              </w:rPr>
            </w:pPr>
          </w:p>
        </w:tc>
      </w:tr>
      <w:tr>
        <w:trPr>
          <w:trHeight w:val="570"/>
        </w:trPr>
        <w:tc>
          <w:tcPr>
            <w:tcW w:w="4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ind w:right="94"/>
              <w:spacing w:after="0"/>
              <w:rPr>
                <w:sz w:val="20"/>
                <w:szCs w:val="20"/>
                <w:color w:val="auto"/>
              </w:rPr>
            </w:pPr>
            <w:r>
              <w:rPr>
                <w:rFonts w:ascii="Arial" w:cs="Arial" w:eastAsia="Arial" w:hAnsi="Arial"/>
                <w:sz w:val="17"/>
                <w:szCs w:val="17"/>
                <w:color w:val="auto"/>
              </w:rPr>
              <w:t>- 184 -</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5"/>
        </w:trPr>
        <w:tc>
          <w:tcPr>
            <w:tcW w:w="4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11" w:right="339" w:bottom="1440" w:gutter="0" w:footer="0" w:header="0"/>
        </w:sectPr>
      </w:pPr>
    </w:p>
    <w:bookmarkStart w:id="189" w:name="page190"/>
    <w:bookmarkEnd w:id="189"/>
    <w:p>
      <w:pPr>
        <w:ind w:left="620" w:right="7400" w:hanging="616"/>
        <w:spacing w:after="0" w:line="490" w:lineRule="auto"/>
        <w:tabs>
          <w:tab w:leader="none" w:pos="62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color w:val="auto"/>
        </w:rPr>
        <w:t>Legal claim contingencies</w:t>
      </w:r>
    </w:p>
    <w:p>
      <w:pPr>
        <w:ind w:left="940" w:hanging="315"/>
        <w:spacing w:after="0"/>
        <w:tabs>
          <w:tab w:leader="none" w:pos="94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Madoff Trustee Litigation -</w:t>
      </w:r>
    </w:p>
    <w:p>
      <w:pPr>
        <w:spacing w:after="0" w:line="193" w:lineRule="exact"/>
        <w:rPr>
          <w:sz w:val="20"/>
          <w:szCs w:val="20"/>
          <w:color w:val="auto"/>
        </w:rPr>
      </w:pPr>
    </w:p>
    <w:p>
      <w:pPr>
        <w:jc w:val="both"/>
        <w:ind w:left="620"/>
        <w:spacing w:after="0"/>
        <w:rPr>
          <w:sz w:val="20"/>
          <w:szCs w:val="20"/>
          <w:color w:val="auto"/>
        </w:rPr>
      </w:pPr>
      <w:r>
        <w:rPr>
          <w:rFonts w:ascii="Arial" w:cs="Arial" w:eastAsia="Arial" w:hAnsi="Arial"/>
          <w:sz w:val="17"/>
          <w:szCs w:val="17"/>
          <w:color w:val="auto"/>
        </w:rPr>
        <w:t>In September 2011, the Trustee for the liquidation of Bernard L. Madoff Investment Securities LLC (BLMIS) and the substantively consolidated estate of Bernard L. Madoff (the Madoff Trustee) filed a complaint (the Madoff Complaint) against Credicorp’s subsidiary ASB (now ASB Bank Corp.) in the U.S. Bankruptcy Court for the Southern District of New York (the Bankruptcy Court). The Madoff Complaint seeks recovery of approximately US$120.0 million in principal amount, which is alleged to be equal to the amount of redemptions between the end of 2004 and the beginning of 2005 of ASB-managed Atlantic U.S. Blue Chip Fund assets invested in Fairfield Sentry Limited (Fairfield Sentry), together with fees, costs, interest and expenses. The Madoff Complaint seeks the recovery of these redemptions from ASB Bank Corp. as “subsequent transfers” or “avoided transfers” from BLMIS to Fairfield Sentry, which Fairfield Sentry in turn subsequently transferred to ASB Bank Corp. The Madoff Trustee has filed similar “claw back” actions against numerous other alleged “subsequent transferees” that invested in Fairfield Sentry and its sister entities, which, in turn, invested in and redeemed funds from BLMIS.</w:t>
      </w:r>
    </w:p>
    <w:p>
      <w:pPr>
        <w:spacing w:after="0" w:line="378" w:lineRule="exact"/>
        <w:rPr>
          <w:sz w:val="20"/>
          <w:szCs w:val="20"/>
          <w:color w:val="auto"/>
        </w:rPr>
      </w:pPr>
    </w:p>
    <w:p>
      <w:pPr>
        <w:jc w:val="both"/>
        <w:ind w:left="620"/>
        <w:spacing w:after="0"/>
        <w:rPr>
          <w:sz w:val="20"/>
          <w:szCs w:val="20"/>
          <w:color w:val="auto"/>
        </w:rPr>
      </w:pPr>
      <w:r>
        <w:rPr>
          <w:rFonts w:ascii="Arial" w:cs="Arial" w:eastAsia="Arial" w:hAnsi="Arial"/>
          <w:sz w:val="17"/>
          <w:szCs w:val="17"/>
          <w:color w:val="auto"/>
        </w:rPr>
        <w:t>There has been significant briefing on issues related to these Madoff Trustee actions, and these cases have been pending for many years. In November 2016, the Bankruptcy Court issued a Memorandum Decision Regarding Claims to Recover Foreign Subsequent Transfers (the Memorandum Decision) holding that the recovery of certain subsequent foreign transfers is barred under the doctrine of comity and/or extraterritoriality, and dismissed the claims brought by the Madoff Trustee against a number of parties, including ASB Bank Corp. In March 2017, the Madoff Trustee filed an appeal (the Appeal) of the Memorandum Decision to the United States Court of Appeals for the Second Circuit, which reversed the Dismissal Order and remanded the matter to the Bankruptcy Court (the Second Circuit Opinion). In April 2019, the defendant-appellees, including ASB Bank Corp., filed, and the Second Circuit granted, a motion to stay the issuance of the mandate pending the filing of a petition for a writ of certiorari in the United States Supreme Court. The petition for a writ of certiorari was filed in the United States Supreme Court in August 2019. On or about June 1, 2020, the United States Supreme Court denied the petition for a writ of certiorari. Following the denial of the petition for writ of certiorari, the judgment for dismissal by the Bankruptcy Court was vacated and the matter was remanded back to the Bankruptcy Court. The case now remains pending in the Bankruptcy Court. On March 25, 2022, ASB Bank Corp. filed a Motion to Dismiss the Complaint. On May 24, 2022, the Madoff Trustee filed its opposition to the Motion to Dismiss. On July 14, 2022, ASB Bank Corp. filed its reply memorandum of law in further support of its Motion to Dismiss. On November 18, 2022, the Bankruptcy Court denied the Motion to Dismiss presented by ASB Bank Corp. and give to ASB Bank Corp. until February 1, 2023 to file an answer to the Complaint. While management believes that ASB has defenses against the Madoff Trustee’s claims and intends to defend against any action by the Madoff Trustee, in view of recent judicial decisions in cases not involving ASB, certain defenses are no longer available. In this context, Credicorp has constituted a provision that management considers reasonable with the information available today.</w:t>
      </w:r>
    </w:p>
    <w:p>
      <w:pPr>
        <w:spacing w:after="0" w:line="368" w:lineRule="exact"/>
        <w:rPr>
          <w:sz w:val="20"/>
          <w:szCs w:val="20"/>
          <w:color w:val="auto"/>
        </w:rPr>
      </w:pPr>
    </w:p>
    <w:p>
      <w:pPr>
        <w:ind w:left="940" w:hanging="315"/>
        <w:spacing w:after="0"/>
        <w:tabs>
          <w:tab w:leader="none" w:pos="94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Fairfield Litigation -</w:t>
      </w:r>
    </w:p>
    <w:p>
      <w:pPr>
        <w:spacing w:after="0" w:line="193" w:lineRule="exact"/>
        <w:rPr>
          <w:sz w:val="20"/>
          <w:szCs w:val="20"/>
          <w:color w:val="auto"/>
        </w:rPr>
      </w:pPr>
    </w:p>
    <w:p>
      <w:pPr>
        <w:jc w:val="both"/>
        <w:ind w:left="620"/>
        <w:spacing w:after="0" w:line="241" w:lineRule="auto"/>
        <w:rPr>
          <w:sz w:val="20"/>
          <w:szCs w:val="20"/>
          <w:color w:val="auto"/>
        </w:rPr>
      </w:pPr>
      <w:r>
        <w:rPr>
          <w:rFonts w:ascii="Arial" w:cs="Arial" w:eastAsia="Arial" w:hAnsi="Arial"/>
          <w:sz w:val="17"/>
          <w:szCs w:val="17"/>
          <w:color w:val="auto"/>
        </w:rPr>
        <w:t>In April 2012, Fairfield Sentry (In Liquidation) and its representative, Kenneth Krys (the Fairfield Liquidator), filed a complaint (the Fairfield Complaint) against ASB (now ASB Bank Corp.) in the Bankruptcy Court (the Fairfield v. ASB Adversary Proceeding). The Fairfield Complaint seeks to recover US$115.2 million in principal amount from ASB Bank Corp., representing the amount of ASB’s Bank Corp. redemptions of certain investments in Fairfield Sentry, together with fees, costs, interest and expenses. These are essentially the same funds that the Madoff Trustee seeks to recover in the Madoff Trustee litigation as described above. After the Fairfield Complaint was filed, the Bankruptcy Court procedurally consolidated the Fairfield V. ASB Adversary Proceeding with other adversary actions brought by the Fairfield Liquidator against former investors in Fairfield Sentry.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803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190" w:name="page191"/>
    <w:bookmarkEnd w:id="190"/>
    <w:p>
      <w:pPr>
        <w:jc w:val="both"/>
        <w:spacing w:after="0"/>
        <w:rPr>
          <w:sz w:val="20"/>
          <w:szCs w:val="20"/>
          <w:color w:val="auto"/>
        </w:rPr>
      </w:pPr>
      <w:r>
        <w:rPr>
          <w:rFonts w:ascii="Arial" w:cs="Arial" w:eastAsia="Arial" w:hAnsi="Arial"/>
          <w:sz w:val="17"/>
          <w:szCs w:val="17"/>
          <w:color w:val="auto"/>
        </w:rPr>
        <w:t>Similar to the Madoff Trustee litigation described above, the Fairfield v. ASB Adversary Proceeding and related adversary actions have been pending for many years. In October 2016, the Fairfield Liquidator filed a Motion for Leave to Amend (the Motion for Leave) various complaints, including the Fairfield Complaint. Certain defendants, including ASB Bank Corp., filed a motion to dismiss (the Motion to Dismiss) and a consolidated memorandum of law (i) in opposition to the Motion for Leave and (ii) in support of the Motion to Dismiss. In December 2018, the Bankruptcy Court entered a memorandum decision granting in part and denying in part the Motion to Dismiss and the Motion for Leave (the Memorandum Decision). In March 2019, the Fairfield Liquidator submitted a form of a stipulated order dismissing the adversary proceeding against ASB Bank Corp. (the Dismissal Order), as directed by the Bankruptcy Court, but filed notices of appeal, including of the dismissal of the claims asserted against ASB Bank Corp. and other defendants, in May 2019. The appeal remains pending.</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Management believes that ASB Bank Corp. has defenses against the Fairfield Liquidator’s claims alleged in the Amended Complaint and the Fairfield Liquidator’s appeal.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iii)  Government Investigations -</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former Chairman and the current Vice Chairman of the Board of Directors of Credicorp, in their respective capacities as Chairman of the Board and as a Director of BCP Stand-alone, were summoned as witnesses by Peruvian prosecutors, along with 26 other Peruvian business leaders, to testify in connection with a judicial investigation that is being carried out regarding contributions made to the electoral campaign of a political party in the 2011 Peruvian presidential elections. Our former Chairman testified on November 18, 2019, and our Vice Chairman testified on December 9, 2019. The former Chairman informed prosecutors that in 2010 and 2011 Credicorp made donations totaling US$3.65 million to Fuerza Popular 2011 campaign (in total amounts of US$1.7 million in 2010 and US$1.95 million in 2011). These contributions were made in coordination with the General Manager of Credicorp at that time. While the amount of these contributions exceeded the limits then permitted under Peruvian electoral law, the law in place at that time provided no sanction for contributors, and instead only for the recipient of the campaign contribution.</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former Chairman also informed prosecutors that in 2016, three subsidiaries of Credicorp (BCP Stand-alone, Mibanco and Grupo Pacifico) made donations totaling S/711,000 (approximately US$200,000) to the Peruanos Por el Kambio campaign. These contributions were made in compliance both with Peruvian electoral law and with Credicorp’s own political contributions guidelines, adopted in 2015. These guidelines provided details on the procedures for obtaining approval for contributions and outlined the specific required conditions for transparent contributions.</w:t>
      </w:r>
    </w:p>
    <w:p>
      <w:pPr>
        <w:spacing w:after="0" w:line="18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Peruvian Superintendencia del Mercado de Valores (‘SMV’ for its Spanish acronym) has initiated a sanctioning process against Credicorp, for failing to disclose to the market, in due course, the political campaign contributions in the years 2011 and 2016. The SMV also has initiated a sanctioning process against three subsidiaries of Credicorp (BCP Stand-alone, Mibanco and Grupo Pacifico), for failing to disclose to the market, in due course, the political campaign contributions made in connection with the 2016 presidential elections. The SMV notified Credicorp, BCP, Mibanco and Grupo Pacifico with first instance Resolutions on these proceedings. The mentioned Resolutions imposed pecuniary sanctions (fines) on Credicorp and the three subsidiaries as a consequence of these sanctioning processes. Credicorp, BCP, Mibanco and Grupo Pacifico appealed the Resolutions.</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On December 8, 2021, Credicorp informed that the Peruvian SMV was notified of the resolution issued by the Provisional Superior Chamber Specialized in Administrative Litigation of the Superior Court of Justice of Lima (the “Court”), pursuant to which the Court has admitted for consideration Credicorp’s contentious-administrative claim challenging the SMV’s resolution (by negative administrative silence), with reference to the appeal filed by Credicorp mentioned in the prior paragraph.</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Under the Resolution, the SMV resolved to sanction Credicorp (i) with a fine of 300 Tax Units (Unidades Impositivas Tributarias or UITs by its acronym in Spanish) approximately US$ 270,000 for, allegedly, having infringed (categorized as “very serious”, “muy grave” in Spanish) subsection 1.6, numeral 1 of Annex 1 of the Sanctions Regulation, approved by CONASEV Resolution</w:t>
      </w:r>
    </w:p>
    <w:p>
      <w:pPr>
        <w:spacing w:after="0" w:line="34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- 186 -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333" w:right="339" w:bottom="1440" w:gutter="0" w:footer="0" w:header="0"/>
        </w:sectPr>
      </w:pPr>
    </w:p>
    <w:bookmarkStart w:id="191" w:name="page192"/>
    <w:bookmarkEnd w:id="191"/>
    <w:p>
      <w:pPr>
        <w:jc w:val="both"/>
        <w:spacing w:after="0"/>
        <w:rPr>
          <w:sz w:val="20"/>
          <w:szCs w:val="20"/>
          <w:color w:val="auto"/>
        </w:rPr>
      </w:pPr>
      <w:r>
        <w:rPr>
          <w:rFonts w:ascii="Arial" w:cs="Arial" w:eastAsia="Arial" w:hAnsi="Arial"/>
          <w:sz w:val="17"/>
          <w:szCs w:val="17"/>
          <w:color w:val="auto"/>
        </w:rPr>
        <w:t>N°055-2001-EF / 94.10, effective as from 2011; and (ii) with a fine of 210 UITs approximately US$207,375 for, allegedly, having violated (categorized as “very serious”, “muy grave” in Spanish) subsection 1.5, numeral 1 of Annex 1 of the Sanctions Regulation, approved by CONASEV Resolution N°055-2001-EF / 94.10 and modified by Resolution N° 006-2012-SMV / 01, effective as from 2016. The charges made by the SMV against Credicorp were that the company had affected the transparency of the stock market by not having disclosed relevant information to the market regarding Credicorp’s cash contributions to the political party Fuerza Popular during the 2011 Peruvian presidential campaign (first charge) and that the company had affected the transparency of the stock market by not having disclosed relevant information to the market regarding Credicorp’s agreement to make contributions to the political party Peruanos por el Kambio during the 2016 Peruvian presidential campaign (second charge).</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Because Credicorp was neither in agreement with the categorization of the facts nor with the sanctions imposed, Credicorp filed an appeal challenging the Resolution. Subsequently, after the expiration of the term to resolve in the appeal (second administrative instance), Credicorp asserted its right to negative administrative silence and to resort to the Judiciary. Notwithstanding, Credicorp proceeded to pay the fines imposed by the SMV, in compliance with Peruvian law.</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Thus, since Credicorp’s contentious-administrative claim filed was admitted for consideration by the Court, the administrative procedure has terminated with respect to Credicorp and the matter is now subject to the decision of the Judiciary.</w:t>
      </w:r>
    </w:p>
    <w:p>
      <w:pPr>
        <w:spacing w:after="0" w:line="16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March 4, 2022, Grupo Pacifico informed that the Peruvian SMV was notified of the resolution issued by the Superior Chamber Specialized in Administrative Litigation of the Superior Court of Justice of Lima (the “Court”), pursuant to which the Court has admitted for consideration Grupo Pacifico´s contentious-administrative claim challenging the SMV´s resolution (by negative administrative silence), with reference to the appeal filed by Grupo Pacifico mentioned above. Thus, since Grupo Pacifico´s mentioned claim was admitted for consideration by the Court, the administrative procedure has terminated with respect to Grupo Pacifico, and the matter is now subject to the decision of the Judiciary.</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On July 4, 2022, BCP informed that the Peruvian SMV was notified of the resolution issued by the Superior Chamber Specialized in Administrative Litigation of the Superior Court of Justice of Lima (the “Court”), pursuant to which the Court has admitted for consideration BCP´s contentious-administrative claim challenging the SMV´s resolution (by negative administrative silence), with reference to the appeal filed by BCP mentioned above. Thus, since BCP´s mentioned claim was admitted for consideration by the Court, the administrative procedure has terminated with respect to BCP, and the matter is now subject to the decision of the Judiciary.</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On July 5, 2022, Mibanco informed that the Peruvian SMV was notified of the resolution issued by the Superior Chamber Specialized in Administrative Litigation of the Superior Court of Justice of Lima (the “Court”), pursuant to which the Court has admitted for consideration Mibanco´s contentious-administrative claim challenging the SMV´s resolution (by negative administrative silence), with reference to the appeal filed by Mibanco mentioned above. Thus, since Mibanco´s mentioned claim was admitted for consideration by the Court, the administrative procedure has terminated with respect to Mibanco, and the matter is now subject to the decision of the Judiciary.</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Credicorp believes that neither the contributions disclosed by our former Chairman and the current Vice Chairman in 2019 nor the related SMV sanctioning processes pose a significant risk of material liability to the Company. Furthermore, Credicorp does not believe that either of the contributions will have material effect on the Company’s business, financial position or profitability.</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On November 11, 2021, Credicorp disclosed that its incoming CEO, Mr. Gianfranco Ferrari de las Casas, informed the company that he was notified of a Prosecutor’s Decision issued by the Corporate Supraprovincial Prosecutor’s Office Specialized in Officer Corruption Offenses Special Team - Fourth Court Division (“Fiscalía Supraprovincial Corporativa Especializada en Delitos de Corrupción de Funcionarios Equipo Especial - Cuarto Despacho”, for its name in Spanish). Through such notice, Mr.</w:t>
      </w:r>
    </w:p>
    <w:p>
      <w:pPr>
        <w:spacing w:after="0" w:line="34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- 187 -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333" w:right="339" w:bottom="1440" w:gutter="0" w:footer="0" w:header="0"/>
        </w:sectPr>
      </w:pPr>
    </w:p>
    <w:bookmarkStart w:id="192" w:name="page193"/>
    <w:bookmarkEnd w:id="192"/>
    <w:p>
      <w:pPr>
        <w:jc w:val="both"/>
        <w:spacing w:after="0" w:line="243" w:lineRule="auto"/>
        <w:rPr>
          <w:sz w:val="20"/>
          <w:szCs w:val="20"/>
          <w:color w:val="auto"/>
        </w:rPr>
      </w:pPr>
      <w:r>
        <w:rPr>
          <w:rFonts w:ascii="Arial" w:cs="Arial" w:eastAsia="Arial" w:hAnsi="Arial"/>
          <w:sz w:val="17"/>
          <w:szCs w:val="17"/>
          <w:color w:val="auto"/>
        </w:rPr>
        <w:t>Ferrari was informed that he has been included in the preparatory investigation carried out against Mr. Yehude Simon M. and an additional sixty-five (65) individuals on the grounds of, in his particular case, alleged primary complicity in the alleged crime against the public administration, aggravated collusion, incompatible negotiation or improper use of position and criminal organization detrimental to the Peruvian State, in connection with the financial advisory services provided by BCP Stand - alone to the Olmos Project.</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Credicorp has reviewed the performance of the officers of Banco de Crédito del Perú in relation to the financial advisory services provided by the Bank in connection with the Olmos Project and has concluded that the facts under investigation do not give rise to any liability of Banco de Crédito del Perú or its officers. Credicorp bases this view on the qualified opinion of external consultants specialized in the matter. Therefore, Credicorp considers that the opening of the aforementioned preparatory investigation will not have any impact on the normal operation of the company, nor will it affect the dedication and performance of its officers in undertaking their regular duties.</w:t>
      </w:r>
    </w:p>
    <w:p>
      <w:pPr>
        <w:spacing w:after="0" w:line="34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- 188 -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32385</wp:posOffset>
            </wp:positionV>
            <wp:extent cx="7138035"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333" w:right="339" w:bottom="1440" w:gutter="0" w:footer="0" w:header="0"/>
        </w:sectPr>
      </w:pPr>
    </w:p>
    <w:bookmarkStart w:id="193" w:name="page194"/>
    <w:bookmarkEnd w:id="193"/>
    <w:p>
      <w:pPr>
        <w:ind w:left="616" w:hanging="616"/>
        <w:spacing w:after="0"/>
        <w:tabs>
          <w:tab w:leader="none" w:pos="616"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15" w:lineRule="exact"/>
        <w:rPr>
          <w:rFonts w:ascii="Arial" w:cs="Arial" w:eastAsia="Arial" w:hAnsi="Arial"/>
          <w:sz w:val="17"/>
          <w:szCs w:val="17"/>
          <w:b w:val="1"/>
          <w:bCs w:val="1"/>
          <w:color w:val="auto"/>
        </w:rPr>
      </w:pPr>
    </w:p>
    <w:p>
      <w:pPr>
        <w:ind w:left="616"/>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On January 13, 2023, Law No. 31670 was published in the newspaper El Peruano, which creates minimum pensions and promotes alternative voluntary contributions for pension purposes.</w:t>
      </w:r>
    </w:p>
    <w:p>
      <w:pPr>
        <w:spacing w:after="0" w:line="169" w:lineRule="exact"/>
        <w:rPr>
          <w:rFonts w:ascii="Arial" w:cs="Arial" w:eastAsia="Arial" w:hAnsi="Arial"/>
          <w:sz w:val="17"/>
          <w:szCs w:val="17"/>
          <w:b w:val="1"/>
          <w:bCs w:val="1"/>
          <w:color w:val="auto"/>
        </w:rPr>
      </w:pPr>
    </w:p>
    <w:p>
      <w:pPr>
        <w:jc w:val="both"/>
        <w:ind w:left="616"/>
        <w:spacing w:after="0" w:line="242" w:lineRule="auto"/>
        <w:rPr>
          <w:rFonts w:ascii="Arial" w:cs="Arial" w:eastAsia="Arial" w:hAnsi="Arial"/>
          <w:sz w:val="17"/>
          <w:szCs w:val="17"/>
          <w:b w:val="1"/>
          <w:bCs w:val="1"/>
          <w:color w:val="auto"/>
        </w:rPr>
      </w:pPr>
      <w:r>
        <w:rPr>
          <w:rFonts w:ascii="Arial" w:cs="Arial" w:eastAsia="Arial" w:hAnsi="Arial"/>
          <w:sz w:val="17"/>
          <w:szCs w:val="17"/>
          <w:color w:val="auto"/>
        </w:rPr>
        <w:t>According to this law, the contributor will be the one who decides the amount of his minimum pension, which must not be less than the value of a basic consumption basket, an amount published by the National Institute of Statistics and Informatics (INEI). Thus, establishing the minimum retirement amount, which is the amount to be kept in the individual capitalization account (CIC) of the contributor at the time of retirement. This amount is made up of the mandatory and individual contributions made by the contributors in their CIC, as well as the profitability generated by the AFP.</w:t>
      </w:r>
    </w:p>
    <w:p>
      <w:pPr>
        <w:spacing w:after="0" w:line="180" w:lineRule="exact"/>
        <w:rPr>
          <w:rFonts w:ascii="Arial" w:cs="Arial" w:eastAsia="Arial" w:hAnsi="Arial"/>
          <w:sz w:val="17"/>
          <w:szCs w:val="17"/>
          <w:b w:val="1"/>
          <w:bCs w:val="1"/>
          <w:color w:val="auto"/>
        </w:rPr>
      </w:pPr>
    </w:p>
    <w:p>
      <w:pPr>
        <w:jc w:val="both"/>
        <w:ind w:left="616"/>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The surplus of the individual capitalization account (CIC) is calculated by subtracting the principal balance plus interest from the CIC minus the minimum retirement balance. With which the contributor may decide to transfer the surplus of the CIC to his voluntary contribution account with no pension purpose and freely dispose of the contributions transferred to said account.</w:t>
      </w:r>
    </w:p>
    <w:p>
      <w:pPr>
        <w:spacing w:after="0" w:line="175" w:lineRule="exact"/>
        <w:rPr>
          <w:rFonts w:ascii="Arial" w:cs="Arial" w:eastAsia="Arial" w:hAnsi="Arial"/>
          <w:sz w:val="17"/>
          <w:szCs w:val="17"/>
          <w:b w:val="1"/>
          <w:bCs w:val="1"/>
          <w:color w:val="auto"/>
        </w:rPr>
      </w:pPr>
    </w:p>
    <w:p>
      <w:pPr>
        <w:ind w:left="616"/>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norm has not yet been published where some precisions can be clarified to make the savings goals and the withdrawal of surpluses effective, the executive has a period of 90 days to prepare the regulation after the publication of the law.</w:t>
      </w:r>
    </w:p>
    <w:p>
      <w:pPr>
        <w:spacing w:after="0" w:line="390" w:lineRule="exact"/>
        <w:rPr>
          <w:rFonts w:ascii="Arial" w:cs="Arial" w:eastAsia="Arial" w:hAnsi="Arial"/>
          <w:sz w:val="17"/>
          <w:szCs w:val="17"/>
          <w:b w:val="1"/>
          <w:bCs w:val="1"/>
          <w:color w:val="auto"/>
        </w:rPr>
      </w:pPr>
    </w:p>
    <w:p>
      <w:pPr>
        <w:ind w:left="5496" w:hanging="106"/>
        <w:spacing w:after="0"/>
        <w:tabs>
          <w:tab w:leader="none" w:pos="5496" w:val="left"/>
        </w:tabs>
        <w:numPr>
          <w:ilvl w:val="1"/>
          <w:numId w:val="207"/>
        </w:numPr>
        <w:rPr>
          <w:rFonts w:ascii="Arial" w:cs="Arial" w:eastAsia="Arial" w:hAnsi="Arial"/>
          <w:sz w:val="17"/>
          <w:szCs w:val="17"/>
          <w:color w:val="auto"/>
        </w:rPr>
      </w:pPr>
      <w:r>
        <w:rPr>
          <w:rFonts w:ascii="Arial" w:cs="Arial" w:eastAsia="Arial" w:hAnsi="Arial"/>
          <w:sz w:val="17"/>
          <w:szCs w:val="17"/>
          <w:color w:val="auto"/>
        </w:rPr>
        <w:t>189 -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38035"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36"/>
      </w:cols>
      <w:pgMar w:left="324" w:top="3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1"/>
      <w:numFmt w:val="bullet"/>
      <w:start w:val="1"/>
    </w:lvl>
    <w:lvl w:ilvl="1">
      <w:lvlJc w:val="left"/>
      <w:lvlText w:val="-"/>
      <w:numFmt w:val="bullet"/>
      <w:start w:val="1"/>
    </w:lvl>
  </w:abstractNum>
  <w:abstractNum w:abstractNumId="10">
    <w:nsid w:val="1D9F6E5F"/>
    <w:multiLevelType w:val="hybridMultilevel"/>
    <w:lvl w:ilvl="0">
      <w:lvlJc w:val="left"/>
      <w:lvlText w:val="2"/>
      <w:numFmt w:val="bullet"/>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
    <w:nsid w:val="97E1B4E"/>
    <w:multiLevelType w:val="hybridMultilevel"/>
    <w:lvl w:ilvl="0">
      <w:lvlJc w:val="left"/>
      <w:lvlText w:val="3"/>
      <w:numFmt w:val="bullet"/>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2">
    <w:nsid w:val="51088277"/>
    <w:multiLevelType w:val="hybridMultilevel"/>
    <w:lvl w:ilvl="0">
      <w:lvlJc w:val="left"/>
      <w:lvlText w:val="(%1)"/>
      <w:numFmt w:val="lowerRoman"/>
      <w:start w:val="2"/>
    </w:lvl>
    <w:lvl w:ilvl="1">
      <w:lvlJc w:val="left"/>
      <w:lvlText w:val="-"/>
      <w:numFmt w:val="bullet"/>
      <w:start w:val="1"/>
    </w:lvl>
  </w:abstractNum>
  <w:abstractNum w:abstractNumId="13">
    <w:nsid w:val="1CA0C5FA"/>
    <w:multiLevelType w:val="hybridMultilevel"/>
    <w:lvl w:ilvl="0">
      <w:lvlJc w:val="left"/>
      <w:lvlText w:val="(%1)"/>
      <w:numFmt w:val="lowerRoman"/>
      <w:start w:val="1"/>
    </w:lvl>
    <w:lvl w:ilvl="1">
      <w:lvlJc w:val="left"/>
      <w:lvlText w:val="-"/>
      <w:numFmt w:val="bullet"/>
      <w:start w:val="1"/>
    </w:lvl>
  </w:abstractNum>
  <w:abstractNum w:abstractNumId="14">
    <w:nsid w:val="53584BCB"/>
    <w:multiLevelType w:val="hybridMultilevel"/>
    <w:lvl w:ilvl="0">
      <w:lvlJc w:val="left"/>
      <w:lvlText w:val="%1)"/>
      <w:numFmt w:val="lowerLetter"/>
      <w:start w:val="2"/>
    </w:lvl>
    <w:lvl w:ilvl="1">
      <w:lvlJc w:val="left"/>
      <w:lvlText w:val="-"/>
      <w:numFmt w:val="bullet"/>
      <w:start w:val="1"/>
    </w:lvl>
  </w:abstractNum>
  <w:abstractNum w:abstractNumId="15">
    <w:nsid w:val="415E286C"/>
    <w:multiLevelType w:val="hybridMultilevel"/>
    <w:lvl w:ilvl="0">
      <w:lvlJc w:val="left"/>
      <w:lvlText w:val="-"/>
      <w:numFmt w:val="bullet"/>
      <w:start w:val="1"/>
    </w:lvl>
    <w:lvl w:ilvl="1">
      <w:lvlJc w:val="left"/>
      <w:lvlText w:val="-"/>
      <w:numFmt w:val="bullet"/>
      <w:start w:val="1"/>
    </w:lvl>
  </w:abstractNum>
  <w:abstractNum w:abstractNumId="16">
    <w:nsid w:val="7C58FD05"/>
    <w:multiLevelType w:val="hybridMultilevel"/>
    <w:lvl w:ilvl="0">
      <w:lvlJc w:val="left"/>
      <w:lvlText w:val="(%1)"/>
      <w:numFmt w:val="lowerRoman"/>
      <w:start w:val="1"/>
    </w:lvl>
  </w:abstractNum>
  <w:abstractNum w:abstractNumId="17">
    <w:nsid w:val="23D86AAC"/>
    <w:multiLevelType w:val="hybridMultilevel"/>
    <w:lvl w:ilvl="0">
      <w:lvlJc w:val="left"/>
      <w:lvlText w:val="%1)"/>
      <w:numFmt w:val="lowerLetter"/>
      <w:start w:val="1"/>
    </w:lvl>
    <w:lvl w:ilvl="1">
      <w:lvlJc w:val="left"/>
      <w:lvlText w:val="-"/>
      <w:numFmt w:val="bullet"/>
      <w:start w:val="1"/>
    </w:lvl>
  </w:abstractNum>
  <w:abstractNum w:abstractNumId="18">
    <w:nsid w:val="45E6D486"/>
    <w:multiLevelType w:val="hybridMultilevel"/>
    <w:lvl w:ilvl="0">
      <w:lvlJc w:val="left"/>
      <w:lvlText w:val="%1"/>
      <w:numFmt w:val="lowerRoman"/>
      <w:start w:val="1"/>
    </w:lvl>
    <w:lvl w:ilvl="1">
      <w:lvlJc w:val="left"/>
      <w:lvlText w:val="%2)"/>
      <w:numFmt w:val="lowerLetter"/>
      <w:start w:val="3"/>
    </w:lvl>
  </w:abstractNum>
  <w:abstractNum w:abstractNumId="19">
    <w:nsid w:val="5C10FE21"/>
    <w:multiLevelType w:val="hybridMultilevel"/>
    <w:lvl w:ilvl="0">
      <w:lvlJc w:val="left"/>
      <w:lvlText w:val="(%1)"/>
      <w:numFmt w:val="lowerRoman"/>
      <w:start w:val="2"/>
    </w:lvl>
    <w:lvl w:ilvl="1">
      <w:lvlJc w:val="left"/>
      <w:lvlText w:val="%2"/>
      <w:numFmt w:val="lowerLetter"/>
      <w:start w:val="1"/>
    </w:lvl>
  </w:abstractNum>
  <w:abstractNum w:abstractNumId="20">
    <w:nsid w:val="E7FFA2B"/>
    <w:multiLevelType w:val="hybridMultilevel"/>
    <w:lvl w:ilvl="0">
      <w:lvlJc w:val="left"/>
      <w:lvlText w:val="%1)"/>
      <w:numFmt w:val="lowerLetter"/>
      <w:start w:val="1"/>
    </w:lvl>
  </w:abstractNum>
  <w:abstractNum w:abstractNumId="21">
    <w:nsid w:val="3C5991AA"/>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22">
    <w:nsid w:val="4BD8591A"/>
    <w:multiLevelType w:val="hybridMultilevel"/>
    <w:lvl w:ilvl="0">
      <w:lvlJc w:val="left"/>
      <w:lvlText w:val="(%1)"/>
      <w:numFmt w:val="lowerRoman"/>
      <w:start w:val="5"/>
    </w:lvl>
    <w:lvl w:ilvl="1">
      <w:lvlJc w:val="left"/>
      <w:lvlText w:val="%2"/>
      <w:numFmt w:val="lowerLetter"/>
      <w:start w:val="1"/>
    </w:lvl>
    <w:lvl w:ilvl="2">
      <w:lvlJc w:val="left"/>
      <w:lvlText w:val="-"/>
      <w:numFmt w:val="bullet"/>
      <w:start w:val="1"/>
    </w:lvl>
  </w:abstractNum>
  <w:abstractNum w:abstractNumId="23">
    <w:nsid w:val="78DF6A55"/>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4">
    <w:nsid w:val="39B7AAA2"/>
    <w:multiLevelType w:val="hybridMultilevel"/>
    <w:lvl w:ilvl="0">
      <w:lvlJc w:val="left"/>
      <w:lvlText w:val="%1)"/>
      <w:numFmt w:val="lowerLetter"/>
      <w:start w:val="4"/>
    </w:lvl>
    <w:lvl w:ilvl="1">
      <w:lvlJc w:val="left"/>
      <w:lvlText w:val="-"/>
      <w:numFmt w:val="bullet"/>
      <w:start w:val="1"/>
    </w:lvl>
  </w:abstractNum>
  <w:abstractNum w:abstractNumId="25">
    <w:nsid w:val="2B0D8DBE"/>
    <w:multiLevelType w:val="hybridMultilevel"/>
    <w:lvl w:ilvl="0">
      <w:lvlJc w:val="left"/>
      <w:lvlText w:val="%1)"/>
      <w:numFmt w:val="lowerLetter"/>
      <w:start w:val="5"/>
    </w:lvl>
    <w:lvl w:ilvl="1">
      <w:lvlJc w:val="left"/>
      <w:lvlText w:val="-"/>
      <w:numFmt w:val="bullet"/>
      <w:start w:val="1"/>
    </w:lvl>
  </w:abstractNum>
  <w:abstractNum w:abstractNumId="26">
    <w:nsid w:val="6C80EC70"/>
    <w:multiLevelType w:val="hybridMultilevel"/>
    <w:lvl w:ilvl="0">
      <w:lvlJc w:val="left"/>
      <w:lvlText w:val="(%1)"/>
      <w:numFmt w:val="lowerRoman"/>
      <w:start w:val="1"/>
    </w:lvl>
    <w:lvl w:ilvl="1">
      <w:lvlJc w:val="left"/>
      <w:lvlText w:val="-"/>
      <w:numFmt w:val="bullet"/>
      <w:start w:val="1"/>
    </w:lvl>
  </w:abstractNum>
  <w:abstractNum w:abstractNumId="27">
    <w:nsid w:val="379E21B5"/>
    <w:multiLevelType w:val="hybridMultilevel"/>
    <w:lvl w:ilvl="0">
      <w:lvlJc w:val="left"/>
      <w:lvlText w:val="%1)"/>
      <w:numFmt w:val="lowerLetter"/>
      <w:start w:val="1"/>
    </w:lvl>
  </w:abstractNum>
  <w:abstractNum w:abstractNumId="28">
    <w:nsid w:val="69E373"/>
    <w:multiLevelType w:val="hybridMultilevel"/>
    <w:lvl w:ilvl="0">
      <w:lvlJc w:val="left"/>
      <w:lvlText w:val="(%1)"/>
      <w:numFmt w:val="lowerRoman"/>
      <w:start w:val="2"/>
    </w:lvl>
  </w:abstractNum>
  <w:abstractNum w:abstractNumId="29">
    <w:nsid w:val="2C27173B"/>
    <w:multiLevelType w:val="hybridMultilevel"/>
    <w:lvl w:ilvl="0">
      <w:lvlJc w:val="left"/>
      <w:lvlText w:val="(%1)"/>
      <w:numFmt w:val="lowerRoman"/>
      <w:start w:val="1"/>
    </w:lvl>
    <w:lvl w:ilvl="1">
      <w:lvlJc w:val="left"/>
      <w:lvlText w:val="-"/>
      <w:numFmt w:val="bullet"/>
      <w:start w:val="1"/>
    </w:lvl>
  </w:abstractNum>
  <w:abstractNum w:abstractNumId="30">
    <w:nsid w:val="4C9B090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
    <w:nsid w:val="6AA7B75C"/>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1)"/>
      <w:numFmt w:val="lowerRoman"/>
      <w:start w:val="1"/>
    </w:lvl>
    <w:lvl w:ilvl="1">
      <w:lvlJc w:val="left"/>
      <w:lvlText w:val="-"/>
      <w:numFmt w:val="bullet"/>
      <w:start w:val="1"/>
    </w:lvl>
  </w:abstractNum>
  <w:abstractNum w:abstractNumId="35">
    <w:nsid w:val="3DB012B3"/>
    <w:multiLevelType w:val="hybridMultilevel"/>
    <w:lvl w:ilvl="0">
      <w:lvlJc w:val="left"/>
      <w:lvlText w:val="(%1)"/>
      <w:numFmt w:val="lowerRoman"/>
      <w:start w:val="2"/>
    </w:lvl>
    <w:lvl w:ilvl="1">
      <w:lvlJc w:val="left"/>
      <w:lvlText w:val="-"/>
      <w:numFmt w:val="bullet"/>
      <w:start w:val="1"/>
    </w:lvl>
  </w:abstractNum>
  <w:abstractNum w:abstractNumId="36">
    <w:nsid w:val="2708C9AF"/>
    <w:multiLevelType w:val="hybridMultilevel"/>
    <w:lvl w:ilvl="0">
      <w:lvlJc w:val="left"/>
      <w:lvlText w:val="(%1)"/>
      <w:numFmt w:val="lowerRoman"/>
      <w:start w:val="3"/>
    </w:lvl>
  </w:abstractNum>
  <w:abstractNum w:abstractNumId="37">
    <w:nsid w:val="5B25ACE2"/>
    <w:multiLevelType w:val="hybridMultilevel"/>
    <w:lvl w:ilvl="0">
      <w:lvlJc w:val="left"/>
      <w:lvlText w:val="%1)"/>
      <w:numFmt w:val="lowerLetter"/>
      <w:start w:val="4"/>
    </w:lvl>
  </w:abstractNum>
  <w:abstractNum w:abstractNumId="38">
    <w:nsid w:val="175DFCF0"/>
    <w:multiLevelType w:val="hybridMultilevel"/>
    <w:lvl w:ilvl="0">
      <w:lvlJc w:val="left"/>
      <w:lvlText w:val="(%1)"/>
      <w:numFmt w:val="lowerRoman"/>
      <w:start w:val="3"/>
    </w:lvl>
    <w:lvl w:ilvl="1">
      <w:lvlJc w:val="left"/>
      <w:lvlText w:val="-"/>
      <w:numFmt w:val="bullet"/>
      <w:start w:val="1"/>
    </w:lvl>
    <w:lvl w:ilvl="2">
      <w:lvlJc w:val="left"/>
      <w:lvlText w:val="-"/>
      <w:numFmt w:val="bullet"/>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1)"/>
      <w:numFmt w:val="lowerLetter"/>
      <w:start w:val="7"/>
    </w:lvl>
  </w:abstractNum>
  <w:abstractNum w:abstractNumId="41">
    <w:nsid w:val="34FD6B4F"/>
    <w:multiLevelType w:val="hybridMultilevel"/>
    <w:lvl w:ilvl="0">
      <w:lvlJc w:val="left"/>
      <w:lvlText w:val="%1)"/>
      <w:numFmt w:val="lowerLetter"/>
      <w:start w:val="8"/>
    </w:lvl>
    <w:lvl w:ilvl="1">
      <w:lvlJc w:val="left"/>
      <w:lvlText w:val="-"/>
      <w:numFmt w:val="bullet"/>
      <w:start w:val="1"/>
    </w:lvl>
  </w:abstractNum>
  <w:abstractNum w:abstractNumId="42">
    <w:nsid w:val="5915FF32"/>
    <w:multiLevelType w:val="hybridMultilevel"/>
    <w:lvl w:ilvl="0">
      <w:lvlJc w:val="left"/>
      <w:lvlText w:val="-"/>
      <w:numFmt w:val="bullet"/>
      <w:start w:val="1"/>
    </w:lvl>
    <w:lvl w:ilvl="1">
      <w:lvlJc w:val="left"/>
      <w:lvlText w:val="-"/>
      <w:numFmt w:val="bullet"/>
      <w:start w:val="1"/>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
      <w:numFmt w:val="bullet"/>
      <w:start w:val="1"/>
    </w:lvl>
  </w:abstractNum>
  <w:abstractNum w:abstractNumId="45">
    <w:nsid w:val="2C6E4AFD"/>
    <w:multiLevelType w:val="hybridMultilevel"/>
    <w:lvl w:ilvl="0">
      <w:lvlJc w:val="left"/>
      <w:lvlText w:val="-"/>
      <w:numFmt w:val="bullet"/>
      <w:start w:val="1"/>
    </w:lvl>
  </w:abstractNum>
  <w:abstractNum w:abstractNumId="46">
    <w:nsid w:val="17A1B582"/>
    <w:multiLevelType w:val="hybridMultilevel"/>
    <w:lvl w:ilvl="0">
      <w:lvlJc w:val="left"/>
      <w:lvlText w:val="%1)"/>
      <w:numFmt w:val="lowerLetter"/>
      <w:start w:val="9"/>
    </w:lvl>
    <w:lvl w:ilvl="1">
      <w:lvlJc w:val="left"/>
      <w:lvlText w:val="-"/>
      <w:numFmt w:val="bullet"/>
      <w:start w:val="1"/>
    </w:lvl>
    <w:lvl w:ilvl="2">
      <w:lvlJc w:val="left"/>
      <w:lvlText w:val="-"/>
      <w:numFmt w:val="bullet"/>
      <w:start w:val="1"/>
    </w:lvl>
  </w:abstractNum>
  <w:abstractNum w:abstractNumId="47">
    <w:nsid w:val="4DF72E4E"/>
    <w:multiLevelType w:val="hybridMultilevel"/>
    <w:lvl w:ilvl="0">
      <w:lvlJc w:val="left"/>
      <w:lvlText w:val="-"/>
      <w:numFmt w:val="bullet"/>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1)"/>
      <w:numFmt w:val="lowerLetter"/>
      <w:start w:val="11"/>
    </w:lvl>
  </w:abstractNum>
  <w:abstractNum w:abstractNumId="50">
    <w:nsid w:val="2A082C70"/>
    <w:multiLevelType w:val="hybridMultilevel"/>
    <w:lvl w:ilvl="0">
      <w:lvlJc w:val="left"/>
      <w:lvlText w:val="%1)"/>
      <w:numFmt w:val="lowerLetter"/>
      <w:start w:val="12"/>
    </w:lvl>
    <w:lvl w:ilvl="1">
      <w:lvlJc w:val="left"/>
      <w:lvlText w:val="-"/>
      <w:numFmt w:val="bullet"/>
      <w:start w:val="1"/>
    </w:lvl>
  </w:abstractNum>
  <w:abstractNum w:abstractNumId="51">
    <w:nsid w:val="5EC6AFD4"/>
    <w:multiLevelType w:val="hybridMultilevel"/>
    <w:lvl w:ilvl="0">
      <w:lvlJc w:val="left"/>
      <w:lvlText w:val="%1)"/>
      <w:numFmt w:val="lowerLetter"/>
      <w:start w:val="13"/>
    </w:lvl>
    <w:lvl w:ilvl="1">
      <w:lvlJc w:val="left"/>
      <w:lvlText w:val="-"/>
      <w:numFmt w:val="bullet"/>
      <w:start w:val="1"/>
    </w:lvl>
  </w:abstractNum>
  <w:abstractNum w:abstractNumId="52">
    <w:nsid w:val="19E21BB2"/>
    <w:multiLevelType w:val="hybridMultilevel"/>
    <w:lvl w:ilvl="0">
      <w:lvlJc w:val="left"/>
      <w:lvlText w:val="%1)"/>
      <w:numFmt w:val="lowerLetter"/>
      <w:start w:val="15"/>
    </w:lvl>
  </w:abstractNum>
  <w:abstractNum w:abstractNumId="53">
    <w:nsid w:val="75E0858A"/>
    <w:multiLevelType w:val="hybridMultilevel"/>
    <w:lvl w:ilvl="0">
      <w:lvlJc w:val="left"/>
      <w:lvlText w:val="%1)"/>
      <w:numFmt w:val="lowerLetter"/>
      <w:start w:val="16"/>
    </w:lvl>
    <w:lvl w:ilvl="1">
      <w:lvlJc w:val="left"/>
      <w:lvlText w:val="-"/>
      <w:numFmt w:val="bullet"/>
      <w:start w:val="1"/>
    </w:lvl>
  </w:abstractNum>
  <w:abstractNum w:abstractNumId="54">
    <w:nsid w:val="57A61A29"/>
    <w:multiLevelType w:val="hybridMultilevel"/>
    <w:lvl w:ilvl="0">
      <w:lvlJc w:val="left"/>
      <w:lvlText w:val="%1)"/>
      <w:numFmt w:val="lowerLetter"/>
      <w:start w:val="18"/>
    </w:lvl>
    <w:lvl w:ilvl="1">
      <w:lvlJc w:val="left"/>
      <w:lvlText w:val="-"/>
      <w:numFmt w:val="bullet"/>
      <w:start w:val="1"/>
    </w:lvl>
  </w:abstractNum>
  <w:abstractNum w:abstractNumId="55">
    <w:nsid w:val="5399C654"/>
    <w:multiLevelType w:val="hybridMultilevel"/>
    <w:lvl w:ilvl="0">
      <w:lvlJc w:val="left"/>
      <w:lvlText w:val="%1)"/>
      <w:numFmt w:val="lowerLetter"/>
      <w:start w:val="23"/>
    </w:lvl>
    <w:lvl w:ilvl="1">
      <w:lvlJc w:val="left"/>
      <w:lvlText w:val="-"/>
      <w:numFmt w:val="bullet"/>
      <w:start w:val="1"/>
    </w:lvl>
  </w:abstractNum>
  <w:abstractNum w:abstractNumId="56">
    <w:nsid w:val="20EE1348"/>
    <w:multiLevelType w:val="hybridMultilevel"/>
    <w:lvl w:ilvl="0">
      <w:lvlJc w:val="left"/>
      <w:lvlText w:val="-"/>
      <w:numFmt w:val="bullet"/>
      <w:start w:val="1"/>
    </w:lvl>
    <w:lvl w:ilvl="1">
      <w:lvlJc w:val="left"/>
      <w:lvlText w:val="-"/>
      <w:numFmt w:val="bullet"/>
      <w:start w:val="1"/>
    </w:lvl>
  </w:abstractNum>
  <w:abstractNum w:abstractNumId="57">
    <w:nsid w:val="4427069A"/>
    <w:multiLevelType w:val="hybridMultilevel"/>
    <w:lvl w:ilvl="0">
      <w:lvlJc w:val="left"/>
      <w:lvlText w:val="%1)"/>
      <w:numFmt w:val="lowerRoman"/>
      <w:start w:val="1"/>
    </w:lvl>
    <w:lvl w:ilvl="1">
      <w:lvlJc w:val="left"/>
      <w:lvlText w:val="-"/>
      <w:numFmt w:val="bullet"/>
      <w:start w:val="1"/>
    </w:lvl>
  </w:abstractNum>
  <w:abstractNum w:abstractNumId="58">
    <w:nsid w:val="B37E80A"/>
    <w:multiLevelType w:val="hybridMultilevel"/>
    <w:lvl w:ilvl="0">
      <w:lvlJc w:val="left"/>
      <w:lvlText w:val="%1)"/>
      <w:numFmt w:val="lowerRoman"/>
      <w:start w:val="2"/>
    </w:lvl>
    <w:lvl w:ilvl="1">
      <w:lvlJc w:val="left"/>
      <w:lvlText w:val="-"/>
      <w:numFmt w:val="bullet"/>
      <w:start w:val="1"/>
    </w:lvl>
  </w:abstractNum>
  <w:abstractNum w:abstractNumId="59">
    <w:nsid w:val="2157F6BC"/>
    <w:multiLevelType w:val="hybridMultilevel"/>
    <w:lvl w:ilvl="0">
      <w:lvlJc w:val="left"/>
      <w:lvlText w:val="%1)"/>
      <w:numFmt w:val="lowerLetter"/>
      <w:start w:val="26"/>
    </w:lvl>
    <w:lvl w:ilvl="1">
      <w:lvlJc w:val="left"/>
      <w:lvlText w:val="-"/>
      <w:numFmt w:val="bullet"/>
      <w:start w:val="1"/>
    </w:lvl>
  </w:abstractNum>
  <w:abstractNum w:abstractNumId="60">
    <w:nsid w:val="704E1DD5"/>
    <w:multiLevelType w:val="hybridMultilevel"/>
    <w:lvl w:ilvl="0">
      <w:lvlJc w:val="left"/>
      <w:lvlText w:val="-"/>
      <w:numFmt w:val="bullet"/>
      <w:start w:val="1"/>
    </w:lvl>
  </w:abstractNum>
  <w:abstractNum w:abstractNumId="61">
    <w:nsid w:val="57D2F10E"/>
    <w:multiLevelType w:val="hybridMultilevel"/>
    <w:lvl w:ilvl="0">
      <w:lvlJc w:val="left"/>
      <w:lvlText w:val="%1)"/>
      <w:numFmt w:val="lowerLetter"/>
      <w:start w:val="27"/>
    </w:lvl>
    <w:lvl w:ilvl="1">
      <w:lvlJc w:val="left"/>
      <w:lvlText w:val="-"/>
      <w:numFmt w:val="bullet"/>
      <w:start w:val="1"/>
    </w:lvl>
  </w:abstractNum>
  <w:abstractNum w:abstractNumId="62">
    <w:nsid w:val="BFFAE18"/>
    <w:multiLevelType w:val="hybridMultilevel"/>
    <w:lvl w:ilvl="0">
      <w:lvlJc w:val="left"/>
      <w:lvlText w:val="(%1)"/>
      <w:numFmt w:val="lowerRoman"/>
      <w:start w:val="1"/>
    </w:lvl>
    <w:lvl w:ilvl="1">
      <w:lvlJc w:val="left"/>
      <w:lvlText w:val="-"/>
      <w:numFmt w:val="bullet"/>
      <w:start w:val="1"/>
    </w:lvl>
  </w:abstractNum>
  <w:abstractNum w:abstractNumId="63">
    <w:nsid w:val="E3E47A8"/>
    <w:multiLevelType w:val="hybridMultilevel"/>
    <w:lvl w:ilvl="0">
      <w:lvlJc w:val="left"/>
      <w:lvlText w:val="(%1)"/>
      <w:numFmt w:val="lowerRoman"/>
      <w:start w:val="2"/>
    </w:lvl>
    <w:lvl w:ilvl="1">
      <w:lvlJc w:val="left"/>
      <w:lvlText w:val="-"/>
      <w:numFmt w:val="bullet"/>
      <w:start w:val="1"/>
    </w:lvl>
  </w:abstractNum>
  <w:abstractNum w:abstractNumId="64">
    <w:nsid w:val="2E48F044"/>
    <w:multiLevelType w:val="hybridMultilevel"/>
    <w:lvl w:ilvl="0">
      <w:lvlJc w:val="left"/>
      <w:lvlText w:val="(%1)"/>
      <w:numFmt w:val="lowerRoman"/>
      <w:start w:val="3"/>
    </w:lvl>
    <w:lvl w:ilvl="1">
      <w:lvlJc w:val="left"/>
      <w:lvlText w:val="-"/>
      <w:numFmt w:val="bullet"/>
      <w:start w:val="1"/>
    </w:lvl>
  </w:abstractNum>
  <w:abstractNum w:abstractNumId="65">
    <w:nsid w:val="49D0FEAC"/>
    <w:multiLevelType w:val="hybridMultilevel"/>
    <w:lvl w:ilvl="0">
      <w:lvlJc w:val="left"/>
      <w:lvlText w:val="(%1)"/>
      <w:numFmt w:val="lowerRoman"/>
      <w:start w:val="5"/>
    </w:lvl>
    <w:lvl w:ilvl="1">
      <w:lvlJc w:val="left"/>
      <w:lvlText w:val="-"/>
      <w:numFmt w:val="bullet"/>
      <w:start w:val="1"/>
    </w:lvl>
  </w:abstractNum>
  <w:abstractNum w:abstractNumId="66">
    <w:nsid w:val="4BEE5A5B"/>
    <w:multiLevelType w:val="hybridMultilevel"/>
    <w:lvl w:ilvl="0">
      <w:lvlJc w:val="left"/>
      <w:lvlText w:val="%1)"/>
      <w:numFmt w:val="lowerLetter"/>
      <w:start w:val="2"/>
    </w:lvl>
  </w:abstractNum>
  <w:abstractNum w:abstractNumId="67">
    <w:nsid w:val="5551B9F3"/>
    <w:multiLevelType w:val="hybridMultilevel"/>
    <w:lvl w:ilvl="0">
      <w:lvlJc w:val="left"/>
      <w:lvlText w:val="(%1)"/>
      <w:numFmt w:val="lowerRoman"/>
      <w:start w:val="1"/>
    </w:lvl>
    <w:lvl w:ilvl="1">
      <w:lvlJc w:val="left"/>
      <w:lvlText w:val="-"/>
      <w:numFmt w:val="bullet"/>
      <w:start w:val="1"/>
    </w:lvl>
  </w:abstractNum>
  <w:abstractNum w:abstractNumId="68">
    <w:nsid w:val="24F6AB8E"/>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69">
    <w:nsid w:val="634C574C"/>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70">
    <w:nsid w:val="24E99DD7"/>
    <w:multiLevelType w:val="hybridMultilevel"/>
    <w:lvl w:ilvl="0">
      <w:lvlJc w:val="left"/>
      <w:lvlText w:val="5"/>
      <w:numFmt w:val="bullet"/>
      <w:start w:val="1"/>
    </w:lvl>
    <w:lvl w:ilvl="1">
      <w:lvlJc w:val="left"/>
      <w:lvlText w:val="%2)"/>
      <w:numFmt w:val="lowerLetter"/>
      <w:start w:val="1"/>
    </w:lvl>
  </w:abstractNum>
  <w:abstractNum w:abstractNumId="71">
    <w:nsid w:val="2A31B62D"/>
    <w:multiLevelType w:val="hybridMultilevel"/>
    <w:lvl w:ilvl="0">
      <w:lvlJc w:val="left"/>
      <w:lvlText w:val="(%1)"/>
      <w:numFmt w:val="lowerRoman"/>
      <w:start w:val="1"/>
    </w:lvl>
    <w:lvl w:ilvl="1">
      <w:lvlJc w:val="left"/>
      <w:lvlText w:val="-"/>
      <w:numFmt w:val="bullet"/>
      <w:start w:val="1"/>
    </w:lvl>
  </w:abstractNum>
  <w:abstractNum w:abstractNumId="72">
    <w:nsid w:val="1849C29B"/>
    <w:multiLevelType w:val="hybridMultilevel"/>
    <w:lvl w:ilvl="0">
      <w:lvlJc w:val="left"/>
      <w:lvlText w:val="(%1)"/>
      <w:numFmt w:val="lowerRoman"/>
      <w:start w:val="2"/>
    </w:lvl>
  </w:abstractNum>
  <w:abstractNum w:abstractNumId="73">
    <w:nsid w:val="7DFF9D09"/>
    <w:multiLevelType w:val="hybridMultilevel"/>
    <w:lvl w:ilvl="0">
      <w:lvlJc w:val="left"/>
      <w:lvlText w:val="%1)"/>
      <w:numFmt w:val="lowerLetter"/>
      <w:start w:val="1"/>
    </w:lvl>
    <w:lvl w:ilvl="1">
      <w:lvlJc w:val="left"/>
      <w:lvlText w:val="(*)"/>
      <w:numFmt w:val="bullet"/>
      <w:start w:val="1"/>
    </w:lvl>
  </w:abstractNum>
  <w:abstractNum w:abstractNumId="74">
    <w:nsid w:val="754342"/>
    <w:multiLevelType w:val="hybridMultilevel"/>
    <w:lvl w:ilvl="0">
      <w:lvlJc w:val="left"/>
      <w:lvlText w:val="%1)"/>
      <w:numFmt w:val="lowerLetter"/>
      <w:start w:val="3"/>
    </w:lvl>
  </w:abstractNum>
  <w:abstractNum w:abstractNumId="75">
    <w:nsid w:val="69E7F3E5"/>
    <w:multiLevelType w:val="hybridMultilevel"/>
    <w:lvl w:ilvl="0">
      <w:lvlJc w:val="left"/>
      <w:lvlText w:val="(*)"/>
      <w:numFmt w:val="bullet"/>
      <w:start w:val="1"/>
    </w:lvl>
  </w:abstractNum>
  <w:abstractNum w:abstractNumId="76">
    <w:nsid w:val="2A6DE806"/>
    <w:multiLevelType w:val="hybridMultilevel"/>
    <w:lvl w:ilvl="0">
      <w:lvlJc w:val="left"/>
      <w:lvlText w:val="(%1)"/>
      <w:numFmt w:val="lowerRoman"/>
      <w:start w:val="1"/>
    </w:lvl>
    <w:lvl w:ilvl="1">
      <w:lvlJc w:val="left"/>
      <w:lvlText w:val="-"/>
      <w:numFmt w:val="bullet"/>
      <w:start w:val="1"/>
    </w:lvl>
  </w:abstractNum>
  <w:abstractNum w:abstractNumId="77">
    <w:nsid w:val="1816F8C4"/>
    <w:multiLevelType w:val="hybridMultilevel"/>
    <w:lvl w:ilvl="0">
      <w:lvlJc w:val="left"/>
      <w:lvlText w:val="6"/>
      <w:numFmt w:val="bullet"/>
      <w:start w:val="1"/>
    </w:lvl>
    <w:lvl w:ilvl="1">
      <w:lvlJc w:val="left"/>
      <w:lvlText w:val="%2)"/>
      <w:numFmt w:val="lowerLetter"/>
      <w:start w:val="1"/>
    </w:lvl>
  </w:abstractNum>
  <w:abstractNum w:abstractNumId="78">
    <w:nsid w:val="37DF2233"/>
    <w:multiLevelType w:val="hybridMultilevel"/>
    <w:lvl w:ilvl="0">
      <w:lvlJc w:val="left"/>
      <w:lvlText w:val="(%1)"/>
      <w:numFmt w:val="lowerRoman"/>
      <w:start w:val="1"/>
    </w:lvl>
  </w:abstractNum>
  <w:abstractNum w:abstractNumId="79">
    <w:nsid w:val="7AB49DAF"/>
    <w:multiLevelType w:val="hybridMultilevel"/>
    <w:lvl w:ilvl="0">
      <w:lvlJc w:val="left"/>
      <w:lvlText w:val="(%1)"/>
      <w:numFmt w:val="lowerRoman"/>
      <w:start w:val="4"/>
    </w:lvl>
    <w:lvl w:ilvl="1">
      <w:lvlJc w:val="left"/>
      <w:lvlText w:val="-"/>
      <w:numFmt w:val="bullet"/>
      <w:start w:val="1"/>
    </w:lvl>
  </w:abstractNum>
  <w:abstractNum w:abstractNumId="80">
    <w:nsid w:val="759F82CD"/>
    <w:multiLevelType w:val="hybridMultilevel"/>
    <w:lvl w:ilvl="0">
      <w:lvlJc w:val="left"/>
      <w:lvlText w:val="(%1)"/>
      <w:numFmt w:val="lowerRoman"/>
      <w:start w:val="1"/>
    </w:lvl>
  </w:abstractNum>
  <w:abstractNum w:abstractNumId="81">
    <w:nsid w:val="61E74EA3"/>
    <w:multiLevelType w:val="hybridMultilevel"/>
    <w:lvl w:ilvl="0">
      <w:lvlJc w:val="left"/>
      <w:lvlText w:val="(%1)"/>
      <w:numFmt w:val="lowerRoman"/>
      <w:start w:val="3"/>
    </w:lvl>
    <w:lvl w:ilvl="1">
      <w:lvlJc w:val="left"/>
      <w:lvlText w:val="-"/>
      <w:numFmt w:val="bullet"/>
      <w:start w:val="1"/>
    </w:lvl>
  </w:abstractNum>
  <w:abstractNum w:abstractNumId="82">
    <w:nsid w:val="597B4D84"/>
    <w:multiLevelType w:val="hybridMultilevel"/>
    <w:lvl w:ilvl="0">
      <w:lvlJc w:val="left"/>
      <w:lvlText w:val="(%1)"/>
      <w:numFmt w:val="lowerRoman"/>
      <w:start w:val="5"/>
    </w:lvl>
  </w:abstractNum>
  <w:abstractNum w:abstractNumId="83">
    <w:nsid w:val="F819E7F"/>
    <w:multiLevelType w:val="hybridMultilevel"/>
    <w:lvl w:ilvl="0">
      <w:lvlJc w:val="left"/>
      <w:lvlText w:val="(%1)"/>
      <w:numFmt w:val="lowerRoman"/>
      <w:start w:val="1"/>
    </w:lvl>
    <w:lvl w:ilvl="1">
      <w:lvlJc w:val="left"/>
      <w:lvlText w:val="-"/>
      <w:numFmt w:val="bullet"/>
      <w:start w:val="1"/>
    </w:lvl>
  </w:abstractNum>
  <w:abstractNum w:abstractNumId="84">
    <w:nsid w:val="57C7D42D"/>
    <w:multiLevelType w:val="hybridMultilevel"/>
    <w:lvl w:ilvl="0">
      <w:lvlJc w:val="left"/>
      <w:lvlText w:val="(%1)"/>
      <w:numFmt w:val="lowerRoman"/>
      <w:start w:val="2"/>
    </w:lvl>
  </w:abstractNum>
  <w:abstractNum w:abstractNumId="85">
    <w:nsid w:val="312167AD"/>
    <w:multiLevelType w:val="hybridMultilevel"/>
    <w:lvl w:ilvl="0">
      <w:lvlJc w:val="left"/>
      <w:lvlText w:val="%1)"/>
      <w:numFmt w:val="lowerLetter"/>
      <w:start w:val="3"/>
    </w:lvl>
  </w:abstractNum>
  <w:abstractNum w:abstractNumId="86">
    <w:nsid w:val="631B64D4"/>
    <w:multiLevelType w:val="hybridMultilevel"/>
    <w:lvl w:ilvl="0">
      <w:lvlJc w:val="left"/>
      <w:lvlText w:val="(*)"/>
      <w:numFmt w:val="bullet"/>
      <w:start w:val="1"/>
    </w:lvl>
    <w:lvl w:ilvl="1">
      <w:lvlJc w:val="left"/>
      <w:lvlText w:val="(%2)"/>
      <w:numFmt w:val="lowerRoman"/>
      <w:start w:val="1"/>
    </w:lvl>
  </w:abstractNum>
  <w:abstractNum w:abstractNumId="87">
    <w:nsid w:val="78B5E776"/>
    <w:multiLevelType w:val="hybridMultilevel"/>
    <w:lvl w:ilvl="0">
      <w:lvlJc w:val="left"/>
      <w:lvlText w:val="(**)"/>
      <w:numFmt w:val="bullet"/>
      <w:start w:val="1"/>
    </w:lvl>
  </w:abstractNum>
  <w:abstractNum w:abstractNumId="88">
    <w:nsid w:val="75486E47"/>
    <w:multiLevelType w:val="hybridMultilevel"/>
    <w:lvl w:ilvl="0">
      <w:lvlJc w:val="left"/>
      <w:lvlText w:val="%1)"/>
      <w:numFmt w:val="lowerLetter"/>
      <w:start w:val="4"/>
    </w:lvl>
    <w:lvl w:ilvl="1">
      <w:lvlJc w:val="left"/>
      <w:lvlText w:val="-"/>
      <w:numFmt w:val="bullet"/>
      <w:start w:val="1"/>
    </w:lvl>
  </w:abstractNum>
  <w:abstractNum w:abstractNumId="89">
    <w:nsid w:val="6E534CDE"/>
    <w:multiLevelType w:val="hybridMultilevel"/>
    <w:lvl w:ilvl="0">
      <w:lvlJc w:val="left"/>
      <w:lvlText w:val="%1)"/>
      <w:numFmt w:val="lowerLetter"/>
      <w:start w:val="6"/>
    </w:lvl>
  </w:abstractNum>
  <w:abstractNum w:abstractNumId="90">
    <w:nsid w:val="1A0DDE32"/>
    <w:multiLevelType w:val="hybridMultilevel"/>
    <w:lvl w:ilvl="0">
      <w:lvlJc w:val="left"/>
      <w:lvlText w:val="8"/>
      <w:numFmt w:val="bullet"/>
      <w:start w:val="1"/>
    </w:lvl>
  </w:abstractNum>
  <w:abstractNum w:abstractNumId="91">
    <w:nsid w:val="65968C1C"/>
    <w:multiLevelType w:val="hybridMultilevel"/>
    <w:lvl w:ilvl="0">
      <w:lvlJc w:val="left"/>
      <w:lvlText w:val="(%1)"/>
      <w:numFmt w:val="lowerLetter"/>
      <w:start w:val="1"/>
    </w:lvl>
    <w:lvl w:ilvl="1">
      <w:lvlJc w:val="left"/>
      <w:lvlText w:val="-"/>
      <w:numFmt w:val="bullet"/>
      <w:start w:val="1"/>
    </w:lvl>
  </w:abstractNum>
  <w:abstractNum w:abstractNumId="92">
    <w:nsid w:val="46263DEC"/>
    <w:multiLevelType w:val="hybridMultilevel"/>
    <w:lvl w:ilvl="0">
      <w:lvlJc w:val="left"/>
      <w:lvlText w:val="(%1)"/>
      <w:numFmt w:val="lowerRoman"/>
      <w:start w:val="1"/>
    </w:lvl>
  </w:abstractNum>
  <w:abstractNum w:abstractNumId="93">
    <w:nsid w:val="260D8C4A"/>
    <w:multiLevelType w:val="hybridMultilevel"/>
    <w:lvl w:ilvl="0">
      <w:lvlJc w:val="left"/>
      <w:lvlText w:val="9"/>
      <w:numFmt w:val="bullet"/>
      <w:start w:val="1"/>
    </w:lvl>
    <w:lvl w:ilvl="1">
      <w:lvlJc w:val="left"/>
      <w:lvlText w:val="%2)"/>
      <w:numFmt w:val="lowerLetter"/>
      <w:start w:val="1"/>
    </w:lvl>
  </w:abstractNum>
  <w:abstractNum w:abstractNumId="94">
    <w:nsid w:val="73D4D3C4"/>
    <w:multiLevelType w:val="hybridMultilevel"/>
    <w:lvl w:ilvl="0">
      <w:lvlJc w:val="left"/>
      <w:lvlText w:val="(%1)"/>
      <w:numFmt w:val="lowerRoman"/>
      <w:start w:val="1"/>
    </w:lvl>
  </w:abstractNum>
  <w:abstractNum w:abstractNumId="95">
    <w:nsid w:val="746F2E30"/>
    <w:multiLevelType w:val="hybridMultilevel"/>
    <w:lvl w:ilvl="0">
      <w:lvlJc w:val="left"/>
      <w:lvlText w:val="(%1)"/>
      <w:numFmt w:val="lowerRoman"/>
      <w:start w:val="1"/>
    </w:lvl>
    <w:lvl w:ilvl="1">
      <w:lvlJc w:val="left"/>
      <w:lvlText w:val="-"/>
      <w:numFmt w:val="bullet"/>
      <w:start w:val="1"/>
    </w:lvl>
  </w:abstractNum>
  <w:abstractNum w:abstractNumId="96">
    <w:nsid w:val="6FDE8AF6"/>
    <w:multiLevelType w:val="hybridMultilevel"/>
    <w:lvl w:ilvl="0">
      <w:lvlJc w:val="left"/>
      <w:lvlText w:val="%1)"/>
      <w:numFmt w:val="lowerLetter"/>
      <w:start w:val="1"/>
    </w:lvl>
  </w:abstractNum>
  <w:abstractNum w:abstractNumId="97">
    <w:nsid w:val="3FC32E20"/>
    <w:multiLevelType w:val="hybridMultilevel"/>
    <w:lvl w:ilvl="0">
      <w:lvlJc w:val="left"/>
      <w:lvlText w:val="%1"/>
      <w:numFmt w:val="decimal"/>
      <w:start w:val="11"/>
    </w:lvl>
    <w:lvl w:ilvl="1">
      <w:lvlJc w:val="left"/>
      <w:lvlText w:val="%2)"/>
      <w:numFmt w:val="lowerLetter"/>
      <w:start w:val="1"/>
    </w:lvl>
  </w:abstractNum>
  <w:abstractNum w:abstractNumId="98">
    <w:nsid w:val="49C0E823"/>
    <w:multiLevelType w:val="hybridMultilevel"/>
    <w:lvl w:ilvl="0">
      <w:lvlJc w:val="left"/>
      <w:lvlText w:val="%1)"/>
      <w:numFmt w:val="lowerLetter"/>
      <w:start w:val="2"/>
    </w:lvl>
  </w:abstractNum>
  <w:abstractNum w:abstractNumId="99">
    <w:nsid w:val="14D53685"/>
    <w:multiLevelType w:val="hybridMultilevel"/>
    <w:lvl w:ilvl="0">
      <w:lvlJc w:val="left"/>
      <w:lvlText w:val="(*)"/>
      <w:numFmt w:val="bullet"/>
      <w:start w:val="1"/>
    </w:lvl>
  </w:abstractNum>
  <w:abstractNum w:abstractNumId="100">
    <w:nsid w:val="230F856C"/>
    <w:multiLevelType w:val="hybridMultilevel"/>
    <w:lvl w:ilvl="0">
      <w:lvlJc w:val="left"/>
      <w:lvlText w:val="(**)"/>
      <w:numFmt w:val="bullet"/>
      <w:start w:val="1"/>
    </w:lvl>
  </w:abstractNum>
  <w:abstractNum w:abstractNumId="101">
    <w:nsid w:val="6EAA85FB"/>
    <w:multiLevelType w:val="hybridMultilevel"/>
    <w:lvl w:ilvl="0">
      <w:lvlJc w:val="left"/>
      <w:lvlText w:val="%1"/>
      <w:numFmt w:val="decimal"/>
      <w:start w:val="12"/>
    </w:lvl>
    <w:lvl w:ilvl="1">
      <w:lvlJc w:val="left"/>
      <w:lvlText w:val="%2)"/>
      <w:numFmt w:val="lowerLetter"/>
      <w:start w:val="1"/>
    </w:lvl>
  </w:abstractNum>
  <w:abstractNum w:abstractNumId="102">
    <w:nsid w:val="3F06ECB2"/>
    <w:multiLevelType w:val="hybridMultilevel"/>
    <w:lvl w:ilvl="0">
      <w:lvlJc w:val="left"/>
      <w:lvlText w:val="%1)"/>
      <w:numFmt w:val="lowerLetter"/>
      <w:start w:val="2"/>
    </w:lvl>
    <w:lvl w:ilvl="1">
      <w:lvlJc w:val="left"/>
      <w:lvlText w:val="-"/>
      <w:numFmt w:val="bullet"/>
      <w:start w:val="1"/>
    </w:lvl>
  </w:abstractNum>
  <w:abstractNum w:abstractNumId="103">
    <w:nsid w:val="3B594807"/>
    <w:multiLevelType w:val="hybridMultilevel"/>
    <w:lvl w:ilvl="0">
      <w:lvlJc w:val="left"/>
      <w:lvlText w:val="%1)"/>
      <w:numFmt w:val="lowerLetter"/>
      <w:start w:val="2"/>
    </w:lvl>
    <w:lvl w:ilvl="1">
      <w:lvlJc w:val="left"/>
      <w:lvlText w:val="-"/>
      <w:numFmt w:val="bullet"/>
      <w:start w:val="1"/>
    </w:lvl>
  </w:abstractNum>
  <w:abstractNum w:abstractNumId="104">
    <w:nsid w:val="6CAA2304"/>
    <w:multiLevelType w:val="hybridMultilevel"/>
    <w:lvl w:ilvl="0">
      <w:lvlJc w:val="left"/>
      <w:lvlText w:val="%1)"/>
      <w:numFmt w:val="lowerLetter"/>
      <w:start w:val="3"/>
    </w:lvl>
  </w:abstractNum>
  <w:abstractNum w:abstractNumId="105">
    <w:nsid w:val="3F7C2FF4"/>
    <w:multiLevelType w:val="hybridMultilevel"/>
    <w:lvl w:ilvl="0">
      <w:lvlJc w:val="left"/>
      <w:lvlText w:val="(*)"/>
      <w:numFmt w:val="bullet"/>
      <w:start w:val="1"/>
    </w:lvl>
    <w:lvl w:ilvl="1">
      <w:lvlJc w:val="left"/>
      <w:lvlText w:val="-"/>
      <w:numFmt w:val="bullet"/>
      <w:start w:val="1"/>
    </w:lvl>
  </w:abstractNum>
  <w:abstractNum w:abstractNumId="106">
    <w:nsid w:val="25413BEC"/>
    <w:multiLevelType w:val="hybridMultilevel"/>
    <w:lvl w:ilvl="0">
      <w:lvlJc w:val="left"/>
      <w:lvlText w:val="(%1)"/>
      <w:numFmt w:val="lowerRoman"/>
      <w:start w:val="1"/>
    </w:lvl>
  </w:abstractNum>
  <w:abstractNum w:abstractNumId="107">
    <w:nsid w:val="17180B0B"/>
    <w:multiLevelType w:val="hybridMultilevel"/>
    <w:lvl w:ilvl="0">
      <w:lvlJc w:val="left"/>
      <w:lvlText w:val="(%1)"/>
      <w:numFmt w:val="lowerRoman"/>
      <w:start w:val="2"/>
    </w:lvl>
  </w:abstractNum>
  <w:abstractNum w:abstractNumId="108">
    <w:nsid w:val="579328B9"/>
    <w:multiLevelType w:val="hybridMultilevel"/>
    <w:lvl w:ilvl="0">
      <w:lvlJc w:val="left"/>
      <w:lvlText w:val="%1)"/>
      <w:numFmt w:val="lowerLetter"/>
      <w:start w:val="4"/>
    </w:lvl>
  </w:abstractNum>
  <w:abstractNum w:abstractNumId="109">
    <w:nsid w:val="5D205E20"/>
    <w:multiLevelType w:val="hybridMultilevel"/>
    <w:lvl w:ilvl="0">
      <w:lvlJc w:val="left"/>
      <w:lvlText w:val="(%1)"/>
      <w:numFmt w:val="lowerRoman"/>
      <w:start w:val="1"/>
    </w:lvl>
    <w:lvl w:ilvl="1">
      <w:lvlJc w:val="left"/>
      <w:lvlText w:val="-"/>
      <w:numFmt w:val="bullet"/>
      <w:start w:val="1"/>
    </w:lvl>
  </w:abstractNum>
  <w:abstractNum w:abstractNumId="110">
    <w:nsid w:val="11CCA8BA"/>
    <w:multiLevelType w:val="hybridMultilevel"/>
    <w:lvl w:ilvl="0">
      <w:lvlJc w:val="left"/>
      <w:lvlText w:val="%1)"/>
      <w:numFmt w:val="lowerLetter"/>
      <w:start w:val="9"/>
    </w:lvl>
  </w:abstractNum>
  <w:abstractNum w:abstractNumId="111">
    <w:nsid w:val="4D32AB86"/>
    <w:multiLevelType w:val="hybridMultilevel"/>
    <w:lvl w:ilvl="0">
      <w:lvlJc w:val="left"/>
      <w:lvlText w:val="%1"/>
      <w:numFmt w:val="decimal"/>
      <w:start w:val="14"/>
    </w:lvl>
    <w:lvl w:ilvl="1">
      <w:lvlJc w:val="left"/>
      <w:lvlText w:val="%2)"/>
      <w:numFmt w:val="lowerLetter"/>
      <w:start w:val="1"/>
    </w:lvl>
  </w:abstractNum>
  <w:abstractNum w:abstractNumId="112">
    <w:nsid w:val="3F07ACC3"/>
    <w:multiLevelType w:val="hybridMultilevel"/>
    <w:lvl w:ilvl="0">
      <w:lvlJc w:val="left"/>
      <w:lvlText w:val="%1"/>
      <w:numFmt w:val="lowerLetter"/>
      <w:start w:val="1"/>
    </w:lvl>
    <w:lvl w:ilvl="1">
      <w:lvlJc w:val="left"/>
      <w:lvlText w:val="(%2)"/>
      <w:numFmt w:val="lowerRoman"/>
      <w:start w:val="1"/>
    </w:lvl>
  </w:abstractNum>
  <w:abstractNum w:abstractNumId="113">
    <w:nsid w:val="6B47F63E"/>
    <w:multiLevelType w:val="hybridMultilevel"/>
    <w:lvl w:ilvl="0">
      <w:lvlJc w:val="left"/>
      <w:lvlText w:val="%1)"/>
      <w:numFmt w:val="lowerLetter"/>
      <w:start w:val="3"/>
    </w:lvl>
    <w:lvl w:ilvl="1">
      <w:lvlJc w:val="left"/>
      <w:lvlText w:val="%2"/>
      <w:numFmt w:val="lowerRoman"/>
      <w:start w:val="1"/>
    </w:lvl>
  </w:abstractNum>
  <w:abstractNum w:abstractNumId="114">
    <w:nsid w:val="5CB44A05"/>
    <w:multiLevelType w:val="hybridMultilevel"/>
    <w:lvl w:ilvl="0">
      <w:lvlJc w:val="left"/>
      <w:lvlText w:val="%1)"/>
      <w:numFmt w:val="lowerLetter"/>
      <w:start w:val="5"/>
    </w:lvl>
    <w:lvl w:ilvl="1">
      <w:lvlJc w:val="left"/>
      <w:lvlText w:val="-"/>
      <w:numFmt w:val="bullet"/>
      <w:start w:val="1"/>
    </w:lvl>
  </w:abstractNum>
  <w:abstractNum w:abstractNumId="115">
    <w:nsid w:val="16CF80F1"/>
    <w:multiLevelType w:val="hybridMultilevel"/>
    <w:lvl w:ilvl="0">
      <w:lvlJc w:val="left"/>
      <w:lvlText w:val="%1)"/>
      <w:numFmt w:val="lowerLetter"/>
      <w:start w:val="6"/>
    </w:lvl>
  </w:abstractNum>
  <w:abstractNum w:abstractNumId="116">
    <w:nsid w:val="1C695DEC"/>
    <w:multiLevelType w:val="hybridMultilevel"/>
    <w:lvl w:ilvl="0">
      <w:lvlJc w:val="left"/>
      <w:lvlText w:val="%1"/>
      <w:numFmt w:val="decimal"/>
      <w:start w:val="16"/>
    </w:lvl>
    <w:lvl w:ilvl="1">
      <w:lvlJc w:val="left"/>
      <w:lvlText w:val="%2)"/>
      <w:numFmt w:val="lowerLetter"/>
      <w:start w:val="1"/>
    </w:lvl>
  </w:abstractNum>
  <w:abstractNum w:abstractNumId="117">
    <w:nsid w:val="3FCFAED9"/>
    <w:multiLevelType w:val="hybridMultilevel"/>
    <w:lvl w:ilvl="0">
      <w:lvlJc w:val="left"/>
      <w:lvlText w:val="(*)"/>
      <w:numFmt w:val="bullet"/>
      <w:start w:val="1"/>
    </w:lvl>
  </w:abstractNum>
  <w:abstractNum w:abstractNumId="118">
    <w:nsid w:val="F856867"/>
    <w:multiLevelType w:val="hybridMultilevel"/>
    <w:lvl w:ilvl="0">
      <w:lvlJc w:val="left"/>
      <w:lvlText w:val="(%1)"/>
      <w:numFmt w:val="lowerRoman"/>
      <w:start w:val="1"/>
    </w:lvl>
    <w:lvl w:ilvl="1">
      <w:lvlJc w:val="left"/>
      <w:lvlText w:val="-"/>
      <w:numFmt w:val="bullet"/>
      <w:start w:val="1"/>
    </w:lvl>
  </w:abstractNum>
  <w:abstractNum w:abstractNumId="119">
    <w:nsid w:val="11B1CC33"/>
    <w:multiLevelType w:val="hybridMultilevel"/>
    <w:lvl w:ilvl="0">
      <w:lvlJc w:val="left"/>
      <w:lvlText w:val="-"/>
      <w:numFmt w:val="bullet"/>
      <w:start w:val="1"/>
    </w:lvl>
  </w:abstractNum>
  <w:abstractNum w:abstractNumId="120">
    <w:nsid w:val="2E22FBB7"/>
    <w:multiLevelType w:val="hybridMultilevel"/>
    <w:lvl w:ilvl="0">
      <w:lvlJc w:val="left"/>
      <w:lvlText w:val="%1"/>
      <w:numFmt w:val="decimal"/>
      <w:start w:val="17"/>
    </w:lvl>
    <w:lvl w:ilvl="1">
      <w:lvlJc w:val="left"/>
      <w:lvlText w:val="%2)"/>
      <w:numFmt w:val="lowerLetter"/>
      <w:start w:val="1"/>
    </w:lvl>
  </w:abstractNum>
  <w:abstractNum w:abstractNumId="121">
    <w:nsid w:val="29934699"/>
    <w:multiLevelType w:val="hybridMultilevel"/>
    <w:lvl w:ilvl="0">
      <w:lvlJc w:val="left"/>
      <w:lvlText w:val="(%1)"/>
      <w:numFmt w:val="lowerRoman"/>
      <w:start w:val="1"/>
    </w:lvl>
    <w:lvl w:ilvl="1">
      <w:lvlJc w:val="left"/>
      <w:lvlText w:val="-"/>
      <w:numFmt w:val="bullet"/>
      <w:start w:val="1"/>
    </w:lvl>
  </w:abstractNum>
  <w:abstractNum w:abstractNumId="122">
    <w:nsid w:val="77485850"/>
    <w:multiLevelType w:val="hybridMultilevel"/>
    <w:lvl w:ilvl="0">
      <w:lvlJc w:val="left"/>
      <w:lvlText w:val="(%1)"/>
      <w:numFmt w:val="lowerRoman"/>
      <w:start w:val="6"/>
    </w:lvl>
    <w:lvl w:ilvl="1">
      <w:lvlJc w:val="left"/>
      <w:lvlText w:val="-"/>
      <w:numFmt w:val="bullet"/>
      <w:start w:val="1"/>
    </w:lvl>
  </w:abstractNum>
  <w:abstractNum w:abstractNumId="123">
    <w:nsid w:val="744939A3"/>
    <w:multiLevelType w:val="hybridMultilevel"/>
    <w:lvl w:ilvl="0">
      <w:lvlJc w:val="left"/>
      <w:lvlText w:val="%1"/>
      <w:numFmt w:val="decimal"/>
      <w:start w:val="18"/>
    </w:lvl>
    <w:lvl w:ilvl="1">
      <w:lvlJc w:val="left"/>
      <w:lvlText w:val="%2)"/>
      <w:numFmt w:val="lowerLetter"/>
      <w:start w:val="1"/>
    </w:lvl>
  </w:abstractNum>
  <w:abstractNum w:abstractNumId="124">
    <w:nsid w:val="4FA0D2E3"/>
    <w:multiLevelType w:val="hybridMultilevel"/>
    <w:lvl w:ilvl="0">
      <w:lvlJc w:val="left"/>
      <w:lvlText w:val="(*)"/>
      <w:numFmt w:val="bullet"/>
      <w:start w:val="1"/>
    </w:lvl>
  </w:abstractNum>
  <w:abstractNum w:abstractNumId="125">
    <w:nsid w:val="6B1D2C14"/>
    <w:multiLevelType w:val="hybridMultilevel"/>
    <w:lvl w:ilvl="0">
      <w:lvlJc w:val="left"/>
      <w:lvlText w:val="%1)"/>
      <w:numFmt w:val="lowerLetter"/>
      <w:start w:val="3"/>
    </w:lvl>
  </w:abstractNum>
  <w:abstractNum w:abstractNumId="126">
    <w:nsid w:val="68B867D3"/>
    <w:multiLevelType w:val="hybridMultilevel"/>
    <w:lvl w:ilvl="0">
      <w:lvlJc w:val="left"/>
      <w:lvlText w:val="%1)"/>
      <w:numFmt w:val="lowerLetter"/>
      <w:start w:val="5"/>
    </w:lvl>
  </w:abstractNum>
  <w:abstractNum w:abstractNumId="127">
    <w:nsid w:val="3F7F5DD9"/>
    <w:multiLevelType w:val="hybridMultilevel"/>
    <w:lvl w:ilvl="0">
      <w:lvlJc w:val="left"/>
      <w:lvlText w:val="%1)"/>
      <w:numFmt w:val="lowerLetter"/>
      <w:start w:val="6"/>
    </w:lvl>
    <w:lvl w:ilvl="1">
      <w:lvlJc w:val="left"/>
      <w:lvlText w:val="-"/>
      <w:numFmt w:val="bullet"/>
      <w:start w:val="1"/>
    </w:lvl>
  </w:abstractNum>
  <w:abstractNum w:abstractNumId="128">
    <w:nsid w:val="2AE05A34"/>
    <w:multiLevelType w:val="hybridMultilevel"/>
    <w:lvl w:ilvl="0">
      <w:lvlJc w:val="left"/>
      <w:lvlText w:val="%1"/>
      <w:numFmt w:val="decimal"/>
      <w:start w:val="19"/>
    </w:lvl>
    <w:lvl w:ilvl="1">
      <w:lvlJc w:val="left"/>
      <w:lvlText w:val="%2)"/>
      <w:numFmt w:val="lowerLetter"/>
      <w:start w:val="1"/>
    </w:lvl>
  </w:abstractNum>
  <w:abstractNum w:abstractNumId="129">
    <w:nsid w:val="32794FF7"/>
    <w:multiLevelType w:val="hybridMultilevel"/>
    <w:lvl w:ilvl="0">
      <w:lvlJc w:val="left"/>
      <w:lvlText w:val="%1)"/>
      <w:numFmt w:val="lowerLetter"/>
      <w:start w:val="4"/>
    </w:lvl>
  </w:abstractNum>
  <w:abstractNum w:abstractNumId="130">
    <w:nsid w:val="5454945E"/>
    <w:multiLevelType w:val="hybridMultilevel"/>
    <w:lvl w:ilvl="0">
      <w:lvlJc w:val="left"/>
      <w:lvlText w:val="%1"/>
      <w:numFmt w:val="decimal"/>
      <w:start w:val="20"/>
    </w:lvl>
    <w:lvl w:ilvl="1">
      <w:lvlJc w:val="left"/>
      <w:lvlText w:val="%2)"/>
      <w:numFmt w:val="lowerLetter"/>
      <w:start w:val="1"/>
    </w:lvl>
  </w:abstractNum>
  <w:abstractNum w:abstractNumId="131">
    <w:nsid w:val="4DEFDFA0"/>
    <w:multiLevelType w:val="hybridMultilevel"/>
    <w:lvl w:ilvl="0">
      <w:lvlJc w:val="left"/>
      <w:lvlText w:val="%1)"/>
      <w:numFmt w:val="lowerLetter"/>
      <w:start w:val="2"/>
    </w:lvl>
  </w:abstractNum>
  <w:abstractNum w:abstractNumId="132">
    <w:nsid w:val="2123D5F2"/>
    <w:multiLevelType w:val="hybridMultilevel"/>
    <w:lvl w:ilvl="0">
      <w:lvlJc w:val="left"/>
      <w:lvlText w:val="%1"/>
      <w:numFmt w:val="decimal"/>
      <w:start w:val="24"/>
    </w:lvl>
  </w:abstractNum>
  <w:abstractNum w:abstractNumId="133">
    <w:nsid w:val="135B8110"/>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134">
    <w:nsid w:val="94927A8"/>
    <w:multiLevelType w:val="hybridMultilevel"/>
    <w:lvl w:ilvl="0">
      <w:lvlJc w:val="left"/>
      <w:lvlText w:val="(%1)"/>
      <w:numFmt w:val="lowerRoman"/>
      <w:start w:val="4"/>
    </w:lvl>
    <w:lvl w:ilvl="1">
      <w:lvlJc w:val="left"/>
      <w:lvlText w:val="-"/>
      <w:numFmt w:val="bullet"/>
      <w:start w:val="1"/>
    </w:lvl>
  </w:abstractNum>
  <w:abstractNum w:abstractNumId="135">
    <w:nsid w:val="DCDF8F6"/>
    <w:multiLevelType w:val="hybridMultilevel"/>
    <w:lvl w:ilvl="0">
      <w:lvlJc w:val="left"/>
      <w:lvlText w:val="%1"/>
      <w:numFmt w:val="decimal"/>
      <w:start w:val="25"/>
    </w:lvl>
    <w:lvl w:ilvl="1">
      <w:lvlJc w:val="left"/>
      <w:lvlText w:val="%2)"/>
      <w:numFmt w:val="lowerLetter"/>
      <w:start w:val="1"/>
    </w:lvl>
  </w:abstractNum>
  <w:abstractNum w:abstractNumId="136">
    <w:nsid w:val="52D7B105"/>
    <w:multiLevelType w:val="hybridMultilevel"/>
    <w:lvl w:ilvl="0">
      <w:lvlJc w:val="left"/>
      <w:lvlText w:val="(*)"/>
      <w:numFmt w:val="bullet"/>
      <w:start w:val="1"/>
    </w:lvl>
  </w:abstractNum>
  <w:abstractNum w:abstractNumId="137">
    <w:nsid w:val="2E8A6394"/>
    <w:multiLevelType w:val="hybridMultilevel"/>
    <w:lvl w:ilvl="0">
      <w:lvlJc w:val="left"/>
      <w:lvlText w:val="(%1)"/>
      <w:numFmt w:val="lowerRoman"/>
      <w:start w:val="1"/>
    </w:lvl>
    <w:lvl w:ilvl="1">
      <w:lvlJc w:val="left"/>
      <w:lvlText w:val="(*)"/>
      <w:numFmt w:val="bullet"/>
      <w:start w:val="1"/>
    </w:lvl>
  </w:abstractNum>
  <w:abstractNum w:abstractNumId="138">
    <w:nsid w:val="24E60401"/>
    <w:multiLevelType w:val="hybridMultilevel"/>
    <w:lvl w:ilvl="0">
      <w:lvlJc w:val="left"/>
      <w:lvlText w:val="(*)"/>
      <w:numFmt w:val="bullet"/>
      <w:start w:val="1"/>
    </w:lvl>
    <w:lvl w:ilvl="1">
      <w:lvlJc w:val="left"/>
      <w:lvlText w:val="-"/>
      <w:numFmt w:val="bullet"/>
      <w:start w:val="1"/>
    </w:lvl>
  </w:abstractNum>
  <w:abstractNum w:abstractNumId="139">
    <w:nsid w:val="2A6AD9BE"/>
    <w:multiLevelType w:val="hybridMultilevel"/>
    <w:lvl w:ilvl="0">
      <w:lvlJc w:val="left"/>
      <w:lvlText w:val="%1"/>
      <w:numFmt w:val="decimal"/>
      <w:start w:val="26"/>
    </w:lvl>
  </w:abstractNum>
  <w:abstractNum w:abstractNumId="140">
    <w:nsid w:val="BAAC1B4"/>
    <w:multiLevelType w:val="hybridMultilevel"/>
    <w:lvl w:ilvl="0">
      <w:lvlJc w:val="left"/>
      <w:lvlText w:val="%1"/>
      <w:numFmt w:val="decimal"/>
      <w:start w:val="27"/>
    </w:lvl>
  </w:abstractNum>
  <w:abstractNum w:abstractNumId="141">
    <w:nsid w:val="36B2ACBC"/>
    <w:multiLevelType w:val="hybridMultilevel"/>
    <w:lvl w:ilvl="0">
      <w:lvlJc w:val="left"/>
      <w:lvlText w:val="(%1)"/>
      <w:numFmt w:val="lowerLetter"/>
      <w:start w:val="1"/>
    </w:lvl>
    <w:lvl w:ilvl="1">
      <w:lvlJc w:val="left"/>
      <w:lvlText w:val="-"/>
      <w:numFmt w:val="bullet"/>
      <w:start w:val="1"/>
    </w:lvl>
  </w:abstractNum>
  <w:abstractNum w:abstractNumId="142">
    <w:nsid w:val="779D8544"/>
    <w:multiLevelType w:val="hybridMultilevel"/>
    <w:lvl w:ilvl="0">
      <w:lvlJc w:val="left"/>
      <w:lvlText w:val="%1"/>
      <w:numFmt w:val="decimal"/>
      <w:start w:val="28"/>
    </w:lvl>
  </w:abstractNum>
  <w:abstractNum w:abstractNumId="143">
    <w:nsid w:val="4AB26E78"/>
    <w:multiLevelType w:val="hybridMultilevel"/>
    <w:lvl w:ilvl="0">
      <w:lvlJc w:val="left"/>
      <w:lvlText w:val="(%1)"/>
      <w:numFmt w:val="lowerLetter"/>
      <w:start w:val="1"/>
    </w:lvl>
    <w:lvl w:ilvl="1">
      <w:lvlJc w:val="left"/>
      <w:lvlText w:val="-"/>
      <w:numFmt w:val="bullet"/>
      <w:start w:val="1"/>
    </w:lvl>
  </w:abstractNum>
  <w:abstractNum w:abstractNumId="144">
    <w:nsid w:val="21FAA2FA"/>
    <w:multiLevelType w:val="hybridMultilevel"/>
    <w:lvl w:ilvl="0">
      <w:lvlJc w:val="left"/>
      <w:lvlText w:val="(%1)"/>
      <w:numFmt w:val="lowerLetter"/>
      <w:start w:val="1"/>
    </w:lvl>
    <w:lvl w:ilvl="1">
      <w:lvlJc w:val="left"/>
      <w:lvlText w:val="-"/>
      <w:numFmt w:val="bullet"/>
      <w:start w:val="1"/>
    </w:lvl>
  </w:abstractNum>
  <w:abstractNum w:abstractNumId="145">
    <w:nsid w:val="5451CF49"/>
    <w:multiLevelType w:val="hybridMultilevel"/>
    <w:lvl w:ilvl="0">
      <w:lvlJc w:val="left"/>
      <w:lvlText w:val="%1"/>
      <w:numFmt w:val="decimal"/>
      <w:start w:val="30"/>
    </w:lvl>
  </w:abstractNum>
  <w:abstractNum w:abstractNumId="146">
    <w:nsid w:val="6181EF69"/>
    <w:multiLevelType w:val="hybridMultilevel"/>
    <w:lvl w:ilvl="0">
      <w:lvlJc w:val="left"/>
      <w:lvlText w:val="%1"/>
      <w:numFmt w:val="decimal"/>
      <w:start w:val="31"/>
    </w:lvl>
    <w:lvl w:ilvl="1">
      <w:lvlJc w:val="left"/>
      <w:lvlText w:val="%2)"/>
      <w:numFmt w:val="lowerLetter"/>
      <w:start w:val="1"/>
    </w:lvl>
    <w:lvl w:ilvl="2">
      <w:lvlJc w:val="left"/>
      <w:lvlText w:val="-"/>
      <w:numFmt w:val="bullet"/>
      <w:start w:val="1"/>
    </w:lvl>
  </w:abstractNum>
  <w:abstractNum w:abstractNumId="147">
    <w:nsid w:val="3E6400E6"/>
    <w:multiLevelType w:val="hybridMultilevel"/>
    <w:lvl w:ilvl="0">
      <w:lvlJc w:val="left"/>
      <w:lvlText w:val="-"/>
      <w:numFmt w:val="bullet"/>
      <w:start w:val="1"/>
    </w:lvl>
    <w:lvl w:ilvl="1">
      <w:lvlJc w:val="left"/>
      <w:lvlText w:val="-"/>
      <w:numFmt w:val="bullet"/>
      <w:start w:val="1"/>
    </w:lvl>
  </w:abstractNum>
  <w:abstractNum w:abstractNumId="148">
    <w:nsid w:val="14217E23"/>
    <w:multiLevelType w:val="hybridMultilevel"/>
    <w:lvl w:ilvl="0">
      <w:lvlJc w:val="left"/>
      <w:lvlText w:val="-"/>
      <w:numFmt w:val="bullet"/>
      <w:start w:val="1"/>
    </w:lvl>
    <w:lvl w:ilvl="1">
      <w:lvlJc w:val="left"/>
      <w:lvlText w:val="-"/>
      <w:numFmt w:val="bullet"/>
      <w:start w:val="1"/>
    </w:lvl>
  </w:abstractNum>
  <w:abstractNum w:abstractNumId="149">
    <w:nsid w:val="710757D0"/>
    <w:multiLevelType w:val="hybridMultilevel"/>
    <w:lvl w:ilvl="0">
      <w:lvlJc w:val="left"/>
      <w:lvlText w:val="(%1)"/>
      <w:numFmt w:val="lowerRoman"/>
      <w:start w:val="1"/>
    </w:lvl>
  </w:abstractNum>
  <w:abstractNum w:abstractNumId="150">
    <w:nsid w:val="5015CD1A"/>
    <w:multiLevelType w:val="hybridMultilevel"/>
    <w:lvl w:ilvl="0">
      <w:lvlJc w:val="left"/>
      <w:lvlText w:val="(*)"/>
      <w:numFmt w:val="bullet"/>
      <w:start w:val="1"/>
    </w:lvl>
  </w:abstractNum>
  <w:abstractNum w:abstractNumId="151">
    <w:nsid w:val="424479DA"/>
    <w:multiLevelType w:val="hybridMultilevel"/>
    <w:lvl w:ilvl="0">
      <w:lvlJc w:val="left"/>
      <w:lvlText w:val="(**)"/>
      <w:numFmt w:val="bullet"/>
      <w:start w:val="1"/>
    </w:lvl>
  </w:abstractNum>
  <w:abstractNum w:abstractNumId="152">
    <w:nsid w:val="1A9A9E69"/>
    <w:multiLevelType w:val="hybridMultilevel"/>
    <w:lvl w:ilvl="0">
      <w:lvlJc w:val="left"/>
      <w:lvlText w:val="(***)"/>
      <w:numFmt w:val="bullet"/>
      <w:start w:val="1"/>
    </w:lvl>
    <w:lvl w:ilvl="1">
      <w:lvlJc w:val="left"/>
      <w:lvlText w:val="-"/>
      <w:numFmt w:val="bullet"/>
      <w:start w:val="1"/>
    </w:lvl>
  </w:abstractNum>
  <w:abstractNum w:abstractNumId="153">
    <w:nsid w:val="475E256A"/>
    <w:multiLevelType w:val="hybridMultilevel"/>
    <w:lvl w:ilvl="0">
      <w:lvlJc w:val="left"/>
      <w:lvlText w:val="(*)"/>
      <w:numFmt w:val="bullet"/>
      <w:start w:val="1"/>
    </w:lvl>
  </w:abstractNum>
  <w:abstractNum w:abstractNumId="154">
    <w:nsid w:val="368DB37E"/>
    <w:multiLevelType w:val="hybridMultilevel"/>
    <w:lvl w:ilvl="0">
      <w:lvlJc w:val="left"/>
      <w:lvlText w:val="(**)"/>
      <w:numFmt w:val="bullet"/>
      <w:start w:val="1"/>
    </w:lvl>
  </w:abstractNum>
  <w:abstractNum w:abstractNumId="155">
    <w:nsid w:val="6A3B714C"/>
    <w:multiLevelType w:val="hybridMultilevel"/>
    <w:lvl w:ilvl="0">
      <w:lvlJc w:val="left"/>
      <w:lvlText w:val="(***)"/>
      <w:numFmt w:val="bullet"/>
      <w:start w:val="1"/>
    </w:lvl>
  </w:abstractNum>
  <w:abstractNum w:abstractNumId="156">
    <w:nsid w:val="327B517E"/>
    <w:multiLevelType w:val="hybridMultilevel"/>
    <w:lvl w:ilvl="0">
      <w:lvlJc w:val="left"/>
      <w:lvlText w:val="(%1)"/>
      <w:numFmt w:val="lowerRoman"/>
      <w:start w:val="2"/>
    </w:lvl>
  </w:abstractNum>
  <w:abstractNum w:abstractNumId="157">
    <w:nsid w:val="1F461B51"/>
    <w:multiLevelType w:val="hybridMultilevel"/>
    <w:lvl w:ilvl="0">
      <w:lvlJc w:val="left"/>
      <w:lvlText w:val="(*)"/>
      <w:numFmt w:val="bullet"/>
      <w:start w:val="1"/>
    </w:lvl>
  </w:abstractNum>
  <w:abstractNum w:abstractNumId="158">
    <w:nsid w:val="29BACF25"/>
    <w:multiLevelType w:val="hybridMultilevel"/>
    <w:lvl w:ilvl="0">
      <w:lvlJc w:val="left"/>
      <w:lvlText w:val="(**)"/>
      <w:numFmt w:val="bullet"/>
      <w:start w:val="1"/>
    </w:lvl>
  </w:abstractNum>
  <w:abstractNum w:abstractNumId="159">
    <w:nsid w:val="5D5BABB3"/>
    <w:multiLevelType w:val="hybridMultilevel"/>
    <w:lvl w:ilvl="0">
      <w:lvlJc w:val="left"/>
      <w:lvlText w:val="(***)"/>
      <w:numFmt w:val="bullet"/>
      <w:start w:val="1"/>
    </w:lvl>
    <w:lvl w:ilvl="1">
      <w:lvlJc w:val="left"/>
      <w:lvlText w:val="-"/>
      <w:numFmt w:val="bullet"/>
      <w:start w:val="1"/>
    </w:lvl>
  </w:abstractNum>
  <w:abstractNum w:abstractNumId="160">
    <w:nsid w:val="51BF6B48"/>
    <w:multiLevelType w:val="hybridMultilevel"/>
    <w:lvl w:ilvl="0">
      <w:lvlJc w:val="left"/>
      <w:lvlText w:val="%1"/>
      <w:numFmt w:val="decimal"/>
      <w:start w:val="32"/>
    </w:lvl>
    <w:lvl w:ilvl="1">
      <w:lvlJc w:val="left"/>
      <w:lvlText w:val="%2)"/>
      <w:numFmt w:val="lowerLetter"/>
      <w:start w:val="1"/>
    </w:lvl>
  </w:abstractNum>
  <w:abstractNum w:abstractNumId="161">
    <w:nsid w:val="7E0F6384"/>
    <w:multiLevelType w:val="hybridMultilevel"/>
    <w:lvl w:ilvl="0">
      <w:lvlJc w:val="left"/>
      <w:lvlText w:val="(%1)"/>
      <w:numFmt w:val="lowerRoman"/>
      <w:start w:val="1"/>
    </w:lvl>
  </w:abstractNum>
  <w:abstractNum w:abstractNumId="162">
    <w:nsid w:val="2B4B8B53"/>
    <w:multiLevelType w:val="hybridMultilevel"/>
    <w:lvl w:ilvl="0">
      <w:lvlJc w:val="left"/>
      <w:lvlText w:val="%1)"/>
      <w:numFmt w:val="lowerLetter"/>
      <w:start w:val="3"/>
    </w:lvl>
  </w:abstractNum>
  <w:abstractNum w:abstractNumId="163">
    <w:nsid w:val="72E3413A"/>
    <w:multiLevelType w:val="hybridMultilevel"/>
    <w:lvl w:ilvl="0">
      <w:lvlJc w:val="left"/>
      <w:lvlText w:val="%1)"/>
      <w:numFmt w:val="lowerLetter"/>
      <w:start w:val="6"/>
    </w:lvl>
  </w:abstractNum>
  <w:abstractNum w:abstractNumId="164">
    <w:nsid w:val="116AE494"/>
    <w:multiLevelType w:val="hybridMultilevel"/>
    <w:lvl w:ilvl="0">
      <w:lvlJc w:val="left"/>
      <w:lvlText w:val="(%1)"/>
      <w:numFmt w:val="lowerRoman"/>
      <w:start w:val="1"/>
    </w:lvl>
    <w:lvl w:ilvl="1">
      <w:lvlJc w:val="left"/>
      <w:lvlText w:val="-"/>
      <w:numFmt w:val="bullet"/>
      <w:start w:val="1"/>
    </w:lvl>
  </w:abstractNum>
  <w:abstractNum w:abstractNumId="165">
    <w:nsid w:val="3494B2FB"/>
    <w:multiLevelType w:val="hybridMultilevel"/>
    <w:lvl w:ilvl="0">
      <w:lvlJc w:val="left"/>
      <w:lvlText w:val="%1)"/>
      <w:numFmt w:val="lowerLetter"/>
      <w:start w:val="7"/>
    </w:lvl>
  </w:abstractNum>
  <w:abstractNum w:abstractNumId="166">
    <w:nsid w:val="B13A31"/>
    <w:multiLevelType w:val="hybridMultilevel"/>
    <w:lvl w:ilvl="0">
      <w:lvlJc w:val="left"/>
      <w:lvlText w:val="(*)"/>
      <w:numFmt w:val="bullet"/>
      <w:start w:val="1"/>
    </w:lvl>
    <w:lvl w:ilvl="1">
      <w:lvlJc w:val="left"/>
      <w:lvlText w:val="-"/>
      <w:numFmt w:val="bullet"/>
      <w:start w:val="1"/>
    </w:lvl>
  </w:abstractNum>
  <w:abstractNum w:abstractNumId="167">
    <w:nsid w:val="64429599"/>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68">
    <w:nsid w:val="631F1690"/>
    <w:multiLevelType w:val="hybridMultilevel"/>
    <w:lvl w:ilvl="0">
      <w:lvlJc w:val="left"/>
      <w:lvlText w:val="(%1)"/>
      <w:numFmt w:val="lowerRoman"/>
      <w:start w:val="3"/>
    </w:lvl>
    <w:lvl w:ilvl="1">
      <w:lvlJc w:val="left"/>
      <w:lvlText w:val="-"/>
      <w:numFmt w:val="bullet"/>
      <w:start w:val="1"/>
    </w:lvl>
  </w:abstractNum>
  <w:abstractNum w:abstractNumId="169">
    <w:nsid w:val="25973E32"/>
    <w:multiLevelType w:val="hybridMultilevel"/>
    <w:lvl w:ilvl="0">
      <w:lvlJc w:val="left"/>
      <w:lvlText w:val="(%1)"/>
      <w:numFmt w:val="lowerRoman"/>
      <w:start w:val="4"/>
    </w:lvl>
    <w:lvl w:ilvl="1">
      <w:lvlJc w:val="left"/>
      <w:lvlText w:val="-"/>
      <w:numFmt w:val="bullet"/>
      <w:start w:val="1"/>
    </w:lvl>
  </w:abstractNum>
  <w:abstractNum w:abstractNumId="170">
    <w:nsid w:val="EAD6F57"/>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171">
    <w:nsid w:val="6EC9D84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2">
    <w:nsid w:val="5C49EAEE"/>
    <w:multiLevelType w:val="hybridMultilevel"/>
    <w:lvl w:ilvl="0">
      <w:lvlJc w:val="left"/>
      <w:lvlText w:val="%1)"/>
      <w:numFmt w:val="lowerLetter"/>
      <w:start w:val="4"/>
    </w:lvl>
    <w:lvl w:ilvl="1">
      <w:lvlJc w:val="left"/>
      <w:lvlText w:val="-"/>
      <w:numFmt w:val="bullet"/>
      <w:start w:val="1"/>
    </w:lvl>
  </w:abstractNum>
  <w:abstractNum w:abstractNumId="173">
    <w:nsid w:val="64AF49B"/>
    <w:multiLevelType w:val="hybridMultilevel"/>
    <w:lvl w:ilvl="0">
      <w:lvlJc w:val="left"/>
      <w:lvlText w:val="%1)"/>
      <w:numFmt w:val="lowerLetter"/>
      <w:start w:val="5"/>
    </w:lvl>
    <w:lvl w:ilvl="1">
      <w:lvlJc w:val="left"/>
      <w:lvlText w:val="-"/>
      <w:numFmt w:val="bullet"/>
      <w:start w:val="1"/>
    </w:lvl>
  </w:abstractNum>
  <w:abstractNum w:abstractNumId="174">
    <w:nsid w:val="397C46B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5">
    <w:nsid w:val="7E448DE9"/>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76">
    <w:nsid w:val="5A9CC3E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7">
    <w:nsid w:val="1AFE362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8">
    <w:nsid w:val="3CA88ECF"/>
    <w:multiLevelType w:val="hybridMultilevel"/>
    <w:lvl w:ilvl="0">
      <w:lvlJc w:val="left"/>
      <w:lvlText w:val="-"/>
      <w:numFmt w:val="bullet"/>
      <w:start w:val="1"/>
    </w:lvl>
  </w:abstractNum>
  <w:abstractNum w:abstractNumId="179">
    <w:nsid w:val="6EBE4208"/>
    <w:multiLevelType w:val="hybridMultilevel"/>
    <w:lvl w:ilvl="0">
      <w:lvlJc w:val="left"/>
      <w:lvlText w:val="-"/>
      <w:numFmt w:val="bullet"/>
      <w:start w:val="1"/>
    </w:lvl>
  </w:abstractNum>
  <w:abstractNum w:abstractNumId="180">
    <w:nsid w:val="C058DF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1">
    <w:nsid w:val="CBE5BE9"/>
    <w:multiLevelType w:val="hybridMultilevel"/>
    <w:lvl w:ilvl="0">
      <w:lvlJc w:val="left"/>
      <w:lvlText w:val="-"/>
      <w:numFmt w:val="bullet"/>
      <w:start w:val="1"/>
    </w:lvl>
    <w:lvl w:ilvl="1">
      <w:lvlJc w:val="left"/>
      <w:lvlText w:val="-"/>
      <w:numFmt w:val="bullet"/>
      <w:start w:val="1"/>
    </w:lvl>
  </w:abstractNum>
  <w:abstractNum w:abstractNumId="182">
    <w:nsid w:val="3102BBE2"/>
    <w:multiLevelType w:val="hybridMultilevel"/>
    <w:lvl w:ilvl="0">
      <w:lvlJc w:val="left"/>
      <w:lvlText w:val="-"/>
      <w:numFmt w:val="bullet"/>
      <w:start w:val="1"/>
    </w:lvl>
  </w:abstractNum>
  <w:abstractNum w:abstractNumId="183">
    <w:nsid w:val="26A02C5E"/>
    <w:multiLevelType w:val="hybridMultilevel"/>
    <w:lvl w:ilvl="0">
      <w:lvlJc w:val="left"/>
      <w:lvlText w:val="-"/>
      <w:numFmt w:val="bullet"/>
      <w:start w:val="1"/>
    </w:lvl>
  </w:abstractNum>
  <w:abstractNum w:abstractNumId="184">
    <w:nsid w:val="541C8153"/>
    <w:multiLevelType w:val="hybridMultilevel"/>
    <w:lvl w:ilvl="0">
      <w:lvlJc w:val="left"/>
      <w:lvlText w:val="(%1)"/>
      <w:numFmt w:val="lowerRoman"/>
      <w:start w:val="1"/>
    </w:lvl>
  </w:abstractNum>
  <w:abstractNum w:abstractNumId="185">
    <w:nsid w:val="67906F60"/>
    <w:multiLevelType w:val="hybridMultilevel"/>
    <w:lvl w:ilvl="0">
      <w:lvlJc w:val="left"/>
      <w:lvlText w:val="-"/>
      <w:numFmt w:val="bullet"/>
      <w:start w:val="1"/>
    </w:lvl>
  </w:abstractNum>
  <w:abstractNum w:abstractNumId="186">
    <w:nsid w:val="10DB9DAA"/>
    <w:multiLevelType w:val="hybridMultilevel"/>
    <w:lvl w:ilvl="0">
      <w:lvlJc w:val="left"/>
      <w:lvlText w:val="(%1)"/>
      <w:numFmt w:val="lowerRoman"/>
      <w:start w:val="1"/>
    </w:lvl>
  </w:abstractNum>
  <w:abstractNum w:abstractNumId="187">
    <w:nsid w:val="697D2D2"/>
    <w:multiLevelType w:val="hybridMultilevel"/>
    <w:lvl w:ilvl="0">
      <w:lvlJc w:val="left"/>
      <w:lvlText w:val="(%1)"/>
      <w:numFmt w:val="lowerRoman"/>
      <w:start w:val="1"/>
    </w:lvl>
  </w:abstractNum>
  <w:abstractNum w:abstractNumId="188">
    <w:nsid w:val="6D68AB2"/>
    <w:multiLevelType w:val="hybridMultilevel"/>
    <w:lvl w:ilvl="0">
      <w:lvlJc w:val="left"/>
      <w:lvlText w:val="%1)"/>
      <w:numFmt w:val="lowerRoman"/>
      <w:start w:val="1"/>
    </w:lvl>
    <w:lvl w:ilvl="1">
      <w:lvlJc w:val="left"/>
      <w:lvlText w:val="-"/>
      <w:numFmt w:val="bullet"/>
      <w:start w:val="1"/>
    </w:lvl>
  </w:abstractNum>
  <w:abstractNum w:abstractNumId="189">
    <w:nsid w:val="3A966CD0"/>
    <w:multiLevelType w:val="hybridMultilevel"/>
    <w:lvl w:ilvl="0">
      <w:lvlJc w:val="left"/>
      <w:lvlText w:val="%1)"/>
      <w:numFmt w:val="lowerRoman"/>
      <w:start w:val="1"/>
    </w:lvl>
  </w:abstractNum>
  <w:abstractNum w:abstractNumId="190">
    <w:nsid w:val="63F37E85"/>
    <w:multiLevelType w:val="hybridMultilevel"/>
    <w:lvl w:ilvl="0">
      <w:lvlJc w:val="left"/>
      <w:lvlText w:val="%1)"/>
      <w:numFmt w:val="lowerLetter"/>
      <w:start w:val="4"/>
    </w:lvl>
  </w:abstractNum>
  <w:abstractNum w:abstractNumId="191">
    <w:nsid w:val="5895F5FA"/>
    <w:multiLevelType w:val="hybridMultilevel"/>
    <w:lvl w:ilvl="0">
      <w:lvlJc w:val="left"/>
      <w:lvlText w:val="(%1)"/>
      <w:numFmt w:val="lowerRoman"/>
      <w:start w:val="1"/>
    </w:lvl>
  </w:abstractNum>
  <w:abstractNum w:abstractNumId="192">
    <w:nsid w:val="38A5D054"/>
    <w:multiLevelType w:val="hybridMultilevel"/>
    <w:lvl w:ilvl="0">
      <w:lvlJc w:val="left"/>
      <w:lvlText w:val="%1)"/>
      <w:numFmt w:val="lowerLetter"/>
      <w:start w:val="6"/>
    </w:lvl>
  </w:abstractNum>
  <w:abstractNum w:abstractNumId="193">
    <w:nsid w:val="F3F09D8"/>
    <w:multiLevelType w:val="hybridMultilevel"/>
    <w:lvl w:ilvl="0">
      <w:lvlJc w:val="left"/>
      <w:lvlText w:val="(*)"/>
      <w:numFmt w:val="bullet"/>
      <w:start w:val="1"/>
    </w:lvl>
    <w:lvl w:ilvl="1">
      <w:lvlJc w:val="left"/>
      <w:lvlText w:val="-"/>
      <w:numFmt w:val="bullet"/>
      <w:start w:val="1"/>
    </w:lvl>
  </w:abstractNum>
  <w:abstractNum w:abstractNumId="194">
    <w:nsid w:val="4B793735"/>
    <w:multiLevelType w:val="hybridMultilevel"/>
    <w:lvl w:ilvl="0">
      <w:lvlJc w:val="left"/>
      <w:lvlText w:val="(**)"/>
      <w:numFmt w:val="bullet"/>
      <w:start w:val="1"/>
    </w:lvl>
    <w:lvl w:ilvl="1">
      <w:lvlJc w:val="left"/>
      <w:lvlText w:val="-"/>
      <w:numFmt w:val="bullet"/>
      <w:start w:val="1"/>
    </w:lvl>
  </w:abstractNum>
  <w:abstractNum w:abstractNumId="195">
    <w:nsid w:val="4A10B4E8"/>
    <w:multiLevelType w:val="hybridMultilevel"/>
    <w:lvl w:ilvl="0">
      <w:lvlJc w:val="left"/>
      <w:lvlText w:val="%1)"/>
      <w:numFmt w:val="lowerLetter"/>
      <w:start w:val="7"/>
    </w:lvl>
    <w:lvl w:ilvl="1">
      <w:lvlJc w:val="left"/>
      <w:lvlText w:val="-"/>
      <w:numFmt w:val="bullet"/>
      <w:start w:val="1"/>
    </w:lvl>
  </w:abstractNum>
  <w:abstractNum w:abstractNumId="196">
    <w:nsid w:val="43D3BCD4"/>
    <w:multiLevelType w:val="hybridMultilevel"/>
    <w:lvl w:ilvl="0">
      <w:lvlJc w:val="left"/>
      <w:lvlText w:val="-"/>
      <w:numFmt w:val="bullet"/>
      <w:start w:val="1"/>
    </w:lvl>
  </w:abstractNum>
  <w:abstractNum w:abstractNumId="197">
    <w:nsid w:val="4C2A7166"/>
    <w:multiLevelType w:val="hybridMultilevel"/>
    <w:lvl w:ilvl="0">
      <w:lvlJc w:val="left"/>
      <w:lvlText w:val="-"/>
      <w:numFmt w:val="bullet"/>
      <w:start w:val="1"/>
    </w:lvl>
  </w:abstractNum>
  <w:abstractNum w:abstractNumId="198">
    <w:nsid w:val="2E534A8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9">
    <w:nsid w:val="26F2D364"/>
    <w:multiLevelType w:val="hybridMultilevel"/>
    <w:lvl w:ilvl="0">
      <w:lvlJc w:val="left"/>
      <w:lvlText w:val="(%1)"/>
      <w:numFmt w:val="lowerRoman"/>
      <w:start w:val="1"/>
    </w:lvl>
    <w:lvl w:ilvl="1">
      <w:lvlJc w:val="left"/>
      <w:lvlText w:val="-"/>
      <w:numFmt w:val="bullet"/>
      <w:start w:val="1"/>
    </w:lvl>
  </w:abstractNum>
  <w:abstractNum w:abstractNumId="200">
    <w:nsid w:val="71C1AF98"/>
    <w:multiLevelType w:val="hybridMultilevel"/>
    <w:lvl w:ilvl="0">
      <w:lvlJc w:val="left"/>
      <w:lvlText w:val="(%1)"/>
      <w:numFmt w:val="lowerRoman"/>
      <w:start w:val="2"/>
    </w:lvl>
    <w:lvl w:ilvl="1">
      <w:lvlJc w:val="left"/>
      <w:lvlText w:val="-"/>
      <w:numFmt w:val="bullet"/>
      <w:start w:val="1"/>
    </w:lvl>
  </w:abstractNum>
  <w:abstractNum w:abstractNumId="201">
    <w:nsid w:val="3D00B9D9"/>
    <w:multiLevelType w:val="hybridMultilevel"/>
    <w:lvl w:ilvl="0">
      <w:lvlJc w:val="left"/>
      <w:lvlText w:val="(*)"/>
      <w:numFmt w:val="bullet"/>
      <w:start w:val="1"/>
    </w:lvl>
    <w:lvl w:ilvl="1">
      <w:lvlJc w:val="left"/>
      <w:lvlText w:val="-"/>
      <w:numFmt w:val="bullet"/>
      <w:start w:val="1"/>
    </w:lvl>
  </w:abstractNum>
  <w:abstractNum w:abstractNumId="202">
    <w:nsid w:val="15BCABA8"/>
    <w:multiLevelType w:val="hybridMultilevel"/>
    <w:lvl w:ilvl="0">
      <w:lvlJc w:val="left"/>
      <w:lvlText w:val="%1)"/>
      <w:numFmt w:val="lowerLetter"/>
      <w:start w:val="1"/>
    </w:lvl>
  </w:abstractNum>
  <w:abstractNum w:abstractNumId="203">
    <w:nsid w:val="4E0B9A87"/>
    <w:multiLevelType w:val="hybridMultilevel"/>
    <w:lvl w:ilvl="0">
      <w:lvlJc w:val="left"/>
      <w:lvlText w:val="(%1)"/>
      <w:numFmt w:val="lowerRoman"/>
      <w:start w:val="1"/>
    </w:lvl>
    <w:lvl w:ilvl="1">
      <w:lvlJc w:val="left"/>
      <w:lvlText w:val="-"/>
      <w:numFmt w:val="bullet"/>
      <w:start w:val="1"/>
    </w:lvl>
  </w:abstractNum>
  <w:abstractNum w:abstractNumId="204">
    <w:nsid w:val="434BAE75"/>
    <w:multiLevelType w:val="hybridMultilevel"/>
    <w:lvl w:ilvl="0">
      <w:lvlJc w:val="left"/>
      <w:lvlText w:val="%1"/>
      <w:numFmt w:val="decimal"/>
      <w:start w:val="35"/>
    </w:lvl>
    <w:lvl w:ilvl="1">
      <w:lvlJc w:val="left"/>
      <w:lvlText w:val="%2)"/>
      <w:numFmt w:val="lowerRoman"/>
      <w:start w:val="1"/>
    </w:lvl>
  </w:abstractNum>
  <w:abstractNum w:abstractNumId="205">
    <w:nsid w:val="4F38F265"/>
    <w:multiLevelType w:val="hybridMultilevel"/>
    <w:lvl w:ilvl="0">
      <w:lvlJc w:val="left"/>
      <w:lvlText w:val="%1)"/>
      <w:numFmt w:val="lowerRoman"/>
      <w:start w:val="2"/>
    </w:lvl>
  </w:abstractNum>
  <w:abstractNum w:abstractNumId="206">
    <w:nsid w:val="4C502870"/>
    <w:multiLevelType w:val="hybridMultilevel"/>
    <w:lvl w:ilvl="0">
      <w:lvlJc w:val="left"/>
      <w:lvlText w:val="%1"/>
      <w:numFmt w:val="decimal"/>
      <w:start w:val="3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2023-02-28T06:20:56Z</dcterms:created>
  <dcterms:modified xsi:type="dcterms:W3CDTF">2023-02-28T06:20:56Z</dcterms:modified>
</cp:coreProperties>
</file>