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For the month of January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313690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7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January 11</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SMV Resolution for Material Events and Reserved Information and Other Communications N° 005-2014-SMV-01, Credicorp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complies by notifying you of the following Material Event.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the framework of the announcement made today to the market through a </w:t>
      </w:r>
      <w:r>
        <w:rPr>
          <w:rFonts w:ascii="Arial" w:cs="Arial" w:eastAsia="Arial" w:hAnsi="Arial"/>
          <w:sz w:val="18"/>
          <w:szCs w:val="18"/>
          <w:i w:val="1"/>
          <w:iCs w:val="1"/>
          <w:color w:val="auto"/>
        </w:rPr>
        <w:t>Hecho de Importancia</w:t>
      </w:r>
      <w:r>
        <w:rPr>
          <w:rFonts w:ascii="Arial" w:cs="Arial" w:eastAsia="Arial" w:hAnsi="Arial"/>
          <w:sz w:val="18"/>
          <w:szCs w:val="18"/>
          <w:color w:val="auto"/>
        </w:rPr>
        <w:t xml:space="preserve"> (Material Event), Credicorp Ltd. has transferred over the Bolsa de Valores de Lima to its subsidiary, Grupo Crédito S.A., 269,500,000 shares of Banco de Crédito del Perú (BCP) owned by Credicorp Ltd., which represent 3.81% of BCP’s share capital. The price paid per share was S/5.52.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January 11</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2019-12-06T03:14:55Z</dcterms:created>
  <dcterms:modified xsi:type="dcterms:W3CDTF">2019-12-06T03:14:55Z</dcterms:modified>
</cp:coreProperties>
</file>