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month of August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243205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20-F x Form 40-F o</w:t>
      </w:r>
    </w:p>
    <w:p>
      <w:pPr>
        <w:spacing w:after="0" w:line="252"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68" w:right="599" w:bottom="1440" w:gutter="0" w:footer="0" w:header="0"/>
        </w:sectPr>
      </w:pPr>
    </w:p>
    <w:bookmarkStart w:id="1" w:name="page2"/>
    <w:bookmarkEnd w:id="1"/>
    <w:p>
      <w:pPr>
        <w:jc w:val="center"/>
        <w:ind w:left="3440"/>
        <w:spacing w:after="0"/>
        <w:rPr>
          <w:sz w:val="20"/>
          <w:szCs w:val="20"/>
          <w:color w:val="auto"/>
        </w:rPr>
      </w:pPr>
      <w:r>
        <w:rPr>
          <w:rFonts w:ascii="Times New Roman" w:cs="Times New Roman" w:eastAsia="Times New Roman" w:hAnsi="Times New Roman"/>
          <w:sz w:val="22"/>
          <w:szCs w:val="22"/>
          <w:b w:val="1"/>
          <w:bCs w:val="1"/>
          <w:color w:val="auto"/>
        </w:rPr>
        <w:t>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-140335</wp:posOffset>
            </wp:positionV>
            <wp:extent cx="1903730" cy="8524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8524240"/>
                    </a:xfrm>
                    <a:prstGeom prst="rect">
                      <a:avLst/>
                    </a:prstGeom>
                    <a:noFill/>
                  </pic:spPr>
                </pic:pic>
              </a:graphicData>
            </a:graphic>
          </wp:anchor>
        </w:drawing>
      </w:r>
    </w:p>
    <w:p>
      <w:pPr>
        <w:jc w:val="center"/>
        <w:ind w:left="3440"/>
        <w:spacing w:after="0"/>
        <w:rPr>
          <w:sz w:val="20"/>
          <w:szCs w:val="20"/>
          <w:color w:val="auto"/>
        </w:rPr>
      </w:pPr>
      <w:r>
        <w:rPr>
          <w:rFonts w:ascii="Times New Roman" w:cs="Times New Roman" w:eastAsia="Times New Roman" w:hAnsi="Times New Roman"/>
          <w:sz w:val="22"/>
          <w:szCs w:val="22"/>
          <w:b w:val="1"/>
          <w:bCs w:val="1"/>
          <w:color w:val="auto"/>
        </w:rPr>
        <w:t>Ltd.</w:t>
      </w:r>
    </w:p>
    <w:p>
      <w:pPr>
        <w:spacing w:after="0" w:line="187"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Second Quarter 2010 Results</w:t>
      </w:r>
    </w:p>
    <w:p>
      <w:pPr>
        <w:spacing w:after="0" w:line="225" w:lineRule="exact"/>
        <w:rPr>
          <w:sz w:val="20"/>
          <w:szCs w:val="20"/>
          <w:color w:val="auto"/>
        </w:rPr>
      </w:pPr>
    </w:p>
    <w:p>
      <w:pPr>
        <w:jc w:val="both"/>
        <w:ind w:left="2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Lima, Peru, August 12, 2010 - </w:t>
      </w:r>
      <w:r>
        <w:rPr>
          <w:rFonts w:ascii="Times New Roman" w:cs="Times New Roman" w:eastAsia="Times New Roman" w:hAnsi="Times New Roman"/>
          <w:sz w:val="18"/>
          <w:szCs w:val="18"/>
          <w:color w:val="auto"/>
        </w:rPr>
        <w:t>Credicorp (NYSE:BAP) announced today its unaudited results for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2010. These results are reported on a consolidated basis in accordance with IFRS in nominal U.S. Dollars.</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jc w:val="both"/>
        <w:ind w:left="2560" w:hanging="322"/>
        <w:spacing w:after="0" w:line="255" w:lineRule="auto"/>
        <w:tabs>
          <w:tab w:leader="none" w:pos="25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reported strong 2Q10 earnings of US$ 161.9 million, reflecting earnings growth of 40.6% YoY and 30.7% QoQ. Performance ratios reflected this improvement reaching 2.7% ROAA and 27.5% ROAE. These good 2Q results followed a good start in 1Q leading to a 1H10 bottom line 26.6% stronger than in 2009.</w:t>
      </w:r>
    </w:p>
    <w:p>
      <w:pPr>
        <w:spacing w:after="0" w:line="2" w:lineRule="exact"/>
        <w:rPr>
          <w:rFonts w:ascii="Times New Roman" w:cs="Times New Roman" w:eastAsia="Times New Roman" w:hAnsi="Times New Roman"/>
          <w:sz w:val="18"/>
          <w:szCs w:val="18"/>
          <w:color w:val="auto"/>
        </w:rPr>
      </w:pPr>
    </w:p>
    <w:p>
      <w:pPr>
        <w:ind w:left="2560" w:hanging="322"/>
        <w:spacing w:after="0" w:line="250" w:lineRule="auto"/>
        <w:tabs>
          <w:tab w:leader="none" w:pos="25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recovery of economic activity in the Peruvian market is reflected in Q-end loan balances, which grew 6.5% from last Q vs. 2.9% loan growth in 1Q10.</w:t>
      </w:r>
    </w:p>
    <w:p>
      <w:pPr>
        <w:jc w:val="both"/>
        <w:ind w:left="2560" w:hanging="322"/>
        <w:spacing w:after="0" w:line="250" w:lineRule="auto"/>
        <w:tabs>
          <w:tab w:leader="none" w:pos="25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NII grew 5.2% this Q keeping pace with loan growth and NIM recovered slightly from 4.9% to 5% as interest rate increases had a positive impact on the yields of our liquidity positions typically invested with the Central Bank, and the loan portfolio showed stronger growth in higher yielding segments, which was translated into higher interest income.</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Non-financial income was up 17% following a moderate increase in fee income of 2.5%, and a strong growth in gains on the sale of securities which resulted from a one-off transaction involving a sovereign-bonds exchange that generated about US$ 26 million in non-core income. Thus, non-financial income grew 15.3% YoY.</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improvement and reduction of our PDL ratios in 2Q10 was recorded as the problems with our newly implemented collection system were corrected, and some overdue charge-offs were implemented. Therefore, our PDL ratio improved dropping to 1.7%, and net provisions for loan losses also dropped 28.5% to a more sustainable level.</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good performance of the insurance business is reflected in the US$ 45.5 million income from insurance premiums net of claims, which represents a significant 40% increase over the US$ 32.5 million in 1Q10. These numbers continue to reflect the lower loss ratio resulting from the tighter risk and underwriting policies and growing retail business.</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once again reflect on-going cost reduction efforts dropping an additional 1% QoQ. Lower personnel costs drove this reduction, dropping 5.3% QoQ after the measures taken in 1Q10. This led to an improved efficiency ratio of 39.6%, down from 42.1% in the previous Q and 40.7% a year ago.</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operating income for Credicorp was 42% higher QoQ. Even after excluding non-core gains on the sale of securities, operating income still performed very well with close to 27% QoQ growth in core operating income.</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BCP’s operating results also reflect a solid increase in average lending volumes, 1.2% drop in operating costs and a 28% decline in net provisions, leading to a strong operating result; this was further boosted by the non-core income generated through the sale of securities referred to before of about US$ 26 million. Thus, operating income was 43.4% stronger leading to a contribution to Credicorp’s net income of US$ 130.8 million, up 32% from 1Q10’s, which reflects a ROAE of 33% and ROAA of 2.6%.</w:t>
      </w:r>
    </w:p>
    <w:p>
      <w:pPr>
        <w:spacing w:after="0" w:line="2"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7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ASHC’s reported a steady and strong income generation, though slightly lower with regard to 1Q’s and 4Q09’s due to a decrease in interest income following a reduction in the total volume of IEA and a contraction in fee income from client-trading. Thus, the earnings contribution reached US$ 13.1 million vs. US$ 13.4 million in 2Q10.</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61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PPS continued performing better than expected and reported a contribution to Credicorp of US$ 12.5 million. This is one of PPS’s best quarterly contributions to Credicorp and is a reflection of sound insurance underwriting &amp; risk management, which resulted in a low claims ratio. More importantly, all risk and performance ratios are currently at low levels, with a combined ratio of 92%, and a NEL ratio of 60.6% vs. 68.2% in 1Q10. This reflects the successful changes implemented in PPS’s business model.</w:t>
      </w:r>
    </w:p>
    <w:p>
      <w:pPr>
        <w:spacing w:after="0" w:line="2" w:lineRule="exact"/>
        <w:rPr>
          <w:rFonts w:ascii="Times New Roman" w:cs="Times New Roman" w:eastAsia="Times New Roman" w:hAnsi="Times New Roman"/>
          <w:sz w:val="18"/>
          <w:szCs w:val="18"/>
          <w:color w:val="auto"/>
        </w:rPr>
      </w:pPr>
    </w:p>
    <w:p>
      <w:pPr>
        <w:jc w:val="both"/>
        <w:ind w:left="2560" w:hanging="322"/>
        <w:spacing w:after="0" w:line="250" w:lineRule="auto"/>
        <w:tabs>
          <w:tab w:leader="none" w:pos="25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 AFP maintained the excellent results from 1Q10 and reported a flat contribution of US$ 5.9 million. For 1H10, Prima shows an 8% income growth despite the regulatory changes that exempted the additional year-end salary from obligatory contributions to the fund. This robust income growth was achieved thanks to increased collections as the economy reactivates and tight cost controls.</w:t>
      </w:r>
    </w:p>
    <w:p>
      <w:pPr>
        <w:spacing w:after="0" w:line="1" w:lineRule="exact"/>
        <w:rPr>
          <w:rFonts w:ascii="Times New Roman" w:cs="Times New Roman" w:eastAsia="Times New Roman" w:hAnsi="Times New Roman"/>
          <w:sz w:val="18"/>
          <w:szCs w:val="18"/>
          <w:color w:val="auto"/>
        </w:rPr>
      </w:pPr>
    </w:p>
    <w:p>
      <w:pPr>
        <w:jc w:val="both"/>
        <w:ind w:left="2560" w:hanging="322"/>
        <w:spacing w:after="0" w:line="254" w:lineRule="auto"/>
        <w:tabs>
          <w:tab w:leader="none" w:pos="25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 performances of all of Credicorp’s subsidiaries are evident in Credicorp’s operating results and are reflected in 1H10’s robust results that showed a 19.7% loan growth, 25.9% net earnings growth, a 24.2% ROAE, a 1.7% PDL ratio and an improved efficiency ratio of 40.8% for the period (vs. 42.3% for 1H09).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521970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I. Credicorp Ltd.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Credicorp reported strong 2Q10 earnings of US$ 161.9 million, reflecting 40.6% YoY earnings growth and 30.7% QoQ growth. Performance ratios reflected this improvement reaching very strong levels of 2.7% ROAA and 27.5% ROAE. These good 2Q results followed the good start in 1Q10 and led to a 1H10 bottom line that was 26.6% stronger than the level of 2009.</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continuing and strong recovery of economic activity in the Peruvian market is undoubtedly driving growth in the loan portfolio. Q-end loan balances grew 6.5% QoQ, a stronger performance vs. the 2.5% portfolio growth in 1Q10, which was lower because of some large loan amortizations at the end of March, which were captured by Q-end balances. This evolution is explained by the strong disbursements to finance investments in Wholesale Banking in the 1Q, which although slowing down slightly in the 2Q, are expected to continue throughout the rest of the year. Retail Banking however, shows a more stable and constant expansion, somewhat concentrated in the SME and micro-lending activity due to the reactivation of the economy and the mortgage book. Altogether, loan growth for the 1H10 reached 9.6%.</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slight variation in the growth pace of the wholesale sector for this 2Q, which is in turn concentrated in middle &amp; long term investment related lending, and stronger growth seen in the higher margins SME and micro-lending retail segments impacted NIM positively, leading to a slight improvement in the margins of our lending portfolio at BCP, which moved to 8% from 7.8%. Overall NIM for Credicorp also showed a slight recovery from 4.9% to 5%. This was attributable to the aforementioned factors and the better yields on our liquidity positions.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improvement and reduction of our PDL ratios in 2Q10 was reported as the seasonality in delinquencies experienced in 1Q10 ended and the problems with our newly implemented collection system were corrected. Furthermore, already overdue charge-offs were implemented reducing the recorded delinquencies’ book. In this scenario, our PDL ratio recovered and dropped to 1.7%, and net provisions for loan losses also dropped 28% to a more sustainable level. In fact, a detailed analysis of delinquencies later on this report will show that delinquencies per product are in fact stable and dropping as the economy recovers from the impact of the world recession, while the volume of our portfolio classified as normal increased.</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Fee income performed well and increased an additional 2.5% this Q, while income from FX transactions dropped slightly given the stability of the currency. However, overall non-financial income was heavily boosted once again by a one-off transaction that led to the exchange of certain sovereign securities and generated a gain through the recognition of unrealized gains once the exchange went through. The resulting non-recurrent gain of approximately US$ 26 million increased non financial income by 17% QoQ and explains part of the significant net earnings growth.</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PPS continued performing better than expected and reported a contribution to Credicorp’s bottom line of US$ 12.5 million. In fact, a 9.5% growth in net earned premiums, proportionately lower claims which grew only 2.4% and lower cost of life and health policies resulted in a 40% stronger contribution of the insurance business into the operating income of Credicorp. This is one of PPS’s best quarterly contributions to Credicorp and is a reflection of sound insurance underwriting &amp; risk management, which resulted in a low loss ratio. More importantly, all risk and performance ratios are currently at low levels, with a combined ratio of 92%, and a NEL ratio of 60.6% vs. 68.2% in 1Q10. Improvements in these indicators show that the changes implemented in PPS’s business model have been successful.</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Operating costs show an additional contraction of 1% this Q after dropping 8.6% in 1Q10. This further improvement was driven by the reduction of expenses in total salaries after the personnel cuts and related redundancy costs in 1Q. In this scenario, personnel expenses fell 5.3% QoQ. All other efficiency programs are also contributing; an effort reflected in the fact that the efficiency ratio went from 42.1% in 1Q to 39.6% this 2Q.</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Credicorp Ltd.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9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50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US$ 000</w:t>
            </w:r>
          </w:p>
        </w:tc>
        <w:tc>
          <w:tcPr>
            <w:tcW w:w="1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2Q10</w:t>
            </w: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1Q10</w:t>
            </w:r>
          </w:p>
        </w:tc>
        <w:tc>
          <w:tcPr>
            <w:tcW w:w="760" w:type="dxa"/>
            <w:vAlign w:val="bottom"/>
            <w:tcBorders>
              <w:top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2Q09</w:t>
            </w:r>
          </w:p>
        </w:tc>
        <w:tc>
          <w:tcPr>
            <w:tcW w:w="24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QoQ</w:t>
            </w:r>
          </w:p>
        </w:tc>
        <w:tc>
          <w:tcPr>
            <w:tcW w:w="660" w:type="dxa"/>
            <w:vAlign w:val="bottom"/>
            <w:tcBorders>
              <w:top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 10</w:t>
            </w:r>
          </w:p>
        </w:tc>
        <w:tc>
          <w:tcPr>
            <w:tcW w:w="740" w:type="dxa"/>
            <w:vAlign w:val="bottom"/>
            <w:tcBorders>
              <w:top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Jun 09</w:t>
            </w:r>
          </w:p>
        </w:tc>
        <w:tc>
          <w:tcPr>
            <w:tcW w:w="2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258,434</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245,585</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233,542</w:t>
            </w:r>
          </w:p>
        </w:tc>
        <w:tc>
          <w:tcPr>
            <w:tcW w:w="8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504,019</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439,408</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provisions for loan losses</w:t>
            </w:r>
          </w:p>
        </w:tc>
        <w:tc>
          <w:tcPr>
            <w:tcW w:w="11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(30,895)</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(43,181)</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(54,708)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(74,075)</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(81,133)</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Non financial income</w:t>
            </w:r>
          </w:p>
        </w:tc>
        <w:tc>
          <w:tcPr>
            <w:tcW w:w="110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196,554</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167,808</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170,477</w:t>
            </w:r>
          </w:p>
        </w:tc>
        <w:tc>
          <w:tcPr>
            <w:tcW w:w="8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364,362</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344,146</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Insurance premiums and claims</w:t>
            </w:r>
          </w:p>
        </w:tc>
        <w:tc>
          <w:tcPr>
            <w:tcW w:w="11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45,517</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32,487</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28,670</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78,004</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57,177</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100" w:type="dxa"/>
            <w:vAlign w:val="bottom"/>
            <w:gridSpan w:val="3"/>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(235,321)</w:t>
            </w:r>
          </w:p>
        </w:tc>
        <w:tc>
          <w:tcPr>
            <w:tcW w:w="98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(237,698)</w:t>
            </w:r>
          </w:p>
        </w:tc>
        <w:tc>
          <w:tcPr>
            <w:tcW w:w="100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(205,795)</w:t>
            </w:r>
          </w:p>
        </w:tc>
        <w:tc>
          <w:tcPr>
            <w:tcW w:w="8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00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(473,019)</w:t>
            </w:r>
          </w:p>
        </w:tc>
        <w:tc>
          <w:tcPr>
            <w:tcW w:w="98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(427,007)</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1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234,289</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165,002</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172,186</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42.0%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36.1%</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399,290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332,591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Core operating income</w:t>
            </w:r>
          </w:p>
        </w:tc>
        <w:tc>
          <w:tcPr>
            <w:tcW w:w="110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208,940</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165,002</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142,865</w:t>
            </w:r>
          </w:p>
        </w:tc>
        <w:tc>
          <w:tcPr>
            <w:tcW w:w="8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373,942</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259,864</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 core operating income*</w:t>
            </w:r>
          </w:p>
        </w:tc>
        <w:tc>
          <w:tcPr>
            <w:tcW w:w="11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25,349</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29,321</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25,349</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72,727</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Translation results</w:t>
            </w:r>
          </w:p>
        </w:tc>
        <w:tc>
          <w:tcPr>
            <w:tcW w:w="110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4,675</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12,059</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3,958</w:t>
            </w:r>
          </w:p>
        </w:tc>
        <w:tc>
          <w:tcPr>
            <w:tcW w:w="8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-61.2%</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16,734</w:t>
            </w:r>
          </w:p>
        </w:tc>
        <w:tc>
          <w:tcPr>
            <w:tcW w:w="98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Worker's profit sharing and income taxes</w:t>
            </w:r>
          </w:p>
        </w:tc>
        <w:tc>
          <w:tcPr>
            <w:tcW w:w="11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(65,611)</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(44,902)</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(52,307)</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(110,513)</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(90,516)</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173,353</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132,158</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123,837</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31.2%</w:t>
            </w:r>
          </w:p>
        </w:tc>
        <w:tc>
          <w:tcPr>
            <w:tcW w:w="9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40.0%</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305,512</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241,324</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11,429</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8,288</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8,634</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19,718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15,544</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attributed to Credicorp</w:t>
            </w:r>
          </w:p>
        </w:tc>
        <w:tc>
          <w:tcPr>
            <w:tcW w:w="110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161,924</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123,870</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115,202</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30.7%</w:t>
            </w:r>
          </w:p>
        </w:tc>
        <w:tc>
          <w:tcPr>
            <w:tcW w:w="9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40.6%</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285,794</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225,780</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income/share (US$)</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12,697,597</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11,922,859</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10,603,688</w:t>
            </w:r>
          </w:p>
        </w:tc>
        <w:tc>
          <w:tcPr>
            <w:tcW w:w="8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12,697,597</w:t>
            </w:r>
          </w:p>
        </w:tc>
        <w:tc>
          <w:tcPr>
            <w:tcW w:w="2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10,603,688</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 and obligations</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15,257,042</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14,806,660</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13,708,039</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15,257,042</w:t>
            </w:r>
          </w:p>
        </w:tc>
        <w:tc>
          <w:tcPr>
            <w:tcW w:w="2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13,708,039</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2,433,065</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2,284,552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1,932,760</w:t>
            </w:r>
          </w:p>
        </w:tc>
        <w:tc>
          <w:tcPr>
            <w:tcW w:w="8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2,433,065</w:t>
            </w:r>
          </w:p>
        </w:tc>
        <w:tc>
          <w:tcPr>
            <w:tcW w:w="2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1,932,760</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interest margin</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Efficiency ratio</w:t>
            </w:r>
          </w:p>
        </w:tc>
        <w:tc>
          <w:tcPr>
            <w:tcW w:w="1100" w:type="dxa"/>
            <w:vAlign w:val="bottom"/>
            <w:gridSpan w:val="3"/>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9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0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9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Return on average shareholders' equity</w:t>
            </w:r>
          </w:p>
        </w:tc>
        <w:tc>
          <w:tcPr>
            <w:tcW w:w="11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PDL/total loans</w:t>
            </w:r>
          </w:p>
        </w:tc>
        <w:tc>
          <w:tcPr>
            <w:tcW w:w="1100" w:type="dxa"/>
            <w:vAlign w:val="bottom"/>
            <w:gridSpan w:val="3"/>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9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0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9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Coverage ratio of PDLs</w:t>
            </w:r>
          </w:p>
        </w:tc>
        <w:tc>
          <w:tcPr>
            <w:tcW w:w="11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192.9%</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192.9%</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Employees</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19,174</w:t>
            </w:r>
          </w:p>
        </w:tc>
        <w:tc>
          <w:tcPr>
            <w:tcW w:w="2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19,524</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19,757</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19,174</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19,757</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 It refers to a net gain on sales of securities (non financial income)</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context, operating income, excluding the extraordinary gains on sale of securities, grew a strong 26.6% QoQ, reflecting a robust earnings generation at Credicorp for the period. The significant improvement in Credicorp’s operating results continued to be supported by the good performance of the non-banking businesses, i.e. the insurance and asset management businesses. Even after the strong increase in provisions for profit sharing and income taxes, bottom line results are in line with this improved earnings generation showing a 30.7% increase in net earnings attributable to Credicorp. Compared to the same period of last year, Credicorp shows a 40.6% increase in net income. In terms of the first half of the year, the 1H10 results show a cumulative 26.6% increase in net income generation, far beyond our expectations.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Credicorp – The Sum of Its Parts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Credicorp’s 2Q10 results exceeded our own expectations since the economic recovery is stronger than originally expected with a positive impact on the lending business and asset quality, and our efficiency projects and cost adjustments have been very effective across all of Credicorp’s subsidiaries. Furthermore, the recovery in economic activity has not only reactivated loan growth, but further increased the good levels of income at the asset management subsidiaries and spurred growth in insurance activity.</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The Peruvian economy continued its strong recovery in economic activity, which was reflected in continuing demand for loans through solid growth of average daily balances at BCP, which grew 3.5% QoQ due primarily to growth in corporate medium and long term US Dollar lending and domestic currency SME and micro-lending, as well as general consumer and mortgage lending. This strong growth was accompanied by higher NII due to higher interest income, which led to a slight improvement in NIM that was back to the 5% level. Loan portfolio quality remained stable and showed some improvement in the SME segment, resulting in an improved PDL ratio of 1.7%, and lower levels of provisions, which were down 28% and contributed to a better income generation. Non interest income was very strong, up +23%, mainly boosted by a non-core gain on the sale of certain sovereign securities following a market transaction to exchange such securities. These gains should not overshadow a robust growth in fees of 5.9% for the Q. Furthermore, operating costs dropped once again, confirming the improvements in profitability and efficiency. Thus, the efficiency ratio improved to 48% from 51.3% in 1Q10, which is a significantly stronger improvement than expected. All of these events led to a substantial 43.4% QoQ increase in BCP’s operating results, which even after excluding the non-core gains show a 23.6% QoQ growth in core operating income, evidencing BCP’s recovered income generation capacity.</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context, and despite higher provisions for profit sharing and income taxes, and the significantly lower translation gains compared to 1Q, net income shows a sound 31.7% QoQ increase reaching US$ 134.2 million, up from US$ 102 million in 1Q.</w:t>
      </w:r>
    </w:p>
    <w:p>
      <w:pPr>
        <w:spacing w:after="0" w:line="255" w:lineRule="auto"/>
        <w:rPr>
          <w:sz w:val="20"/>
          <w:szCs w:val="20"/>
          <w:color w:val="auto"/>
        </w:rPr>
      </w:pPr>
      <w:r>
        <w:rPr>
          <w:rFonts w:ascii="Times New Roman" w:cs="Times New Roman" w:eastAsia="Times New Roman" w:hAnsi="Times New Roman"/>
          <w:sz w:val="18"/>
          <w:szCs w:val="18"/>
          <w:color w:val="auto"/>
        </w:rPr>
        <w:t>Furthermore, income generation has gone up 25.3% in 1H2010, which certainly beating our expectations and is evidence that all measures taken and the economic recovery were stronger than anticipated, reaching US$ 236.1 million for 1H2010 compared to US$ 188.5 million in 1H09. BCP’s ratios reflect these improvements with ROAE at 32%, ROAA at 2.6%.</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Therefore, Contributions to Credicorp’s bottom line reach US$ 130 million this 2Q vs. US$ 99 million in 1Q, while on a cumulative basis, net income contribution totaled US$ 230 million for this 1H2010 vs. US$ 185 million in 2009.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contribution</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7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2Q10</w:t>
            </w:r>
          </w:p>
        </w:tc>
        <w:tc>
          <w:tcPr>
            <w:tcW w:w="9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1Q10</w:t>
            </w:r>
          </w:p>
        </w:tc>
        <w:tc>
          <w:tcPr>
            <w:tcW w:w="6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QoQ</w:t>
            </w:r>
          </w:p>
        </w:tc>
        <w:tc>
          <w:tcPr>
            <w:tcW w:w="8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YoY</w:t>
            </w:r>
          </w:p>
        </w:tc>
        <w:tc>
          <w:tcPr>
            <w:tcW w:w="3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 10</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 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 10 / Jun 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Banco de Crédito BCP (1)</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130,761</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99,254</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86,246</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230,015</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185,157</w:t>
            </w:r>
          </w:p>
        </w:tc>
        <w:tc>
          <w:tcPr>
            <w:tcW w:w="146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BCB</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3,318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15,351</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Edyficar</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4,980</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6,794</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11,774</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Atlantic</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26,487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6,416</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PPS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12,518</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8,492</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9,685</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21,010</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14,915</w:t>
            </w:r>
          </w:p>
        </w:tc>
        <w:tc>
          <w:tcPr>
            <w:tcW w:w="146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Grupo Crédito (2)</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14,130</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Prima</w:t>
            </w:r>
          </w:p>
        </w:tc>
        <w:tc>
          <w:tcPr>
            <w:tcW w:w="102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5,857</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5,946</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4,667</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11,803</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10,913</w:t>
            </w:r>
          </w:p>
        </w:tc>
        <w:tc>
          <w:tcPr>
            <w:tcW w:w="146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Otras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3,217</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Credicorp and others (3)</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9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(5,235)</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8,608</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9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(5,785)</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5,162</w:t>
            </w:r>
          </w:p>
        </w:tc>
        <w:tc>
          <w:tcPr>
            <w:tcW w:w="146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Credicorp Ltd.</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4,199</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Otras</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9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9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2363%</w:t>
            </w:r>
          </w:p>
        </w:tc>
        <w:tc>
          <w:tcPr>
            <w:tcW w:w="11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9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963</w:t>
            </w:r>
          </w:p>
        </w:tc>
        <w:tc>
          <w:tcPr>
            <w:tcW w:w="146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Credicorp</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161,924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123,870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115,202</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285,794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225,780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-13335</wp:posOffset>
            </wp:positionV>
            <wp:extent cx="49485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8555" cy="17145"/>
                    </a:xfrm>
                    <a:prstGeom prst="rect">
                      <a:avLst/>
                    </a:prstGeom>
                    <a:noFill/>
                  </pic:spPr>
                </pic:pic>
              </a:graphicData>
            </a:graphic>
          </wp:anchor>
        </w:drawing>
      </w: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Banco de Crédito de Bolivia and Edyficar.</w:t>
      </w:r>
    </w:p>
    <w:p>
      <w:pPr>
        <w:spacing w:after="0" w:line="13"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Grupo Crédito, Servicorp and Prima AFP</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taxes on BCP's and PPS's dividends, and other expenses at the holding company level.</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BCP Bolivia’s earnings generation has contracted further. This is the result of the prevailing economic, political and regulatory environment, where excess liquidity could not be invested in once profitable CD’s, and lower interest income due to the reduction of loan interest rates. In fact, loan growth this Q was solid at 6%, but could not compensate margin contraction and other increased costs. Therefore, BCP Bolivia reported a further reduction of its contribution to US$ 3.3 million from US$ 5.6 million for 1Q10 and US$ 9.5 million for 4Q09, resulting from the margins’ contraction referred to above, and the controls and limits on fee business. Overall, profitability has been cut; nevertheless, a ROAE of 20% can still be achieved.</w:t>
      </w:r>
    </w:p>
    <w:p>
      <w:pPr>
        <w:spacing w:after="0" w:line="360"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Edyficar, BCP’s micro-lending vehicle has also reported a very good business evolution with lending activity growing at a strong pace of 6.6%. Nevertheless, reported contribution to Credicorp shows a close to US$ 2 million drop, which is clearly explained by a close to US$ 1 million differential in provisions spurred by adjusting the methodology to determine provision levels added to the strong lending expansion and another approx. US$ 1 million differential in translation gains given the stability of the currency in 2Q10. Therefore, Edyficar continues being a strong performer and is also a good contributor to BCP’s bottom line with a strong 26.2% ROAE for the year to date including “goodwill” and 57.8% return on its tangible equity.</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ASHC’s reported virtually no change in income generation and an earnings contribution of US$ 13.1 million, maintaining the good level of 1Q10 of US$ 13.4 million. The slight drop responds to a further reduction in fee income from clients’ trading activity and less IEA, but the core business remains a solid and steady generator of income.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PPS obtained one of its strongest quarterly results reaching net earnings of US$ 16.5 million in 2Q10, and contributed US$ 12.5 million to Credicorp, a strong increase from last Q. An 8.9% growth in net earned premiums, lower claims and stronger commissions led to significantly stronger underwriting results this Q which totaled US$ 27.7 million. This represented a 61.7% increase with regard to the US$ 17.2 million reported in 1Q. Slightly lower financial income and controlled cost expansion led the net earnings line to grow 36.2%, reaching the US$ 16.5 million mentioned above. In addition, the recorded Net Earned Loss ratio for the consolidated business shows further improvement, dropping to 60.6% this 2Q10 vs. 68.2% in 1Q and 69% a year ago. Furthermore, the combined ratio for the insurance business is currently 92%, also down from 96.4% in 1Q. This result is certainly one PPS’s the best business performances, allowing it to make a strong contribution to Credicorp’s bottom line. Furthermore, PPS reported this 2Q a strong ROAE above 25% and close to 22% for the year to date.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in 2Q10, PRIMA’s income was US$ 20.9 million, representing 2.2% growth QoQ. As in 1Q, this situation is attributable to an increase in the RAM (total insured income level) level due to reactivation in the local economy and, to a lesser degree, to the fact that the local currency continued to appreciate during the period. Thus, net earnings totaled US$ 5.9 million, which represents a slight decrease QoQ (-1.5%) but indicates a significant increase YoY (+25.6%). The YoY increase in net income is equally attributable to higher RAM and an appreciation in local currency, while operating costs remained stable.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Credicorp Ltd.’s line which normally included only the provisions for withholding taxes on dividends paid to Credicorp and eventually translation effects, shows this 2Q a strong reduction since such tax provisions were compensated by dividend &amp; interest income from investments in some selected Peruvian stocks and bonds recorded during the period, which are today held at Credicorp Ltd. and previously booked at Grupo Crédito.</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 performance of all of Credicorp’s subsidiaries led to a substantial 31% QoQ increase in net income attributable to Credicorp, which even after excluding the extraordinary gain in the sale of securities, still shows a robust 11% QoQ net income growth.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specially evident in the year to date comparison given that in 2009, significantly larger extraordinary gains in the sale of securities were recorded but, 2010 still shows a substantially higher (+27%) income generation. Financial ratios, reflect this performance with ROAE at 24.2% and ROAA at 2.5%, 40.8% (vs. 42.1%) efficiency ratio, 5% NIM and 1.7% PDLs, with 180% PDL coverage.</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II. Banco de Crédito – BCP - Consolidated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2Q10</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the year, BCP achieved some of its best quarterly results to date. This reflects the financial system’s recovery, which goes hand-in-hand with the Peruvian economy’s solid reactivation that is reflected in accumulated growth of 7.37% from January to May.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BCP’s net earnings totaled US$ 134.2 million in 2Q10, which represents significant increases of 31.7% QoQ and 51.6% YoY. This year’s accumulated results indicate 25.3% growth in net earnings with regard to the levels recorded in the first half of 2009.</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is important to emphasize that operating income totaled US$ 183.8 million, which includes an adjustment for extraordinary income stemming from sales of securities for approximately US$ 26 million this quarter, which we will explain later on. This quarter’s results were BCP’s highest and have even topped good pre-crisis levels.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Banco de Credito and Subsidiaries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70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US$ 000</w:t>
            </w:r>
          </w:p>
        </w:tc>
        <w:tc>
          <w:tcPr>
            <w:tcW w:w="1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2Q10</w:t>
            </w:r>
          </w:p>
        </w:tc>
        <w:tc>
          <w:tcPr>
            <w:tcW w:w="1000" w:type="dxa"/>
            <w:vAlign w:val="bottom"/>
            <w:tcBorders>
              <w:top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1Q10</w:t>
            </w:r>
          </w:p>
        </w:tc>
        <w:tc>
          <w:tcPr>
            <w:tcW w:w="760" w:type="dxa"/>
            <w:vAlign w:val="bottom"/>
            <w:tcBorders>
              <w:top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2Q09</w:t>
            </w: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QoQ</w:t>
            </w:r>
          </w:p>
        </w:tc>
        <w:tc>
          <w:tcPr>
            <w:tcW w:w="640" w:type="dxa"/>
            <w:vAlign w:val="bottom"/>
            <w:tcBorders>
              <w:top w:val="single" w:sz="8" w:color="auto"/>
            </w:tcBorders>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 10</w:t>
            </w:r>
          </w:p>
        </w:tc>
        <w:tc>
          <w:tcPr>
            <w:tcW w:w="680" w:type="dxa"/>
            <w:vAlign w:val="bottom"/>
            <w:tcBorders>
              <w:top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Jun 09</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financial income</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228,652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219,175</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209,460</w:t>
            </w: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447,827</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395,621</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provisions for loan loasses</w:t>
            </w:r>
          </w:p>
        </w:tc>
        <w:tc>
          <w:tcPr>
            <w:tcW w:w="10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(31,183)</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(43,445)</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(54,074)</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(74,628)</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(81,254)</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Non financial income</w:t>
            </w:r>
          </w:p>
        </w:tc>
        <w:tc>
          <w:tcPr>
            <w:tcW w:w="8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169,541</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137,841</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150,588</w:t>
            </w: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307,382</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298,834</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0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(183,180)</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(185,333)</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(161,585)</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(368,513)</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(334,680)</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8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183,830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128,238</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144,389</w:t>
            </w:r>
          </w:p>
        </w:tc>
        <w:tc>
          <w:tcPr>
            <w:tcW w:w="9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43.4%</w:t>
            </w:r>
          </w:p>
        </w:tc>
        <w:tc>
          <w:tcPr>
            <w:tcW w:w="2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27.3%</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312,068</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278,521</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Core operating income</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158,481</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128,238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115,068</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286,719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205,794</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Non core operating income*</w:t>
            </w:r>
          </w:p>
        </w:tc>
        <w:tc>
          <w:tcPr>
            <w:tcW w:w="8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25,349</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29,321</w:t>
            </w:r>
          </w:p>
        </w:tc>
        <w:tc>
          <w:tcPr>
            <w:tcW w:w="9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25,349</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72,727</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Translation results</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4,972</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11,680</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(10,899)</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16,652</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(15,159)</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Worker's profit sharing and income taxes</w:t>
            </w:r>
          </w:p>
        </w:tc>
        <w:tc>
          <w:tcPr>
            <w:tcW w:w="1080" w:type="dxa"/>
            <w:vAlign w:val="bottom"/>
            <w:gridSpan w:val="3"/>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(54,454)</w:t>
            </w:r>
          </w:p>
        </w:tc>
        <w:tc>
          <w:tcPr>
            <w:tcW w:w="100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(37,746)</w:t>
            </w:r>
          </w:p>
        </w:tc>
        <w:tc>
          <w:tcPr>
            <w:tcW w:w="98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(44,670)</w:t>
            </w: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2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88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(92,200)</w:t>
            </w:r>
          </w:p>
        </w:tc>
        <w:tc>
          <w:tcPr>
            <w:tcW w:w="90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(74,277)</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134,221</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101,909</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88,542</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31.7%</w:t>
            </w: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51.6%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236,130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188,524</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income/share (US$)</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0.060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0.046</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0.040</w:t>
            </w: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2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12,611,066</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11,852,548</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10,502,346</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Deposits and obligations</w:t>
            </w:r>
          </w:p>
        </w:tc>
        <w:tc>
          <w:tcPr>
            <w:tcW w:w="8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14,209,963</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13,777,327</w:t>
            </w: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14,035,650</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shareholders' equity</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1,679,754</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1,578,484</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1,442,780</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financial margin</w:t>
            </w: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9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Efficiency ratio</w:t>
            </w:r>
          </w:p>
        </w:tc>
        <w:tc>
          <w:tcPr>
            <w:tcW w:w="10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Return on average equity</w:t>
            </w:r>
          </w:p>
        </w:tc>
        <w:tc>
          <w:tcPr>
            <w:tcW w:w="1080" w:type="dxa"/>
            <w:vAlign w:val="bottom"/>
            <w:gridSpan w:val="3"/>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0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9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PDL/Total loans</w:t>
            </w:r>
          </w:p>
        </w:tc>
        <w:tc>
          <w:tcPr>
            <w:tcW w:w="10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Coverage ratio of PDLs</w:t>
            </w:r>
          </w:p>
        </w:tc>
        <w:tc>
          <w:tcPr>
            <w:tcW w:w="1080" w:type="dxa"/>
            <w:vAlign w:val="bottom"/>
            <w:gridSpan w:val="3"/>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179.5%</w:t>
            </w:r>
          </w:p>
        </w:tc>
        <w:tc>
          <w:tcPr>
            <w:tcW w:w="10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176.9%</w:t>
            </w:r>
          </w:p>
        </w:tc>
        <w:tc>
          <w:tcPr>
            <w:tcW w:w="9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BIS ratio</w:t>
            </w:r>
          </w:p>
        </w:tc>
        <w:tc>
          <w:tcPr>
            <w:tcW w:w="10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Branches</w:t>
            </w:r>
          </w:p>
        </w:tc>
        <w:tc>
          <w:tcPr>
            <w:tcW w:w="8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Agentes BCP</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3,086</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2,973</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2,262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ATMs</w:t>
            </w:r>
          </w:p>
        </w:tc>
        <w:tc>
          <w:tcPr>
            <w:tcW w:w="86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Employees</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15,775</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16,080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16,433</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 It refers to a net gain on sales of securities (non financial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in results in 2Q10 versus 1Q10 were due primarily to:</w:t>
      </w:r>
    </w:p>
    <w:p>
      <w:pPr>
        <w:spacing w:after="0" w:line="252" w:lineRule="exact"/>
        <w:rPr>
          <w:sz w:val="20"/>
          <w:szCs w:val="20"/>
          <w:color w:val="auto"/>
        </w:rPr>
      </w:pPr>
    </w:p>
    <w:p>
      <w:pPr>
        <w:ind w:left="820" w:hanging="164"/>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QoQ growth in net interest income (NII) due to higher interest income associated with loan growth;</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28.2% decline in net loan provisions due to improvements of our customers’ risk profiles as past due ratios dropped;</w:t>
      </w:r>
    </w:p>
    <w:p>
      <w:pPr>
        <w:spacing w:after="0" w:line="252" w:lineRule="exact"/>
        <w:rPr>
          <w:rFonts w:ascii="Times New Roman" w:cs="Times New Roman" w:eastAsia="Times New Roman" w:hAnsi="Times New Roman"/>
          <w:sz w:val="18"/>
          <w:szCs w:val="18"/>
          <w:color w:val="auto"/>
        </w:rPr>
      </w:pPr>
    </w:p>
    <w:p>
      <w:pPr>
        <w:ind w:left="880" w:hanging="224"/>
        <w:spacing w:after="0" w:line="282" w:lineRule="auto"/>
        <w:tabs>
          <w:tab w:leader="none" w:pos="12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23% increase in non-financial income, which was generated by significant extraordinary income from the sale of securities (mentioned above) and a solid 5.9% increase in commissions for banking services; and</w:t>
      </w:r>
    </w:p>
    <w:p>
      <w:pPr>
        <w:spacing w:after="0" w:line="188" w:lineRule="exact"/>
        <w:rPr>
          <w:rFonts w:ascii="Times New Roman" w:cs="Times New Roman" w:eastAsia="Times New Roman" w:hAnsi="Times New Roman"/>
          <w:sz w:val="18"/>
          <w:szCs w:val="18"/>
          <w:color w:val="auto"/>
        </w:rPr>
      </w:pPr>
    </w:p>
    <w:p>
      <w:pPr>
        <w:ind w:left="860" w:hanging="204"/>
        <w:spacing w:after="0" w:line="282" w:lineRule="auto"/>
        <w:tabs>
          <w:tab w:leader="none" w:pos="1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contraction in operating expenses due primarily to declining payroll expenses, which is in turn attributable to efforts made in previous quarters to improve operating efficiency.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comparison with 2Q09’s results indicates 51.6% growth in net income and a 27.3% increase in operating income. In this scenario, it is particularly noteworthy the significant 42.3% contraction in loan provisions and the translation gain in contrast to the translation loss of 2T09 (loss caused by the effect of the Nuevo Sol appreciation on the declared but not paid dividends). Accumulated results report growth of 25.3% and 12% in net income and operating income, respectively, with regard to the figures recorded in 1H09.</w:t>
      </w:r>
    </w:p>
    <w:p>
      <w:pPr>
        <w:spacing w:after="0" w:line="356"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The assets level showed a slight QoQ increase of 1%; nevertheless, a significant QoQ increase of 6.6% was reported for net loans, the most profitable asset, primarily due to growth in both Wholesale and Retail Banking portfolios.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favorable results reported in 2Q10 are also reflected in a declining past due ratio, which went from 1.81% at the end of 1Q10 to 1.71% at the close of 2Q10. This contraction, which will be explained in more depth later on, was due both to loan growth and a significant deceleration in the growth of the past due loan volume. The latter reported levels similar to those seen last quarter as a result of higher charge-offs and the correction of the collections system problem reported last Q.</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second consecutive quarter, a significant improvement was seen in the efficiency ratio, which dropped from 51.3% in 1Q10 to 48.0% in 2Q10. This result is even better than the 49.7% level reported in 2Q09.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ROAE reached a very satisfactory level of 33.0%, which is significantly higher than the 25.1% reported in 1Q10. The ROAA was 2.6%, which tops last quarter’s 2.0%. These ratios also surpassed 2Q09’s results of 25.7% and 1.9%, respectively. It is also important to remember that profitability levels include the cost of (i) preparing the Bank for future growth (capitalization of retained earnings and the issuance of subordinated and hybrid bonds, which generated higher interest expenses and (ii) BCP’s conservative approach to asset and liability management (based on maturity and currency gaps), which generate additional costs that affect margins.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Earnings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Core earnings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92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US$ 000</w:t>
            </w: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2Q10</w:t>
            </w:r>
          </w:p>
        </w:tc>
        <w:tc>
          <w:tcPr>
            <w:tcW w:w="900" w:type="dxa"/>
            <w:vAlign w:val="bottom"/>
            <w:tcBorders>
              <w:top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1Q10</w:t>
            </w:r>
          </w:p>
        </w:tc>
        <w:tc>
          <w:tcPr>
            <w:tcW w:w="680" w:type="dxa"/>
            <w:vAlign w:val="bottom"/>
            <w:tcBorders>
              <w:top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2Q09</w:t>
            </w:r>
          </w:p>
        </w:tc>
        <w:tc>
          <w:tcPr>
            <w:tcW w:w="200" w:type="dxa"/>
            <w:vAlign w:val="bottom"/>
          </w:tcPr>
          <w:p>
            <w:pPr>
              <w:spacing w:after="0"/>
              <w:rPr>
                <w:sz w:val="12"/>
                <w:szCs w:val="12"/>
                <w:color w:val="auto"/>
              </w:rPr>
            </w:pPr>
          </w:p>
        </w:tc>
        <w:tc>
          <w:tcPr>
            <w:tcW w:w="1140" w:type="dxa"/>
            <w:vAlign w:val="bottom"/>
            <w:tcBorders>
              <w:top w:val="single" w:sz="8" w:color="auto"/>
            </w:tcBorders>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QoQ</w:t>
            </w:r>
          </w:p>
        </w:tc>
        <w:tc>
          <w:tcPr>
            <w:tcW w:w="46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 10</w:t>
            </w:r>
          </w:p>
        </w:tc>
        <w:tc>
          <w:tcPr>
            <w:tcW w:w="680" w:type="dxa"/>
            <w:vAlign w:val="bottom"/>
            <w:tcBorders>
              <w:top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Jun 09</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interest and dividend income</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228,652</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219,175</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209,460</w:t>
            </w: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447,827</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395,621</w:t>
            </w:r>
          </w:p>
        </w:tc>
        <w:tc>
          <w:tcPr>
            <w:tcW w:w="1080" w:type="dxa"/>
            <w:vAlign w:val="bottom"/>
            <w:gridSpan w:val="2"/>
            <w:shd w:val="clear" w:color="auto" w:fill="CCFFCC"/>
          </w:tcPr>
          <w:p>
            <w:pPr>
              <w:ind w:left="68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Fee income, net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113,577</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107,223</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87,620</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220,800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165,173</w:t>
            </w:r>
          </w:p>
        </w:tc>
        <w:tc>
          <w:tcPr>
            <w:tcW w:w="108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23,595</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25,503</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19,700</w:t>
            </w: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49,098</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40,028</w:t>
            </w:r>
          </w:p>
        </w:tc>
        <w:tc>
          <w:tcPr>
            <w:tcW w:w="1080" w:type="dxa"/>
            <w:vAlign w:val="bottom"/>
            <w:gridSpan w:val="2"/>
            <w:shd w:val="clear" w:color="auto" w:fill="CCFFCC"/>
          </w:tcPr>
          <w:p>
            <w:pPr>
              <w:ind w:left="68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Core earnings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365,824</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351,901</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316,780</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4.0%</w:t>
            </w:r>
          </w:p>
        </w:tc>
        <w:tc>
          <w:tcPr>
            <w:tcW w:w="2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15.5%</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717,725</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600,822</w:t>
            </w:r>
          </w:p>
        </w:tc>
        <w:tc>
          <w:tcPr>
            <w:tcW w:w="108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2Q10, BCP’s operating income was US$ 365.8 million, which represents increases of 4.0% QoQ and 15.5% YoY. Favorable performance this quarter is due primarily to:</w:t>
      </w:r>
    </w:p>
    <w:p>
      <w:pPr>
        <w:spacing w:after="0" w:line="189" w:lineRule="exact"/>
        <w:rPr>
          <w:sz w:val="20"/>
          <w:szCs w:val="20"/>
          <w:color w:val="auto"/>
        </w:rPr>
      </w:pPr>
    </w:p>
    <w:p>
      <w:pPr>
        <w:ind w:left="560" w:hanging="16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4.3% increase in NII, which is attributable mainly to higher interest income on loans; and</w:t>
      </w:r>
    </w:p>
    <w:p>
      <w:pPr>
        <w:spacing w:after="0" w:line="252" w:lineRule="exact"/>
        <w:rPr>
          <w:rFonts w:ascii="Times New Roman" w:cs="Times New Roman" w:eastAsia="Times New Roman" w:hAnsi="Times New Roman"/>
          <w:sz w:val="18"/>
          <w:szCs w:val="18"/>
          <w:color w:val="auto"/>
        </w:rPr>
      </w:pPr>
    </w:p>
    <w:p>
      <w:pPr>
        <w:ind w:left="560" w:hanging="160"/>
        <w:spacing w:after="0" w:line="282" w:lineRule="auto"/>
        <w:tabs>
          <w:tab w:leader="none" w:pos="8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growth in fee income, which is due primarily to higher income generated by Corporate Finance advisory fees associated to the reactivation of investment activity, but also a general improvement in fees for all 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BCP’s accumulated results also reflect the excellent performance, which is particularly evident in the 19.5% increase in income with regard to the figures reported in 1H09. This is primarily attributable to across-the-board growth: 13.2% in net interest income, 33.7% in fee income and 22.7% in net earnings on FX transactions.</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II.1 Interest Earning Assets (IEA)</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Although IEA grew only 1.2% QoQ, it is important to highlight the shift towards more profitable segments such as loans (+6.5% QoQ), which are the main driver of growth in the banking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20" w:type="dxa"/>
            <w:vAlign w:val="bottom"/>
          </w:tcPr>
          <w:p>
            <w:pPr>
              <w:spacing w:after="0"/>
              <w:rPr>
                <w:sz w:val="18"/>
                <w:szCs w:val="18"/>
                <w:color w:val="auto"/>
              </w:rPr>
            </w:pPr>
          </w:p>
        </w:tc>
        <w:tc>
          <w:tcPr>
            <w:tcW w:w="17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QoQ</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2,594,416</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2,631,775</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2,630,104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Interbank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110,435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14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60,037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109,326</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39,579</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3,707,331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4,053,210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3,162,714</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Current loans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12,395,974</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11,637,580</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10,356,401</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18,757,758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18,529,390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16,299,233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economy’s dynamism was clearly reflected in current loan growth of 6.5% growth QoQ and 19.7% YoY. This growth was due to an increase in medium and long-term financing in the Wholesale Banking portfolio and continuous growth in the Retail Banking portfolio, particularly in the SME segment. As such, at quarter-end, loans represented 66.1% of interest generating assets, topping the 62.8% reported at the close of 1Q10.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Portfolio</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2Q10, net loans totaled US$ 12,225 million. This represents growth of 6.6% QoQ and 19.6% YoY and reflects an increase in dynamism in the country’s economic activity.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daily balances indicate that the favorable evolution of net loans in 2Q10 was attributable to both Wholesale Banking and Retail Banking, which reported significant expansion of 3.3% and 3.6% QoQ, respectively. It is also important to point out that dynamic growth was registered in all segments, particularly in Corporate Banking due to increases in medium and long term-financing, Middle-market Banking and SME-Business segment. Additionally, Edyficar’s portfolio achieved 5.5% growth QoQ.</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TOTAL LOANS (1)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(US$ million)</w:t>
            </w:r>
          </w:p>
        </w:tc>
        <w:tc>
          <w:tcPr>
            <w:tcW w:w="5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1Q10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QoQ</w:t>
            </w:r>
          </w:p>
        </w:tc>
        <w:tc>
          <w:tcPr>
            <w:tcW w:w="2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Wholesale Banking</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6,712.2</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6,497.0</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5,888.7</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3.3%</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Corporate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i w:val="1"/>
                <w:iCs w:val="1"/>
                <w:color w:val="auto"/>
              </w:rPr>
              <w:t>- Middle Market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2,294.8</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Retail Banking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4,384.4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3,891.7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i w:val="1"/>
                <w:iCs w:val="1"/>
                <w:color w:val="auto"/>
              </w:rPr>
              <w:t>- SME + Business</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Mortgages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i w:val="1"/>
                <w:iCs w:val="1"/>
                <w:color w:val="auto"/>
              </w:rPr>
              <w:t>- Consumer</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Credit Cards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Edyficar</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277.8</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263.2</w:t>
            </w:r>
          </w:p>
        </w:tc>
        <w:tc>
          <w:tcPr>
            <w:tcW w:w="11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5.5%</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Others (2)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4.2%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total loans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12,219.5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11,805.6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10,392.7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-13335</wp:posOffset>
            </wp:positionV>
            <wp:extent cx="35845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84575" cy="17145"/>
                    </a:xfrm>
                    <a:prstGeom prst="rect">
                      <a:avLst/>
                    </a:prstGeom>
                    <a:noFill/>
                  </pic:spPr>
                </pic:pic>
              </a:graphicData>
            </a:graphic>
          </wp:anchor>
        </w:drawing>
      </w:r>
    </w:p>
    <w:p>
      <w:pPr>
        <w:ind w:left="1120" w:hanging="254"/>
        <w:spacing w:after="0"/>
        <w:tabs>
          <w:tab w:leader="none" w:pos="11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daily balance</w:t>
      </w:r>
    </w:p>
    <w:p>
      <w:pPr>
        <w:spacing w:after="0" w:line="13" w:lineRule="exact"/>
        <w:rPr>
          <w:rFonts w:ascii="Times New Roman" w:cs="Times New Roman" w:eastAsia="Times New Roman" w:hAnsi="Times New Roman"/>
          <w:sz w:val="18"/>
          <w:szCs w:val="18"/>
          <w:i w:val="1"/>
          <w:iCs w:val="1"/>
          <w:color w:val="auto"/>
        </w:rPr>
      </w:pPr>
    </w:p>
    <w:p>
      <w:pPr>
        <w:ind w:left="1120" w:hanging="254"/>
        <w:spacing w:after="0"/>
        <w:tabs>
          <w:tab w:leader="none" w:pos="11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Work Out Unit, other banking and BCP Bolivia.</w:t>
      </w:r>
    </w:p>
    <w:p>
      <w:pPr>
        <w:spacing w:after="0" w:line="382"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The following chart shows the evolution of average daily balances and closing balances throughout the period. It is evident that an upward trend in loan growth remained all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131445</wp:posOffset>
            </wp:positionV>
            <wp:extent cx="2101215" cy="1329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121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analyze loan evolution by currency type, it is evident that loan growth was primarily attributable to growth in the foreign currency portfolio, which reported a 5.1% increase QoQ that was driven by the expansion of Wholesale Banking portfolio. Wholesale Banking loans grew 6.9% QoQ due primarily to an increase in medium and long term loans in the Corporate Banking segment, which is related to the significant investment activity in Perú. Furthermore, this segment prefers loans in dollars as their businesses are more dollarized still, a preference reinforced by expectations on further appreciation of local currency.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local currency portfolio reported a slight increase of 0.8% QoQ. A segment-by-segment analysis indicates that loan growth in the Retail Banking and Edyficar were significant, which helped neutralize the contraction in the local currency portfolio of Wholesale Banking as a result of the preference aforementioned. Retail Banking’s portfolio grew 4.9% QoQ, whose most dynamic segments were SME and mortgage loans, which reported 6.3% and 7.4% growth,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Average Daily Balances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Domestic Currency Loans (1)</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5"/>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Foreign Currency Loans (1)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i w:val="1"/>
                <w:iCs w:val="1"/>
                <w:color w:val="auto"/>
              </w:rPr>
              <w:t>(Nuevos Soles million)</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w w:val="98"/>
              </w:rPr>
              <w:t>(US$ million)</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Borders>
              <w:bottom w:val="single" w:sz="8" w:color="auto"/>
            </w:tcBorders>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2Q10</w:t>
            </w:r>
          </w:p>
        </w:tc>
        <w:tc>
          <w:tcPr>
            <w:tcW w:w="260" w:type="dxa"/>
            <w:vAlign w:val="bottom"/>
          </w:tcPr>
          <w:p>
            <w:pPr>
              <w:spacing w:after="0"/>
              <w:rPr>
                <w:sz w:val="12"/>
                <w:szCs w:val="12"/>
                <w:color w:val="auto"/>
              </w:rPr>
            </w:pPr>
          </w:p>
        </w:tc>
        <w:tc>
          <w:tcPr>
            <w:tcW w:w="700" w:type="dxa"/>
            <w:vAlign w:val="bottom"/>
            <w:tcBorders>
              <w:bottom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1Q10</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2Q09</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QoQ</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2Q10</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1Q10</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2Q09</w:t>
            </w:r>
          </w:p>
        </w:tc>
        <w:tc>
          <w:tcPr>
            <w:tcW w:w="220" w:type="dxa"/>
            <w:vAlign w:val="bottom"/>
          </w:tcPr>
          <w:p>
            <w:pPr>
              <w:spacing w:after="0"/>
              <w:rPr>
                <w:sz w:val="12"/>
                <w:szCs w:val="12"/>
                <w:color w:val="auto"/>
              </w:rPr>
            </w:pPr>
          </w:p>
        </w:tc>
        <w:tc>
          <w:tcPr>
            <w:tcW w:w="460" w:type="dxa"/>
            <w:vAlign w:val="bottom"/>
            <w:tcBorders>
              <w:bottom w:val="single" w:sz="8" w:color="auto"/>
            </w:tcBorders>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w w:val="89"/>
              </w:rPr>
              <w:t>QoQ</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ind w:left="240"/>
              <w:spacing w:after="0" w:line="135" w:lineRule="exact"/>
              <w:rPr>
                <w:sz w:val="20"/>
                <w:szCs w:val="20"/>
                <w:color w:val="auto"/>
              </w:rPr>
            </w:pPr>
            <w:r>
              <w:rPr>
                <w:rFonts w:ascii="Times New Roman" w:cs="Times New Roman" w:eastAsia="Times New Roman" w:hAnsi="Times New Roman"/>
                <w:sz w:val="13"/>
                <w:szCs w:val="13"/>
                <w:b w:val="1"/>
                <w:bCs w:val="1"/>
                <w:color w:val="auto"/>
              </w:rPr>
              <w:t>YoY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Wholesale Banking</w:t>
            </w:r>
          </w:p>
        </w:tc>
        <w:tc>
          <w:tcPr>
            <w:tcW w:w="7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4,927.7</w:t>
            </w: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5,245.1</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4,757.4</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-6.1%</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3.6%</w:t>
            </w:r>
          </w:p>
        </w:tc>
        <w:tc>
          <w:tcPr>
            <w:tcW w:w="88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4,976.8</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4,655.2</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4,302.7</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6.9%</w:t>
            </w:r>
          </w:p>
        </w:tc>
        <w:tc>
          <w:tcPr>
            <w:tcW w:w="82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 Corporate</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3,346.9</w:t>
            </w:r>
          </w:p>
        </w:tc>
        <w:tc>
          <w:tcPr>
            <w:tcW w:w="26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3,654.4</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3,630.0</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3,236.1</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2,986.2</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2,795.9</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8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 Middle Market</w:t>
            </w:r>
          </w:p>
        </w:tc>
        <w:tc>
          <w:tcPr>
            <w:tcW w:w="7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1,580.8</w:t>
            </w: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1,590.7</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1,127.4</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40.2%</w:t>
            </w:r>
          </w:p>
        </w:tc>
        <w:tc>
          <w:tcPr>
            <w:tcW w:w="88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1,740.6</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1,669.0</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1,506.8</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8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Retail Banking</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7,821.0</w:t>
            </w:r>
          </w:p>
        </w:tc>
        <w:tc>
          <w:tcPr>
            <w:tcW w:w="26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7,455.2</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6,318.1</w:t>
            </w:r>
          </w:p>
        </w:tc>
        <w:tc>
          <w:tcPr>
            <w:tcW w:w="22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4.9%</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23.8%</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1,786.3</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1,766.6</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1,785.5</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1.1%</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 SME + Business</w:t>
            </w:r>
          </w:p>
        </w:tc>
        <w:tc>
          <w:tcPr>
            <w:tcW w:w="7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2,678.8</w:t>
            </w: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2,519.9</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2,196.4</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88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558.3</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533.3</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551.6</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 Mortgages</w:t>
            </w:r>
          </w:p>
        </w:tc>
        <w:tc>
          <w:tcPr>
            <w:tcW w:w="9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2,111.3</w:t>
            </w: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1,966.5</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1,497.3</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918.1</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919.6</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906.5</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-0.2%</w:t>
            </w:r>
          </w:p>
        </w:tc>
        <w:tc>
          <w:tcPr>
            <w:tcW w:w="8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 Consumer</w:t>
            </w:r>
          </w:p>
        </w:tc>
        <w:tc>
          <w:tcPr>
            <w:tcW w:w="7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1,729.6</w:t>
            </w: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1,685.9</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1,501.2</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88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242.6</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248.7</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263.8</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-2.5%</w:t>
            </w:r>
          </w:p>
        </w:tc>
        <w:tc>
          <w:tcPr>
            <w:tcW w:w="82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 Credit Cards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1,301.2</w:t>
            </w:r>
          </w:p>
        </w:tc>
        <w:tc>
          <w:tcPr>
            <w:tcW w:w="26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1,282.9</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1,123.1</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67.3</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65.0</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46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8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Edyficar</w:t>
            </w:r>
          </w:p>
        </w:tc>
        <w:tc>
          <w:tcPr>
            <w:tcW w:w="70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751.1</w:t>
            </w: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709.8</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5.8%</w:t>
            </w:r>
          </w:p>
        </w:tc>
        <w:tc>
          <w:tcPr>
            <w:tcW w:w="9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13.3</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13.6</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-2.9%</w:t>
            </w:r>
          </w:p>
        </w:tc>
        <w:tc>
          <w:tcPr>
            <w:tcW w:w="8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Others (2)</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174.9</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157.2</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79.7</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11.2%</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119.4%</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627.0</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605.8</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586.4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3.5%</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Consolidated total loans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13,674.7</w:t>
            </w:r>
          </w:p>
        </w:tc>
        <w:tc>
          <w:tcPr>
            <w:tcW w:w="2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13,567.3</w:t>
            </w:r>
          </w:p>
        </w:tc>
        <w:tc>
          <w:tcPr>
            <w:tcW w:w="2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11,155.1</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0.8%</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22.6%</w:t>
            </w: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7,403.3</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7,041.3</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6,674.6</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5.1%</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daily balance</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Work Out Unit, other banking and BCP Bolivia.</w:t>
      </w:r>
    </w:p>
    <w:p>
      <w:pPr>
        <w:spacing w:after="0" w:line="382"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173355</wp:posOffset>
            </wp:positionV>
            <wp:extent cx="3310255" cy="1346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025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June, BCP consolidated (which includes foreign branches, Edyficar and Solución) continued to lead the market with a 30.8% share. This level tops our closest competitor’s share by 10 percentage points but is slightly lower than the 31.1% reported in March 2010.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May, Corporate Banking and Middle-Market Banking demonstrated BCP’s solid position in the market, achieving 44% and 33% market share, respectively (similar to March 2010’s results). In terms of Retail Banking, product shares showed little variation QoQ and BCP continued to be a frontrunner in the SME, Consumer and Mortgage segments.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Dollarization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2Q10, the foreign currency portfolio accounted for 61.7% of the total portfolio. Growth in this portfolio’s share was due to an increase in Wholesale Banking loans denominated in foreign currency which in turn is related to the significant recovery in the investment activity during this year. Within this portfolio, Wholesale Banking has increased its share to represent 67.2% of the total (vs. 66.1% in 1Q10 and 64.5% in 2Q09).</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local currency portfolio’s share in total loans fell this quarter, it is important to emphasize that Retail Banking-Edyficar loans have grown to represent 62.7% of this domestic-currency portfolio (vs. 60.2% in 1Q10 and 56.6% in 2Q09). This evolution will have favorable impact given that it corresponds to products with higher margins whose rates in local currency far exceed those charged in foreign currency.</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2361565</wp:posOffset>
            </wp:positionH>
            <wp:positionV relativeFrom="page">
              <wp:posOffset>337820</wp:posOffset>
            </wp:positionV>
            <wp:extent cx="5042535" cy="1878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4253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II.2 Deposits and Mutual Funds</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At the end of 2Q10, BCP reported a 3.1% QoQ increase in deposits due primarily to growth in non-interest bearing deposits (+8.6%) and time deposits(+8.0%). This went hand-in-hand with a decline in funding costs, which went from 1.98% in 1Q10 to 1.82% in 2Q10.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2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4,027,803</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3,707,286</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3,964,955</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1,031,248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1,225,445</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37,893</w:t>
            </w: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-15.8%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Saving deposits</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3,702,869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3,853,739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3,162,394</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4,242,721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3,927,540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5,731,125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Severance indemnity deposits (CTS)</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1,176,925</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1,013,010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1,058,723</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80,560</w:t>
            </w: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-43.6%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14,209,963</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13,777,327</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14,035,650</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 in Perú</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2,117,306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2,182,873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1,492,380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Mutual funds in Bolivia</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123,084</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138,922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155,613</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w w:val="95"/>
              </w:rPr>
              <w:t>-11.4%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customer funds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16,450,353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16,099,122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15,683,643</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analysis of the evolution of deposits by deposit type shows that growth in non-interest bearing deposits and in time deposits were attributable to an increase in the balances of institutional customers of the Wholesale Banking segment. Growth in CTS deposits was primarily related to payments made in May.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Mutual funds contracted during the quarter (-3.0% QoQ in Peru and -11.4% QoQ in Bolivia). This was attributable to lower market values due to higher interest rates in the Peruvian market and declining interest in investment products given the recent introduction of the capital gains tax.</w:t>
      </w:r>
    </w:p>
    <w:p>
      <w:pPr>
        <w:spacing w:after="0" w:line="337"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drawing>
          <wp:anchor simplePos="0" relativeHeight="251657728" behindDoc="1" locked="0" layoutInCell="0" allowOverlap="1">
            <wp:simplePos x="0" y="0"/>
            <wp:positionH relativeFrom="page">
              <wp:posOffset>2610485</wp:posOffset>
            </wp:positionH>
            <wp:positionV relativeFrom="page">
              <wp:posOffset>860425</wp:posOffset>
            </wp:positionV>
            <wp:extent cx="2341245" cy="17665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34124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Share in Deposits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2Q10, BCP continued to lead the market with a 33.1% share, which is 13 percentage points higher than our closest competitor’s share. Analysis by currency type shows that market share in foreign currency deposits increased to 36.3% at the end of 2Q10 (vs. 35.8% at the end of 1Q10).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has maintained solid leadership in both LC and FC products, closing 2Q10 with the following figures:</w:t>
      </w:r>
    </w:p>
    <w:p>
      <w:pPr>
        <w:spacing w:after="0" w:line="2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Market share by type of deposit and currency</w:t>
      </w:r>
    </w:p>
    <w:p>
      <w:pPr>
        <w:spacing w:after="0" w:line="31" w:lineRule="exact"/>
        <w:rPr>
          <w:sz w:val="20"/>
          <w:szCs w:val="20"/>
          <w:color w:val="auto"/>
        </w:rPr>
      </w:pPr>
    </w:p>
    <w:tbl>
      <w:tblPr>
        <w:tblLayout w:type="fixed"/>
        <w:tblInd w:w="1160" w:type="dxa"/>
        <w:tblCellMar>
          <w:top w:w="0" w:type="dxa"/>
          <w:left w:w="0" w:type="dxa"/>
          <w:bottom w:w="0" w:type="dxa"/>
          <w:right w:w="0" w:type="dxa"/>
        </w:tblCellMar>
      </w:tblPr>
      <w:tr>
        <w:trPr>
          <w:trHeight w:val="205"/>
        </w:trPr>
        <w:tc>
          <w:tcPr>
            <w:tcW w:w="18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500"/>
              <w:spacing w:after="0" w:line="205" w:lineRule="exact"/>
              <w:rPr>
                <w:sz w:val="20"/>
                <w:szCs w:val="20"/>
                <w:color w:val="auto"/>
              </w:rPr>
            </w:pPr>
            <w:r>
              <w:rPr>
                <w:rFonts w:ascii="Times New Roman" w:cs="Times New Roman" w:eastAsia="Times New Roman" w:hAnsi="Times New Roman"/>
                <w:sz w:val="18"/>
                <w:szCs w:val="18"/>
                <w:color w:val="auto"/>
              </w:rPr>
              <w:t>Demand</w:t>
            </w: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left="310"/>
              <w:spacing w:after="0" w:line="205" w:lineRule="exact"/>
              <w:rPr>
                <w:sz w:val="20"/>
                <w:szCs w:val="20"/>
                <w:color w:val="auto"/>
              </w:rPr>
            </w:pPr>
            <w:r>
              <w:rPr>
                <w:rFonts w:ascii="Times New Roman" w:cs="Times New Roman" w:eastAsia="Times New Roman" w:hAnsi="Times New Roman"/>
                <w:sz w:val="18"/>
                <w:szCs w:val="18"/>
                <w:color w:val="auto"/>
                <w:w w:val="99"/>
              </w:rPr>
              <w:t>Saving</w:t>
            </w: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center"/>
              <w:ind w:right="260"/>
              <w:spacing w:after="0" w:line="205" w:lineRule="exact"/>
              <w:rPr>
                <w:sz w:val="20"/>
                <w:szCs w:val="20"/>
                <w:color w:val="auto"/>
              </w:rPr>
            </w:pPr>
            <w:r>
              <w:rPr>
                <w:rFonts w:ascii="Times New Roman" w:cs="Times New Roman" w:eastAsia="Times New Roman" w:hAnsi="Times New Roman"/>
                <w:sz w:val="18"/>
                <w:szCs w:val="18"/>
                <w:color w:val="auto"/>
                <w:w w:val="99"/>
              </w:rPr>
              <w:t>Time</w:t>
            </w:r>
          </w:p>
        </w:tc>
        <w:tc>
          <w:tcPr>
            <w:tcW w:w="1600" w:type="dxa"/>
            <w:vAlign w:val="bottom"/>
            <w:tcBorders>
              <w:top w:val="single" w:sz="8" w:color="auto"/>
            </w:tcBorders>
          </w:tcPr>
          <w:p>
            <w:pPr>
              <w:ind w:left="420"/>
              <w:spacing w:after="0" w:line="205" w:lineRule="exact"/>
              <w:rPr>
                <w:sz w:val="20"/>
                <w:szCs w:val="20"/>
                <w:color w:val="auto"/>
              </w:rPr>
            </w:pPr>
            <w:r>
              <w:rPr>
                <w:rFonts w:ascii="Times New Roman" w:cs="Times New Roman" w:eastAsia="Times New Roman" w:hAnsi="Times New Roman"/>
                <w:sz w:val="18"/>
                <w:szCs w:val="18"/>
                <w:color w:val="auto"/>
              </w:rPr>
              <w:t>Severance</w:t>
            </w:r>
          </w:p>
        </w:tc>
        <w:tc>
          <w:tcPr>
            <w:tcW w:w="160" w:type="dxa"/>
            <w:vAlign w:val="bottom"/>
          </w:tcPr>
          <w:p>
            <w:pPr>
              <w:spacing w:after="0"/>
              <w:rPr>
                <w:sz w:val="17"/>
                <w:szCs w:val="17"/>
                <w:color w:val="auto"/>
              </w:rPr>
            </w:pPr>
          </w:p>
        </w:tc>
      </w:tr>
      <w:tr>
        <w:trPr>
          <w:trHeight w:val="241"/>
        </w:trPr>
        <w:tc>
          <w:tcPr>
            <w:tcW w:w="1840" w:type="dxa"/>
            <w:vAlign w:val="bottom"/>
          </w:tcPr>
          <w:p>
            <w:pPr>
              <w:spacing w:after="0"/>
              <w:rPr>
                <w:sz w:val="20"/>
                <w:szCs w:val="20"/>
                <w:color w:val="auto"/>
              </w:rPr>
            </w:pP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deposits</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deposits</w:t>
            </w:r>
          </w:p>
        </w:tc>
        <w:tc>
          <w:tcPr>
            <w:tcW w:w="240" w:type="dxa"/>
            <w:vAlign w:val="bottom"/>
          </w:tcPr>
          <w:p>
            <w:pPr>
              <w:spacing w:after="0"/>
              <w:rPr>
                <w:sz w:val="20"/>
                <w:szCs w:val="20"/>
                <w:color w:val="auto"/>
              </w:rPr>
            </w:pPr>
          </w:p>
        </w:tc>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indemnity</w:t>
            </w:r>
          </w:p>
        </w:tc>
        <w:tc>
          <w:tcPr>
            <w:tcW w:w="160" w:type="dxa"/>
            <w:vAlign w:val="bottom"/>
          </w:tcPr>
          <w:p>
            <w:pPr>
              <w:spacing w:after="0"/>
              <w:rPr>
                <w:sz w:val="20"/>
                <w:szCs w:val="20"/>
                <w:color w:val="auto"/>
              </w:rPr>
            </w:pPr>
          </w:p>
        </w:tc>
      </w:tr>
      <w:tr>
        <w:trPr>
          <w:trHeight w:val="216"/>
        </w:trPr>
        <w:tc>
          <w:tcPr>
            <w:tcW w:w="3020" w:type="dxa"/>
            <w:vAlign w:val="bottom"/>
            <w:gridSpan w:val="2"/>
            <w:shd w:val="clear" w:color="auto" w:fill="CCFFCC"/>
          </w:tcPr>
          <w:p>
            <w:pPr>
              <w:ind w:left="740"/>
              <w:spacing w:after="0"/>
              <w:rPr>
                <w:sz w:val="20"/>
                <w:szCs w:val="20"/>
                <w:color w:val="auto"/>
              </w:rPr>
            </w:pPr>
            <w:r>
              <w:rPr>
                <w:rFonts w:ascii="Times New Roman" w:cs="Times New Roman" w:eastAsia="Times New Roman" w:hAnsi="Times New Roman"/>
                <w:sz w:val="18"/>
                <w:szCs w:val="18"/>
                <w:b w:val="1"/>
                <w:bCs w:val="1"/>
                <w:color w:val="auto"/>
              </w:rPr>
              <w:t>LC</w:t>
            </w:r>
          </w:p>
        </w:tc>
        <w:tc>
          <w:tcPr>
            <w:tcW w:w="6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1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7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8"/>
        </w:trPr>
        <w:tc>
          <w:tcPr>
            <w:tcW w:w="3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FC</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1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r>
    </w:tbl>
    <w:p>
      <w:pPr>
        <w:ind w:left="1140"/>
        <w:spacing w:after="0"/>
        <w:rPr>
          <w:sz w:val="20"/>
          <w:szCs w:val="20"/>
          <w:color w:val="auto"/>
        </w:rPr>
      </w:pPr>
      <w:r>
        <w:rPr>
          <w:rFonts w:ascii="Times New Roman" w:cs="Times New Roman" w:eastAsia="Times New Roman" w:hAnsi="Times New Roman"/>
          <w:sz w:val="18"/>
          <w:szCs w:val="18"/>
          <w:i w:val="1"/>
          <w:iCs w:val="1"/>
          <w:color w:val="auto"/>
        </w:rPr>
        <w:t>LC: Local Currency</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FC: Foreign Currency</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important to mention that BCP’s highest increases in market shares were reported for FC time deposits (vs. 28.8% en el 1T10) and CTS deposits in LC (vs. 37.3% in 1Q10).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Dollarization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dollarization level of BCP’s deposits grew slightly QoQ to 55.7% in 2Q10 vs. 54.1% in 1Q10. This can be explained by 6.2% growth QoQ in FC deposits (primarily due to an increase in non-interest bearing and time deposits) while LC deposits showed virtually no change in terms of 1Q10’s figures. These results are in line with behavior throughout the Peruvian banking system, whose dollarization level was 51.8% at the end of 2Q10, higher than the level of 50.8% registered at close of 1Q10.</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2455545</wp:posOffset>
            </wp:positionH>
            <wp:positionV relativeFrom="page">
              <wp:posOffset>337820</wp:posOffset>
            </wp:positionV>
            <wp:extent cx="4948555" cy="1920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4855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II.3 Net Interest Income</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NII grew 4.3% QoQ due mainly to a 1.8% increase in interest income, which was was related to the significant loan expansion registered in the Q. In this scenario, NIM was 4.91%, which is similar to the 4.86% achieved in 1Q10.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0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50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US$ 000</w:t>
            </w:r>
          </w:p>
        </w:tc>
        <w:tc>
          <w:tcPr>
            <w:tcW w:w="1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2Q10</w:t>
            </w:r>
          </w:p>
        </w:tc>
        <w:tc>
          <w:tcPr>
            <w:tcW w:w="1000" w:type="dxa"/>
            <w:vAlign w:val="bottom"/>
            <w:tcBorders>
              <w:top w:val="single" w:sz="8" w:color="auto"/>
            </w:tcBorders>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1Q10</w:t>
            </w:r>
          </w:p>
        </w:tc>
        <w:tc>
          <w:tcPr>
            <w:tcW w:w="740" w:type="dxa"/>
            <w:vAlign w:val="bottom"/>
            <w:tcBorders>
              <w:top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2Q09</w:t>
            </w:r>
          </w:p>
        </w:tc>
        <w:tc>
          <w:tcPr>
            <w:tcW w:w="24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QoQ</w:t>
            </w:r>
          </w:p>
        </w:tc>
        <w:tc>
          <w:tcPr>
            <w:tcW w:w="640" w:type="dxa"/>
            <w:vAlign w:val="bottom"/>
            <w:tcBorders>
              <w:top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Jun 10</w:t>
            </w:r>
          </w:p>
        </w:tc>
        <w:tc>
          <w:tcPr>
            <w:tcW w:w="760" w:type="dxa"/>
            <w:vAlign w:val="bottom"/>
            <w:tcBorders>
              <w:top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Jun 09</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311,548</w:t>
            </w:r>
          </w:p>
        </w:tc>
        <w:tc>
          <w:tcPr>
            <w:tcW w:w="10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305,922</w:t>
            </w: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314,832</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1.8%</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617,470</w:t>
            </w:r>
          </w:p>
        </w:tc>
        <w:tc>
          <w:tcPr>
            <w:tcW w:w="102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617,202</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on loans</w:t>
            </w: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294,303</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280,165</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263,588</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574,468</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522,339</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and dividends on investments</w:t>
            </w:r>
          </w:p>
        </w:tc>
        <w:tc>
          <w:tcPr>
            <w:tcW w:w="84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3,457</w:t>
            </w: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-98.8%</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3,499</w:t>
            </w:r>
          </w:p>
        </w:tc>
        <w:tc>
          <w:tcPr>
            <w:tcW w:w="102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2,704</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on deposits with banks</w:t>
            </w: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1,627</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4,399</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3,415</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13,812</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on trading securities</w:t>
            </w:r>
          </w:p>
        </w:tc>
        <w:tc>
          <w:tcPr>
            <w:tcW w:w="84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19,511</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19,838</w:t>
            </w: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30,513</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39,349</w:t>
            </w:r>
          </w:p>
        </w:tc>
        <w:tc>
          <w:tcPr>
            <w:tcW w:w="102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55,270</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interest income</w:t>
            </w:r>
          </w:p>
        </w:tc>
        <w:tc>
          <w:tcPr>
            <w:tcW w:w="10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(3,935)</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16,332</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-683.8%</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(3,261)</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23,077</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1080" w:type="dxa"/>
            <w:vAlign w:val="bottom"/>
            <w:gridSpan w:val="3"/>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82,896</w:t>
            </w:r>
          </w:p>
        </w:tc>
        <w:tc>
          <w:tcPr>
            <w:tcW w:w="10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86,747</w:t>
            </w: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105,372</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-4.4%</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-21.3%</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169,643</w:t>
            </w:r>
          </w:p>
        </w:tc>
        <w:tc>
          <w:tcPr>
            <w:tcW w:w="102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221,581</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on deposits</w:t>
            </w: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22,558</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21,555</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75,416</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-70.1%</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44,113</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158,598</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on borrowed funds</w:t>
            </w:r>
          </w:p>
        </w:tc>
        <w:tc>
          <w:tcPr>
            <w:tcW w:w="1080" w:type="dxa"/>
            <w:vAlign w:val="bottom"/>
            <w:gridSpan w:val="3"/>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29,272</w:t>
            </w:r>
          </w:p>
        </w:tc>
        <w:tc>
          <w:tcPr>
            <w:tcW w:w="10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28,790</w:t>
            </w: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6,445</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354.2%</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58,062</w:t>
            </w:r>
          </w:p>
        </w:tc>
        <w:tc>
          <w:tcPr>
            <w:tcW w:w="102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16,498</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on bonds and subordinated note</w:t>
            </w: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23,063</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25,628</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16,060</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48,691</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30,512</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FFCC"/>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interest expense</w:t>
            </w: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8,003</w:t>
            </w:r>
          </w:p>
        </w:tc>
        <w:tc>
          <w:tcPr>
            <w:tcW w:w="10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10,774</w:t>
            </w: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7,451</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88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18,777</w:t>
            </w:r>
          </w:p>
        </w:tc>
        <w:tc>
          <w:tcPr>
            <w:tcW w:w="102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15,973</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228,652</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219,175</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209,460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4.3%</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9.2%</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447,827</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395,621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Average interest earning assets</w:t>
            </w: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18,643,574</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18,037,691</w:t>
            </w:r>
          </w:p>
        </w:tc>
        <w:tc>
          <w:tcPr>
            <w:tcW w:w="98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16,541,642</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3.4%</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12.7%</w:t>
            </w:r>
          </w:p>
        </w:tc>
        <w:tc>
          <w:tcPr>
            <w:tcW w:w="7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18,340,633</w:t>
            </w:r>
          </w:p>
        </w:tc>
        <w:tc>
          <w:tcPr>
            <w:tcW w:w="2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16,644,054</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margin*</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4.9%</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4.9%</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4.9%</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4.8%</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*Annualized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4.3% growth in NII is attributable to a 5.0% increase in interest on loans due to expansion in the loan portfolio (+6.6% in gross balances at quarter-end and +3.5% in average daily balances), which is in turn explained by growth in all segments, in particular Corporate, Middle Market, SME and mortgage segments.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total 1.8% increase in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and drop of 4.4%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respond to a distortion caused by the reclassification of a loss generated by derivatives, booked in 1Q within the expenses increasing these, and re-classified to reduce the income in this 2Q. This distortion hides the good performance of Interest Income, but does not affect NII.</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also important to point out that the NII’s evolution was highly satisfactory given that Wholesale Banking’s margins continued a downward trend, reaching even pre-crisis levels, however, growth in volume helped offset this effect. The NII also benefited from the change in the portfolio mix particularly of local currency, where Retail Banking and Edyficar currently represent 62.7% of the total portfolio contributing to margins improvement given their higher margins.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is clearly reflected in the increase in NIM on loans, which rose to 8.0% in 2Q10 and topped 1Q10’s result of 7.8%.</w:t>
      </w:r>
    </w:p>
    <w:p>
      <w:pPr>
        <w:spacing w:after="0" w:line="200" w:lineRule="exact"/>
        <w:rPr>
          <w:sz w:val="20"/>
          <w:szCs w:val="20"/>
          <w:color w:val="auto"/>
        </w:rPr>
      </w:pPr>
    </w:p>
    <w:p>
      <w:pPr>
        <w:spacing w:after="0" w:line="201"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2541270</wp:posOffset>
            </wp:positionH>
            <wp:positionV relativeFrom="page">
              <wp:posOffset>337820</wp:posOffset>
            </wp:positionV>
            <wp:extent cx="4862195" cy="19723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6219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II.4 Past Due Portfolio and Provisions for Loan Losses</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past due ratio reported an improvement, falling 1.81% (1Q10) to 1.71% at the end of 2Q10 due to an expansion in net loans and a significant deceleration in past due loan growth, whose level was similar to last quarter’s.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1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8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(43,592)</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(50,507)</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(59,761)</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Loan loss recoveries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provisions, for loan losses</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(31,183)</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(43,445)</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(54,074)</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-28.2%</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12,611,066</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11,852,548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10,502,346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Reserve for loan losses (RLL)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386,148</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380,248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281,675</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Charge-Off amount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35,296</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25,478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22,461</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38.5%</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Past due loans (PDL)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215,092</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214,968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145,945</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PDL / total loans</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Coverage</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179.5%</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176.9%</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193.0%</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provisions for 2Q10 totaled US$ 31.2 million. This represents a 28.2% decrease QoQ, which is attributable to a decline in provisions requirements (-13.7%) as well as in increase in recoveries (+75.7%). It is important to emphasize that the decrease in gross provisions was seen in both Wholesale banking-due to improvements in the risk profile of some clients (reclassified from potential problem to Normal)- and Retail Banking, which experienced a noteworthy decrease in provisions for the SME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142875</wp:posOffset>
            </wp:positionV>
            <wp:extent cx="2684145" cy="130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Charge-offs increased 38.5% QoQ to reach US$ 35.2 million. This increase was due primarily to lower charged-off levels in 1Q10, which were in turn attributable to delays in securing the Supervisor’s authorization. As a precaution for future requests, we have improved our internal process to ensure that all authorizations are requested well in advance.</w:t>
      </w:r>
    </w:p>
    <w:p>
      <w:pPr>
        <w:spacing w:after="0" w:line="35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Finally, the past due portfolio totaled US$ 215.0 million. This figure was similar to that reported in the previous quarter, which coupled with the 6.6% QoQ increase in net loans and a 38.5% QoQ increase in charge-offs, allowed BCP to reduce its past due ratio to 1.71% in 2Q10. It is important to point out that past due levels have fallen in almost all segments. The contraction in the SME segment’s ratio, which went from 8.6% in 1Q10 to 7.6% in 2Q10, was particularly noteworthy and was attributable to higher charge-offs and a decrease in past due loan entries.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174625</wp:posOffset>
            </wp:positionV>
            <wp:extent cx="2435225" cy="1577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3522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II.5 Non Financial Income</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Non financial income reported a significant increase QoQ, primarily due to significant higher earnings on sales of securities and growth in banking service commissions.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 financial income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Change %</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92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US$ 000</w:t>
            </w: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2Q10</w:t>
            </w:r>
          </w:p>
        </w:tc>
        <w:tc>
          <w:tcPr>
            <w:tcW w:w="880" w:type="dxa"/>
            <w:vAlign w:val="bottom"/>
            <w:tcBorders>
              <w:top w:val="single" w:sz="8" w:color="auto"/>
            </w:tcBorders>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1Q10</w:t>
            </w:r>
          </w:p>
        </w:tc>
        <w:tc>
          <w:tcPr>
            <w:tcW w:w="680" w:type="dxa"/>
            <w:vAlign w:val="bottom"/>
            <w:tcBorders>
              <w:top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2Q09</w:t>
            </w:r>
          </w:p>
        </w:tc>
        <w:tc>
          <w:tcPr>
            <w:tcW w:w="220" w:type="dxa"/>
            <w:vAlign w:val="bottom"/>
          </w:tcPr>
          <w:p>
            <w:pPr>
              <w:spacing w:after="0"/>
              <w:rPr>
                <w:sz w:val="12"/>
                <w:szCs w:val="12"/>
                <w:color w:val="auto"/>
              </w:rPr>
            </w:pPr>
          </w:p>
        </w:tc>
        <w:tc>
          <w:tcPr>
            <w:tcW w:w="1120" w:type="dxa"/>
            <w:vAlign w:val="bottom"/>
            <w:tcBorders>
              <w:top w:val="single" w:sz="8" w:color="auto"/>
            </w:tcBorders>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QoQ</w:t>
            </w:r>
          </w:p>
        </w:tc>
        <w:tc>
          <w:tcPr>
            <w:tcW w:w="48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 10</w:t>
            </w:r>
          </w:p>
        </w:tc>
        <w:tc>
          <w:tcPr>
            <w:tcW w:w="680" w:type="dxa"/>
            <w:vAlign w:val="bottom"/>
            <w:tcBorders>
              <w:top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Jun 09</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113,577</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107,223</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87,620</w:t>
            </w:r>
          </w:p>
        </w:tc>
        <w:tc>
          <w:tcPr>
            <w:tcW w:w="9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220,800</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165,173</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10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23,595</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25,503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19,700</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49,098</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40,028</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Net gain on sales of securities</w:t>
            </w:r>
          </w:p>
        </w:tc>
        <w:tc>
          <w:tcPr>
            <w:tcW w:w="1000" w:type="dxa"/>
            <w:vAlign w:val="bottom"/>
            <w:gridSpan w:val="3"/>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29,727</w:t>
            </w: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35,983</w:t>
            </w:r>
          </w:p>
        </w:tc>
        <w:tc>
          <w:tcPr>
            <w:tcW w:w="9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18364.0%</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29,888</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82,274</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7,285</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7,596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11,359</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non financial income</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169,541</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137,841</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150,588</w:t>
            </w:r>
          </w:p>
        </w:tc>
        <w:tc>
          <w:tcPr>
            <w:tcW w:w="92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23.0%</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12.6%</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307,382</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298,834</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 financial income increased 23.0% QoQ. This growth is mainly attributable to higher net earnings on sales of securities relative to the Peruvian government’s exchange and repurchase of Peru 14 Bonds in Euros. These operations generated earnings of approximately US$ 26 million following a recognition of unrealized gains on the securities held in our portfolio since this constitutes a market transaction; as well as an increase in banking service commissions (5.9% QoQ) given that a more dynamic economy drove an increase in banking transactions.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Banking service commissions, which constitute the primary source of non financial income, demonstrated significant QoQ growth of 5.9% QoQ. This increase was seen primarily in the Others segment and was the result of higher income from Corporate Finance related to financial structuring and advisory fees as a result of the recovered investment activity in our market.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analysis of the YoY evolution shows a significant 29.6% increase, which although attributable to growth in all segments, was also due in great part to an expansion in the Others segment (also related to income generated by Corporate Finance); 25.9% growth in Miscellaneous Accounts (basically Debit Cards) as well as higher income in the Contingents segment.</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Banking Fee Income</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3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2Q10 / 1Q10</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2Q10 / 2Q09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Miscellaneous Accounts*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28,276</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27,800</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22,462</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Contingents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6,214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Payments and Collections</w:t>
            </w:r>
          </w:p>
        </w:tc>
        <w:tc>
          <w:tcPr>
            <w:tcW w:w="14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14,651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13,859</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12,595</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Drafts and Transfers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6,837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Credit Cards</w:t>
            </w:r>
          </w:p>
        </w:tc>
        <w:tc>
          <w:tcPr>
            <w:tcW w:w="14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14,628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13,851</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10,837</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42,970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35,915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Fee Income</w:t>
            </w:r>
          </w:p>
        </w:tc>
        <w:tc>
          <w:tcPr>
            <w:tcW w:w="1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113,577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107,223</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87,620</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i w:val="1"/>
                <w:iCs w:val="1"/>
                <w:color w:val="auto"/>
              </w:rPr>
              <w:t>* Saving Accounts, Current Accounts and Debit Card.</w:t>
            </w: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banking transactions increased 7.0% QoQ and 15.2% YoY. In terms of quarterly evolution, it is important to note continuous growth in cost-efficient channels, which was led by an increase in transactions through the following channels: ATMS, BCP Agents, Telephone Banking, Internet Banking and Mobile Banking. This trend is even more evident if we analyze the YoY evolution, which indicates that Teller transactions have fallen to represent 21% of total transactions in 2Q10 vs. 25% in 2Q09. Conversely, in YoY terms, the BCP Agent channel increased its share from 8% to 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8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N° of Transactions per channel</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Average 2Q10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1Q10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Average 2Q09</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2Q10/1Q10</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2Q10/2Q09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Teller</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10,115,285</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10,107,334</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10,277,109</w:t>
            </w: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ATMs Via BCP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8,339,318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7,643,857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7,105,823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 Inquiries</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2,888,532</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2,500,069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2,611,452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Banking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1,548,182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1,421,835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1,389,107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Internet Banking Via BCP</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10,563,002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9,632,114</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9,257,727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Agente BCP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5,118,650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4,676,832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3,207,639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Telecrédito</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4,339,153</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4,166,085</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3,989,840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Mobile banking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254,054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227,526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Direct Debit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418,500</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366,097</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365,878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Points of Sale P.O.S.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4,052,376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3,819,986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3,087,701</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ATMs network</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319,065</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292,788</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transactions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47,980,525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44,854,522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41,641,965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network continued an upward trend to achieve 4,473 points of contact. This expansion was due to an increase in the number of BCP Agents and ATMs, which is in line with BCP’s Strategy to promote the use of more cost-efficient channels. Significant YoY growth of 26.1% corresponds to an increase in the number of BCP Agents and ATMs (824 new BCP agents and 112 additional ATMs).</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2Q10</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00" w:type="dxa"/>
            <w:vAlign w:val="bottom"/>
          </w:tcPr>
          <w:p>
            <w:pPr>
              <w:spacing w:after="0"/>
              <w:rPr>
                <w:sz w:val="19"/>
                <w:szCs w:val="19"/>
                <w:color w:val="auto"/>
              </w:rPr>
            </w:pPr>
          </w:p>
        </w:tc>
        <w:tc>
          <w:tcPr>
            <w:tcW w:w="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Branches</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w w:val="96"/>
              </w:rPr>
              <w:t>-0.3%</w:t>
            </w:r>
          </w:p>
        </w:tc>
        <w:tc>
          <w:tcPr>
            <w:tcW w:w="3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Agentes BCP</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II.6 Operating Costs and Efficiency</w:t>
      </w:r>
    </w:p>
    <w:p>
      <w:pPr>
        <w:spacing w:after="0" w:line="2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For the second consecutive quarter, BCP has improved its operating efficiency. This is reflected in the decrease in the efficiency ratio, which went from 51.3% in 1Q10 to 48% in 2Q10. Positive evolution in this regard was due to an increase in income and a 1.2% QoQ decline in expenses.</w:t>
      </w:r>
    </w:p>
    <w:p>
      <w:pPr>
        <w:spacing w:after="0" w:line="336"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0"/>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82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US$ 000</w:t>
            </w:r>
          </w:p>
        </w:tc>
        <w:tc>
          <w:tcPr>
            <w:tcW w:w="1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2Q10</w:t>
            </w:r>
          </w:p>
        </w:tc>
        <w:tc>
          <w:tcPr>
            <w:tcW w:w="920" w:type="dxa"/>
            <w:vAlign w:val="bottom"/>
            <w:tcBorders>
              <w:top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1Q10</w:t>
            </w:r>
          </w:p>
        </w:tc>
        <w:tc>
          <w:tcPr>
            <w:tcW w:w="680" w:type="dxa"/>
            <w:vAlign w:val="bottom"/>
            <w:tcBorders>
              <w:top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2Q09</w:t>
            </w:r>
          </w:p>
        </w:tc>
        <w:tc>
          <w:tcPr>
            <w:tcW w:w="260" w:type="dxa"/>
            <w:vAlign w:val="bottom"/>
          </w:tcPr>
          <w:p>
            <w:pPr>
              <w:spacing w:after="0"/>
              <w:rPr>
                <w:sz w:val="12"/>
                <w:szCs w:val="12"/>
                <w:color w:val="auto"/>
              </w:rPr>
            </w:pPr>
          </w:p>
        </w:tc>
        <w:tc>
          <w:tcPr>
            <w:tcW w:w="1120" w:type="dxa"/>
            <w:vAlign w:val="bottom"/>
            <w:tcBorders>
              <w:top w:val="single" w:sz="8" w:color="auto"/>
            </w:tcBorders>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QoQ</w:t>
            </w:r>
          </w:p>
        </w:tc>
        <w:tc>
          <w:tcPr>
            <w:tcW w:w="46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 10</w:t>
            </w:r>
          </w:p>
        </w:tc>
        <w:tc>
          <w:tcPr>
            <w:tcW w:w="680" w:type="dxa"/>
            <w:vAlign w:val="bottom"/>
            <w:tcBorders>
              <w:top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Jun 09</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Salaries and employees benefits</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90,961</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98,445</w:t>
            </w:r>
          </w:p>
        </w:tc>
        <w:tc>
          <w:tcPr>
            <w:tcW w:w="2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79,316</w:t>
            </w:r>
          </w:p>
        </w:tc>
        <w:tc>
          <w:tcPr>
            <w:tcW w:w="9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189,406</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158,665</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Administrative, general and tax expenses</w:t>
            </w:r>
          </w:p>
        </w:tc>
        <w:tc>
          <w:tcPr>
            <w:tcW w:w="10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67,866</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65,785</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63,919</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133,651</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127,472</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amortizacion</w:t>
            </w:r>
          </w:p>
        </w:tc>
        <w:tc>
          <w:tcPr>
            <w:tcW w:w="1040" w:type="dxa"/>
            <w:vAlign w:val="bottom"/>
            <w:gridSpan w:val="3"/>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16,837</w:t>
            </w:r>
          </w:p>
        </w:tc>
        <w:tc>
          <w:tcPr>
            <w:tcW w:w="92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16,423</w:t>
            </w:r>
          </w:p>
        </w:tc>
        <w:tc>
          <w:tcPr>
            <w:tcW w:w="94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14,088</w:t>
            </w:r>
          </w:p>
        </w:tc>
        <w:tc>
          <w:tcPr>
            <w:tcW w:w="9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33,260</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27,844</w:t>
            </w:r>
          </w:p>
        </w:tc>
        <w:tc>
          <w:tcPr>
            <w:tcW w:w="10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7,516</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4,680</w:t>
            </w:r>
          </w:p>
        </w:tc>
        <w:tc>
          <w:tcPr>
            <w:tcW w:w="2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4,262</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12,196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20,699</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183,180</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185,333</w:t>
            </w:r>
          </w:p>
        </w:tc>
        <w:tc>
          <w:tcPr>
            <w:tcW w:w="2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161,585</w:t>
            </w:r>
          </w:p>
        </w:tc>
        <w:tc>
          <w:tcPr>
            <w:tcW w:w="92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13.4%</w:t>
            </w:r>
          </w:p>
        </w:tc>
        <w:tc>
          <w:tcPr>
            <w:tcW w:w="8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368,513</w:t>
            </w:r>
          </w:p>
        </w:tc>
        <w:tc>
          <w:tcPr>
            <w:tcW w:w="9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334,680</w:t>
            </w:r>
          </w:p>
        </w:tc>
        <w:tc>
          <w:tcPr>
            <w:tcW w:w="10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Efficiency ratio</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48.02%</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51.34%</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49.66%</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The QoQ decline reported in operating expenses was due primarily to the decrease in salaries and employee benefits (-7.6% QoQ), which is related to the high level registered in the previous quarter due to incurred redundancy costs as a result of higher efficiency in key processes.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lower costs in the salaries line helped offset a slight increase in administrative expenses, which was related to higher spending on marketing and consultants.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on administrative expenses and quarterly variations: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Administrative Expenses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154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Year to date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Change %</w:t>
            </w:r>
          </w:p>
        </w:tc>
        <w:tc>
          <w:tcPr>
            <w:tcW w:w="0" w:type="dxa"/>
            <w:vAlign w:val="bottom"/>
          </w:tcPr>
          <w:p>
            <w:pPr>
              <w:spacing w:after="0"/>
              <w:rPr>
                <w:sz w:val="1"/>
                <w:szCs w:val="1"/>
                <w:color w:val="auto"/>
              </w:rPr>
            </w:pPr>
          </w:p>
        </w:tc>
      </w:tr>
      <w:tr>
        <w:trPr>
          <w:trHeight w:val="135"/>
        </w:trPr>
        <w:tc>
          <w:tcPr>
            <w:tcW w:w="244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 (000)</w:t>
            </w:r>
          </w:p>
        </w:tc>
        <w:tc>
          <w:tcPr>
            <w:tcW w:w="10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2Q10</w:t>
            </w:r>
          </w:p>
        </w:tc>
        <w:tc>
          <w:tcPr>
            <w:tcW w:w="540" w:type="dxa"/>
            <w:vAlign w:val="bottom"/>
            <w:tcBorders>
              <w:top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1Q10</w:t>
            </w:r>
          </w:p>
        </w:tc>
        <w:tc>
          <w:tcPr>
            <w:tcW w:w="380" w:type="dxa"/>
            <w:vAlign w:val="bottom"/>
            <w:tcBorders>
              <w:top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2Q09</w:t>
            </w:r>
          </w:p>
        </w:tc>
        <w:tc>
          <w:tcPr>
            <w:tcW w:w="560" w:type="dxa"/>
            <w:vAlign w:val="bottom"/>
            <w:tcBorders>
              <w:top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2Q10/1Q10</w:t>
            </w: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2Q10/2Q09</w:t>
            </w:r>
          </w:p>
        </w:tc>
        <w:tc>
          <w:tcPr>
            <w:tcW w:w="2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Jun 10</w:t>
            </w:r>
          </w:p>
        </w:tc>
        <w:tc>
          <w:tcPr>
            <w:tcW w:w="560" w:type="dxa"/>
            <w:vAlign w:val="bottom"/>
            <w:tcBorders>
              <w:top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Jun 09</w:t>
            </w:r>
          </w:p>
        </w:tc>
        <w:tc>
          <w:tcPr>
            <w:tcW w:w="220" w:type="dxa"/>
            <w:vAlign w:val="bottom"/>
          </w:tcPr>
          <w:p>
            <w:pPr>
              <w:spacing w:after="0"/>
              <w:rPr>
                <w:sz w:val="11"/>
                <w:szCs w:val="11"/>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Jun 10 / Jun 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Marketing</w:t>
            </w: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8,133</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5,308</w:t>
            </w:r>
          </w:p>
        </w:tc>
        <w:tc>
          <w:tcPr>
            <w:tcW w:w="1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7,398</w:t>
            </w:r>
          </w:p>
        </w:tc>
        <w:tc>
          <w:tcPr>
            <w:tcW w:w="80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53.2%</w:t>
            </w: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76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13,441</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12,124</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Systems</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7,994</w:t>
            </w:r>
          </w:p>
        </w:tc>
        <w:tc>
          <w:tcPr>
            <w:tcW w:w="2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9,351</w:t>
            </w:r>
          </w:p>
        </w:tc>
        <w:tc>
          <w:tcPr>
            <w:tcW w:w="1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7,853</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17,346</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18,749</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Transport</w:t>
            </w:r>
          </w:p>
        </w:tc>
        <w:tc>
          <w:tcPr>
            <w:tcW w:w="66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5,530</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5,945</w:t>
            </w:r>
          </w:p>
        </w:tc>
        <w:tc>
          <w:tcPr>
            <w:tcW w:w="1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5,669</w:t>
            </w:r>
          </w:p>
        </w:tc>
        <w:tc>
          <w:tcPr>
            <w:tcW w:w="80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76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11,475</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10,205</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Maintenance</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2,530</w:t>
            </w:r>
          </w:p>
        </w:tc>
        <w:tc>
          <w:tcPr>
            <w:tcW w:w="2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2,675</w:t>
            </w:r>
          </w:p>
        </w:tc>
        <w:tc>
          <w:tcPr>
            <w:tcW w:w="1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3,238</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5,205</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5,443</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66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4,734</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3,612</w:t>
            </w:r>
          </w:p>
        </w:tc>
        <w:tc>
          <w:tcPr>
            <w:tcW w:w="1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3,262</w:t>
            </w:r>
          </w:p>
        </w:tc>
        <w:tc>
          <w:tcPr>
            <w:tcW w:w="80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31.1%</w:t>
            </w: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45.1%</w:t>
            </w:r>
          </w:p>
        </w:tc>
        <w:tc>
          <w:tcPr>
            <w:tcW w:w="76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8,345</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6,135</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Consulting</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4,460</w:t>
            </w:r>
          </w:p>
        </w:tc>
        <w:tc>
          <w:tcPr>
            <w:tcW w:w="2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2,264</w:t>
            </w:r>
          </w:p>
        </w:tc>
        <w:tc>
          <w:tcPr>
            <w:tcW w:w="1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3,186</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97.0%</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40.0%</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6,724</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7,187</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66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19,246</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19,969</w:t>
            </w:r>
          </w:p>
        </w:tc>
        <w:tc>
          <w:tcPr>
            <w:tcW w:w="1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19,496</w:t>
            </w:r>
          </w:p>
        </w:tc>
        <w:tc>
          <w:tcPr>
            <w:tcW w:w="80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76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39,215</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38,206</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Taxes and contributions</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7,009</w:t>
            </w:r>
          </w:p>
        </w:tc>
        <w:tc>
          <w:tcPr>
            <w:tcW w:w="2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6,694</w:t>
            </w:r>
          </w:p>
        </w:tc>
        <w:tc>
          <w:tcPr>
            <w:tcW w:w="1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5,496</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27.5%</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13,702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12,127</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Other subsidiaries and eliminations, net</w:t>
            </w: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8,231</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9,967</w:t>
            </w:r>
          </w:p>
        </w:tc>
        <w:tc>
          <w:tcPr>
            <w:tcW w:w="18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8,322</w:t>
            </w:r>
          </w:p>
        </w:tc>
        <w:tc>
          <w:tcPr>
            <w:tcW w:w="80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8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86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76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18,198</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17,295</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Administrative Expenses</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67,866</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100.0%</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65,785</w:t>
            </w:r>
          </w:p>
        </w:tc>
        <w:tc>
          <w:tcPr>
            <w:tcW w:w="1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100.0%</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63,919</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100.0%</w:t>
            </w: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3.2%</w:t>
            </w: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6.2%</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133,651</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127,472</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II.7 Shareholders’ Equity and Regulatory Capital</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Shareholders ‘equity increased 6.4% QoQ during 2Q10 due to higher accumulated earnings during 2010 (+131.7% QoQ). The BIS ratio was 13.6% at the end of 2Q10, which is slightly lower than 1Q10’s figure. This is in line with expected growth in the loan portfolio and is above the 9.5% required by SBS.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2Q09</w:t>
            </w:r>
          </w:p>
        </w:tc>
        <w:tc>
          <w:tcPr>
            <w:tcW w:w="30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783,213</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783,213</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667,250</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388,309</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388,309</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388,275</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1520" w:type="dxa"/>
            <w:vAlign w:val="bottom"/>
            <w:gridSpan w:val="3"/>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84,959</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117,908</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82,809</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187,143</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187,145</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115,922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for the year</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236,130</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101,909</w:t>
            </w:r>
          </w:p>
        </w:tc>
        <w:tc>
          <w:tcPr>
            <w:tcW w:w="14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188,524</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131.7%</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shareholders' equity</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1,679,754</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1,578,484</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1,442,780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Return on average equity (ROAE)</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25.7%</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Growth in shareholders’ equity in during 2Q10 is due in large part to higher accumulated earnings in 2010. This has helped offset a decline in unrealized gains (-27.9% QoQ), which are reported in quarterly results as sales of securities (Peru 14 Bonds in Euros).</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0"/>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Regulatory Capital and Capital Adequacy Ratios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454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(000)</w:t>
            </w:r>
          </w:p>
        </w:tc>
        <w:tc>
          <w:tcPr>
            <w:tcW w:w="12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Jun 10</w:t>
            </w:r>
          </w:p>
        </w:tc>
        <w:tc>
          <w:tcPr>
            <w:tcW w:w="1360" w:type="dxa"/>
            <w:vAlign w:val="bottom"/>
            <w:tcBorders>
              <w:top w:val="single" w:sz="8" w:color="auto"/>
            </w:tcBorders>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Mar 10</w:t>
            </w:r>
          </w:p>
        </w:tc>
        <w:tc>
          <w:tcPr>
            <w:tcW w:w="1140" w:type="dxa"/>
            <w:vAlign w:val="bottom"/>
            <w:tcBorders>
              <w:top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Jun 09</w:t>
            </w:r>
          </w:p>
        </w:tc>
        <w:tc>
          <w:tcPr>
            <w:tcW w:w="22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 10 / Mar 10</w:t>
            </w:r>
          </w:p>
        </w:tc>
        <w:tc>
          <w:tcPr>
            <w:tcW w:w="114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Capital Stock</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905,074</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900,295</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740,295</w:t>
            </w:r>
          </w:p>
        </w:tc>
        <w:tc>
          <w:tcPr>
            <w:tcW w:w="14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Legal and Other capital reserves</w:t>
            </w:r>
          </w:p>
        </w:tc>
        <w:tc>
          <w:tcPr>
            <w:tcW w:w="14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470,331</w:t>
            </w: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467,848</w:t>
            </w: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441,547</w:t>
            </w: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Accumulated earnings with capitalization agreement</w:t>
            </w:r>
          </w:p>
        </w:tc>
        <w:tc>
          <w:tcPr>
            <w:tcW w:w="1480" w:type="dxa"/>
            <w:vAlign w:val="bottom"/>
            <w:gridSpan w:val="3"/>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109,452</w:t>
            </w:r>
          </w:p>
        </w:tc>
        <w:tc>
          <w:tcPr>
            <w:tcW w:w="14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2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 xml:space="preserve">Loan loss reserves </w:t>
            </w:r>
            <w:r>
              <w:rPr>
                <w:rFonts w:ascii="Times New Roman" w:cs="Times New Roman" w:eastAsia="Times New Roman" w:hAnsi="Times New Roman"/>
                <w:sz w:val="20"/>
                <w:szCs w:val="20"/>
                <w:color w:val="auto"/>
                <w:vertAlign w:val="superscript"/>
              </w:rPr>
              <w:t>(1)</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168,228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155,317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110,012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Perpetual subordinated debt</w:t>
            </w:r>
          </w:p>
        </w:tc>
        <w:tc>
          <w:tcPr>
            <w:tcW w:w="1480" w:type="dxa"/>
            <w:vAlign w:val="bottom"/>
            <w:gridSpan w:val="3"/>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Debt</w:t>
            </w:r>
          </w:p>
        </w:tc>
        <w:tc>
          <w:tcPr>
            <w:tcW w:w="14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446,011</w:t>
            </w: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447,115</w:t>
            </w: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399,364</w:t>
            </w: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Unrealized profit (loss)</w:t>
            </w:r>
          </w:p>
        </w:tc>
        <w:tc>
          <w:tcPr>
            <w:tcW w:w="1480" w:type="dxa"/>
            <w:vAlign w:val="bottom"/>
            <w:gridSpan w:val="3"/>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21,392</w:t>
            </w:r>
          </w:p>
        </w:tc>
        <w:tc>
          <w:tcPr>
            <w:tcW w:w="1400" w:type="dxa"/>
            <w:vAlign w:val="bottom"/>
            <w:gridSpan w:val="2"/>
            <w:shd w:val="clear" w:color="auto" w:fill="CCFFC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2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subsidiaries and others, net of unrealized profit</w:t>
            </w:r>
          </w:p>
        </w:tc>
        <w:tc>
          <w:tcPr>
            <w:tcW w:w="14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(227,269)</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(210,861)</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(235,827)</w:t>
            </w: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80" w:type="dxa"/>
            <w:vAlign w:val="bottom"/>
            <w:gridSpan w:val="3"/>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(43,200)</w:t>
            </w:r>
          </w:p>
        </w:tc>
        <w:tc>
          <w:tcPr>
            <w:tcW w:w="136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(42,972)</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8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Regulatory Capital</w:t>
            </w:r>
          </w:p>
        </w:tc>
        <w:tc>
          <w:tcPr>
            <w:tcW w:w="14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1,969,175</w:t>
            </w: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1,966,742</w:t>
            </w: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1,586,234</w:t>
            </w:r>
          </w:p>
        </w:tc>
        <w:tc>
          <w:tcPr>
            <w:tcW w:w="1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0.1%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 xml:space="preserve">Tier 1 </w:t>
            </w:r>
            <w:r>
              <w:rPr>
                <w:rFonts w:ascii="Times New Roman" w:cs="Times New Roman" w:eastAsia="Times New Roman" w:hAnsi="Times New Roman"/>
                <w:sz w:val="20"/>
                <w:szCs w:val="20"/>
                <w:color w:val="auto"/>
                <w:vertAlign w:val="superscript"/>
              </w:rPr>
              <w:t>(2)</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1,514,939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1,511,418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1,194,772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shd w:val="clear" w:color="auto" w:fill="CCFFCC"/>
          </w:tcPr>
          <w:p>
            <w:pPr>
              <w:spacing w:after="0" w:line="176" w:lineRule="exact"/>
              <w:rPr>
                <w:sz w:val="20"/>
                <w:szCs w:val="20"/>
                <w:color w:val="auto"/>
              </w:rPr>
            </w:pPr>
            <w:r>
              <w:rPr>
                <w:rFonts w:ascii="Times New Roman" w:cs="Times New Roman" w:eastAsia="Times New Roman" w:hAnsi="Times New Roman"/>
                <w:sz w:val="14"/>
                <w:szCs w:val="14"/>
                <w:color w:val="auto"/>
              </w:rPr>
              <w:t xml:space="preserve">Tier 2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4"/>
                <w:szCs w:val="14"/>
                <w:color w:val="auto"/>
              </w:rPr>
              <w:t xml:space="preserve"> + Tier 3 </w:t>
            </w:r>
            <w:r>
              <w:rPr>
                <w:rFonts w:ascii="Times New Roman" w:cs="Times New Roman" w:eastAsia="Times New Roman" w:hAnsi="Times New Roman"/>
                <w:sz w:val="20"/>
                <w:szCs w:val="20"/>
                <w:color w:val="auto"/>
                <w:vertAlign w:val="superscript"/>
              </w:rPr>
              <w:t>(4)</w:t>
            </w:r>
          </w:p>
        </w:tc>
        <w:tc>
          <w:tcPr>
            <w:tcW w:w="148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454,236</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455,323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391,462</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12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2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risk-weighted assets</w:t>
            </w:r>
          </w:p>
        </w:tc>
        <w:tc>
          <w:tcPr>
            <w:tcW w:w="12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14,454,607</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13,578,861</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11,758,353</w:t>
            </w:r>
          </w:p>
        </w:tc>
        <w:tc>
          <w:tcPr>
            <w:tcW w:w="14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6.4%</w:t>
            </w:r>
          </w:p>
        </w:tc>
        <w:tc>
          <w:tcPr>
            <w:tcW w:w="128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 xml:space="preserve">Market risk-weighted assets </w:t>
            </w:r>
            <w:r>
              <w:rPr>
                <w:rFonts w:ascii="Times New Roman" w:cs="Times New Roman" w:eastAsia="Times New Roman" w:hAnsi="Times New Roman"/>
                <w:sz w:val="20"/>
                <w:szCs w:val="20"/>
                <w:color w:val="auto"/>
                <w:vertAlign w:val="superscript"/>
              </w:rPr>
              <w:t>(5)</w:t>
            </w:r>
          </w:p>
        </w:tc>
        <w:tc>
          <w:tcPr>
            <w:tcW w:w="1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519,321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682,737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782,417</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Credit risk-weighted assets</w:t>
            </w:r>
          </w:p>
        </w:tc>
        <w:tc>
          <w:tcPr>
            <w:tcW w:w="1480" w:type="dxa"/>
            <w:vAlign w:val="bottom"/>
            <w:gridSpan w:val="3"/>
            <w:shd w:val="clear" w:color="auto" w:fill="CCFFC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13,458,244</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12,425,377</w:t>
            </w:r>
          </w:p>
        </w:tc>
        <w:tc>
          <w:tcPr>
            <w:tcW w:w="136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10,975,936</w:t>
            </w:r>
          </w:p>
        </w:tc>
        <w:tc>
          <w:tcPr>
            <w:tcW w:w="14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28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 xml:space="preserve">Operational risk-weighted assets </w:t>
            </w:r>
            <w:r>
              <w:rPr>
                <w:rFonts w:ascii="Times New Roman" w:cs="Times New Roman" w:eastAsia="Times New Roman" w:hAnsi="Times New Roman"/>
                <w:sz w:val="20"/>
                <w:szCs w:val="20"/>
                <w:color w:val="auto"/>
                <w:vertAlign w:val="superscript"/>
              </w:rPr>
              <w:t>(6)</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477,043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470,747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1330" w:right="239" w:bottom="1440" w:gutter="0" w:footer="0" w:header="0"/>
        </w:sect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r>
    </w:p>
    <w:p>
      <w:pPr>
        <w:spacing w:after="0" w:line="185" w:lineRule="auto"/>
        <w:rPr>
          <w:sz w:val="20"/>
          <w:szCs w:val="20"/>
          <w:color w:val="auto"/>
        </w:rPr>
      </w:pPr>
      <w:r>
        <w:rPr>
          <w:rFonts w:ascii="Times New Roman" w:cs="Times New Roman" w:eastAsia="Times New Roman" w:hAnsi="Times New Roman"/>
          <w:sz w:val="14"/>
          <w:szCs w:val="14"/>
          <w:color w:val="auto"/>
        </w:rPr>
        <w:t xml:space="preserve">Market risk capital requirement </w:t>
      </w:r>
      <w:r>
        <w:rPr>
          <w:rFonts w:ascii="Times New Roman" w:cs="Times New Roman" w:eastAsia="Times New Roman" w:hAnsi="Times New Roman"/>
          <w:sz w:val="19"/>
          <w:szCs w:val="19"/>
          <w:color w:val="auto"/>
          <w:vertAlign w:val="superscript"/>
        </w:rPr>
        <w:t>(5)</w:t>
      </w:r>
    </w:p>
    <w:p>
      <w:pPr>
        <w:spacing w:after="0"/>
        <w:rPr>
          <w:sz w:val="20"/>
          <w:szCs w:val="20"/>
          <w:color w:val="auto"/>
        </w:rPr>
      </w:pPr>
      <w:r>
        <w:rPr>
          <w:rFonts w:ascii="Times New Roman" w:cs="Times New Roman" w:eastAsia="Times New Roman" w:hAnsi="Times New Roman"/>
          <w:sz w:val="14"/>
          <w:szCs w:val="14"/>
          <w:color w:val="auto"/>
        </w:rPr>
        <w:t>Credit risk capital requirement</w:t>
      </w:r>
    </w:p>
    <w:p>
      <w:pPr>
        <w:spacing w:after="0" w:line="199" w:lineRule="auto"/>
        <w:rPr>
          <w:sz w:val="20"/>
          <w:szCs w:val="20"/>
          <w:color w:val="auto"/>
        </w:rPr>
      </w:pPr>
      <w:r>
        <w:rPr>
          <w:rFonts w:ascii="Times New Roman" w:cs="Times New Roman" w:eastAsia="Times New Roman" w:hAnsi="Times New Roman"/>
          <w:sz w:val="14"/>
          <w:szCs w:val="14"/>
          <w:color w:val="auto"/>
        </w:rPr>
        <w:t xml:space="preserve">Operational risk capital requirement </w:t>
      </w:r>
      <w:r>
        <w:rPr>
          <w:rFonts w:ascii="Times New Roman" w:cs="Times New Roman" w:eastAsia="Times New Roman" w:hAnsi="Times New Roman"/>
          <w:sz w:val="20"/>
          <w:szCs w:val="20"/>
          <w:color w:val="auto"/>
          <w:vertAlign w:val="superscript"/>
        </w:rPr>
        <w:t>(6)</w:t>
      </w:r>
    </w:p>
    <w:p>
      <w:pPr>
        <w:spacing w:after="0"/>
        <w:rPr>
          <w:sz w:val="20"/>
          <w:szCs w:val="20"/>
          <w:color w:val="auto"/>
        </w:rPr>
      </w:pPr>
      <w:r>
        <w:rPr>
          <w:rFonts w:ascii="Times New Roman" w:cs="Times New Roman" w:eastAsia="Times New Roman" w:hAnsi="Times New Roman"/>
          <w:sz w:val="14"/>
          <w:szCs w:val="14"/>
          <w:b w:val="1"/>
          <w:bCs w:val="1"/>
          <w:color w:val="auto"/>
        </w:rPr>
        <w:t>Capital ratios</w:t>
      </w:r>
    </w:p>
    <w:p>
      <w:pPr>
        <w:spacing w:after="0" w:line="199" w:lineRule="auto"/>
        <w:rPr>
          <w:sz w:val="20"/>
          <w:szCs w:val="20"/>
          <w:color w:val="auto"/>
        </w:rPr>
      </w:pPr>
      <w:r>
        <w:rPr>
          <w:rFonts w:ascii="Times New Roman" w:cs="Times New Roman" w:eastAsia="Times New Roman" w:hAnsi="Times New Roman"/>
          <w:sz w:val="14"/>
          <w:szCs w:val="14"/>
          <w:color w:val="auto"/>
        </w:rPr>
        <w:t xml:space="preserve">BIS ratio </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4"/>
          <w:szCs w:val="14"/>
          <w:color w:val="auto"/>
        </w:rPr>
        <w:t xml:space="preserve"> (legal minimum = 9.5% since July 2009)</w:t>
      </w:r>
    </w:p>
    <w:p>
      <w:pPr>
        <w:spacing w:after="0"/>
        <w:rPr>
          <w:sz w:val="20"/>
          <w:szCs w:val="20"/>
          <w:color w:val="auto"/>
        </w:rPr>
      </w:pPr>
      <w:r>
        <w:rPr>
          <w:rFonts w:ascii="Times New Roman" w:cs="Times New Roman" w:eastAsia="Times New Roman" w:hAnsi="Times New Roman"/>
          <w:sz w:val="14"/>
          <w:szCs w:val="14"/>
          <w:color w:val="auto"/>
        </w:rPr>
        <w:t>Risk-weighted assets / Regulatory Capital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49,335</w:t>
            </w:r>
          </w:p>
        </w:tc>
        <w:tc>
          <w:tcPr>
            <w:tcW w:w="240" w:type="dxa"/>
            <w:vAlign w:val="bottom"/>
          </w:tcPr>
          <w:p>
            <w:pPr>
              <w:spacing w:after="0"/>
              <w:rPr>
                <w:sz w:val="13"/>
                <w:szCs w:val="13"/>
                <w:color w:val="auto"/>
              </w:rPr>
            </w:pPr>
          </w:p>
        </w:tc>
        <w:tc>
          <w:tcPr>
            <w:tcW w:w="13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64,860</w:t>
            </w:r>
          </w:p>
        </w:tc>
        <w:tc>
          <w:tcPr>
            <w:tcW w:w="13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71,200</w:t>
            </w:r>
          </w:p>
        </w:tc>
        <w:tc>
          <w:tcPr>
            <w:tcW w:w="140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-23.9%</w:t>
            </w:r>
          </w:p>
        </w:tc>
        <w:tc>
          <w:tcPr>
            <w:tcW w:w="126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-30.7%</w:t>
            </w:r>
          </w:p>
        </w:tc>
      </w:tr>
      <w:tr>
        <w:trPr>
          <w:trHeight w:val="176"/>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1,278,533</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1,180,411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998,810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71"/>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45,319</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44,721</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r>
      <w:tr>
        <w:trPr>
          <w:trHeight w:val="27"/>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331"/>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11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-556895</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-334010</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-111125</wp:posOffset>
            </wp:positionV>
            <wp:extent cx="7246620" cy="111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720"/>
            <w:col w:w="6760"/>
          </w:cols>
          <w:pgMar w:left="240" w:top="1330" w:right="239" w:bottom="1440" w:gutter="0" w:footer="0" w:header="0"/>
          <w:type w:val="continuous"/>
        </w:sectPr>
      </w:pPr>
    </w:p>
    <w:p>
      <w:pPr>
        <w:ind w:left="260" w:hanging="252"/>
        <w:spacing w:after="0"/>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Until June 2009, loan loss reserves up to 1% of gross loans.  Since July 2009, up to 1.25% of total risk-weighted assets.</w:t>
      </w:r>
    </w:p>
    <w:p>
      <w:pPr>
        <w:spacing w:after="0" w:line="9" w:lineRule="exact"/>
        <w:rPr>
          <w:rFonts w:ascii="Times New Roman" w:cs="Times New Roman" w:eastAsia="Times New Roman" w:hAnsi="Times New Roman"/>
          <w:sz w:val="18"/>
          <w:szCs w:val="18"/>
          <w:i w:val="1"/>
          <w:iCs w:val="1"/>
          <w:color w:val="auto"/>
        </w:rPr>
      </w:pPr>
    </w:p>
    <w:p>
      <w:pPr>
        <w:ind w:right="120" w:firstLine="8"/>
        <w:spacing w:after="0" w:line="250" w:lineRule="auto"/>
        <w:tabs>
          <w:tab w:leader="none" w:pos="2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Tier 1 = Capital + Reserves + Accumulated earnings with capitalization agreement + Unrealized profit in subsidiaries - Goodwill - (0.5 x Inverstment in Subsidiaries)</w:t>
      </w:r>
    </w:p>
    <w:p>
      <w:pPr>
        <w:ind w:right="70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Perpetual subordinated debt (maximum amount that can be included is 17.65% of Capital + Reserves + Accumulated earnings with capitalization agreement</w:t>
      </w: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Unrealized gains - Goodwill.</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Tier 2 = Subordinated debt + Loan loss reserves - (0.5 x Investment in subsidiaries)</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Tier 3 = Subordinated debt covering market risk only. Tier 3 exists since 1Q10.</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Since July 2009, it includes capital requirement to cover price and rate risk.</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as of July 2009.</w:t>
      </w:r>
    </w:p>
    <w:p>
      <w:pPr>
        <w:spacing w:after="0" w:line="9" w:lineRule="exact"/>
        <w:rPr>
          <w:rFonts w:ascii="Times New Roman" w:cs="Times New Roman" w:eastAsia="Times New Roman" w:hAnsi="Times New Roman"/>
          <w:sz w:val="18"/>
          <w:szCs w:val="18"/>
          <w:i w:val="1"/>
          <w:iCs w:val="1"/>
          <w:color w:val="auto"/>
        </w:rPr>
      </w:pPr>
    </w:p>
    <w:p>
      <w:pPr>
        <w:ind w:right="180" w:firstLine="8"/>
        <w:spacing w:after="0" w:line="261" w:lineRule="auto"/>
        <w:tabs>
          <w:tab w:leader="none" w:pos="2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Until June 2009, Risk-weighted assets = Credit risk-weighted assets + Capital requirement to cover market risk * 11. Since July 2009, Risk-weighted assets = Credit risk-weighted assets * 0.96 + Capital requirement to cover market risk * 10.5 + Capital requirement to cover operational risk * 10.5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capital totaled US$ 1,969 million at the end of 2Q10, which is similar to the amount reported last quarter. This result was due primarily to 8.3% growth in provisions (due to loan expansion), which was neutralized by the increase in subsidiary investment accounts (due to higher retained earnings at the subsidiary level, mainly Edyficar and Credifondo).</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of risk-weighted assets grew 6.4% QoQ due to an increase in risk-weighted assets for credit risk (+8.3% QoQ). The latter was due to an increase in gross loans (+6.4% QoQ). On the other hand, risk-weighted assets for market risk fell 23.9% QoQ due to a decrease in foreign currency positions in comparison to the level registered at the end of 1Q10 (dividend payments in dollars were made in May to Credicorp shareholders). Risk-weighted assets for operating risk were similar to those reported at the end of 1Q10.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important to mention that although BCP’s BIS ratio of 13.6% is significantly higher than the minimum regulatory of 9.5% (which was increased to 9.8% in July), BCP has decided to increase its internal shadow ratio from 11.5% to 12.5% by the end of 2011, in anticipation of the expected changes in regulatory framework (Basel II-III). Hence, BCP will require strengthening its regulatory capital in approximately US$ 200 million during 2011, in addition to the already planned capital strengthening.</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0" w:right="2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III. Banco de Crédito de Bolivia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2Q10, BCP Bolivia reported net income of US$ 3.3 million, which represents a contraction of 40.9% QoQ and 51.4% YoY. The YoY decrease is due primarily to a drop in the margins (-8.9%), higher expenses for net loan provisions (542.8%) and lower non financial income (-9.1%). This scenario reflects a trend that began last year when the regulating entity instituted changes in its control policies and limits.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margins’ contraction is due primarily to excess liquidity and the lower loan interest rates applied to new operations and to re-negotiated old operations.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non-financial income can be explained by two factors: i) the ASFI has eliminated some fees and ii) fees for FX transactions have fallen given that a fixed exchange rate has been in place since 2008, which has reduced buy/sell spreads.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YoY decrease thus reflects a contraction in financial (-38.0% YoY) and non-financial income (-8.3% YoY).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BCP Bolivia’s conservative risk management strategy allowed it to achieve a PDL ratio of 1.5% in 2Q10 (2.0 % in 1Q10 and 2.2% in 2Q09) and a coverage ratio of 284.6%. These indicators show that BCP Bolivia is one of the best performers in the Bolivian banking system, which reported ratios of 2.7% and 187.4% respectively at the end of 2Q10. BCP Bolivia’s ROAE was 20.0%, which is lower than the 25.0% of 1Q10 and the 31.0% of 2Q10, but above the 17.4% of the System as of June 2010.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loans at the end of June 2010 amounted to US$ 525.6 million. This is 7.3% higher than the US$ 489.7 million registered in March 2010 and is 11.8% above June 2009’s figure. Loan growth in the second quarter was attributable to the fact that in light of good macroeconomic indicators and lower past-due levels, the bank adopted a more aggressive loan strategy.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Wholesale banking performed particularly well this quarter, reporting growth of 10.8% QoQ and 17.0% YoY. This increase has had a significant impact on the bank’s results given that wholesale banking business represents 43.5% of the total portfolio (Retail Banking represents 53.0% and Special Accounts 2.5%) and generates the largest interest income.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Retail Banking, the product that demonstrated the highest QoQ growth was the commercial sector (21.9%), which accounts for 7.8% of the retail banking portfolio. The Home Mortgage segment, which represents 47.0% of the portfolio, grew 4.5% QoQ and 10.2% YoY.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terms of liabilities, BCP Bolivia’s deposits fell 10.0% QoQ and 8.7% YoY. The QoQ decrease is due primarily to the 12.6% and 11.4% drop in saving accounts and demand deposits respectively while the YoY variation is attributable to a 14.2% decline in savings accounts. The contraction in deposits is largely explained by an unfunded and malicious rumor spread out in June regarding a potential bankruptcy situation of BCP Bolivia, which caused the withdrawal of retail deposits from clients that were mis- or uninformed. The bank managed to control the situation relatively quickly and received the immediate support from the ASFI and the Association of Private Banks of Bolivia (ASOBAN), entities that publicly confirmed the bank’s solid financial and economic conditions.</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Shareholders’ Equity increased 4.5% QoQ but fell 2.1% YoY due to lower quarterly earnings.</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BCP Bolivia has an 11.2% market share in current loans (not including rescheduled loans) and holds 11.4% of total deposits. This situates the bank in third place in the Bolivian banking system in terms of loans and fourth with regard to deposits.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BCP Bolivia is positioning itself as a neighborly, innovative and agile bank that offers the best quality service in the market (fast, agile and good post-sale service). The bank continues to strengthen its on-line services and is encouraging customers to use these channels.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Banco de Crédito de Bolivia</w:t>
            </w: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7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millions</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60" w:type="dxa"/>
            <w:vAlign w:val="bottom"/>
          </w:tcPr>
          <w:p>
            <w:pPr>
              <w:spacing w:after="0"/>
              <w:rPr>
                <w:sz w:val="18"/>
                <w:szCs w:val="18"/>
                <w:color w:val="auto"/>
              </w:rPr>
            </w:pPr>
          </w:p>
        </w:tc>
        <w:tc>
          <w:tcPr>
            <w:tcW w:w="17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QoQ</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provisions for loan losses</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542.8%</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 financial income</w:t>
            </w:r>
          </w:p>
        </w:tc>
        <w:tc>
          <w:tcPr>
            <w:tcW w:w="144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44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377.0%</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5.6</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6.8</w:t>
            </w: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-40.9%</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489.7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Past due loans</w:t>
            </w:r>
          </w:p>
        </w:tc>
        <w:tc>
          <w:tcPr>
            <w:tcW w:w="144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provisions for possible loan losses</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4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267.0</w:t>
            </w: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249.6</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372.5</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965.8</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1,062.2</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1059.8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44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833.8</w:t>
            </w: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926.6</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912.8</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shareholders' equity</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85.7</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91.5</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PDL / total loans</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3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Coverage ratio of PDLs</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284.6%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249.0%</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ROAE*</w:t>
            </w:r>
          </w:p>
        </w:tc>
        <w:tc>
          <w:tcPr>
            <w:tcW w:w="144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13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Branches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Agentes</w:t>
            </w: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Employees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1,416</w:t>
            </w:r>
          </w:p>
        </w:tc>
        <w:tc>
          <w:tcPr>
            <w:tcW w:w="13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1,518</w:t>
            </w: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 ROAE: (Acumulated net income / average monthly equity (from dec. to date))/(number of months)*12</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IV. Financiera Edyficar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Edyficar</w:t>
            </w:r>
          </w:p>
        </w:tc>
        <w:tc>
          <w:tcPr>
            <w:tcW w:w="100" w:type="dxa"/>
            <w:vAlign w:val="bottom"/>
          </w:tcPr>
          <w:p>
            <w:pPr>
              <w:spacing w:after="0"/>
              <w:rPr>
                <w:sz w:val="24"/>
                <w:szCs w:val="24"/>
                <w:color w:val="auto"/>
              </w:rPr>
            </w:pPr>
          </w:p>
        </w:tc>
        <w:tc>
          <w:tcPr>
            <w:tcW w:w="15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Year to date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US$ 000</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2Q10</w:t>
            </w:r>
          </w:p>
        </w:tc>
        <w:tc>
          <w:tcPr>
            <w:tcW w:w="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1Q10</w:t>
            </w:r>
          </w:p>
        </w:tc>
        <w:tc>
          <w:tcPr>
            <w:tcW w:w="26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Jun 10</w:t>
            </w:r>
          </w:p>
        </w:tc>
        <w:tc>
          <w:tcPr>
            <w:tcW w:w="26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17,301</w:t>
            </w:r>
          </w:p>
        </w:tc>
        <w:tc>
          <w:tcPr>
            <w:tcW w:w="13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36,800</w:t>
            </w:r>
          </w:p>
        </w:tc>
        <w:tc>
          <w:tcPr>
            <w:tcW w:w="1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provisions for loan loasses</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(1,238)</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 financial income</w:t>
            </w:r>
          </w:p>
        </w:tc>
        <w:tc>
          <w:tcPr>
            <w:tcW w:w="138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(10,996)</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(20,759)</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38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7,482</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7,768</w:t>
            </w:r>
          </w:p>
        </w:tc>
        <w:tc>
          <w:tcPr>
            <w:tcW w:w="13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15,251</w:t>
            </w:r>
          </w:p>
        </w:tc>
        <w:tc>
          <w:tcPr>
            <w:tcW w:w="12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results</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1,449</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Worker's profit sharing and income taxes</w:t>
            </w:r>
          </w:p>
        </w:tc>
        <w:tc>
          <w:tcPr>
            <w:tcW w:w="138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(2,740)</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(2,228)</w:t>
            </w:r>
          </w:p>
        </w:tc>
        <w:tc>
          <w:tcPr>
            <w:tcW w:w="1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(4,968)</w:t>
            </w:r>
          </w:p>
        </w:tc>
        <w:tc>
          <w:tcPr>
            <w:tcW w:w="1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6,990</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12,113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Contribution to BCP</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5,112</w:t>
            </w:r>
          </w:p>
        </w:tc>
        <w:tc>
          <w:tcPr>
            <w:tcW w:w="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6,975</w:t>
            </w:r>
          </w:p>
        </w:tc>
        <w:tc>
          <w:tcPr>
            <w:tcW w:w="13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12,087</w:t>
            </w:r>
          </w:p>
        </w:tc>
        <w:tc>
          <w:tcPr>
            <w:tcW w:w="12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276,515</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294,802</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361,827</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333,269</w:t>
            </w:r>
          </w:p>
        </w:tc>
        <w:tc>
          <w:tcPr>
            <w:tcW w:w="13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361,827</w:t>
            </w:r>
          </w:p>
        </w:tc>
        <w:tc>
          <w:tcPr>
            <w:tcW w:w="1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74,708</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73,765</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74,708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42,415</w:t>
            </w:r>
          </w:p>
        </w:tc>
        <w:tc>
          <w:tcPr>
            <w:tcW w:w="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37,299</w:t>
            </w:r>
          </w:p>
        </w:tc>
        <w:tc>
          <w:tcPr>
            <w:tcW w:w="13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42,415</w:t>
            </w:r>
          </w:p>
        </w:tc>
        <w:tc>
          <w:tcPr>
            <w:tcW w:w="1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PDL/Total loans</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 Net shareholders' equity includes US$ 50.7 millions of goodwill.</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Edyficar reported net income of US$ 5.1 million in 2Q10 below the US$ 6.9 million registered in 1Q10. Nevertheless, the decrease is explained by higher provisions for loan losses added to an increase in remunerations expenses and lower translation gain, all of what hides the significant business expansion and improvement of NII, as we will explain further 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important to highlight the increase of 12.7% QoQ in NII. This figure includes a significant expansion of 8.1% QoQ in interest income on loans, which in fact reflects really strong business expansion. The higher 12.7% increase in Net Interest Income, is actually explained by the loss generated in 1Q10 by a forward purchase of Soles given the strong appreciation of the local currency experienced in 1Q. This was originally registered within the expenses lines increasing these, and re-classified to reduce the income in this 2Q, distorting somewhat the trends of each line in the chart.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NII registered such strong growth, the loan loss provisions (LLPs) reported in 2Q10 reached US$ 1.4 million, which attenuated the aforementioned increase leading to 4.7% growth in NII net of LLPs. It is noteworthy though, that Edyficar shows no provisions in the 1Q10 since strong adjustments made in 4Q09 to this line were expected to be enough for the loan portfolio expansion of 2010. However, since Edyficar surpassed loan growth expectations and the methodology to calculate provisions was changed, higher loan loss provisions were required. In this sense, the subsidiary registered a strong 6.6% increase QoQ in quarter-end balances of gross loans, and an increase of 5.5% QoQ when measured in average daily balances.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though NII net of LLP still went up QoQ, net income was further affected by:</w:t>
      </w:r>
    </w:p>
    <w:p>
      <w:pPr>
        <w:spacing w:after="0" w:line="252" w:lineRule="exact"/>
        <w:rPr>
          <w:sz w:val="20"/>
          <w:szCs w:val="20"/>
          <w:color w:val="auto"/>
        </w:rPr>
      </w:pPr>
    </w:p>
    <w:p>
      <w:pPr>
        <w:ind w:left="340" w:hanging="8"/>
        <w:spacing w:after="0" w:line="282" w:lineRule="auto"/>
        <w:tabs>
          <w:tab w:leader="none" w:pos="5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remunerations expenses (+12% QoQ) mainly as a result of loan expansion and the costs associated to Edyficar School (Class N° 13) where future analysts are trained; and</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8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translation gain, which decreased from US$ 1.5 million in 1Q10 to US$ 0.4 million in 2Q10, which is explained by the 0.5% appreciation of Nuevo Sol in contrast to the 1.7% registered in 1Q10.</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On the PDL side Edyficar registered a ratio of 4.5% in 2Q10, slightly above the 4.3% of 1Q10, evolution related to seasonal factors and that should be reverted towards 4Q10 when Edyficar expects to reach a level even lower than that one of 1Q10.</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Finally, it is clear that Edyficar contribution to BCP is increasing its significance, which is also reflected in its ROAE that reached a level of 22.6% in 2Q10 and of 26.2% for 1H10.</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 Atlantic Security Holding Corporation</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Quarterly Results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ASHC</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millions</w:t>
            </w: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80" w:type="dxa"/>
            <w:vAlign w:val="bottom"/>
          </w:tcPr>
          <w:p>
            <w:pPr>
              <w:spacing w:after="0"/>
              <w:rPr>
                <w:sz w:val="18"/>
                <w:szCs w:val="18"/>
                <w:color w:val="auto"/>
              </w:rPr>
            </w:pPr>
          </w:p>
        </w:tc>
        <w:tc>
          <w:tcPr>
            <w:tcW w:w="17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25.0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15507.2%</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Fees and commissions from services</w:t>
            </w:r>
          </w:p>
        </w:tc>
        <w:tc>
          <w:tcPr>
            <w:tcW w:w="148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foreign exchange transactions</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earnings</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214.7%</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Provisions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gains from sale of securities</w:t>
            </w:r>
          </w:p>
        </w:tc>
        <w:tc>
          <w:tcPr>
            <w:tcW w:w="148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25.3</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181.2%</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income/share</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181.2%</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 to Credicorp</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3.4</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138.0</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714.6</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752.9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666.5</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1,388.6</w:t>
            </w:r>
          </w:p>
        </w:tc>
        <w:tc>
          <w:tcPr>
            <w:tcW w:w="140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1,427.3</w:t>
            </w: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1,558.9</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1,121.7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1,122.9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1,329.8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178.4</w:t>
            </w:r>
          </w:p>
        </w:tc>
        <w:tc>
          <w:tcPr>
            <w:tcW w:w="14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4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PDL / Total loans</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Coverge ratio</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BIS ratio</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22.01%</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17.94%</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68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Atlantic Security Holding Corporation (ASHC) reported net earnings of US$ 37.7 million for the second quarter of 2010, including dividends corresponding to its shares in Credicorp Ltd. (BAP treasury shares”). After excluding dividend income from Credicorp in the consolidation process, the contribution to Credicorp totaled US$ 13.1 million, which reflects an 2.5% decrease QoQ but an almost threefold contribution from last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income in 2Q10, also excluding dividend income from Credicorp Ltd, totaled US$10.7 million, which reflects a decrease of 4.2% QoQ and growth of 38.3% YoY. The QoQ variation is primarily attributable to (i) a decrease in interest income due to a reduction in the volume of interest earning assets and (ii) a contraction in fee income from client trading.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 income totaled US$2.0 million, which represents an 8.7% decrease QoQ and an 81.5% increase YoY.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for trading and custody services continues to be negatively affected by the tax reform in effect in Peru since 2010, which, among other changes, imposed a tax on capital earnings on sales of instruments from Peruvian issuers regardless of their country of residence. As such, the tax is applicable to both local and foreign investors. This has caused a considerable decrease in our clients’ demand for this type of transaction, which has eaten away at the fees that Atlantic Security Bank normally charges for this service. Nevertheless, the acquisition of new business and the favorable market valuation of funds under management continue to generate steady levels of placement and management fees.</w:t>
      </w:r>
    </w:p>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terms of FX transactions, a loss of US$106 thousand was reported in 2Q10, which represents a 47.6% decrease QoQ and growth of 156.7% YoY. This loss is attributable to uncovered positions in assets denominated in Euros, which began to devaluate significantly against the dollar at the beginning of 2010.</w:t>
      </w:r>
    </w:p>
    <w:p>
      <w:pPr>
        <w:spacing w:after="0" w:line="337"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4" w:right="239" w:bottom="1440" w:gutter="0" w:footer="0" w:header="0"/>
        </w:sectPr>
      </w:pPr>
    </w:p>
    <w:bookmarkStart w:id="24" w:name="page25"/>
    <w:bookmarkEnd w:id="2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492125</wp:posOffset>
            </wp:positionV>
            <wp:extent cx="1191895" cy="368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to the previous quarter, no additional reserves were set aside for the investment portfolio, which reflects significant improvement in comparison to the same quarter last year. This scenario is attributable to a recovery in the international markets, which helped reverse unrealized losses and generated unrealized earnings for US$ 25.4 million in 2Q10 that were reported as equity.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portfolio maintains a high concentration of investment grade instruments (73%), which is evidence of the portfolio’s good risk profile. This structure is in accordance with the company’s investment strategy, which is directed at obtaining yields from interest income as opposed to making profits through trading.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on securities sales totaled US$3.7 million, which reflects a slight increase of 3.8% QoQ and exceeds the US$ 0.3 million reported in 2Q09.</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efficiency ratio improved, falling from 11.9% in 1Q10 to 4.7% this 2Q10. This indicator fell due to dividend income this quarter. If we exclude dividends, the adjusted indicator is situated at 12.9%. This represents a 1% increase QoQ but reflects a decline in terms of YoY figures.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fell 2.7% QoQ and 10.9% YoY. This drop in assets is partially attributable to the fact that clients have migrated from deposits to managed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reflects clients’ renewed confidence in the markets and resurging interest in ASCH’s higher yield products.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grew 17.4% QoQ and 36.2% YoY. The QoQ variation is due primarily to dividend income from Credicorp Ltd while the YoY increase is attributable to higher quarterly earnings and the valuation of securities available for sale. This led to an unrealized loss of US$12MM in 2Q09, which was reversed this quarter to report an unrealized gain of US$ 25.4MM.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Earning Assets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evident in the table below, interest earning assets totaled US$ 1,285 million. This represents an 11% decline QoQ and a 3.1% contraction YoY. A significant portion of this decline in assets volume is attributable to the fact that clients have migrated from deposits to the structured products and investment funds that ASHC offers and manages.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YoY variation in Cash and Banks and Loans is due to the fact that until 4Q09, ASCH held US$ 400 million in deposits that backed local loans at BCP, which were transferred to ASHC’s loan portfolio in 2010 due to some uncertain tax treatment applicable to these deposits.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fell 5.7% QoQ as investments were liquidated to take advantage of market opportunities to generate high yields. In comparison to the same period last year, investments increased 8.2% due to price recovery.</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millions</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2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Due from banks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3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-11.0%</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-13335</wp:posOffset>
            </wp:positionV>
            <wp:extent cx="42024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Excludes investments in equities and mutual funds.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the instruments are investment grade (73%),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148590</wp:posOffset>
            </wp:positionV>
            <wp:extent cx="1826895" cy="1560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156083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131445</wp:posOffset>
            </wp:positionV>
            <wp:extent cx="1964055" cy="1595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6405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Administration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of deposits and AuM include investments such as proprietary mutual funds and financial instruments in custody. The total of these funds increased 4.7% QoQ and 22.4% YoY.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AuM increased 6.9% QoQ and 52% YoY, reflecting an upward trend. This is attributable to direct investments in international markets stemming from market recovery and the subsequent increase in the value of these investments and AuM.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fell a mere 0.1% QoQ but reflected a 15.7% contraction YoY, attributable to the fact that clients have migrated from deposits to structured products, funds and direct investments that ASHC manages and holds in custody.</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2395855</wp:posOffset>
            </wp:positionH>
            <wp:positionV relativeFrom="page">
              <wp:posOffset>337820</wp:posOffset>
            </wp:positionV>
            <wp:extent cx="5008245" cy="2195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0824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VI. Prima AFP</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2Q10, PRIMA’s commercial activity evolved in a stable environment. Efforts continued to focus primarily on capturing new affiliations and less emphasis was placed on obtaining transfers, which is in line with the company’s commercial policy. The number of affiliations in 2Q10 increased QoQ while transfers declined.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the second quarter and for the first time in its history, PRIMA ranked first in market share for funds under management in the system (30.9%). The company also maintained a solid position in terms of contribution collections, reporting a 31.8% share of total collections, and performed well in terms of voluntary contributions’ management, where it achieved a 42.4%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Quarterly main indicators and market share</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PRIMA</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System</w:t>
            </w: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Part.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PRIMA</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Part.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2Q10</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2Q10</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2Q10 %</w:t>
            </w:r>
          </w:p>
        </w:tc>
        <w:tc>
          <w:tcPr>
            <w:tcW w:w="28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1Q10</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1Q10</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1Q10 %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Affiliates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1,098,912</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4,540,512</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1,088,878</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4,500,531</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New affiliations (1)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47,785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48,522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Funds under management US$ million</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24,807</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25,086</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Collections US$ million (1)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Voluntary contributions US$ million (2)</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RAM US$ million (3)</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407</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1,270</w:t>
            </w:r>
          </w:p>
        </w:tc>
        <w:tc>
          <w:tcPr>
            <w:tcW w:w="11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32.0%</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388</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1,213</w:t>
            </w:r>
          </w:p>
        </w:tc>
        <w:tc>
          <w:tcPr>
            <w:tcW w:w="106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Source: Superintendencia de Banca, Seguros y AFP</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Accumulated to the Quarter.</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Available data as of May 2010.</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PRIMA AFP estimates: average of aggregated income during the last 4 months excluding special collections and voluntary contribution fees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Results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level of new affiliations and transfers in 2Q10, similar to previous periods, was around 15,000 (approximately 12,500 new affiliations and 2,500 transfers). This result is in line with PRIMA’s commercial policy and represents a 4% increase in new affiliations and a 13% decrease in the volume of transfers with regard to last quarter. It is important to mention that the net result for affiliations and transfers (entry and exit) generated a positive balance in terms of the company’s RAM and surpassed 1Q10’s result. The RAM level continued to reflect an upward trend, which helped PRIMA maintain market leadership with a 32.0% share in the system.</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the second quarter, PRIMA’s funds under management totaled US$ 7,657 million. This represents 30.9% of total funds under management in the system and places PRIMA in first position with regard to market share for this indicator.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markets were volatile during the second quarter, which was reflected in the slight reduction in the managed portfolio at the end of June. Profitability at twelve months (June 2010 / June 2009) was 5.41%, 15.97% and 20.29% for funds 1, 2 and 3 respectively. These results indicate that PRIMA is ranked first in terms of funds 2 and 3 and third with regard to fund 1.</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Pension funds are long term in nature. With this in mind, if we look at the 4-year period from June 2006 to June 2010, PRIMA’s accumulated profitability was 36.44%, 64.74% and 98.68% for funds 1, 2 and 3, respectively. In this scenario, PRIMA is ranked first in terms of profitability in funds 2 and 3 and second place in fund 1. If we extend analysis to include the time period ranging from the system’s start-up (16 years ago) to the end of June 2010, the private pension system achieved an average nominal annualized yield of 13.14% and 8.49% in real terms.</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The following table shows the structure of PRIMA’s managed portfolio at the end of the second quarter:</w:t>
      </w: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Funds under management as of June 2010</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800" w:type="dxa"/>
            <w:vAlign w:val="bottom"/>
          </w:tcPr>
          <w:p>
            <w:pPr>
              <w:spacing w:after="0"/>
              <w:rPr>
                <w:sz w:val="21"/>
                <w:szCs w:val="21"/>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Jun 10</w:t>
            </w:r>
          </w:p>
        </w:tc>
        <w:tc>
          <w:tcPr>
            <w:tcW w:w="140" w:type="dxa"/>
            <w:vAlign w:val="bottom"/>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Share %</w:t>
            </w:r>
          </w:p>
        </w:tc>
        <w:tc>
          <w:tcPr>
            <w:tcW w:w="240" w:type="dxa"/>
            <w:vAlign w:val="bottom"/>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 10</w:t>
            </w:r>
          </w:p>
        </w:tc>
        <w:tc>
          <w:tcPr>
            <w:tcW w:w="140" w:type="dxa"/>
            <w:vAlign w:val="bottom"/>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Share %</w:t>
            </w:r>
          </w:p>
        </w:tc>
        <w:tc>
          <w:tcPr>
            <w:tcW w:w="160" w:type="dxa"/>
            <w:vAlign w:val="bottom"/>
          </w:tcPr>
          <w:p>
            <w:pPr>
              <w:spacing w:after="0"/>
              <w:rPr>
                <w:sz w:val="21"/>
                <w:szCs w:val="21"/>
                <w:color w:val="auto"/>
              </w:rPr>
            </w:pPr>
          </w:p>
        </w:tc>
      </w:tr>
      <w:tr>
        <w:trPr>
          <w:trHeight w:val="216"/>
        </w:trPr>
        <w:tc>
          <w:tcPr>
            <w:tcW w:w="2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Fund 1</w:t>
            </w:r>
          </w:p>
        </w:tc>
        <w:tc>
          <w:tcPr>
            <w:tcW w:w="10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658</w:t>
            </w:r>
          </w:p>
        </w:tc>
        <w:tc>
          <w:tcPr>
            <w:tcW w:w="11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10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631</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Fund 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5,122</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5,154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2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Fund 3</w:t>
            </w:r>
          </w:p>
        </w:tc>
        <w:tc>
          <w:tcPr>
            <w:tcW w:w="10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1,877</w:t>
            </w:r>
          </w:p>
        </w:tc>
        <w:tc>
          <w:tcPr>
            <w:tcW w:w="11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1,938</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28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US$ millon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7,657</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-10795</wp:posOffset>
            </wp:positionV>
            <wp:extent cx="2615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i w:val="1"/>
          <w:iCs w:val="1"/>
          <w:color w:val="auto"/>
        </w:rPr>
        <w:t>Source: Superintendencia de Banca, Seguros y AFP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2Q10, PRIMA’s financial results were favorable. Net earnings totaled US$ 5.9 million, which represents a slight decrease QoQ (-1.5%) but indicates a significant increase YoY (+25.6%). The YoY increase in net income is attributable to higher RAM and an appreciation in local currency as well as stable operating costs. After deducting higher provisions for taxes and employee profit sharing, PRIMA made a solid contribution to Credicorp’s earnings.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2Q10, PRIMA obtained fee income of US$ 20.9 million, which represents 2.2% growth QoQ. This increase is attributable to adequate commercial management and Peruvian economic growth. The latter led to an increase in our affiliates’ salaries, which is the basis for calculating PRIMA’s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YoY income increased 11.8% due primarily to RAM’s upward trend and an appreciation in the exchange rate of nearly 6%.</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terms of RAM volume, which reflects the aggregate salaries of system affiliates and represents the basis for each company’s income, PRIMA has maintained a solid market share. At the end of June 2010, PRIMA’s RAM base totaled US$ 407 million.</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Estimate of base to calculate earnings - US$ million</w:t>
            </w: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PRIMA - jun 2010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System - jun 2010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 %</w:t>
            </w:r>
          </w:p>
        </w:tc>
      </w:tr>
      <w:tr>
        <w:trPr>
          <w:trHeight w:val="27"/>
        </w:trPr>
        <w:tc>
          <w:tcPr>
            <w:tcW w:w="29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(1)</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10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fees</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RAM base (2)</w:t>
            </w:r>
          </w:p>
        </w:tc>
        <w:tc>
          <w:tcPr>
            <w:tcW w:w="16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407</w:t>
            </w:r>
          </w:p>
        </w:tc>
        <w:tc>
          <w:tcPr>
            <w:tcW w:w="154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1,270</w:t>
            </w:r>
          </w:p>
        </w:tc>
        <w:tc>
          <w:tcPr>
            <w:tcW w:w="10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r>
    </w:tbl>
    <w:p>
      <w:pPr>
        <w:spacing w:after="0" w:line="196" w:lineRule="exact"/>
        <w:rPr>
          <w:sz w:val="20"/>
          <w:szCs w:val="20"/>
          <w:color w:val="auto"/>
        </w:rPr>
      </w:pPr>
    </w:p>
    <w:p>
      <w:pPr>
        <w:ind w:left="1560" w:hanging="255"/>
        <w:spacing w:after="0"/>
        <w:tabs>
          <w:tab w:leader="none" w:pos="15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income from the last four months, excluding special collections and voluntary contribution fees</w:t>
      </w:r>
    </w:p>
    <w:p>
      <w:pPr>
        <w:spacing w:after="0" w:line="29" w:lineRule="exact"/>
        <w:rPr>
          <w:rFonts w:ascii="Times New Roman" w:cs="Times New Roman" w:eastAsia="Times New Roman" w:hAnsi="Times New Roman"/>
          <w:sz w:val="18"/>
          <w:szCs w:val="18"/>
          <w:i w:val="1"/>
          <w:iCs w:val="1"/>
          <w:color w:val="auto"/>
        </w:rPr>
      </w:pPr>
    </w:p>
    <w:p>
      <w:pPr>
        <w:ind w:left="1560" w:hanging="255"/>
        <w:spacing w:after="0"/>
        <w:tabs>
          <w:tab w:leader="none" w:pos="15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RAM: average of aggregated income during the last 4 months excluding special collections and voluntary contributions fees.</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Expenditures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2Q10, PRIMA’s operating expenses showed a minor QoQ increase of 1.8% due to higher expenses for third party services (SBS contribution, AFP Association projects and investment management) and a slight increase in personnel expenses. This effect was partially offset by a decrease in advertising and marketing costs.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Operating income increased 3.2% QoQ, which is attributable to a higher income that offset the slight increase in operating expenses. The calculation of operating income includes charges for amortization of intangible assets (due to a merger with Unión Vida) as well as depreciation and amortization of fixed assets, equipment and systems. The total expense for depreciation and amortization was US$ 2.5 million.</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2Q10, provisions for income tax and employee profit sharing totaled US$ 2.8 million. A slight appreciation in local currency generated a translation result and deferred liability adjustment of –US$ 75 thousand, which are basically attributable to the exchange rate’s effect on income tax provisions. In this scenario, PRIMA’s net income in the second quarter was US$ 5.9 million, which is slightly lower than 1Q10’s result.</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June 2010, PRIMA reported an asset level of US$ 242.4 million. Shareholders’ equity during this period was US$ 155.9 million and liabilities totaled US$ 86.4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contains a summary of PRIMA’s financial results: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Main financial indicators (US$ thousand) (1)</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2Q09</w:t>
            </w:r>
          </w:p>
        </w:tc>
        <w:tc>
          <w:tcPr>
            <w:tcW w:w="17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from commissions</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20,943</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20,494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18,728</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Administrative and sale expenses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(8,984)</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(2,465)</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(2,467)</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(2,347)</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9,494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9,201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8,151</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 and expenses, net</w:t>
            </w:r>
          </w:p>
        </w:tc>
        <w:tc>
          <w:tcPr>
            <w:tcW w:w="10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(629)</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profit sharing and income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before translation results</w:t>
            </w: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5,932</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6,166</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4,969</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Translations results and deferred liabilities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5,857</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5,946</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4,664</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242,363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245,996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229,305</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86,417</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94,573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86,481</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shareholders' equity</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155,945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151,423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142,824</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-10795</wp:posOffset>
            </wp:positionV>
            <wp:extent cx="418528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8528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(1) IFRS</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VII. El Pacífico Peruano Suiza and Subsidiaries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Grupo Pacifico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Pacifico Group, comprised of property and casualty insurance (PPS), life insurance (PV) and health insurance (EPS), reported earnings of US$ 16.5 million in 2Q10, which largely exceeded the US$ 12.1 million registered in 1Q10 and the US$12.7 million reported in 2Q09.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underwriting result in 2Q10 was US$ 27.8 million, which represents a 61.7% increase QoQ and an increase of 86.4% in 2Q09’s result of US$ 14.9MM.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fact, 2Q10’s result was among Pacifico Group’s best in several quarters. Favorable evolution in 2Q10 is attributable primarily to:</w:t>
      </w:r>
    </w:p>
    <w:p>
      <w:pPr>
        <w:spacing w:after="0" w:line="234" w:lineRule="exact"/>
        <w:rPr>
          <w:sz w:val="20"/>
          <w:szCs w:val="20"/>
          <w:color w:val="auto"/>
        </w:rPr>
      </w:pPr>
    </w:p>
    <w:p>
      <w:pPr>
        <w:ind w:left="560" w:hanging="228"/>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excellent underwriting result in general insurance (PPS), which is to a large extent attributable to higher net earned premiums in 2Q10 of  US$</w:t>
      </w:r>
    </w:p>
    <w:p>
      <w:pPr>
        <w:spacing w:after="0" w:line="27"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51.1MM as compared to US$ 45.1MM in 1Q10. Though higher premium volumes were supported by the seasonality of the insurance business with regard to policy renewal in the second quarter of the year, the significantly better performance is strongly related to improvements in risk selection and underwriting of business lines with high retained premiums. This helped reduce the loss ratio from 54.4% in 1Q10 to 49.0% in 2Q10; and</w:t>
      </w:r>
    </w:p>
    <w:p>
      <w:pPr>
        <w:spacing w:after="0" w:line="21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contribution made by the life insurance business (PV), which reported an improved 60.4% loss ratio in 2Q10 vs.75.4% in 1Q10.</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income remained stable in 2Q10 and reached US$20.9 million while the figures for 1Q10 and 2Q09 were US$ 21.6 million and US$ 20.1 million,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expenses totaled US$ 25.1 million, which represents an almost 10% increase with regard to the US$ 22.9 million reported in 1Q10. This is primarily due to: i) higher uncollectible reinsurance reserves in general insurance (PPS), ii) increase in payroll expenses for new hires in property and casualty insurance (PPS) as well as for iii) an increase in third party services in the life insurance business (PV).</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improved performance led to the stronger contribution to Credicorp of US$ 12.5 million in 2Q10, largely exceeding the US$ 8.5 million obtained in 1Q10 and the earnings of US$ 9.7 million reported in 2Q09.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Thousand</w:t>
            </w: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Net earnings</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Adjustment for</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 Contribution</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PPS</w:t>
            </w:r>
          </w:p>
        </w:tc>
        <w:tc>
          <w:tcPr>
            <w:tcW w:w="17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PV*</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w w:val="96"/>
              </w:rPr>
              <w:t>EPS</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PGA*</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consolidation</w:t>
            </w:r>
          </w:p>
        </w:tc>
        <w:tc>
          <w:tcPr>
            <w:tcW w:w="8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2Q09</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5,730</w:t>
            </w:r>
          </w:p>
        </w:tc>
        <w:tc>
          <w:tcPr>
            <w:tcW w:w="132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5,347</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1,684</w:t>
            </w:r>
          </w:p>
        </w:tc>
        <w:tc>
          <w:tcPr>
            <w:tcW w:w="136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12,748</w:t>
            </w:r>
          </w:p>
        </w:tc>
        <w:tc>
          <w:tcPr>
            <w:tcW w:w="13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(3,063)</w:t>
            </w:r>
          </w:p>
        </w:tc>
        <w:tc>
          <w:tcPr>
            <w:tcW w:w="16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3Q09</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9,530</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4,263</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13,277</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(3,189)</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4Q09</w:t>
            </w:r>
          </w:p>
        </w:tc>
        <w:tc>
          <w:tcPr>
            <w:tcW w:w="1460" w:type="dxa"/>
            <w:vAlign w:val="bottom"/>
            <w:gridSpan w:val="3"/>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9,093</w:t>
            </w:r>
          </w:p>
        </w:tc>
        <w:tc>
          <w:tcPr>
            <w:tcW w:w="132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6,495</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783</w:t>
            </w:r>
          </w:p>
        </w:tc>
        <w:tc>
          <w:tcPr>
            <w:tcW w:w="136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16,283</w:t>
            </w:r>
          </w:p>
        </w:tc>
        <w:tc>
          <w:tcPr>
            <w:tcW w:w="13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(3,911)</w:t>
            </w:r>
          </w:p>
        </w:tc>
        <w:tc>
          <w:tcPr>
            <w:tcW w:w="16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1Q10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5,774</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4,810</w:t>
            </w: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12,095</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(3,603)</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2Q10</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8,095</w:t>
            </w:r>
          </w:p>
        </w:tc>
        <w:tc>
          <w:tcPr>
            <w:tcW w:w="132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6,502</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1,872</w:t>
            </w:r>
          </w:p>
        </w:tc>
        <w:tc>
          <w:tcPr>
            <w:tcW w:w="136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16,475</w:t>
            </w:r>
          </w:p>
        </w:tc>
        <w:tc>
          <w:tcPr>
            <w:tcW w:w="13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(3,957)</w:t>
            </w:r>
          </w:p>
        </w:tc>
        <w:tc>
          <w:tcPr>
            <w:tcW w:w="16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12,518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QoQ</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YoY</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right="8940" w:firstLine="8"/>
        <w:spacing w:after="0" w:line="552" w:lineRule="auto"/>
        <w:tabs>
          <w:tab w:leader="none" w:pos="132"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After deducting minority interest Pacífico General Insurance (PPS)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earnings in 2Q10 of US$ 8.1 million reflect a close to 40% increase in bottom line contribution vs. US$ 5.8 million in 1Q10 and US$ 5.7 million in 2Q09. This result makes the P&amp;C business one of the top performers within the group.</w:t>
      </w:r>
    </w:p>
    <w:p>
      <w:pPr>
        <w:spacing w:after="0" w:line="337"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31" w:name="page32"/>
    <w:bookmarkEnd w:id="31"/>
    <w:p>
      <w:pPr>
        <w:jc w:val="both"/>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The improvement in performance is attributable primarily to: i) higher net earned premiums of US$ 51.1MM in 2Q10, which represents an increase of 13.4% with regard to 1Q10 and ii) higher financial income of US$ 6.4 million in 2Q10 in comparison to US$ 5.9 million in 1Q10, which is principally due to dividend payments.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strong increase in earnings in 2Q10 vs. 2Q09 reflects the better underwriting results, which are attributable to 10.7% YoY growth in net earned premiums and a significant YoY drop in the loss ratio from 64.0% to 49.0% in 2Q10.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Technical Results by Business Unit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2Q10</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1Q10</w:t>
            </w: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2Q09</w:t>
            </w: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3"/>
          </w:tcPr>
          <w:p>
            <w:pPr>
              <w:jc w:val="center"/>
              <w:ind w:right="340"/>
              <w:spacing w:after="0" w:line="106"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w w:val="99"/>
              </w:rPr>
              <w:t>Private</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3"/>
          </w:tcPr>
          <w:p>
            <w:pPr>
              <w:jc w:val="center"/>
              <w:ind w:right="320"/>
              <w:spacing w:after="0" w:line="106" w:lineRule="exact"/>
              <w:rPr>
                <w:sz w:val="20"/>
                <w:szCs w:val="20"/>
                <w:color w:val="auto"/>
              </w:rPr>
            </w:pPr>
            <w:r>
              <w:rPr>
                <w:rFonts w:ascii="Times New Roman" w:cs="Times New Roman" w:eastAsia="Times New Roman" w:hAnsi="Times New Roman"/>
                <w:sz w:val="11"/>
                <w:szCs w:val="11"/>
                <w:b w:val="1"/>
                <w:bCs w:val="1"/>
                <w:color w:val="auto"/>
                <w:w w:val="99"/>
              </w:rPr>
              <w:t>Private</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1"/>
              </w:rPr>
              <w:t>Vehicle</w:t>
            </w:r>
          </w:p>
        </w:tc>
        <w:tc>
          <w:tcPr>
            <w:tcW w:w="90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Health</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82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Vehicle</w:t>
            </w: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Health</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78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Vehicle</w:t>
            </w:r>
          </w:p>
        </w:tc>
        <w:tc>
          <w:tcPr>
            <w:tcW w:w="8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9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US$ millon</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Insurance</w:t>
            </w: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P&amp;C</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PPS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Insurance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P&amp;C</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PPS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Insurance</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P&amp;C</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2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premiums earned</w:t>
            </w: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ind w:left="400"/>
              <w:spacing w:after="0" w:line="122" w:lineRule="exact"/>
              <w:rPr>
                <w:sz w:val="20"/>
                <w:szCs w:val="20"/>
                <w:color w:val="auto"/>
              </w:rPr>
            </w:pPr>
            <w:r>
              <w:rPr>
                <w:rFonts w:ascii="Times New Roman" w:cs="Times New Roman" w:eastAsia="Times New Roman" w:hAnsi="Times New Roman"/>
                <w:sz w:val="11"/>
                <w:szCs w:val="11"/>
                <w:color w:val="auto"/>
                <w:w w:val="82"/>
              </w:rPr>
              <w:t>20.6</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w:t>
            </w:r>
          </w:p>
        </w:tc>
        <w:tc>
          <w:tcPr>
            <w:tcW w:w="2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15.3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w w:val="93"/>
              </w:rPr>
              <w:t>51.1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19.8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14.7</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10.6</w:t>
            </w:r>
          </w:p>
        </w:tc>
        <w:tc>
          <w:tcPr>
            <w:tcW w:w="760" w:type="dxa"/>
            <w:vAlign w:val="bottom"/>
            <w:gridSpan w:val="2"/>
            <w:shd w:val="clear" w:color="auto" w:fill="CCFFCC"/>
          </w:tcPr>
          <w:p>
            <w:pPr>
              <w:ind w:left="360"/>
              <w:spacing w:after="0" w:line="122" w:lineRule="exact"/>
              <w:rPr>
                <w:sz w:val="20"/>
                <w:szCs w:val="20"/>
                <w:color w:val="auto"/>
              </w:rPr>
            </w:pPr>
            <w:r>
              <w:rPr>
                <w:rFonts w:ascii="Times New Roman" w:cs="Times New Roman" w:eastAsia="Times New Roman" w:hAnsi="Times New Roman"/>
                <w:sz w:val="11"/>
                <w:szCs w:val="11"/>
                <w:b w:val="1"/>
                <w:bCs w:val="1"/>
                <w:color w:val="auto"/>
              </w:rPr>
              <w:t>45.1</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19.2</w:t>
            </w:r>
          </w:p>
        </w:tc>
        <w:tc>
          <w:tcPr>
            <w:tcW w:w="760" w:type="dxa"/>
            <w:vAlign w:val="bottom"/>
            <w:gridSpan w:val="2"/>
            <w:shd w:val="clear" w:color="auto" w:fill="CCFFC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13.8</w:t>
            </w:r>
          </w:p>
        </w:tc>
        <w:tc>
          <w:tcPr>
            <w:tcW w:w="660" w:type="dxa"/>
            <w:vAlign w:val="bottom"/>
            <w:gridSpan w:val="2"/>
            <w:shd w:val="clear" w:color="auto" w:fill="CCFFCC"/>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46.2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Underwriting results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240" w:type="dxa"/>
            <w:vAlign w:val="bottom"/>
          </w:tcPr>
          <w:p>
            <w:pPr>
              <w:spacing w:after="0"/>
              <w:rPr>
                <w:sz w:val="10"/>
                <w:szCs w:val="10"/>
                <w:color w:val="auto"/>
              </w:rPr>
            </w:pPr>
          </w:p>
        </w:tc>
        <w:tc>
          <w:tcPr>
            <w:tcW w:w="58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w w:val="93"/>
              </w:rPr>
              <w:t>18.1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76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b w:val="1"/>
                <w:bCs w:val="1"/>
                <w:color w:val="auto"/>
              </w:rPr>
              <w:t>13.0</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7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2"/>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Loss ratio</w:t>
            </w:r>
          </w:p>
        </w:tc>
        <w:tc>
          <w:tcPr>
            <w:tcW w:w="840" w:type="dxa"/>
            <w:vAlign w:val="bottom"/>
            <w:gridSpan w:val="2"/>
            <w:shd w:val="clear" w:color="auto" w:fill="CCFFCC"/>
          </w:tcPr>
          <w:p>
            <w:pPr>
              <w:ind w:left="400"/>
              <w:spacing w:after="0" w:line="122" w:lineRule="exact"/>
              <w:rPr>
                <w:sz w:val="20"/>
                <w:szCs w:val="20"/>
                <w:color w:val="auto"/>
              </w:rPr>
            </w:pPr>
            <w:r>
              <w:rPr>
                <w:rFonts w:ascii="Times New Roman" w:cs="Times New Roman" w:eastAsia="Times New Roman" w:hAnsi="Times New Roman"/>
                <w:sz w:val="11"/>
                <w:szCs w:val="11"/>
                <w:color w:val="auto"/>
              </w:rPr>
              <w:t>41.8%</w:t>
            </w:r>
          </w:p>
        </w:tc>
        <w:tc>
          <w:tcPr>
            <w:tcW w:w="82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66.2%</w:t>
            </w:r>
          </w:p>
        </w:tc>
        <w:tc>
          <w:tcPr>
            <w:tcW w:w="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41.8%</w:t>
            </w:r>
          </w:p>
        </w:tc>
        <w:tc>
          <w:tcPr>
            <w:tcW w:w="820" w:type="dxa"/>
            <w:vAlign w:val="bottom"/>
            <w:gridSpan w:val="2"/>
            <w:shd w:val="clear" w:color="auto" w:fill="CCFFCC"/>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rPr>
              <w:t>49.0%</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39.6%</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68.4%</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62.6%</w:t>
            </w:r>
          </w:p>
        </w:tc>
        <w:tc>
          <w:tcPr>
            <w:tcW w:w="760" w:type="dxa"/>
            <w:vAlign w:val="bottom"/>
            <w:gridSpan w:val="2"/>
            <w:shd w:val="clear" w:color="auto" w:fill="CCFFCC"/>
          </w:tcPr>
          <w:p>
            <w:pPr>
              <w:ind w:left="360"/>
              <w:spacing w:after="0" w:line="122" w:lineRule="exact"/>
              <w:rPr>
                <w:sz w:val="20"/>
                <w:szCs w:val="20"/>
                <w:color w:val="auto"/>
              </w:rPr>
            </w:pPr>
            <w:r>
              <w:rPr>
                <w:rFonts w:ascii="Times New Roman" w:cs="Times New Roman" w:eastAsia="Times New Roman" w:hAnsi="Times New Roman"/>
                <w:sz w:val="11"/>
                <w:szCs w:val="11"/>
                <w:b w:val="1"/>
                <w:bCs w:val="1"/>
                <w:color w:val="auto"/>
              </w:rPr>
              <w:t>54.4%</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60.5%</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73.5%</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660" w:type="dxa"/>
            <w:vAlign w:val="bottom"/>
            <w:gridSpan w:val="2"/>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64.0%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4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Underwriting results / net earned</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premiums</w:t>
            </w: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37.5%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25.5%</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42.6%</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35.5%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38.0%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23.2%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19.4%</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28.8%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19.1%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25.4%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hanging="319"/>
        <w:spacing w:after="0" w:line="237"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underwriting result for Vehicle Insurance was US$ 7.7 million in 2Q10, which represents an increase over 1Q10’s result of US$ 7.5 million. The underwriting result for the Auto line was US$ 6.4 million in 2Q10, which fell with regard to 1Q10 due primarily to an increase in unearned premium reserves and higher claims, which increased from 38.5% in 1Q10 to 43.9% in 2Q10. Nevertheless, it is important to mention that even with this increase the ratio stands below the market average, which is approximately 47%</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right="20"/>
        <w:spacing w:after="0" w:line="259" w:lineRule="auto"/>
        <w:rPr>
          <w:sz w:val="20"/>
          <w:szCs w:val="20"/>
          <w:color w:val="auto"/>
        </w:rPr>
      </w:pPr>
      <w:r>
        <w:rPr>
          <w:rFonts w:ascii="Times New Roman" w:cs="Times New Roman" w:eastAsia="Times New Roman" w:hAnsi="Times New Roman"/>
          <w:sz w:val="18"/>
          <w:szCs w:val="18"/>
          <w:color w:val="auto"/>
        </w:rPr>
        <w:t>The Statutory Auto Liability Insurance line (SOAT) achieved an underwriting result of US$ 1.3 million in 2Q10, which tops the earnings of US$ 0.8 million reported in 1Q10. This result is attributable to a reduction in reserves for old claims and better risk selection.</w:t>
      </w:r>
    </w:p>
    <w:p>
      <w:pPr>
        <w:spacing w:after="0" w:line="209" w:lineRule="exact"/>
        <w:rPr>
          <w:sz w:val="20"/>
          <w:szCs w:val="20"/>
          <w:color w:val="auto"/>
        </w:rPr>
      </w:pPr>
    </w:p>
    <w:p>
      <w:pPr>
        <w:jc w:val="both"/>
        <w:ind w:left="660" w:hanging="31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2Q10, the Private Health Insurance business obtained an underwriting result of US$ 3.9 million, which tops the US$ 3.4 million reported in 1Q10 and the US$ 2.5 million obtained in 2Q09. The net earned premium grew 3.2% QoQ and 16% YoY. Results have improved significantly due to a drop in the loss ratio from 73.5% in 2Q09 to 66.2% in 2Q10 thanks to more efficient claims management, premium adjustments and new conditions for certain products.</w:t>
      </w:r>
    </w:p>
    <w:p>
      <w:pPr>
        <w:spacing w:after="0" w:line="207" w:lineRule="exact"/>
        <w:rPr>
          <w:sz w:val="20"/>
          <w:szCs w:val="20"/>
          <w:color w:val="auto"/>
        </w:rPr>
      </w:pPr>
    </w:p>
    <w:p>
      <w:pPr>
        <w:jc w:val="both"/>
        <w:ind w:left="66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General Insurance (P&amp;C) demonstrated an increase of US$ 4.8 million in net earned premiums with regard to 1Q10 and an increase of US$ 1.5 million with regard to 2Q09. This is due primarily to higher policy renewal levels, which occur seasonally during the second quarter of the year.</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overall loss ratio fell from 62.6% in 1Q10 to 41.8% in 2Q10. The measures taken to continuously improve the portfolio are reflected in these results, which were particularly strong in the Cargo and Inland Marine, Hull and Ocean Marine and Fidelity Bond lines. The loss ratios for all these lines dropped with regard to 2Q09.</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aforementioned factors allowed the company to improve its underwriting result in 2Q10 by US$ 4.4 million QoQ and US$ 3.0 million YoY. This result is partially attributable to a better selection of risks and underwriting conditions in lines with high retained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21951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Average market claims rate in Cars(January – February 2010)</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2" w:name="page33"/>
    <w:bookmarkEnd w:id="3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PPS’s net financial income was US$ 6.4 million in 2Q10 compared with US$ 5.9 million in 1Q10. This is due to dividend payments this quarter as well as higher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summary, with regard to 2Q10’s result in the general insurance segment (PPS), it is important to mention the following: (i) income for net insurance premiums totaled US$ 51.1 million while (ii) total operating costs were US$ 13.3 million. These results led to (iii) a quarterly combined ratio of 90.6%, 49.0 points of which correspond to losses and loss adjustment expenses, 15.5 to business acquisition costs and 26.1 to general or administrative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Pacífico Vida (PV)</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Pacifico Vida was also a strong performer this Q as net earnings before minority interest of US$ 10.5 million in 2T10, surpassed 1Q10’s earnings of US$ 7.8 million by 35%.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underwriting result in 2Q10 of US$ 4.3 million starkly contrasts with the US$ 0.8 million loss in 1Q10. This is primarily attributable to: i) a lower loss ratio during the second quarter of the year, which fell from 75.4% in 1Q10 to 60.4% in 2Q10 and ii) an increase in the net earned premium which reached US$ 39.8 million in 2Q10 compared to US$ 36.3 million in 1Q10 and US$ 29.4 million in 2Q09.</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Pacífico Vida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MM</w:t>
      </w:r>
      <w:r>
        <w:rPr>
          <w:rFonts w:ascii="Times New Roman" w:cs="Times New Roman" w:eastAsia="Times New Roman" w:hAnsi="Times New Roman"/>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9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Premiums</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million</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2Q10</w:t>
            </w:r>
          </w:p>
        </w:tc>
        <w:tc>
          <w:tcPr>
            <w:tcW w:w="2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1Q10</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00" w:type="dxa"/>
            <w:vAlign w:val="bottom"/>
          </w:tcPr>
          <w:p>
            <w:pPr>
              <w:spacing w:after="0"/>
              <w:rPr>
                <w:sz w:val="18"/>
                <w:szCs w:val="18"/>
                <w:color w:val="auto"/>
              </w:rPr>
            </w:pPr>
          </w:p>
        </w:tc>
        <w:tc>
          <w:tcPr>
            <w:tcW w:w="15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QoQ</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Individual life</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340" w:type="dxa"/>
            <w:vAlign w:val="bottom"/>
            <w:tcBorders>
              <w:left w:val="single" w:sz="8" w:color="CCFFCC"/>
            </w:tcBorders>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1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 annuity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Disability &amp; survivor (Pension)</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tcBorders>
              <w:left w:val="single" w:sz="8" w:color="CCFFCC"/>
            </w:tcBorders>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2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life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Personal accidents</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tcBorders>
              <w:left w:val="single" w:sz="8" w:color="CCFFCC"/>
            </w:tcBorders>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life (Law)</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Group life</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tcBorders>
              <w:left w:val="single" w:sz="8" w:color="CCFFCC"/>
            </w:tcBorders>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1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2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workers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340" w:type="dxa"/>
            <w:vAlign w:val="bottom"/>
            <w:tcBorders>
              <w:left w:val="single" w:sz="8" w:color="CCFFCC"/>
            </w:tcBorders>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57.6</w:t>
            </w:r>
          </w:p>
        </w:tc>
        <w:tc>
          <w:tcPr>
            <w:tcW w:w="11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left w:val="single" w:sz="8" w:color="CCFFCC"/>
            </w:tcBorders>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QoQ decrease in net financial income, which dropped from US$15.6 million in 1Q10 to US$ 14.4 million in 2Q10, can be explained by a decrease in the valuation of securities available for sale and investment reclassification.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expenses in 2Q10 increased 9.3% with regard to 1Q10, reporting a total of US$ 8.8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deducting the US$ 4.0 million in minority interest corresponding to Alico, net earnings in the life segment in 2Q10 totaled US$ 6.5 million.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Pacífico Salud (EPS)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2Q10, EPS also showed improved performance with the net earned premium reaching US$ 34.8 million, which represents 1.7% growth QoQ and 14.8% YoY. Furthermore, its underwriting result reflects a better risk and cost management and reached US$ 5.3 million, up 6% from 1Q10 results and up 60% from 2Q09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net earnings in 2Q10 reached US$ 1.9 million to top the US$ 1.7 million obtained last quarter and in 2Q09.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is the case with PPS’s Private Health Insurance business, it is important to point at the significant reduction in the loss ratio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was 78.4% in 2Q10 vs.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82.8% in 2Q09.</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results indicate that the company has maintained its upward trend by efficiently managing claims and engaging in on-going negotiation with service providers.</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VIII. Economic Outlook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Activity</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Estimates indicate that the economy grew at an annual rate of 9.5% in 2Q10, which is the highest figure recorded in the last six quarters. In non-seasonal terms, recovery grew at a slightly slower pace in 1Q10 although it continues to outpace the levels registered during the crisis.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Economic dynamism is not homogenous across sectors. For example, it is estimated that the construction, manufacturing and commercial sectors grew 20.9%, 15.1% and 11.1% respectively in 2Q10 while fishing and mining fell 24.0% and 2.9%. The rapid recovery of the manufacturing sector, driven by the non-primary manufacturing, continues to stand out. This indicates a strong rebound following the contraction reported in 2009 (-8.5%) and demonstrates that the sector has experienced rapid growth this year (9.9% in 1Q10 and 16.5% in 2Q10).</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spending type, estimates indicate that growth in 2Q10 was driven by private investment and consumption, which reflects the same scenario observed in the years prior to the international crisis in 2009. The rest of the GDP components by spending type behaved positively. This was especially true of public investment, whose dynamism this year is attributable to the bi-annual fiscal stimulation plan. The outlook for year-end indicates that private spending components will continue to be dynamic and private investment, which is expected to grow despite the electoral cycle, will be particularly strong. This cycle, although particularly extensive in 2010 (presidential, regional and local), does not appear to pose a significant political risk. Private investment is expected to grow, primarily in the mining and hydrocarbons sector; construction will increase its rate of expansion due primarily to activity in the country’s interior, where housing construction is expected to grow along with the penetration of commercial chains.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Construction is expected to remain the most dynamic productive sector, driven by public infrastructure and private projects. Despite current international turbulence, the local economy’s rebound, coupled with that of our commercial partners (well diversified), is expected to help manufacturing reverse the decline experienced in 2009. If this holds true, the economy should grow 7.0% and forecasts may be revised upward.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Gross Domestic Product and Internal Demand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160020</wp:posOffset>
            </wp:positionV>
            <wp:extent cx="2101215" cy="14833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0121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External Sector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2Q10, the trade balance maintained a surplus despite the turbulence that continues to affect the main international markets. Nevertheless, this surplus is declining because of lower dynamism in exports and more importantly due to the strong rebound in exports. In this scenario, exports in 2Q10 are thought to have grown 16.5% (vs. 45.1% in the first quarter). This growth was led by traditional products given that non-traditional goods, which are generally sold to countries affected by the international recession, have not performed well this quarter.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imports (33.1% vs. 19.4% in the previous quarter) is due to dynamism in investment and local industrial consumption. Inputs and capital goods imports are thought to have increased significantly. Growth in the former was driven by an increase in fuel prices but higher import volumes, particularly for iron and steel, also had an impact.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2010, to the extent that global recovery consolidates and continues to be driven by dynamic emerging markets, it is estimated that the trade balance will close the year with a surplus of US$ 6.7 billion and international reserves of US$ 36.6 billion, which exceeds the figure reported at the end of 2009 (US$ 30.9 billion).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Exports and Imports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160020</wp:posOffset>
            </wp:positionV>
            <wp:extent cx="2221230" cy="1595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123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Prices and Exchange Rate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2Q10, annual inflation was 1.6%. Although this reflects a clear upward trend, it is still within the Central Bank’s target range (2% +/- 1pp) and is in line with expectations. Underlying inflation interrupted the declining trajectory evident since last year and has remained steady at 1.8% since March. The evolution observed in inflation is consistent with an outlook in which wholesale prices, specifically for imported products, reported a modest increase in May in particular due to a recovery in internal demand and the increase in fuel prices.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Accumulated inflation in the first six months of the year was 5.8%, which is primarily attributable to the dynamic in play during the first few months of the year. In this scenario, analysts forecast that inflation will be 2.5%, which is within the target range. Given the high growth forecasted for the Peruvian economy, this expectation would imply that the monetary authority will be very committed to ensuring its inflation target.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dollar is weakening due to an increase in investors’ appetite for risk, it is important to emphasize that the downward pressures on the exchange rate have continued both in Peru and in emerging countries in general. The exchange rate at the end of 2Q10 was S/. 2.839, which means that there was virtually no change in last quarter’s figure. Thus far this year, the downward pressures on the exchange rate have accentuated but the active intervention of the Central Bank, which was meant to regulate appreciation, has cushioned the impact. Information from July, for example, shows a record daily purchase amount of US$ 493 MM.</w:t>
      </w:r>
    </w:p>
    <w:p>
      <w:pPr>
        <w:spacing w:after="0" w:line="360"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337820</wp:posOffset>
            </wp:positionV>
            <wp:extent cx="6123305" cy="26155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2330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Sector</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regard to tax revenues, the average rate for the past twelve months was positive for the first time in eleven months due to a significant recovery in Income Tax and General Sales Tax collection, which have grown 27% and 16.1% respectively this year. This result led to a surplus of S/. 229 MM in May 2010, which exceeds the deficit reported in May 2009 by S/. 287 MM.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terms of government levels, the surplus was associated with the national government (S/. 117 MM) and state companies (S/. 279 MM), which reflects the national government’s transfer to the Fund to Stabilize the Prices of Fuels Derived from Petroleum (FEPC).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scenario, the fiscal deficit for this year is expected to be 1.6% of GDP. To accomplish this, the government has approved a set of measures to ensure that general government spending does not exceed last year’s figure by more than 8%. This goal was adopted only for 2010.</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Tax Income of the Central Government</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(Annualized in Nuevos Soles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160020</wp:posOffset>
            </wp:positionV>
            <wp:extent cx="2126615" cy="1758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2661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3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Banking System</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BCR, private sector loans grew 2.3% with regard to the previous month, which exceeds the monthly average recorded thus far this year (1.3%). Although this growth reflects the effect of American Leasing’s conversion to financial company status, it is primarily attributable to strong growth in business loans (+2.9% May vs. April), particularly for companies involved in foreign trade (+10.6% with regard to April). In annual terms, loans grew 15% in May, consolidating an upward trend that has been visible since January. Within this growth, the following stand out: business loans (+13.1%), consumer loans (+11.9%) and micro businesses (+24.4%). The deposit balance in May reflected annual growth of 15.1%, consolidating an upward trend that began in October 2009. The most significant growth over the last twelve months has been visible in time deposits (34%) and savings deposits (19.4%). Term deposits also experienced growth, however modest (0.5%). Loan dollarization in the banking system remained at 48.6%; regardless, significant progress has been made given that one year ago, this indicator reached 55.6%.On the other hand, deposit dollarization in the Peruvian financial system (banks and smaller financial institutions) reached a 47.0% level from a 49.7% registered at the end of 2009.</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rates in soles have remained low despite the fact that BCR initiated a reference rate increase cycle and increased legal reserve requirements both in national as well as foreign currency. At the end of 2Q10, the TAMN was 19.11% (vs. 19.48% the previous quarter). Nevertheless, the increase in the reference rate has affected commercial and consumer loans in particular (through credit cards), which contrasts with the situation observed for mortgage and vehicle loans. The TAMEX closed at 8.03%, which is slightly lower than the figure reported in 1Q10 (8.04%). The TIPMN rose from 1.32% in 1Q10 to 1.41% in 2Q10, while the TIPMEX continued a downward trend and was situated at 0.73% (vs. 0.76% in 1Q10).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Main Financial Indicators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2008</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2009</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IQ</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IIQ</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IIIQ</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IVQ</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Year</w:t>
            </w:r>
          </w:p>
        </w:tc>
        <w:tc>
          <w:tcPr>
            <w:tcW w:w="240" w:type="dxa"/>
            <w:vAlign w:val="bottom"/>
          </w:tcPr>
          <w:p>
            <w:pPr>
              <w:spacing w:after="0"/>
              <w:rPr>
                <w:sz w:val="14"/>
                <w:szCs w:val="14"/>
                <w:color w:val="auto"/>
              </w:rPr>
            </w:pPr>
          </w:p>
        </w:tc>
        <w:tc>
          <w:tcPr>
            <w:tcW w:w="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IQ</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IIQ</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IIIQ</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IVQ</w:t>
            </w:r>
          </w:p>
        </w:tc>
        <w:tc>
          <w:tcPr>
            <w:tcW w:w="200" w:type="dxa"/>
            <w:vAlign w:val="bottom"/>
          </w:tcPr>
          <w:p>
            <w:pPr>
              <w:spacing w:after="0"/>
              <w:rPr>
                <w:sz w:val="14"/>
                <w:szCs w:val="14"/>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IQ</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GDP (US$ MM)</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30,273</w:t>
            </w: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34,744</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32,531</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30,096</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127,643</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27,914</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31,927</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32,010</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35,302</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127,153</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35,266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Real GDP (var. %)</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9.8</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0.9</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GDP per-capita (US$)</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4,331</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4,956</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4,612</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4,229</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4,532</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3,888</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4,407</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4,379</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4,786</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4,365</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Domestic demand (var. %)</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12.1</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-2.9</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Consumption (var. %)</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8.7</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2.4</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Private investment (var. %)</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31.9</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28.3</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-8.6</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CPI (annual change, %)</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6.7</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0.3</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rate, eop (S/. per US$)</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2.98</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3.14</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3.01</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2.88</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2.89</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Devaluation (annual change, %)</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2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4.7</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-8.0</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rate, average (S/. per US$)</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3.09</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2.92</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3.18</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2.96</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3.01</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Non-financial Public Sector (% of GDP)</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2.1</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-1.9</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4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Central Gonvernment current revenues (% of</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18.2</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15.9</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GPD)</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18.0</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19.5</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18.4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16.9</w:t>
            </w:r>
          </w:p>
        </w:tc>
        <w:tc>
          <w:tcPr>
            <w:tcW w:w="820" w:type="dxa"/>
            <w:vAlign w:val="bottom"/>
            <w:gridSpan w:val="2"/>
            <w:vMerge w:val="continue"/>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16.5</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15.2</w:t>
            </w:r>
          </w:p>
        </w:tc>
        <w:tc>
          <w:tcPr>
            <w:tcW w:w="780" w:type="dxa"/>
            <w:vAlign w:val="bottom"/>
            <w:gridSpan w:val="2"/>
            <w:vMerge w:val="continue"/>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Tax Income (% of GDP)</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15.6</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13.8</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Non Tax Income (% of GDP)</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2.6</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2.1</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Current expenditures (% of GDP)</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12.4</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12.7</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Capital expenditures (% of GDPI)</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4.4</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6.1</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color w:val="auto"/>
              </w:rPr>
              <w:t>Trade Balance (US$ MM)</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1,505</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920</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838</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3,090</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513</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1,335</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1,838</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2,188</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5,873</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Exports (US$ MM)</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7,771</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8,470</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8,814</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6,474</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31,529</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5,396</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6,161</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7,169</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8,159</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26,885</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7,832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Imports (US$ MM)</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6,265</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7,550</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7,976</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6,648</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28,439</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4,883</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4,827</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5,330</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5,971</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21,011</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6,321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Account Balance (US$ MM)</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-969</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-1,720</w:t>
            </w:r>
          </w:p>
        </w:tc>
        <w:tc>
          <w:tcPr>
            <w:tcW w:w="2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-1,105</w:t>
            </w:r>
          </w:p>
        </w:tc>
        <w:tc>
          <w:tcPr>
            <w:tcW w:w="2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-929</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-4,723</w:t>
            </w: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264</w:t>
            </w: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267</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247</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FFCC"/>
          </w:tcPr>
          <w:p>
            <w:pPr>
              <w:ind w:left="160"/>
              <w:spacing w:after="0" w:line="135" w:lineRule="exact"/>
              <w:rPr>
                <w:sz w:val="20"/>
                <w:szCs w:val="20"/>
                <w:color w:val="auto"/>
              </w:rPr>
            </w:pPr>
            <w:r>
              <w:rPr>
                <w:rFonts w:ascii="Times New Roman" w:cs="Times New Roman" w:eastAsia="Times New Roman" w:hAnsi="Times New Roman"/>
                <w:sz w:val="13"/>
                <w:szCs w:val="13"/>
                <w:color w:val="auto"/>
              </w:rPr>
              <w:t>Current Account Balance (% of GDP)</w:t>
            </w: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2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820" w:type="dxa"/>
            <w:vAlign w:val="bottom"/>
            <w:gridSpan w:val="2"/>
            <w:shd w:val="clear" w:color="auto" w:fill="CCFFCC"/>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-3.7</w:t>
            </w:r>
          </w:p>
        </w:tc>
        <w:tc>
          <w:tcPr>
            <w:tcW w:w="8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760" w:type="dxa"/>
            <w:vAlign w:val="bottom"/>
            <w:gridSpan w:val="2"/>
            <w:shd w:val="clear" w:color="auto" w:fill="CCFFC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7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0.2</w:t>
            </w:r>
          </w:p>
        </w:tc>
        <w:tc>
          <w:tcPr>
            <w:tcW w:w="660" w:type="dxa"/>
            <w:vAlign w:val="bottom"/>
            <w:gridSpan w:val="2"/>
            <w:shd w:val="clear" w:color="auto" w:fill="CCFFC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Source: BCR, INEI, Estimated by BCP</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Company Description: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for Forward-Looking Statements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5"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CREDICORP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 10</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 09</w:t>
            </w: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YoY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 10</w:t>
            </w:r>
          </w:p>
        </w:tc>
        <w:tc>
          <w:tcPr>
            <w:tcW w:w="1120" w:type="dxa"/>
            <w:vAlign w:val="bottom"/>
            <w:gridSpan w:val="2"/>
            <w:vMerge w:val="continue"/>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QoQ</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25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due from banks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640"/>
              <w:spacing w:after="0" w:line="149" w:lineRule="exact"/>
              <w:rPr>
                <w:sz w:val="20"/>
                <w:szCs w:val="20"/>
                <w:color w:val="auto"/>
              </w:rPr>
            </w:pPr>
            <w:r>
              <w:rPr>
                <w:rFonts w:ascii="Times New Roman" w:cs="Times New Roman" w:eastAsia="Times New Roman" w:hAnsi="Times New Roman"/>
                <w:sz w:val="14"/>
                <w:szCs w:val="14"/>
                <w:color w:val="auto"/>
              </w:rPr>
              <w:t>Non-interest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859,446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959,387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730,266</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Interest bearing</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2,563,266</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2,508,872</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2,776,593</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Total cash and due from 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3,422,712</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3,468,259</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3,506,859</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Marketable securities,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60,037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109,326</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39,579</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-45.1%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12,697,597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11,922,859</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10,603,688</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12,481,727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11,707,108</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10,456,961</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640"/>
              <w:spacing w:after="0" w:line="149" w:lineRule="exact"/>
              <w:rPr>
                <w:sz w:val="20"/>
                <w:szCs w:val="20"/>
                <w:color w:val="auto"/>
              </w:rPr>
            </w:pPr>
            <w:r>
              <w:rPr>
                <w:rFonts w:ascii="Times New Roman" w:cs="Times New Roman" w:eastAsia="Times New Roman" w:hAnsi="Times New Roman"/>
                <w:sz w:val="14"/>
                <w:szCs w:val="14"/>
                <w:color w:val="auto"/>
              </w:rPr>
              <w:t>Past due</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215,871</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215,750</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146,727</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Less - net provisions for possible loan losses</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(387,078)</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(381,206)</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(283,051)</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Loans,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12,310,519</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11,541,653</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10,320,637</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securities available for sale</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5,889,725</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6,121,314</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4,910,272</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Reinsurance assets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150,364</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147,719</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186,983</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1.8%</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Premiums and other policyholder receivables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105,183</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98,527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107,336</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352,193</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347,185</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324,279</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1.4%</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Due from customers on acceptances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63,351</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78,795</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159,407</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-19.6%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assets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1,475,428</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1,568,695</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1,343,498</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23,829,513</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23,481,472</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20,898,850</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tcPr>
          <w:p>
            <w:pPr>
              <w:ind w:left="1080"/>
              <w:spacing w:after="0" w:line="161" w:lineRule="exact"/>
              <w:rPr>
                <w:sz w:val="20"/>
                <w:szCs w:val="20"/>
                <w:color w:val="auto"/>
              </w:rPr>
            </w:pPr>
            <w:r>
              <w:rPr>
                <w:rFonts w:ascii="Times New Roman" w:cs="Times New Roman" w:eastAsia="Times New Roman" w:hAnsi="Times New Roman"/>
                <w:sz w:val="14"/>
                <w:szCs w:val="14"/>
                <w:b w:val="1"/>
                <w:bCs w:val="1"/>
                <w:color w:val="auto"/>
              </w:rPr>
              <w:t>LIABILITIES AND NET SHAREHOLDERS</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b w:val="1"/>
                <w:bCs w:val="1"/>
                <w:color w:val="auto"/>
              </w:rPr>
              <w:t xml:space="preserve"> EQUITY</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Deposits and Obligations</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Non-interest bearing</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4,136,614</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3,820,384</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4,008,297</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640"/>
              <w:spacing w:after="0" w:line="149" w:lineRule="exact"/>
              <w:rPr>
                <w:sz w:val="20"/>
                <w:szCs w:val="20"/>
                <w:color w:val="auto"/>
              </w:rPr>
            </w:pPr>
            <w:r>
              <w:rPr>
                <w:rFonts w:ascii="Times New Roman" w:cs="Times New Roman" w:eastAsia="Times New Roman" w:hAnsi="Times New Roman"/>
                <w:sz w:val="14"/>
                <w:szCs w:val="14"/>
                <w:color w:val="auto"/>
              </w:rPr>
              <w:t>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11,120,428</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10,986,276</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9,699,742</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Total deposits and Obligations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15,257,042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14,806,660</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13,708,039</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Due to banks and correspondents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1,605,168</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1,491,207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852,776</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7.6%</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Acceptances outstanding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63,351</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78,795</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159,407</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-19.6%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Reserves for property and casualty claims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929,135</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916,970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889,326</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Reserve for unearned premiums</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150,045</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138,553</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140,962</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Reinsurance payable</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53,566</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33,999</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36,272</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57.6%</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Bonds and subordinated debt</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2,292,080</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2,346,061</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2,028,348</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liabilities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850,999</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1,203,198</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1,012,341</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-29.3%</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Minority interest</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195,061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181,477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138,619</w:t>
            </w:r>
          </w:p>
        </w:tc>
        <w:tc>
          <w:tcPr>
            <w:tcW w:w="116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21,396,447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21,196,920</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18,966,090</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0.9%</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stock</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471,912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471,912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471,912</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(74,712)</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(75,090)</w:t>
            </w:r>
          </w:p>
        </w:tc>
        <w:tc>
          <w:tcPr>
            <w:tcW w:w="1120" w:type="dxa"/>
            <w:vAlign w:val="bottom"/>
            <w:gridSpan w:val="2"/>
            <w:shd w:val="clear" w:color="auto" w:fill="CCFFC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(73,107)</w:t>
            </w: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surplus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119,637</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116,186</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140,693</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Reserves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1,385,098</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1,385,098</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1,053,494</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220,480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262,680</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92,057</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310,649</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123,765</w:t>
            </w:r>
          </w:p>
        </w:tc>
        <w:tc>
          <w:tcPr>
            <w:tcW w:w="9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247,711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960"/>
              <w:spacing w:after="0" w:line="149" w:lineRule="exact"/>
              <w:rPr>
                <w:sz w:val="20"/>
                <w:szCs w:val="20"/>
                <w:color w:val="auto"/>
              </w:rPr>
            </w:pPr>
            <w:r>
              <w:rPr>
                <w:rFonts w:ascii="Times New Roman" w:cs="Times New Roman" w:eastAsia="Times New Roman" w:hAnsi="Times New Roman"/>
                <w:sz w:val="14"/>
                <w:szCs w:val="14"/>
                <w:b w:val="1"/>
                <w:bCs w:val="1"/>
                <w:color w:val="auto"/>
              </w:rPr>
              <w:t>Net shareholders´ equity</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2,433,065</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2,284,552</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1,932,760</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net shareholders´ equity</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23,829,513</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23,481,472</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20,898,851</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Contingent credits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2,984,977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2,662,856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1,841,329</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w:t>
            </w:r>
          </w:p>
        </w:tc>
        <w:tc>
          <w:tcPr>
            <w:tcW w:w="2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CREDICORP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Change %</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Change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2Q10</w:t>
            </w:r>
          </w:p>
        </w:tc>
        <w:tc>
          <w:tcPr>
            <w:tcW w:w="880" w:type="dxa"/>
            <w:vAlign w:val="bottom"/>
            <w:tcBorders>
              <w:top w:val="single" w:sz="8" w:color="auto"/>
            </w:tcBorders>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1Q10</w:t>
            </w:r>
          </w:p>
        </w:tc>
        <w:tc>
          <w:tcPr>
            <w:tcW w:w="680" w:type="dxa"/>
            <w:vAlign w:val="bottom"/>
            <w:tcBorders>
              <w:top w:val="single" w:sz="8" w:color="auto"/>
            </w:tcBorders>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2Q09</w:t>
            </w:r>
          </w:p>
        </w:tc>
        <w:tc>
          <w:tcPr>
            <w:tcW w:w="220" w:type="dxa"/>
            <w:vAlign w:val="bottom"/>
          </w:tcPr>
          <w:p>
            <w:pPr>
              <w:spacing w:after="0"/>
              <w:rPr>
                <w:sz w:val="12"/>
                <w:szCs w:val="12"/>
                <w:color w:val="auto"/>
              </w:rPr>
            </w:pPr>
          </w:p>
        </w:tc>
        <w:tc>
          <w:tcPr>
            <w:tcW w:w="1100" w:type="dxa"/>
            <w:vAlign w:val="bottom"/>
            <w:tcBorders>
              <w:top w:val="single" w:sz="8" w:color="auto"/>
            </w:tcBorders>
            <w:gridSpan w:val="3"/>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QoQ</w:t>
            </w:r>
          </w:p>
        </w:tc>
        <w:tc>
          <w:tcPr>
            <w:tcW w:w="480" w:type="dxa"/>
            <w:vAlign w:val="bottom"/>
            <w:tcBorders>
              <w:top w:val="single" w:sz="8" w:color="auto"/>
            </w:tcBorders>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YoY</w:t>
            </w: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Jun 10</w:t>
            </w:r>
          </w:p>
        </w:tc>
        <w:tc>
          <w:tcPr>
            <w:tcW w:w="680" w:type="dxa"/>
            <w:vAlign w:val="bottom"/>
            <w:tcBorders>
              <w:top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Jun 09</w:t>
            </w:r>
          </w:p>
        </w:tc>
        <w:tc>
          <w:tcPr>
            <w:tcW w:w="220" w:type="dxa"/>
            <w:vAlign w:val="bottom"/>
          </w:tcPr>
          <w:p>
            <w:pPr>
              <w:spacing w:after="0"/>
              <w:rPr>
                <w:sz w:val="12"/>
                <w:szCs w:val="12"/>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Jun 10 / Jun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 income and expense</w:t>
            </w: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344,100</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332,739</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343,031</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676,838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668,939</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(85,666)</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(87,153)</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(109,489)</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(172,819)</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(229,531)</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640"/>
              <w:spacing w:after="0" w:line="135" w:lineRule="exact"/>
              <w:rPr>
                <w:sz w:val="20"/>
                <w:szCs w:val="20"/>
                <w:color w:val="auto"/>
              </w:rPr>
            </w:pPr>
            <w:r>
              <w:rPr>
                <w:rFonts w:ascii="Times New Roman" w:cs="Times New Roman" w:eastAsia="Times New Roman" w:hAnsi="Times New Roman"/>
                <w:sz w:val="13"/>
                <w:szCs w:val="13"/>
                <w:b w:val="1"/>
                <w:bCs w:val="1"/>
                <w:color w:val="auto"/>
              </w:rPr>
              <w:t>Net interest income</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258,434</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245,585</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233,542</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5.2%</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10.7%</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504,019</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439,408</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provisions for loan losses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(30,895)</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(43,181)</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(54,708)</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-28.5%</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-43.5%</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(74,075)</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(81,133)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 financial income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Fee income</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128,506</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125,430</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101,900</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26.1%</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253,936</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200,195</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Net gain on foreign exchange transactions</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23,612</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25,439</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19,661</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49,051</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39,177</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Net gain on sales of securities</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37,803</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7,022</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37,996</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438.3%</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44,825</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83,874</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6,633</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9,917</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10,920</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-39.3%</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16,550</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20,899</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640"/>
              <w:spacing w:after="0" w:line="135" w:lineRule="exact"/>
              <w:rPr>
                <w:sz w:val="20"/>
                <w:szCs w:val="20"/>
                <w:color w:val="auto"/>
              </w:rPr>
            </w:pPr>
            <w:r>
              <w:rPr>
                <w:rFonts w:ascii="Times New Roman" w:cs="Times New Roman" w:eastAsia="Times New Roman" w:hAnsi="Times New Roman"/>
                <w:sz w:val="13"/>
                <w:szCs w:val="13"/>
                <w:b w:val="1"/>
                <w:bCs w:val="1"/>
                <w:color w:val="auto"/>
              </w:rPr>
              <w:t>Total non financial income, net</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196,554</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167,808</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170,477</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17.1%</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15.3%</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364,362</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344,146</w:t>
            </w:r>
          </w:p>
        </w:tc>
        <w:tc>
          <w:tcPr>
            <w:tcW w:w="9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Insurance premiums and claims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Net premiums earned</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121,575</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111,029</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101,541</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232,604</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200,610</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Net claims incurred</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(13,950)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(13,624)</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(19,109)</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(27,573)</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(37,759)</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Increase in cost for life and health policies</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(62,108)</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(64,919)</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(53,762)</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(127,027)</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(105,674)</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640"/>
              <w:spacing w:after="0" w:line="135" w:lineRule="exact"/>
              <w:rPr>
                <w:sz w:val="20"/>
                <w:szCs w:val="20"/>
                <w:color w:val="auto"/>
              </w:rPr>
            </w:pPr>
            <w:r>
              <w:rPr>
                <w:rFonts w:ascii="Times New Roman" w:cs="Times New Roman" w:eastAsia="Times New Roman" w:hAnsi="Times New Roman"/>
                <w:sz w:val="13"/>
                <w:szCs w:val="13"/>
                <w:b w:val="1"/>
                <w:bCs w:val="1"/>
                <w:color w:val="auto"/>
              </w:rPr>
              <w:t>Total other operating income, net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45,517</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32,487</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28,670</w:t>
            </w: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40.1%</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58.8%</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78,004</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57,177</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Salaries and employees benefits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(109,137)</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(115,196)</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(94,197)</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(224,332)</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(188,297)</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Administrative, general and tax expenses</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(80,465)</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(78,001)</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(73,894)</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(158,466)</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(148,668)</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(20,889)</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(20,507)</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(17,701)</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(41,396)</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(34,989)</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Merger expenses</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(24,830)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(23,995)</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(20,002)</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(48,825)</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(55,053)</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64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(235,321)</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(237,698)</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(205,795)</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14.3%</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(473,019)</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(427,007)</w:t>
            </w:r>
          </w:p>
        </w:tc>
        <w:tc>
          <w:tcPr>
            <w:tcW w:w="9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234,289</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165,002</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172,186</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42.0%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36.1%</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399,290</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332,591</w:t>
            </w:r>
          </w:p>
        </w:tc>
        <w:tc>
          <w:tcPr>
            <w:tcW w:w="9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Translation result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4,675</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12,059</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3,958</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-61.2%</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16,734</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-2330.1%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Workers’ profit sharing</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(8,620)</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(5,474)</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(6,352)</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57.5%</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35.7%</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(14,093)</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(10,931)</w:t>
            </w:r>
          </w:p>
        </w:tc>
        <w:tc>
          <w:tcPr>
            <w:tcW w:w="94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(56,991)</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(39,429)</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(45,955)</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44.5%</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(96,420)</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(79,585)</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173,353</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132,158</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123,837</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31.2%</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40.0%</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305,512</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241,324</w:t>
            </w:r>
          </w:p>
        </w:tc>
        <w:tc>
          <w:tcPr>
            <w:tcW w:w="9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Minority interest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11,429</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8,288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8,634</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37.9%</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32.4%</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19,718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15,544</w:t>
            </w:r>
          </w:p>
        </w:tc>
        <w:tc>
          <w:tcPr>
            <w:tcW w:w="9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income attributed to Credicorp</w:t>
            </w:r>
          </w:p>
        </w:tc>
        <w:tc>
          <w:tcPr>
            <w:tcW w:w="68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161,924</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123,870</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115,202</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30.7%</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40.6%</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285,794</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225,780</w:t>
            </w:r>
          </w:p>
        </w:tc>
        <w:tc>
          <w:tcPr>
            <w:tcW w:w="94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26.6%</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2" w:name="page43"/>
    <w:bookmarkEnd w:id="42"/>
    <w:p>
      <w:pPr>
        <w:ind w:left="4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CREDICORP LTD. AND SUBSIDIARIES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2Q09</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 10</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 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90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(US$ per share)(1)</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4.92%</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on average total assets (2)(3)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of outstanding shares (millions)(4)</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Past due loans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Reserves for loan losses as a percentage of total past due loans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192.9%</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 expenses as a percent. of total income (5)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Oper. expenses as a percent. of av. tot. assets(2)(3)(5)</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Average balances (millions of US$) (3)</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20,720.69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19,948.14</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18,256.33</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20,720.69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23,655.49</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22,754.79</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20,985.49</w:t>
            </w: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23,205.14</w:t>
            </w:r>
          </w:p>
        </w:tc>
        <w:tc>
          <w:tcPr>
            <w:tcW w:w="10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20,966.04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shareholder´s equity</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2,358.81</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2,300.70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1,800.46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2,329.76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1,739.56</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Net Income attributed to BAP. Number of shares outstanding of 79.8 million in all periods.</w:t>
      </w:r>
    </w:p>
    <w:p>
      <w:pPr>
        <w:spacing w:after="0" w:line="7"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Ratios are 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treasury shares. The total number of shares was of 94.38 million.</w:t>
      </w:r>
    </w:p>
    <w:p>
      <w:pPr>
        <w:spacing w:after="0" w:line="9" w:lineRule="exact"/>
        <w:rPr>
          <w:rFonts w:ascii="Times New Roman" w:cs="Times New Roman" w:eastAsia="Times New Roman" w:hAnsi="Times New Roman"/>
          <w:sz w:val="18"/>
          <w:szCs w:val="18"/>
          <w:i w:val="1"/>
          <w:iCs w:val="1"/>
          <w:color w:val="auto"/>
        </w:rPr>
      </w:pPr>
    </w:p>
    <w:p>
      <w:pPr>
        <w:ind w:firstLine="8"/>
        <w:spacing w:after="0" w:line="261" w:lineRule="auto"/>
        <w:tabs>
          <w:tab w:leader="none" w:pos="26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income includes net interest income, fee income, net gain on foreign exchange transactions and net premiums earned. Operating expenses do not include other expenses.</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6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 10</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 10</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Jun 09</w:t>
            </w:r>
          </w:p>
        </w:tc>
        <w:tc>
          <w:tcPr>
            <w:tcW w:w="220" w:type="dxa"/>
            <w:vAlign w:val="bottom"/>
          </w:tcPr>
          <w:p>
            <w:pPr>
              <w:spacing w:after="0"/>
              <w:rPr>
                <w:sz w:val="19"/>
                <w:szCs w:val="19"/>
                <w:color w:val="auto"/>
              </w:rPr>
            </w:pPr>
          </w:p>
        </w:tc>
        <w:tc>
          <w:tcPr>
            <w:tcW w:w="14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QoQ</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2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3,342,067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3,395,676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3,316,964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Cash and BCRP</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2,931,107</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2,761,952</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2,604,482</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in other Banks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409,977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534,928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600,551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Interbanks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97,499</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110,435</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on cash and due from banks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net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60,037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109,326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39,579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12,611,066</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11,852,548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10,502,346</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12,395,974</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11,637,580</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10,356,401</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Past Due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215,092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214,968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145,945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Less - net provisions for possible loan losses</w:t>
            </w:r>
          </w:p>
        </w:tc>
        <w:tc>
          <w:tcPr>
            <w:tcW w:w="11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(386,148)</w:t>
            </w:r>
          </w:p>
        </w:tc>
        <w:tc>
          <w:tcPr>
            <w:tcW w:w="11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(380,248)</w:t>
            </w:r>
          </w:p>
        </w:tc>
        <w:tc>
          <w:tcPr>
            <w:tcW w:w="11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(281,675)</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12,224,918</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11,472,300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10,220,671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securities available for sale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3,707,331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4,053,210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3,162,714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287,204</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281,627</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257,565</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from customers acceptances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63,351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78,795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159,407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1,184,152</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1,262,861</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1,030,392</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9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20,869,060</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20,653,795</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18,187,292</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640"/>
              <w:spacing w:after="0"/>
              <w:rPr>
                <w:sz w:val="20"/>
                <w:szCs w:val="20"/>
                <w:color w:val="auto"/>
              </w:rPr>
            </w:pPr>
            <w:r>
              <w:rPr>
                <w:rFonts w:ascii="Times New Roman" w:cs="Times New Roman" w:eastAsia="Times New Roman" w:hAnsi="Times New Roman"/>
                <w:sz w:val="18"/>
                <w:szCs w:val="18"/>
                <w:b w:val="1"/>
                <w:bCs w:val="1"/>
                <w:color w:val="auto"/>
              </w:rPr>
              <w:t>LIABILITIES AND NET SHAREHOLDERS' EQUITY</w:t>
            </w: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14,209,963</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13,777,327</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14,035,650</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Demand deposits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5,059,051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4,932,731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4,002,848</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Saving deposits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3,702,869</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3,853,739</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3,162,394</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4,242,721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3,927,540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5,731,125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Severance indemnity deposits (CTS)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1,176,925</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1,013,010</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1,058,723</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50,307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80,560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3,110,545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3,007,252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845,945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Bonds and subordinated debt</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1,202,434</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1,225,968</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929,071</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Acceptances outstanding</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63,351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78,795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159,407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599,269</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982,393</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770,704</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8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19,185,562</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19,071,735</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16,740,777</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shareholders' equity</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1,679,754</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1,578,484</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1,442,780</w:t>
            </w:r>
          </w:p>
        </w:tc>
        <w:tc>
          <w:tcPr>
            <w:tcW w:w="1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783,213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783,213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667,250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Reserves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388,309</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388,309</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388,275</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84,959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117,908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82,809</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187,143</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187,145</w:t>
            </w:r>
          </w:p>
        </w:tc>
        <w:tc>
          <w:tcPr>
            <w:tcW w:w="11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115,922</w:t>
            </w:r>
          </w:p>
        </w:tc>
        <w:tc>
          <w:tcPr>
            <w:tcW w:w="1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for the year</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236,130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101,909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188,524</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Minority interest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net shareholders' equity</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20,869,060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20,653,795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18,187,292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credits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8,998,223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8,786,376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6,561,565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thousands, IFRS)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w w:val="98"/>
              </w:rPr>
              <w:t>Change %</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2Q10</w:t>
            </w:r>
          </w:p>
        </w:tc>
        <w:tc>
          <w:tcPr>
            <w:tcW w:w="900" w:type="dxa"/>
            <w:vAlign w:val="bottom"/>
            <w:tcBorders>
              <w:top w:val="single" w:sz="8" w:color="auto"/>
            </w:tcBorders>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1Q10</w:t>
            </w:r>
          </w:p>
        </w:tc>
        <w:tc>
          <w:tcPr>
            <w:tcW w:w="660" w:type="dxa"/>
            <w:vAlign w:val="bottom"/>
            <w:tcBorders>
              <w:top w:val="single" w:sz="8" w:color="auto"/>
            </w:tcBorders>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2Q09</w:t>
            </w:r>
          </w:p>
        </w:tc>
        <w:tc>
          <w:tcPr>
            <w:tcW w:w="220" w:type="dxa"/>
            <w:vAlign w:val="bottom"/>
          </w:tcPr>
          <w:p>
            <w:pPr>
              <w:spacing w:after="0"/>
              <w:rPr>
                <w:sz w:val="12"/>
                <w:szCs w:val="12"/>
                <w:color w:val="auto"/>
              </w:rPr>
            </w:pPr>
          </w:p>
        </w:tc>
        <w:tc>
          <w:tcPr>
            <w:tcW w:w="1120" w:type="dxa"/>
            <w:vAlign w:val="bottom"/>
            <w:tcBorders>
              <w:top w:val="single" w:sz="8" w:color="auto"/>
            </w:tcBorders>
            <w:gridSpan w:val="3"/>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QoQ</w:t>
            </w:r>
          </w:p>
        </w:tc>
        <w:tc>
          <w:tcPr>
            <w:tcW w:w="48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Jun 10</w:t>
            </w:r>
          </w:p>
        </w:tc>
        <w:tc>
          <w:tcPr>
            <w:tcW w:w="660" w:type="dxa"/>
            <w:vAlign w:val="bottom"/>
            <w:tcBorders>
              <w:top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Jun 09</w:t>
            </w: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2"/>
              </w:rPr>
              <w:t>Jun10 / Jun09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 income and expense</w:t>
            </w: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4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311,548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305,922</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314,832</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617,470</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617,202</w:t>
            </w: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(82,896)</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(86,747)</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(105,372)</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(169,643)</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(221,581)</w:t>
            </w:r>
          </w:p>
        </w:tc>
        <w:tc>
          <w:tcPr>
            <w:tcW w:w="88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b w:val="1"/>
                <w:bCs w:val="1"/>
                <w:color w:val="auto"/>
              </w:rPr>
              <w:t>Net interest and dividend income</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228,652</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219,175</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209,460</w:t>
            </w:r>
          </w:p>
        </w:tc>
        <w:tc>
          <w:tcPr>
            <w:tcW w:w="22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4.3%</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9.2%</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447,827</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395,621</w:t>
            </w:r>
          </w:p>
        </w:tc>
        <w:tc>
          <w:tcPr>
            <w:tcW w:w="2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provision for loan losses</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(31,183)</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(43,445)</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(54,074)</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-28.2%</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-42.3%</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(74,628)</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(81,254)</w:t>
            </w:r>
          </w:p>
        </w:tc>
        <w:tc>
          <w:tcPr>
            <w:tcW w:w="88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 financial income</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Banking services commissions</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113,577</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107,223</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87,620</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29.6%</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220,800</w:t>
            </w:r>
          </w:p>
        </w:tc>
        <w:tc>
          <w:tcPr>
            <w:tcW w:w="66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color w:val="auto"/>
              </w:rPr>
              <w:t>165,173</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Net gain on foreign exchange transactions</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23,595</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25,503</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19,700</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49,098</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40,028</w:t>
            </w: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Net gain on sales of securities</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29,727</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35,983</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18364.0%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29,888</w:t>
            </w:r>
          </w:p>
        </w:tc>
        <w:tc>
          <w:tcPr>
            <w:tcW w:w="88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82,274</w:t>
            </w:r>
          </w:p>
        </w:tc>
        <w:tc>
          <w:tcPr>
            <w:tcW w:w="88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2,642</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4,954</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7,285</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-63.7%</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7,596</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11,359</w:t>
            </w: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b w:val="1"/>
                <w:bCs w:val="1"/>
                <w:color w:val="auto"/>
              </w:rPr>
              <w:t>Total non financial income,net</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169,541</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137,841</w:t>
            </w:r>
          </w:p>
        </w:tc>
        <w:tc>
          <w:tcPr>
            <w:tcW w:w="66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150,588</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23.0%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12.6%</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307,382</w:t>
            </w:r>
          </w:p>
        </w:tc>
        <w:tc>
          <w:tcPr>
            <w:tcW w:w="66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298,834</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Salaries and employees benefits</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(90,961)</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(98,445)</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(79,316)</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(189,406)</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(158,665)</w:t>
            </w:r>
          </w:p>
        </w:tc>
        <w:tc>
          <w:tcPr>
            <w:tcW w:w="88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Administrative expenses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(67,866)</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(65,785)</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(63,919)</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(133,651)</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(127,472)</w:t>
            </w: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(16,837)</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(16,423)</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(14,088)</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(33,260)</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(27,844)</w:t>
            </w:r>
          </w:p>
        </w:tc>
        <w:tc>
          <w:tcPr>
            <w:tcW w:w="88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(7,516)</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(4,680)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(4,262)</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60.6%</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76.3%</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(12,196)</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(20,699)</w:t>
            </w: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(183,180)</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(185,333)</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(161,585)</w:t>
            </w: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-1.2%</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13.4%</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(368,513)</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(334,680)</w:t>
            </w:r>
          </w:p>
        </w:tc>
        <w:tc>
          <w:tcPr>
            <w:tcW w:w="88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183,830</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128,238</w:t>
            </w:r>
          </w:p>
        </w:tc>
        <w:tc>
          <w:tcPr>
            <w:tcW w:w="66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144,389</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43.4%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27.3%</w:t>
            </w:r>
          </w:p>
        </w:tc>
        <w:tc>
          <w:tcPr>
            <w:tcW w:w="900" w:type="dxa"/>
            <w:vAlign w:val="bottom"/>
            <w:gridSpan w:val="2"/>
            <w:shd w:val="clear" w:color="auto" w:fill="CCFFCC"/>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312,068</w:t>
            </w:r>
          </w:p>
        </w:tc>
        <w:tc>
          <w:tcPr>
            <w:tcW w:w="660" w:type="dxa"/>
            <w:vAlign w:val="bottom"/>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278,521</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Translation result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4,972</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11,680</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(10,899)</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-57.4%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-145.6%</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16,652</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(15,159)</w:t>
            </w: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Workers’ profit sharing</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(7,459)</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(4,840)</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(5,765)</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54.1%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29.4%</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(12,299)</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(9,580)</w:t>
            </w:r>
          </w:p>
        </w:tc>
        <w:tc>
          <w:tcPr>
            <w:tcW w:w="88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(46,995)</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(32,906)</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(38,905)</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42.8%</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(79,901)</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(64,697)</w:t>
            </w: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Times New Roman" w:cs="Times New Roman" w:eastAsia="Times New Roman" w:hAnsi="Times New Roman"/>
                <w:sz w:val="13"/>
                <w:szCs w:val="13"/>
                <w:color w:val="auto"/>
              </w:rPr>
              <w:t>Minority interest</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(263)</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(278)</w:t>
            </w:r>
          </w:p>
        </w:tc>
        <w:tc>
          <w:tcPr>
            <w:tcW w:w="9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-51.7%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-54.3%</w:t>
            </w:r>
          </w:p>
        </w:tc>
        <w:tc>
          <w:tcPr>
            <w:tcW w:w="90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(390)</w:t>
            </w:r>
          </w:p>
        </w:tc>
        <w:tc>
          <w:tcPr>
            <w:tcW w:w="880" w:type="dxa"/>
            <w:vAlign w:val="bottom"/>
            <w:gridSpan w:val="2"/>
            <w:shd w:val="clear" w:color="auto" w:fill="CCFFC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(561)</w:t>
            </w:r>
          </w:p>
        </w:tc>
        <w:tc>
          <w:tcPr>
            <w:tcW w:w="880" w:type="dxa"/>
            <w:vAlign w:val="bottom"/>
            <w:gridSpan w:val="2"/>
            <w:shd w:val="clear" w:color="auto" w:fill="CCFFC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134,221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101,909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88,542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31.7%</w:t>
            </w:r>
          </w:p>
        </w:tc>
        <w:tc>
          <w:tcPr>
            <w:tcW w:w="2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51.6%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236,130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188,524</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25.3%</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2Q10</w:t>
            </w:r>
          </w:p>
        </w:tc>
        <w:tc>
          <w:tcPr>
            <w:tcW w:w="11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1Q10</w:t>
            </w:r>
          </w:p>
        </w:tc>
        <w:tc>
          <w:tcPr>
            <w:tcW w:w="9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2Q09</w:t>
            </w:r>
          </w:p>
        </w:tc>
        <w:tc>
          <w:tcPr>
            <w:tcW w:w="28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 10</w:t>
            </w:r>
          </w:p>
        </w:tc>
        <w:tc>
          <w:tcPr>
            <w:tcW w:w="9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 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90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share (US$ per share)(1)</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0.060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0.106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on average total assets (2)(3)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of outstanding shares (millions)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2,228.29</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2,228.29</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2,228.29</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2,228.29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Past due loans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Reserves for loan losses as a percentage of total past due loans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176.9%</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 expenses as a percent. of total income (4)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Oper. expenses as a percent. of av. tot. assets(2)(3)(4)</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Capital adequacy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Regulatory Capital (US$Mn)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1,586.0</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Tier I capital</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1,511.4</w:t>
            </w: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1,195.0</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BIS ratio</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 (millions of US$) (3)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116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18,643.6</w:t>
            </w:r>
          </w:p>
        </w:tc>
        <w:tc>
          <w:tcPr>
            <w:tcW w:w="118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18,037.7</w:t>
            </w: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16,541.6</w:t>
            </w: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18,340.6</w:t>
            </w:r>
          </w:p>
        </w:tc>
        <w:tc>
          <w:tcPr>
            <w:tcW w:w="10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20,761.4</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20,108.6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18,355.6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19,741.6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Net shareholders' equity</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1,377.4</w:t>
            </w:r>
          </w:p>
        </w:tc>
        <w:tc>
          <w:tcPr>
            <w:tcW w:w="118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1,622.5</w:t>
            </w:r>
          </w:p>
        </w:tc>
        <w:tc>
          <w:tcPr>
            <w:tcW w:w="10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1,368.8</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Shares outstanding of 2,228 million is used for all periods since shares have been issued only for capitalization of profits and inflation adjustment.</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Ratios are 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i w:val="1"/>
          <w:iCs w:val="1"/>
          <w:color w:val="auto"/>
        </w:rPr>
      </w:pPr>
    </w:p>
    <w:p>
      <w:pPr>
        <w:ind w:right="20" w:firstLine="8"/>
        <w:spacing w:after="0" w:line="250" w:lineRule="auto"/>
        <w:tabs>
          <w:tab w:leader="none" w:pos="272"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income includes net interest income, fee income and net gain on foreign exchange transactions. Operating expenses include personnel expenses, administrative expenses and depreciation and amortization</w:t>
      </w:r>
    </w:p>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Regulatory capital / risk-weighted assets. Risk weighted assets include market risk and operational risk.</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337820</wp:posOffset>
            </wp:positionV>
            <wp:extent cx="1191895" cy="3689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68935"/>
                    </a:xfrm>
                    <a:prstGeom prst="rect">
                      <a:avLst/>
                    </a:prstGeom>
                    <a:noFill/>
                  </pic:spPr>
                </pic:pic>
              </a:graphicData>
            </a:graphic>
          </wp:anchor>
        </w:drawing>
        <w:t>EL PACIFICO - PERUANO SUIZA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 dollars)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460" w:type="dxa"/>
            <w:vAlign w:val="bottom"/>
            <w:gridSpan w:val="6"/>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Balance to and for the period of</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Three month ending</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4"/>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Six month ended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66"/>
              <w:spacing w:after="0" w:line="122" w:lineRule="exact"/>
              <w:rPr>
                <w:sz w:val="20"/>
                <w:szCs w:val="20"/>
                <w:color w:val="auto"/>
              </w:rPr>
            </w:pPr>
            <w:r>
              <w:rPr>
                <w:rFonts w:ascii="Times New Roman" w:cs="Times New Roman" w:eastAsia="Times New Roman" w:hAnsi="Times New Roman"/>
                <w:sz w:val="11"/>
                <w:szCs w:val="11"/>
                <w:b w:val="1"/>
                <w:bCs w:val="1"/>
                <w:color w:val="auto"/>
              </w:rPr>
              <w:t>30 Jun 10</w:t>
            </w:r>
          </w:p>
        </w:tc>
        <w:tc>
          <w:tcPr>
            <w:tcW w:w="820" w:type="dxa"/>
            <w:vAlign w:val="bottom"/>
            <w:tcBorders>
              <w:top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31 Mar 10</w:t>
            </w:r>
          </w:p>
        </w:tc>
        <w:tc>
          <w:tcPr>
            <w:tcW w:w="580" w:type="dxa"/>
            <w:vAlign w:val="bottom"/>
            <w:tcBorders>
              <w:top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30 Jun 09</w:t>
            </w:r>
          </w:p>
        </w:tc>
        <w:tc>
          <w:tcPr>
            <w:tcW w:w="2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Jun 10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580" w:type="dxa"/>
            <w:vAlign w:val="bottom"/>
            <w:tcBorders>
              <w:top w:val="single" w:sz="8" w:color="auto"/>
            </w:tcBorders>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2Q10</w:t>
            </w:r>
          </w:p>
        </w:tc>
        <w:tc>
          <w:tcPr>
            <w:tcW w:w="2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1Q10</w:t>
            </w:r>
          </w:p>
        </w:tc>
        <w:tc>
          <w:tcPr>
            <w:tcW w:w="240" w:type="dxa"/>
            <w:vAlign w:val="bottom"/>
          </w:tcPr>
          <w:p>
            <w:pPr>
              <w:spacing w:after="0"/>
              <w:rPr>
                <w:sz w:val="11"/>
                <w:szCs w:val="11"/>
                <w:color w:val="auto"/>
              </w:rPr>
            </w:pPr>
          </w:p>
        </w:tc>
        <w:tc>
          <w:tcPr>
            <w:tcW w:w="580" w:type="dxa"/>
            <w:vAlign w:val="bottom"/>
            <w:tcBorders>
              <w:top w:val="single" w:sz="8" w:color="auto"/>
            </w:tcBorders>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2Q09</w:t>
            </w:r>
          </w:p>
        </w:tc>
        <w:tc>
          <w:tcPr>
            <w:tcW w:w="240" w:type="dxa"/>
            <w:vAlign w:val="bottom"/>
          </w:tcPr>
          <w:p>
            <w:pPr>
              <w:spacing w:after="0"/>
              <w:rPr>
                <w:sz w:val="11"/>
                <w:szCs w:val="11"/>
                <w:color w:val="auto"/>
              </w:rPr>
            </w:pPr>
          </w:p>
        </w:tc>
        <w:tc>
          <w:tcPr>
            <w:tcW w:w="82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Jun 10</w:t>
            </w:r>
          </w:p>
        </w:tc>
        <w:tc>
          <w:tcPr>
            <w:tcW w:w="7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Jun 09</w:t>
            </w:r>
          </w:p>
        </w:tc>
        <w:tc>
          <w:tcPr>
            <w:tcW w:w="76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QoQ</w:t>
            </w:r>
          </w:p>
        </w:tc>
        <w:tc>
          <w:tcPr>
            <w:tcW w:w="78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YoY</w:t>
            </w: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Jun 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Results</w:t>
            </w: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Total Premiums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163,372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155,626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149,172</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318,999</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287,409</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9.5%</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160"/>
              <w:spacing w:after="0" w:line="122" w:lineRule="exact"/>
              <w:rPr>
                <w:sz w:val="20"/>
                <w:szCs w:val="20"/>
                <w:color w:val="auto"/>
              </w:rPr>
            </w:pPr>
            <w:r>
              <w:rPr>
                <w:rFonts w:ascii="Times New Roman" w:cs="Times New Roman" w:eastAsia="Times New Roman" w:hAnsi="Times New Roman"/>
                <w:sz w:val="11"/>
                <w:szCs w:val="11"/>
                <w:color w:val="auto"/>
              </w:rPr>
              <w:t>Ceded Premiums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17,748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25,268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24,034</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43,017</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47,137</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-29.8%</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-26.2%</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Unearned premium reserves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20,204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15,161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19,482</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35,365</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32,644</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33.3%</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earned premiums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125,420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115,197</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105,657</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240,618</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207,628</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18.7%</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Direct claims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76,990</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94,845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78,405</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171,835</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186,394</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-18.8%</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160"/>
              <w:spacing w:after="0" w:line="122" w:lineRule="exact"/>
              <w:rPr>
                <w:sz w:val="20"/>
                <w:szCs w:val="20"/>
                <w:color w:val="auto"/>
              </w:rPr>
            </w:pPr>
            <w:r>
              <w:rPr>
                <w:rFonts w:ascii="Times New Roman" w:cs="Times New Roman" w:eastAsia="Times New Roman" w:hAnsi="Times New Roman"/>
                <w:sz w:val="11"/>
                <w:szCs w:val="11"/>
                <w:color w:val="auto"/>
              </w:rPr>
              <w:t>Ceded claims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932</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16,302</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5,534</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17,234</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42,962</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-94.3%</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-83.2%</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claims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76,058</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78,543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72,871</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154,600</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143,433</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160"/>
              <w:spacing w:after="0" w:line="122" w:lineRule="exact"/>
              <w:rPr>
                <w:sz w:val="20"/>
                <w:szCs w:val="20"/>
                <w:color w:val="auto"/>
              </w:rPr>
            </w:pPr>
            <w:r>
              <w:rPr>
                <w:rFonts w:ascii="Times New Roman" w:cs="Times New Roman" w:eastAsia="Times New Roman" w:hAnsi="Times New Roman"/>
                <w:sz w:val="11"/>
                <w:szCs w:val="11"/>
                <w:color w:val="auto"/>
              </w:rPr>
              <w:t>Direct commissions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18,147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17,237</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38,048</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34,139</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9.7%</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15.5%</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Commissions received</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2,766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2,419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2,401</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5,186</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4,749</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15.2%</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commissions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17,135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15,727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14,836</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32,862</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29,390</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9.0%</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15.5%</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Technical expenses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6,437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6,666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5,701</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13,103</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11,411</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12.9%</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160"/>
              <w:spacing w:after="0" w:line="122" w:lineRule="exact"/>
              <w:rPr>
                <w:sz w:val="20"/>
                <w:szCs w:val="20"/>
                <w:color w:val="auto"/>
              </w:rPr>
            </w:pPr>
            <w:r>
              <w:rPr>
                <w:rFonts w:ascii="Times New Roman" w:cs="Times New Roman" w:eastAsia="Times New Roman" w:hAnsi="Times New Roman"/>
                <w:sz w:val="11"/>
                <w:szCs w:val="11"/>
                <w:color w:val="auto"/>
              </w:rPr>
              <w:t>Technical resolves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1,962</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2,905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2,638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4,866</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4,904</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-32.5%</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-25.6%</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technical expenses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4,475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3,761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3,064</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8,236</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6,506</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19.0%</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46.1%</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Underwriting results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27,753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17,166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14,886</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44,919</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28,300</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61.7%</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86.4%</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income</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17,690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17,798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15,490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35,487</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29,654</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-0.6%</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14.2%</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Gains on sale of real state and secutirities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3,372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3,083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4,113</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6,456</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5,788</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-18.0%</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160"/>
              <w:spacing w:after="0" w:line="122" w:lineRule="exact"/>
              <w:rPr>
                <w:sz w:val="20"/>
                <w:szCs w:val="20"/>
                <w:color w:val="auto"/>
              </w:rPr>
            </w:pPr>
            <w:r>
              <w:rPr>
                <w:rFonts w:ascii="Times New Roman" w:cs="Times New Roman" w:eastAsia="Times New Roman" w:hAnsi="Times New Roman"/>
                <w:sz w:val="11"/>
                <w:szCs w:val="11"/>
                <w:color w:val="auto"/>
              </w:rPr>
              <w:t>Net property and rental income</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1,150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1,186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877</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2,335</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1,743</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31.1%</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 Financial expenses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1,769</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1,112</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173.1%</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202.6%</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Financial income, net</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20,917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21,593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20,053</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42,509</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36,073</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160"/>
              <w:spacing w:after="0" w:line="122" w:lineRule="exact"/>
              <w:rPr>
                <w:sz w:val="20"/>
                <w:szCs w:val="20"/>
                <w:color w:val="auto"/>
              </w:rPr>
            </w:pPr>
            <w:r>
              <w:rPr>
                <w:rFonts w:ascii="Times New Roman" w:cs="Times New Roman" w:eastAsia="Times New Roman" w:hAnsi="Times New Roman"/>
                <w:sz w:val="11"/>
                <w:szCs w:val="11"/>
                <w:color w:val="auto"/>
              </w:rPr>
              <w:t>Salaries and benefits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13,995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13,012</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10,904</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27,007</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20,703</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7.6%</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28.3%</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Administrative expenses</w:t>
            </w:r>
          </w:p>
        </w:tc>
        <w:tc>
          <w:tcPr>
            <w:tcW w:w="82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11,126</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9,919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8,198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21,046</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16,532</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12.2%</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35.7%</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320"/>
              <w:spacing w:after="0" w:line="122" w:lineRule="exact"/>
              <w:rPr>
                <w:sz w:val="20"/>
                <w:szCs w:val="20"/>
                <w:color w:val="auto"/>
              </w:rPr>
            </w:pPr>
            <w:r>
              <w:rPr>
                <w:rFonts w:ascii="Times New Roman" w:cs="Times New Roman" w:eastAsia="Times New Roman" w:hAnsi="Times New Roman"/>
                <w:sz w:val="11"/>
                <w:szCs w:val="11"/>
                <w:color w:val="auto"/>
              </w:rPr>
              <w:t>Third party services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5,357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4,819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4,300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10,176</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8,236</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11.2%</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24.6%</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320"/>
              <w:spacing w:after="0" w:line="122" w:lineRule="exact"/>
              <w:rPr>
                <w:sz w:val="20"/>
                <w:szCs w:val="20"/>
                <w:color w:val="auto"/>
              </w:rPr>
            </w:pPr>
            <w:r>
              <w:rPr>
                <w:rFonts w:ascii="Times New Roman" w:cs="Times New Roman" w:eastAsia="Times New Roman" w:hAnsi="Times New Roman"/>
                <w:sz w:val="11"/>
                <w:szCs w:val="11"/>
                <w:color w:val="auto"/>
              </w:rPr>
              <w:t>Management expenses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2,285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2,203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1,753</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4,489</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3,509</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30.4%</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320"/>
              <w:spacing w:after="0" w:line="122" w:lineRule="exact"/>
              <w:rPr>
                <w:sz w:val="20"/>
                <w:szCs w:val="20"/>
                <w:color w:val="auto"/>
              </w:rPr>
            </w:pPr>
            <w:r>
              <w:rPr>
                <w:rFonts w:ascii="Times New Roman" w:cs="Times New Roman" w:eastAsia="Times New Roman" w:hAnsi="Times New Roman"/>
                <w:sz w:val="11"/>
                <w:szCs w:val="11"/>
                <w:color w:val="auto"/>
              </w:rPr>
              <w:t>Provisions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1,609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1,555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1,248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3,164</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2,509</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28.9%</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ind w:left="320"/>
              <w:spacing w:after="0" w:line="122" w:lineRule="exact"/>
              <w:rPr>
                <w:sz w:val="20"/>
                <w:szCs w:val="20"/>
                <w:color w:val="auto"/>
              </w:rPr>
            </w:pPr>
            <w:r>
              <w:rPr>
                <w:rFonts w:ascii="Times New Roman" w:cs="Times New Roman" w:eastAsia="Times New Roman" w:hAnsi="Times New Roman"/>
                <w:sz w:val="11"/>
                <w:szCs w:val="11"/>
                <w:color w:val="auto"/>
              </w:rPr>
              <w:t>Taxes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1,120</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1,166</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2,576</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2,362</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ind w:left="320"/>
              <w:spacing w:after="0" w:line="122" w:lineRule="exact"/>
              <w:rPr>
                <w:sz w:val="20"/>
                <w:szCs w:val="20"/>
                <w:color w:val="auto"/>
              </w:rPr>
            </w:pPr>
            <w:r>
              <w:rPr>
                <w:rFonts w:ascii="Times New Roman" w:cs="Times New Roman" w:eastAsia="Times New Roman" w:hAnsi="Times New Roman"/>
                <w:sz w:val="11"/>
                <w:szCs w:val="11"/>
                <w:color w:val="auto"/>
              </w:rPr>
              <w:t>Other expenses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755</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(113.44)</w:t>
            </w:r>
          </w:p>
        </w:tc>
        <w:tc>
          <w:tcPr>
            <w:tcW w:w="820" w:type="dxa"/>
            <w:vAlign w:val="bottom"/>
            <w:gridSpan w:val="2"/>
            <w:shd w:val="clear" w:color="auto" w:fill="CCFFC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(269.06)</w:t>
            </w: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642</w:t>
            </w:r>
          </w:p>
        </w:tc>
        <w:tc>
          <w:tcPr>
            <w:tcW w:w="780" w:type="dxa"/>
            <w:vAlign w:val="bottom"/>
            <w:gridSpan w:val="2"/>
            <w:shd w:val="clear" w:color="auto" w:fill="CCFFC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-765.8%</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-380.7%</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-866.9%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General expenses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25,121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22,931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19,102</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48,052</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37,234</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31.5%</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29.1%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income</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63.0%</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3697.2%</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Traslations results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529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1,533</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2,213</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-47.4%</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-80.6%</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participation and income tax</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3,959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24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(2,544.45)</w:t>
            </w: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5,959</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4,743</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98.0%</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-255.6%</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25.6%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Income before minority interest</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20,461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15,043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16,025</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35,504</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25,533</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36.0%</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27.7%</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Minority interest</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3,985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2,948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3,277</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6,933</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5,901</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35.2%</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21.6%</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16,475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12,095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12,748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28,570</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19,632</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36.2%</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29.2%</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45.5%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(end of period)</w:t>
            </w: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Total Assets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1,591,564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1,520,168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1,399,945</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1,591,564</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1,399,945</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13.7%</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13.7%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Invesment on securities and real state (1)</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1,133,861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1,086,084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920,416</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1,133,861</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920,416</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23.2%</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Technical reserves</w:t>
            </w: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1,079,531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1,056,204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Times New Roman" w:cs="Times New Roman" w:eastAsia="Times New Roman" w:hAnsi="Times New Roman"/>
                <w:sz w:val="11"/>
                <w:szCs w:val="11"/>
                <w:color w:val="auto"/>
              </w:rPr>
              <w:t>1,030,576</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1,079,531</w:t>
            </w:r>
          </w:p>
        </w:tc>
        <w:tc>
          <w:tcPr>
            <w:tcW w:w="780" w:type="dxa"/>
            <w:vAlign w:val="bottom"/>
            <w:gridSpan w:val="2"/>
            <w:shd w:val="clear" w:color="auto" w:fill="CCFFC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1,030,576</w:t>
            </w:r>
          </w:p>
        </w:tc>
        <w:tc>
          <w:tcPr>
            <w:tcW w:w="76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660" w:type="dxa"/>
            <w:vAlign w:val="bottom"/>
            <w:gridSpan w:val="2"/>
            <w:shd w:val="clear" w:color="auto" w:fill="CCFFC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equity</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288,277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270,626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194,786</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288,277</w:t>
            </w: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194,786</w:t>
            </w: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48.0%</w:t>
            </w: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48.0%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Ratios</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Ceded</w:t>
            </w:r>
          </w:p>
        </w:tc>
        <w:tc>
          <w:tcPr>
            <w:tcW w:w="82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10.9%</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16.1%</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13.5%</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16.4%</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Loss ratio</w:t>
            </w:r>
          </w:p>
        </w:tc>
        <w:tc>
          <w:tcPr>
            <w:tcW w:w="820" w:type="dxa"/>
            <w:vAlign w:val="bottom"/>
            <w:gridSpan w:val="2"/>
            <w:shd w:val="clear" w:color="auto" w:fill="CCFFC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60.6%</w:t>
            </w:r>
          </w:p>
        </w:tc>
        <w:tc>
          <w:tcPr>
            <w:tcW w:w="82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68.2%</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69.0%</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64.3%</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69.1%</w:t>
            </w: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Commissions + technical expenses, net / net earned premiums</w:t>
            </w:r>
          </w:p>
        </w:tc>
        <w:tc>
          <w:tcPr>
            <w:tcW w:w="82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17.2%</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16.9%</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16.9%</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17.1%</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17.3%</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Underwriting results / net earned premiums</w:t>
            </w:r>
          </w:p>
        </w:tc>
        <w:tc>
          <w:tcPr>
            <w:tcW w:w="820" w:type="dxa"/>
            <w:vAlign w:val="bottom"/>
            <w:gridSpan w:val="2"/>
            <w:shd w:val="clear" w:color="auto" w:fill="CCFFC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22.1%</w:t>
            </w:r>
          </w:p>
        </w:tc>
        <w:tc>
          <w:tcPr>
            <w:tcW w:w="82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14.1%</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18.7%</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13.6%</w:t>
            </w: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General expenses / net earned premiums</w:t>
            </w:r>
          </w:p>
        </w:tc>
        <w:tc>
          <w:tcPr>
            <w:tcW w:w="82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19.9%</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18.1%</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20.0%</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17.9%</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Return on equity (2)(3)</w:t>
            </w:r>
          </w:p>
        </w:tc>
        <w:tc>
          <w:tcPr>
            <w:tcW w:w="820" w:type="dxa"/>
            <w:vAlign w:val="bottom"/>
            <w:gridSpan w:val="2"/>
            <w:shd w:val="clear" w:color="auto" w:fill="CCFFC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25.8%</w:t>
            </w:r>
          </w:p>
        </w:tc>
        <w:tc>
          <w:tcPr>
            <w:tcW w:w="82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19.3%</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32.4%</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21.7%</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Return on total premiums</w:t>
            </w:r>
          </w:p>
        </w:tc>
        <w:tc>
          <w:tcPr>
            <w:tcW w:w="82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10.1%</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Net equity / total assets</w:t>
            </w:r>
          </w:p>
        </w:tc>
        <w:tc>
          <w:tcPr>
            <w:tcW w:w="820" w:type="dxa"/>
            <w:vAlign w:val="bottom"/>
            <w:gridSpan w:val="2"/>
            <w:shd w:val="clear" w:color="auto" w:fill="CCFFC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18.1%</w:t>
            </w:r>
          </w:p>
        </w:tc>
        <w:tc>
          <w:tcPr>
            <w:tcW w:w="82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17.8%</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13.9%</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18.1%</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13.9%</w:t>
            </w: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Increase in technical reserves</w:t>
            </w:r>
          </w:p>
        </w:tc>
        <w:tc>
          <w:tcPr>
            <w:tcW w:w="82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13.9%</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11.6%</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12.8%</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13.6%</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General expenses / assets (2)(3)</w:t>
            </w:r>
          </w:p>
        </w:tc>
        <w:tc>
          <w:tcPr>
            <w:tcW w:w="820" w:type="dxa"/>
            <w:vAlign w:val="bottom"/>
            <w:gridSpan w:val="2"/>
            <w:shd w:val="clear" w:color="auto" w:fill="CCFFC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82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6.2%</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6.3%</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6.3%</w:t>
            </w: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Combined ratio of PPS + PS (4)</w:t>
            </w:r>
          </w:p>
        </w:tc>
        <w:tc>
          <w:tcPr>
            <w:tcW w:w="820" w:type="dxa"/>
            <w:vAlign w:val="bottom"/>
            <w:gridSpan w:val="2"/>
            <w:shd w:val="clear" w:color="auto" w:fill="CCFFCC"/>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92.0%</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96.4%</w:t>
            </w:r>
          </w:p>
        </w:tc>
        <w:tc>
          <w:tcPr>
            <w:tcW w:w="82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72.8%</w:t>
            </w:r>
          </w:p>
        </w:tc>
        <w:tc>
          <w:tcPr>
            <w:tcW w:w="82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94.1%</w:t>
            </w:r>
          </w:p>
        </w:tc>
        <w:tc>
          <w:tcPr>
            <w:tcW w:w="780" w:type="dxa"/>
            <w:vAlign w:val="bottom"/>
            <w:gridSpan w:val="2"/>
            <w:shd w:val="clear" w:color="auto" w:fill="CCFFCC"/>
          </w:tcPr>
          <w:p>
            <w:pPr>
              <w:jc w:val="right"/>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99.2%</w:t>
            </w: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claims / net earned premiums</w:t>
            </w:r>
          </w:p>
        </w:tc>
        <w:tc>
          <w:tcPr>
            <w:tcW w:w="82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60.9%</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64.9%</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52.3%</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62.8%</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71.8%</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FFCC"/>
          </w:tcPr>
          <w:p>
            <w:pPr>
              <w:spacing w:after="0" w:line="122" w:lineRule="exact"/>
              <w:rPr>
                <w:sz w:val="20"/>
                <w:szCs w:val="20"/>
                <w:color w:val="auto"/>
              </w:rPr>
            </w:pPr>
            <w:r>
              <w:rPr>
                <w:rFonts w:ascii="Times New Roman" w:cs="Times New Roman" w:eastAsia="Times New Roman" w:hAnsi="Times New Roman"/>
                <w:sz w:val="11"/>
                <w:szCs w:val="11"/>
                <w:color w:val="auto"/>
              </w:rPr>
              <w:t>General expenses and commissions / net earned premiums</w:t>
            </w:r>
          </w:p>
        </w:tc>
        <w:tc>
          <w:tcPr>
            <w:tcW w:w="820" w:type="dxa"/>
            <w:vAlign w:val="bottom"/>
            <w:gridSpan w:val="2"/>
            <w:shd w:val="clear" w:color="auto" w:fill="CCFFC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31.1%</w:t>
            </w:r>
          </w:p>
        </w:tc>
        <w:tc>
          <w:tcPr>
            <w:tcW w:w="820" w:type="dxa"/>
            <w:vAlign w:val="bottom"/>
            <w:gridSpan w:val="2"/>
            <w:shd w:val="clear" w:color="auto" w:fill="CCFFC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20.4%</w:t>
            </w:r>
          </w:p>
        </w:tc>
        <w:tc>
          <w:tcPr>
            <w:tcW w:w="820" w:type="dxa"/>
            <w:vAlign w:val="bottom"/>
            <w:gridSpan w:val="2"/>
            <w:shd w:val="clear" w:color="auto" w:fill="CCFFC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31.2%</w:t>
            </w:r>
          </w:p>
        </w:tc>
        <w:tc>
          <w:tcPr>
            <w:tcW w:w="780" w:type="dxa"/>
            <w:vAlign w:val="bottom"/>
            <w:gridSpan w:val="2"/>
            <w:shd w:val="clear" w:color="auto" w:fill="CCFFC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27.4%</w:t>
            </w: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Real state investment were excluded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Annualized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are determined as the average of period - begging and period ending</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Without consolidated adjusments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7" w:name="page48"/>
    <w:bookmarkEnd w:id="47"/>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August 13,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43180</wp:posOffset>
            </wp:positionV>
            <wp:extent cx="25298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Giuliana Cuzquen</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11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2019-12-14T06:55:05Z</dcterms:created>
  <dcterms:modified xsi:type="dcterms:W3CDTF">2019-12-14T06:55:05Z</dcterms:modified>
</cp:coreProperties>
</file>