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May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682625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6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hereby notify you, as a Material Event, that today Credicorp Ltd. has transferred over the </w:t>
      </w:r>
      <w:r>
        <w:rPr>
          <w:rFonts w:ascii="Arial" w:cs="Arial" w:eastAsia="Arial" w:hAnsi="Arial"/>
          <w:sz w:val="18"/>
          <w:szCs w:val="18"/>
          <w:i w:val="1"/>
          <w:iCs w:val="1"/>
          <w:color w:val="auto"/>
        </w:rPr>
        <w:t>Bolsa de Valores de Lima</w:t>
      </w:r>
      <w:r>
        <w:rPr>
          <w:rFonts w:ascii="Arial" w:cs="Arial" w:eastAsia="Arial" w:hAnsi="Arial"/>
          <w:sz w:val="18"/>
          <w:szCs w:val="18"/>
          <w:color w:val="auto"/>
        </w:rPr>
        <w:t xml:space="preserve"> to its subsidiary, Grupo Credito S.A. (GC), 220,113,636 shares of Banco de Credito del Peru (BCP) owned by Credicorp Ltd., which represent 2.77% of BCP’s share capital. The amount paid per share was S/6.61.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transfer has been conducted within the framework of a reorganization process within Credicorp, without causing any change in control of BCP because Credicorp, through its subsidiary GC, will continue to own 97.69% of the shares of BCP.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2019-12-06T06:09:23Z</dcterms:created>
  <dcterms:modified xsi:type="dcterms:W3CDTF">2019-12-06T06:09:23Z</dcterms:modified>
</cp:coreProperties>
</file>