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 SECURITIES AND EXCHANGE COMMISSION</w:t>
      </w:r>
    </w:p>
    <w:p>
      <w:pPr>
        <w:spacing w:after="0" w:line="24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20-F/A</w:t>
      </w:r>
    </w:p>
    <w:p>
      <w:pPr>
        <w:spacing w:after="0" w:line="267" w:lineRule="exact"/>
        <w:rPr>
          <w:sz w:val="24"/>
          <w:szCs w:val="24"/>
          <w:color w:val="auto"/>
        </w:rPr>
      </w:pPr>
    </w:p>
    <w:p>
      <w:pPr>
        <w:ind w:left="4140" w:right="3380" w:hanging="2511"/>
        <w:spacing w:after="0" w:line="258" w:lineRule="auto"/>
        <w:tabs>
          <w:tab w:leader="none" w:pos="183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sz w:val="24"/>
          <w:szCs w:val="24"/>
          <w:color w:val="auto"/>
        </w:rPr>
      </w:pPr>
    </w:p>
    <w:p>
      <w:pPr>
        <w:ind w:left="4680" w:right="3300" w:hanging="3047"/>
        <w:spacing w:after="0" w:line="250" w:lineRule="auto"/>
        <w:rPr>
          <w:sz w:val="20"/>
          <w:szCs w:val="20"/>
          <w:color w:val="auto"/>
        </w:rPr>
      </w:pPr>
      <w:r>
        <w:rPr>
          <w:rFonts w:ascii="Arial" w:cs="Arial" w:eastAsia="Arial" w:hAnsi="Arial"/>
          <w:sz w:val="18"/>
          <w:szCs w:val="18"/>
          <w:color w:val="auto"/>
        </w:rPr>
        <w:t>x ANNUAL REPORT PURSUANT TO SECTION 13 OR 15(d) OF THE SECURITIES EXCHANGE ACT OF 1934</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 the fiscal year ended December 31, 2009</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4680" w:right="2900" w:hanging="3051"/>
        <w:spacing w:after="0" w:line="253" w:lineRule="auto"/>
        <w:tabs>
          <w:tab w:leader="none" w:pos="183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ind w:left="4680" w:right="2460" w:hanging="3051"/>
        <w:spacing w:after="0" w:line="250" w:lineRule="auto"/>
        <w:tabs>
          <w:tab w:leader="none" w:pos="183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 (d) OF THE SECURITIES EXCHANGE ACT OF 1934</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event requiring this shell company report ______________</w:t>
      </w:r>
    </w:p>
    <w:p>
      <w:pPr>
        <w:spacing w:after="0" w:line="9" w:lineRule="exact"/>
        <w:rPr>
          <w:sz w:val="24"/>
          <w:szCs w:val="24"/>
          <w:color w:val="auto"/>
        </w:rPr>
      </w:pPr>
    </w:p>
    <w:p>
      <w:pPr>
        <w:ind w:left="4440"/>
        <w:spacing w:after="0"/>
        <w:tabs>
          <w:tab w:leader="none" w:pos="68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Commission file number 1-14014</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CREDICORP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11430</wp:posOffset>
            </wp:positionV>
            <wp:extent cx="32588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charter)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BERMUDA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5715</wp:posOffset>
            </wp:positionV>
            <wp:extent cx="32588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(Jurisdiction of incorporation or organization)</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Lima 12, Perú</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2003425</wp:posOffset>
            </wp:positionH>
            <wp:positionV relativeFrom="paragraph">
              <wp:posOffset>5715</wp:posOffset>
            </wp:positionV>
            <wp:extent cx="32588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Alvaro Correa</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Credicorp Ltd</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Phone (+511) 313 2140</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Facsimile (+511) 313 2121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57975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1805940</wp:posOffset>
            </wp:positionH>
            <wp:positionV relativeFrom="paragraph">
              <wp:posOffset>220980</wp:posOffset>
            </wp:positionV>
            <wp:extent cx="36449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860" w:type="dxa"/>
            <w:vAlign w:val="bottom"/>
            <w:gridSpan w:val="2"/>
          </w:tcPr>
          <w:p>
            <w:pPr>
              <w:jc w:val="center"/>
              <w:ind w:right="1410"/>
              <w:spacing w:after="0"/>
              <w:rPr>
                <w:sz w:val="20"/>
                <w:szCs w:val="20"/>
                <w:color w:val="auto"/>
              </w:rPr>
            </w:pPr>
            <w:r>
              <w:rPr>
                <w:rFonts w:ascii="Arial" w:cs="Arial" w:eastAsia="Arial" w:hAnsi="Arial"/>
                <w:sz w:val="18"/>
                <w:szCs w:val="18"/>
                <w:b w:val="1"/>
                <w:bCs w:val="1"/>
                <w:color w:val="auto"/>
                <w:w w:val="87"/>
              </w:rPr>
              <w:t>Title of each class</w:t>
            </w: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8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21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37"/>
        </w:trPr>
        <w:tc>
          <w:tcPr>
            <w:tcW w:w="5040" w:type="dxa"/>
            <w:vAlign w:val="bottom"/>
            <w:gridSpan w:val="3"/>
          </w:tcPr>
          <w:p>
            <w:pPr>
              <w:jc w:val="center"/>
              <w:ind w:left="610"/>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89"/>
              </w:rPr>
              <w:t>New York Stock Exchange</w:t>
            </w:r>
          </w:p>
        </w:tc>
      </w:tr>
      <w:tr>
        <w:trPr>
          <w:trHeight w:val="459"/>
        </w:trPr>
        <w:tc>
          <w:tcPr>
            <w:tcW w:w="6600" w:type="dxa"/>
            <w:vAlign w:val="bottom"/>
            <w:gridSpan w:val="5"/>
          </w:tcPr>
          <w:p>
            <w:pPr>
              <w:ind w:left="660"/>
              <w:spacing w:after="0"/>
              <w:rPr>
                <w:sz w:val="20"/>
                <w:szCs w:val="20"/>
                <w:color w:val="auto"/>
              </w:rPr>
            </w:pPr>
            <w:r>
              <w:rPr>
                <w:rFonts w:ascii="Arial" w:cs="Arial" w:eastAsia="Arial" w:hAnsi="Arial"/>
                <w:sz w:val="18"/>
                <w:szCs w:val="18"/>
                <w:b w:val="1"/>
                <w:bCs w:val="1"/>
                <w:color w:val="auto"/>
                <w:w w:val="90"/>
              </w:rPr>
              <w:t>Securities registered or to be registered pursuant to Section 12(g) of the Act.</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40" w:type="dxa"/>
            <w:vAlign w:val="bottom"/>
            <w:gridSpan w:val="2"/>
          </w:tcPr>
          <w:p>
            <w:pPr>
              <w:ind w:left="740"/>
              <w:spacing w:after="0"/>
              <w:rPr>
                <w:sz w:val="20"/>
                <w:szCs w:val="20"/>
                <w:color w:val="auto"/>
              </w:rPr>
            </w:pPr>
            <w:r>
              <w:rPr>
                <w:rFonts w:ascii="Arial" w:cs="Arial" w:eastAsia="Arial" w:hAnsi="Arial"/>
                <w:sz w:val="18"/>
                <w:szCs w:val="18"/>
                <w:color w:val="auto"/>
              </w:rPr>
              <w:t>None</w:t>
            </w:r>
          </w:p>
        </w:tc>
      </w:tr>
      <w:tr>
        <w:trPr>
          <w:trHeight w:val="459"/>
        </w:trPr>
        <w:tc>
          <w:tcPr>
            <w:tcW w:w="7440" w:type="dxa"/>
            <w:vAlign w:val="bottom"/>
            <w:gridSpan w:val="7"/>
          </w:tcPr>
          <w:p>
            <w:pPr>
              <w:ind w:left="660"/>
              <w:spacing w:after="0"/>
              <w:rPr>
                <w:sz w:val="20"/>
                <w:szCs w:val="20"/>
                <w:color w:val="auto"/>
              </w:rPr>
            </w:pPr>
            <w:r>
              <w:rPr>
                <w:rFonts w:ascii="Arial" w:cs="Arial" w:eastAsia="Arial" w:hAnsi="Arial"/>
                <w:sz w:val="18"/>
                <w:szCs w:val="18"/>
                <w:b w:val="1"/>
                <w:bCs w:val="1"/>
                <w:color w:val="auto"/>
                <w:w w:val="90"/>
              </w:rPr>
              <w:t>Securities for which there is a reporting obligation pursuant to Section 15(d) of the Act.</w:t>
            </w:r>
          </w:p>
        </w:tc>
        <w:tc>
          <w:tcPr>
            <w:tcW w:w="3840" w:type="dxa"/>
            <w:vAlign w:val="bottom"/>
            <w:gridSpan w:val="2"/>
          </w:tcPr>
          <w:p>
            <w:pPr>
              <w:ind w:left="760"/>
              <w:spacing w:after="0"/>
              <w:rPr>
                <w:sz w:val="20"/>
                <w:szCs w:val="20"/>
                <w:color w:val="auto"/>
              </w:rPr>
            </w:pPr>
            <w:r>
              <w:rPr>
                <w:rFonts w:ascii="Arial" w:cs="Arial" w:eastAsia="Arial" w:hAnsi="Arial"/>
                <w:sz w:val="18"/>
                <w:szCs w:val="18"/>
                <w:color w:val="auto"/>
              </w:rPr>
              <w:t>None</w:t>
            </w:r>
          </w:p>
        </w:tc>
      </w:tr>
      <w:tr>
        <w:trPr>
          <w:trHeight w:val="441"/>
        </w:trPr>
        <w:tc>
          <w:tcPr>
            <w:tcW w:w="11280" w:type="dxa"/>
            <w:vAlign w:val="bottom"/>
            <w:gridSpan w:val="9"/>
          </w:tcPr>
          <w:p>
            <w:pPr>
              <w:ind w:left="660"/>
              <w:spacing w:after="0"/>
              <w:rPr>
                <w:sz w:val="20"/>
                <w:szCs w:val="20"/>
                <w:color w:val="auto"/>
              </w:rPr>
            </w:pPr>
            <w:r>
              <w:rPr>
                <w:rFonts w:ascii="Arial" w:cs="Arial" w:eastAsia="Arial" w:hAnsi="Arial"/>
                <w:sz w:val="18"/>
                <w:szCs w:val="18"/>
                <w:b w:val="1"/>
                <w:bCs w:val="1"/>
                <w:color w:val="auto"/>
                <w:w w:val="87"/>
              </w:rPr>
              <w:t>Indicate the number of outstanding shares of each of the issuer’s classes of capital or common stock as of the close of the period covered by</w:t>
            </w:r>
          </w:p>
        </w:tc>
      </w:tr>
      <w:tr>
        <w:trPr>
          <w:trHeight w:val="234"/>
        </w:trPr>
        <w:tc>
          <w:tcPr>
            <w:tcW w:w="5040" w:type="dxa"/>
            <w:vAlign w:val="bottom"/>
            <w:gridSpan w:val="3"/>
          </w:tcPr>
          <w:p>
            <w:pPr>
              <w:spacing w:after="0"/>
              <w:rPr>
                <w:sz w:val="20"/>
                <w:szCs w:val="20"/>
                <w:color w:val="auto"/>
              </w:rPr>
            </w:pPr>
            <w:r>
              <w:rPr>
                <w:rFonts w:ascii="Arial" w:cs="Arial" w:eastAsia="Arial" w:hAnsi="Arial"/>
                <w:sz w:val="18"/>
                <w:szCs w:val="18"/>
                <w:b w:val="1"/>
                <w:bCs w:val="1"/>
                <w:color w:val="auto"/>
                <w:w w:val="97"/>
              </w:rPr>
              <w:t xml:space="preserve">the annual report.   </w:t>
            </w:r>
            <w:r>
              <w:rPr>
                <w:rFonts w:ascii="Arial" w:cs="Arial" w:eastAsia="Arial" w:hAnsi="Arial"/>
                <w:sz w:val="18"/>
                <w:szCs w:val="18"/>
                <w:color w:val="auto"/>
                <w:w w:val="97"/>
              </w:rPr>
              <w:t>Common Shares, par value $5.00 per share</w:t>
            </w:r>
          </w:p>
        </w:tc>
        <w:tc>
          <w:tcPr>
            <w:tcW w:w="46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rPr>
              <w:t>94,382,317</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2"/>
        </w:trPr>
        <w:tc>
          <w:tcPr>
            <w:tcW w:w="11280" w:type="dxa"/>
            <w:vAlign w:val="bottom"/>
            <w:gridSpan w:val="9"/>
          </w:tcPr>
          <w:p>
            <w:pPr>
              <w:ind w:left="660"/>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tc>
      </w:tr>
      <w:tr>
        <w:trPr>
          <w:trHeight w:val="283"/>
        </w:trPr>
        <w:tc>
          <w:tcPr>
            <w:tcW w:w="2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00" w:type="dxa"/>
            <w:vAlign w:val="bottom"/>
          </w:tcPr>
          <w:p>
            <w:pPr>
              <w:ind w:left="1000"/>
              <w:spacing w:after="0"/>
              <w:rPr>
                <w:sz w:val="20"/>
                <w:szCs w:val="20"/>
                <w:color w:val="auto"/>
              </w:rPr>
            </w:pPr>
            <w:r>
              <w:rPr>
                <w:rFonts w:ascii="Arial" w:cs="Arial" w:eastAsia="Arial" w:hAnsi="Arial"/>
                <w:sz w:val="18"/>
                <w:szCs w:val="18"/>
                <w:color w:val="auto"/>
              </w:rPr>
              <w:t>Yes</w:t>
            </w:r>
          </w:p>
        </w:tc>
        <w:tc>
          <w:tcPr>
            <w:tcW w:w="460" w:type="dxa"/>
            <w:vAlign w:val="bottom"/>
          </w:tcPr>
          <w:p>
            <w:pPr>
              <w:ind w:left="260"/>
              <w:spacing w:after="0"/>
              <w:rPr>
                <w:sz w:val="20"/>
                <w:szCs w:val="20"/>
                <w:color w:val="auto"/>
              </w:rPr>
            </w:pPr>
            <w:r>
              <w:rPr>
                <w:rFonts w:ascii="Arial" w:cs="Arial" w:eastAsia="Arial" w:hAnsi="Arial"/>
                <w:sz w:val="18"/>
                <w:szCs w:val="18"/>
                <w:color w:val="auto"/>
              </w:rPr>
              <w:t>x</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No</w:t>
            </w:r>
          </w:p>
        </w:tc>
        <w:tc>
          <w:tcPr>
            <w:tcW w:w="840" w:type="dxa"/>
            <w:vAlign w:val="bottom"/>
            <w:gridSpan w:val="2"/>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280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5" w:lineRule="exact"/>
        <w:rPr>
          <w:sz w:val="24"/>
          <w:szCs w:val="24"/>
          <w:color w:val="auto"/>
        </w:rPr>
      </w:pPr>
    </w:p>
    <w:p>
      <w:pPr>
        <w:jc w:val="both"/>
        <w:ind w:right="20" w:firstLine="648"/>
        <w:spacing w:after="0" w:line="258"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ind w:left="4540"/>
        <w:spacing w:after="0" w:line="207" w:lineRule="exact"/>
        <w:tabs>
          <w:tab w:leader="none" w:pos="5280" w:val="left"/>
          <w:tab w:leader="none" w:pos="6240" w:val="left"/>
          <w:tab w:leader="none" w:pos="678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Arial" w:cs="Arial" w:eastAsia="Arial" w:hAnsi="Arial"/>
          <w:sz w:val="18"/>
          <w:szCs w:val="18"/>
          <w:color w:val="auto"/>
        </w:rPr>
        <w:t>x</w:t>
      </w:r>
    </w:p>
    <w:p>
      <w:pPr>
        <w:spacing w:after="0" w:line="239" w:lineRule="exact"/>
        <w:rPr>
          <w:sz w:val="24"/>
          <w:szCs w:val="24"/>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4540"/>
        <w:spacing w:after="0" w:line="207" w:lineRule="exact"/>
        <w:tabs>
          <w:tab w:leader="none" w:pos="5280" w:val="left"/>
          <w:tab w:leader="none" w:pos="6180" w:val="left"/>
          <w:tab w:leader="none" w:pos="67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320"/>
          </w:cols>
          <w:pgMar w:left="240" w:top="301" w:right="339" w:bottom="0" w:gutter="0" w:footer="0" w:header="0"/>
        </w:sectPr>
      </w:pPr>
    </w:p>
    <w:bookmarkStart w:id="1" w:name="page2"/>
    <w:bookmarkEnd w:id="1"/>
    <w:p>
      <w:pPr>
        <w:ind w:right="60"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580" w:type="dxa"/>
            <w:vAlign w:val="bottom"/>
          </w:tcPr>
          <w:p>
            <w:pPr>
              <w:spacing w:after="0"/>
              <w:rPr>
                <w:sz w:val="24"/>
                <w:szCs w:val="24"/>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rPr>
              <w:t>Yes</w:t>
            </w:r>
          </w:p>
        </w:tc>
        <w:tc>
          <w:tcPr>
            <w:tcW w:w="1280" w:type="dxa"/>
            <w:vAlign w:val="bottom"/>
          </w:tcPr>
          <w:p>
            <w:pPr>
              <w:ind w:left="400"/>
              <w:spacing w:after="0"/>
              <w:rPr>
                <w:sz w:val="20"/>
                <w:szCs w:val="20"/>
                <w:color w:val="auto"/>
              </w:rPr>
            </w:pPr>
            <w:r>
              <w:rPr>
                <w:rFonts w:ascii="Arial" w:cs="Arial" w:eastAsia="Arial" w:hAnsi="Arial"/>
                <w:sz w:val="18"/>
                <w:szCs w:val="18"/>
                <w:color w:val="auto"/>
              </w:rPr>
              <w:t>x</w:t>
            </w:r>
          </w:p>
        </w:tc>
        <w:tc>
          <w:tcPr>
            <w:tcW w:w="420" w:type="dxa"/>
            <w:vAlign w:val="bottom"/>
          </w:tcPr>
          <w:p>
            <w:pPr>
              <w:ind w:left="20"/>
              <w:spacing w:after="0"/>
              <w:rPr>
                <w:sz w:val="20"/>
                <w:szCs w:val="20"/>
                <w:color w:val="auto"/>
              </w:rPr>
            </w:pPr>
            <w:r>
              <w:rPr>
                <w:rFonts w:ascii="Arial" w:cs="Arial" w:eastAsia="Arial" w:hAnsi="Arial"/>
                <w:sz w:val="18"/>
                <w:szCs w:val="18"/>
                <w:color w:val="auto"/>
              </w:rPr>
              <w:t>No</w:t>
            </w:r>
          </w:p>
        </w:tc>
        <w:tc>
          <w:tcPr>
            <w:tcW w:w="2740" w:type="dxa"/>
            <w:vAlign w:val="bottom"/>
          </w:tcPr>
          <w:p>
            <w:pPr>
              <w:jc w:val="right"/>
              <w:ind w:right="2370"/>
              <w:spacing w:after="0" w:line="181" w:lineRule="exact"/>
              <w:rPr>
                <w:sz w:val="20"/>
                <w:szCs w:val="20"/>
                <w:color w:val="auto"/>
              </w:rPr>
            </w:pPr>
            <w:r>
              <w:rPr>
                <w:rFonts w:ascii="MS PGothic" w:cs="MS PGothic" w:eastAsia="MS PGothic" w:hAnsi="MS PGothic"/>
                <w:sz w:val="18"/>
                <w:szCs w:val="18"/>
                <w:color w:val="auto"/>
              </w:rPr>
              <w:t>☐</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2"/>
              </w:rPr>
              <w:t xml:space="preserve">Indicate by check mark whether the registrant is a large accelerated filer, an accelerated filer, or a non-accelerated filer. </w:t>
            </w:r>
            <w:r>
              <w:rPr>
                <w:rFonts w:ascii="Arial" w:cs="Arial" w:eastAsia="Arial" w:hAnsi="Arial"/>
                <w:sz w:val="18"/>
                <w:szCs w:val="18"/>
                <w:b w:val="1"/>
                <w:bCs w:val="1"/>
                <w:i w:val="1"/>
                <w:iCs w:val="1"/>
                <w:color w:val="auto"/>
                <w:w w:val="92"/>
              </w:rPr>
              <w:t>See</w:t>
            </w:r>
            <w:r>
              <w:rPr>
                <w:rFonts w:ascii="Arial" w:cs="Arial" w:eastAsia="Arial" w:hAnsi="Arial"/>
                <w:sz w:val="18"/>
                <w:szCs w:val="18"/>
                <w:b w:val="1"/>
                <w:bCs w:val="1"/>
                <w:color w:val="auto"/>
                <w:w w:val="92"/>
              </w:rPr>
              <w:t xml:space="preserve"> definition of</w:t>
            </w:r>
          </w:p>
        </w:tc>
        <w:tc>
          <w:tcPr>
            <w:tcW w:w="0" w:type="dxa"/>
            <w:vAlign w:val="bottom"/>
          </w:tcPr>
          <w:p>
            <w:pPr>
              <w:spacing w:after="0"/>
              <w:rPr>
                <w:sz w:val="1"/>
                <w:szCs w:val="1"/>
                <w:color w:val="auto"/>
              </w:rPr>
            </w:pPr>
          </w:p>
        </w:tc>
      </w:tr>
      <w:tr>
        <w:trPr>
          <w:trHeight w:val="187"/>
        </w:trPr>
        <w:tc>
          <w:tcPr>
            <w:tcW w:w="6180" w:type="dxa"/>
            <w:vAlign w:val="bottom"/>
            <w:gridSpan w:val="3"/>
          </w:tcPr>
          <w:p>
            <w:pPr>
              <w:spacing w:after="0" w:line="188" w:lineRule="exact"/>
              <w:rPr>
                <w:sz w:val="20"/>
                <w:szCs w:val="20"/>
                <w:color w:val="auto"/>
              </w:rPr>
            </w:pPr>
            <w:r>
              <w:rPr>
                <w:rFonts w:ascii="Arial" w:cs="Arial" w:eastAsia="Arial" w:hAnsi="Arial"/>
                <w:sz w:val="18"/>
                <w:szCs w:val="18"/>
                <w:b w:val="1"/>
                <w:bCs w:val="1"/>
                <w:color w:val="auto"/>
                <w:w w:val="90"/>
              </w:rPr>
              <w:t>“accelerated filer and large accelerated filer” in Rule 12b-2 of the Exchange Act.</w:t>
            </w:r>
          </w:p>
        </w:tc>
        <w:tc>
          <w:tcPr>
            <w:tcW w:w="4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580" w:type="dxa"/>
            <w:vAlign w:val="bottom"/>
          </w:tcPr>
          <w:p>
            <w:pPr>
              <w:ind w:left="1920"/>
              <w:spacing w:after="0"/>
              <w:rPr>
                <w:sz w:val="20"/>
                <w:szCs w:val="20"/>
                <w:color w:val="auto"/>
              </w:rPr>
            </w:pPr>
            <w:r>
              <w:rPr>
                <w:rFonts w:ascii="Arial" w:cs="Arial" w:eastAsia="Arial" w:hAnsi="Arial"/>
                <w:sz w:val="18"/>
                <w:szCs w:val="18"/>
                <w:color w:val="auto"/>
                <w:w w:val="92"/>
              </w:rPr>
              <w:t>Large accelerated filer</w:t>
            </w:r>
          </w:p>
        </w:tc>
        <w:tc>
          <w:tcPr>
            <w:tcW w:w="1320" w:type="dxa"/>
            <w:vAlign w:val="bottom"/>
          </w:tcPr>
          <w:p>
            <w:pPr>
              <w:ind w:left="40"/>
              <w:spacing w:after="0"/>
              <w:rPr>
                <w:sz w:val="20"/>
                <w:szCs w:val="20"/>
                <w:color w:val="auto"/>
              </w:rPr>
            </w:pPr>
            <w:r>
              <w:rPr>
                <w:rFonts w:ascii="Arial" w:cs="Arial" w:eastAsia="Arial" w:hAnsi="Arial"/>
                <w:sz w:val="18"/>
                <w:szCs w:val="18"/>
                <w:color w:val="auto"/>
              </w:rPr>
              <w:t>x</w:t>
            </w:r>
          </w:p>
        </w:tc>
        <w:tc>
          <w:tcPr>
            <w:tcW w:w="1700" w:type="dxa"/>
            <w:vAlign w:val="bottom"/>
            <w:gridSpan w:val="2"/>
          </w:tcPr>
          <w:p>
            <w:pPr>
              <w:jc w:val="center"/>
              <w:spacing w:after="0" w:line="207" w:lineRule="exact"/>
              <w:rPr>
                <w:sz w:val="20"/>
                <w:szCs w:val="20"/>
                <w:color w:val="auto"/>
              </w:rPr>
            </w:pPr>
            <w:r>
              <w:rPr>
                <w:rFonts w:ascii="Arial" w:cs="Arial" w:eastAsia="Arial" w:hAnsi="Arial"/>
                <w:sz w:val="18"/>
                <w:szCs w:val="18"/>
                <w:color w:val="auto"/>
                <w:w w:val="95"/>
              </w:rPr>
              <w:t xml:space="preserve">Accelerated filer </w:t>
            </w:r>
            <w:r>
              <w:rPr>
                <w:rFonts w:ascii="MS PGothic" w:cs="MS PGothic" w:eastAsia="MS PGothic" w:hAnsi="MS PGothic"/>
                <w:sz w:val="18"/>
                <w:szCs w:val="18"/>
                <w:color w:val="auto"/>
                <w:w w:val="95"/>
              </w:rPr>
              <w:t>☐</w:t>
            </w:r>
          </w:p>
        </w:tc>
        <w:tc>
          <w:tcPr>
            <w:tcW w:w="2740" w:type="dxa"/>
            <w:vAlign w:val="bottom"/>
          </w:tcPr>
          <w:p>
            <w:pPr>
              <w:jc w:val="right"/>
              <w:spacing w:after="0"/>
              <w:rPr>
                <w:sz w:val="20"/>
                <w:szCs w:val="20"/>
                <w:color w:val="auto"/>
              </w:rPr>
            </w:pPr>
            <w:r>
              <w:rPr>
                <w:rFonts w:ascii="Arial" w:cs="Arial" w:eastAsia="Arial" w:hAnsi="Arial"/>
                <w:sz w:val="18"/>
                <w:szCs w:val="18"/>
                <w:color w:val="auto"/>
              </w:rPr>
              <w:t>Non-accelerated filer</w:t>
            </w:r>
          </w:p>
        </w:tc>
        <w:tc>
          <w:tcPr>
            <w:tcW w:w="2080" w:type="dxa"/>
            <w:vAlign w:val="bottom"/>
          </w:tcPr>
          <w:p>
            <w:pPr>
              <w:ind w:left="6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87"/>
        </w:trPr>
        <w:tc>
          <w:tcPr>
            <w:tcW w:w="11420" w:type="dxa"/>
            <w:vAlign w:val="bottom"/>
            <w:gridSpan w:val="6"/>
          </w:tcPr>
          <w:p>
            <w:pPr>
              <w:ind w:left="660"/>
              <w:spacing w:after="0" w:line="188" w:lineRule="exact"/>
              <w:rPr>
                <w:sz w:val="20"/>
                <w:szCs w:val="20"/>
                <w:color w:val="auto"/>
              </w:rPr>
            </w:pPr>
            <w:r>
              <w:rPr>
                <w:rFonts w:ascii="Arial" w:cs="Arial" w:eastAsia="Arial" w:hAnsi="Arial"/>
                <w:sz w:val="18"/>
                <w:szCs w:val="18"/>
                <w:b w:val="1"/>
                <w:bCs w:val="1"/>
                <w:color w:val="auto"/>
                <w:w w:val="95"/>
              </w:rPr>
              <w:t>Indicate by check mark which basis of accounting the registrant has used to prepare the financial statements included in this filing:</w:t>
            </w:r>
          </w:p>
        </w:tc>
        <w:tc>
          <w:tcPr>
            <w:tcW w:w="0" w:type="dxa"/>
            <w:vAlign w:val="bottom"/>
          </w:tcPr>
          <w:p>
            <w:pPr>
              <w:spacing w:after="0"/>
              <w:rPr>
                <w:sz w:val="1"/>
                <w:szCs w:val="1"/>
                <w:color w:val="auto"/>
              </w:rPr>
            </w:pPr>
          </w:p>
        </w:tc>
      </w:tr>
      <w:tr>
        <w:trPr>
          <w:trHeight w:val="249"/>
        </w:trPr>
        <w:tc>
          <w:tcPr>
            <w:tcW w:w="3580" w:type="dxa"/>
            <w:vAlign w:val="bottom"/>
          </w:tcPr>
          <w:p>
            <w:pPr>
              <w:ind w:left="660"/>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tc>
        <w:tc>
          <w:tcPr>
            <w:tcW w:w="5760" w:type="dxa"/>
            <w:vAlign w:val="bottom"/>
            <w:gridSpan w:val="4"/>
          </w:tcPr>
          <w:p>
            <w:pPr>
              <w:jc w:val="center"/>
              <w:ind w:right="1390"/>
              <w:spacing w:after="0"/>
              <w:rPr>
                <w:sz w:val="20"/>
                <w:szCs w:val="20"/>
                <w:color w:val="auto"/>
              </w:rPr>
            </w:pPr>
            <w:r>
              <w:rPr>
                <w:rFonts w:ascii="Arial" w:cs="Arial" w:eastAsia="Arial" w:hAnsi="Arial"/>
                <w:sz w:val="18"/>
                <w:szCs w:val="18"/>
                <w:color w:val="auto"/>
                <w:w w:val="89"/>
              </w:rPr>
              <w:t>International Financial Reporting Standards as issued</w:t>
            </w:r>
          </w:p>
        </w:tc>
        <w:tc>
          <w:tcPr>
            <w:tcW w:w="2080" w:type="dxa"/>
            <w:vAlign w:val="bottom"/>
          </w:tcPr>
          <w:p>
            <w:pPr>
              <w:ind w:left="640"/>
              <w:spacing w:after="0" w:line="207" w:lineRule="exact"/>
              <w:rPr>
                <w:sz w:val="20"/>
                <w:szCs w:val="20"/>
                <w:color w:val="auto"/>
              </w:rPr>
            </w:pPr>
            <w:r>
              <w:rPr>
                <w:rFonts w:ascii="Arial" w:cs="Arial" w:eastAsia="Arial" w:hAnsi="Arial"/>
                <w:sz w:val="18"/>
                <w:szCs w:val="18"/>
                <w:color w:val="auto"/>
              </w:rPr>
              <w:t xml:space="preserve">Other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2"/>
        </w:trPr>
        <w:tc>
          <w:tcPr>
            <w:tcW w:w="3580" w:type="dxa"/>
            <w:vAlign w:val="bottom"/>
          </w:tcPr>
          <w:p>
            <w:pPr>
              <w:spacing w:after="0"/>
              <w:rPr>
                <w:sz w:val="18"/>
                <w:szCs w:val="18"/>
                <w:color w:val="auto"/>
              </w:rPr>
            </w:pPr>
          </w:p>
        </w:tc>
        <w:tc>
          <w:tcPr>
            <w:tcW w:w="5760" w:type="dxa"/>
            <w:vAlign w:val="bottom"/>
            <w:gridSpan w:val="4"/>
          </w:tcPr>
          <w:p>
            <w:pPr>
              <w:jc w:val="center"/>
              <w:ind w:right="1390"/>
              <w:spacing w:after="0"/>
              <w:rPr>
                <w:sz w:val="20"/>
                <w:szCs w:val="20"/>
                <w:color w:val="auto"/>
              </w:rPr>
            </w:pPr>
            <w:r>
              <w:rPr>
                <w:rFonts w:ascii="Arial" w:cs="Arial" w:eastAsia="Arial" w:hAnsi="Arial"/>
                <w:sz w:val="18"/>
                <w:szCs w:val="18"/>
                <w:color w:val="auto"/>
                <w:w w:val="92"/>
              </w:rPr>
              <w:t>by the International Accounting Standards Board  x</w:t>
            </w: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0"/>
              </w:rPr>
              <w:t>If “Other” has been checked in response to the previous question, indicate by check mark which financial statement item the registrant has</w:t>
            </w:r>
          </w:p>
        </w:tc>
        <w:tc>
          <w:tcPr>
            <w:tcW w:w="0" w:type="dxa"/>
            <w:vAlign w:val="bottom"/>
          </w:tcPr>
          <w:p>
            <w:pPr>
              <w:spacing w:after="0"/>
              <w:rPr>
                <w:sz w:val="1"/>
                <w:szCs w:val="1"/>
                <w:color w:val="auto"/>
              </w:rPr>
            </w:pPr>
          </w:p>
        </w:tc>
      </w:tr>
      <w:tr>
        <w:trPr>
          <w:trHeight w:val="234"/>
        </w:trPr>
        <w:tc>
          <w:tcPr>
            <w:tcW w:w="3580" w:type="dxa"/>
            <w:vAlign w:val="bottom"/>
          </w:tcPr>
          <w:p>
            <w:pPr>
              <w:spacing w:after="0"/>
              <w:rPr>
                <w:sz w:val="20"/>
                <w:szCs w:val="20"/>
                <w:color w:val="auto"/>
              </w:rPr>
            </w:pPr>
            <w:r>
              <w:rPr>
                <w:rFonts w:ascii="Arial" w:cs="Arial" w:eastAsia="Arial" w:hAnsi="Arial"/>
                <w:sz w:val="18"/>
                <w:szCs w:val="18"/>
                <w:b w:val="1"/>
                <w:bCs w:val="1"/>
                <w:color w:val="auto"/>
              </w:rPr>
              <w:t>elected to follow.</w:t>
            </w:r>
          </w:p>
        </w:tc>
        <w:tc>
          <w:tcPr>
            <w:tcW w:w="2600" w:type="dxa"/>
            <w:vAlign w:val="bottom"/>
            <w:gridSpan w:val="2"/>
            <w:vMerge w:val="restart"/>
          </w:tcPr>
          <w:p>
            <w:pPr>
              <w:ind w:left="840"/>
              <w:spacing w:after="0" w:line="207" w:lineRule="exact"/>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p>
        </w:tc>
        <w:tc>
          <w:tcPr>
            <w:tcW w:w="3160" w:type="dxa"/>
            <w:vAlign w:val="bottom"/>
            <w:gridSpan w:val="2"/>
            <w:vMerge w:val="restart"/>
          </w:tcPr>
          <w:p>
            <w:pPr>
              <w:ind w:left="80"/>
              <w:spacing w:after="0"/>
              <w:rPr>
                <w:sz w:val="20"/>
                <w:szCs w:val="20"/>
                <w:color w:val="auto"/>
              </w:rPr>
            </w:pPr>
            <w:r>
              <w:rPr>
                <w:rFonts w:ascii="Arial" w:cs="Arial" w:eastAsia="Arial" w:hAnsi="Arial"/>
                <w:sz w:val="18"/>
                <w:szCs w:val="18"/>
                <w:color w:val="auto"/>
              </w:rPr>
              <w:t>Item 18 x</w:t>
            </w: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580" w:type="dxa"/>
            <w:vAlign w:val="bottom"/>
          </w:tcPr>
          <w:p>
            <w:pPr>
              <w:spacing w:after="0"/>
              <w:rPr>
                <w:sz w:val="20"/>
                <w:szCs w:val="20"/>
                <w:color w:val="auto"/>
              </w:rPr>
            </w:pPr>
          </w:p>
        </w:tc>
        <w:tc>
          <w:tcPr>
            <w:tcW w:w="2600" w:type="dxa"/>
            <w:vAlign w:val="bottom"/>
            <w:gridSpan w:val="2"/>
            <w:vMerge w:val="continue"/>
          </w:tcPr>
          <w:p>
            <w:pPr>
              <w:spacing w:after="0"/>
              <w:rPr>
                <w:sz w:val="20"/>
                <w:szCs w:val="20"/>
                <w:color w:val="auto"/>
              </w:rPr>
            </w:pPr>
          </w:p>
        </w:tc>
        <w:tc>
          <w:tcPr>
            <w:tcW w:w="3160" w:type="dxa"/>
            <w:vAlign w:val="bottom"/>
            <w:gridSpan w:val="2"/>
            <w:vMerge w:val="continue"/>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0"/>
              </w:rPr>
              <w:t>If this is an annual report, indicate by check mark whether the registrant is a shell company (as defined in Rule 12b-2 of the Exchange Act).</w:t>
            </w:r>
          </w:p>
        </w:tc>
        <w:tc>
          <w:tcPr>
            <w:tcW w:w="0" w:type="dxa"/>
            <w:vAlign w:val="bottom"/>
          </w:tcPr>
          <w:p>
            <w:pPr>
              <w:spacing w:after="0"/>
              <w:rPr>
                <w:sz w:val="1"/>
                <w:szCs w:val="1"/>
                <w:color w:val="auto"/>
              </w:rPr>
            </w:pPr>
          </w:p>
        </w:tc>
      </w:tr>
      <w:tr>
        <w:trPr>
          <w:trHeight w:val="283"/>
        </w:trPr>
        <w:tc>
          <w:tcPr>
            <w:tcW w:w="3580" w:type="dxa"/>
            <w:vAlign w:val="bottom"/>
          </w:tcPr>
          <w:p>
            <w:pPr>
              <w:spacing w:after="0"/>
              <w:rPr>
                <w:sz w:val="24"/>
                <w:szCs w:val="24"/>
                <w:color w:val="auto"/>
              </w:rPr>
            </w:pPr>
          </w:p>
        </w:tc>
        <w:tc>
          <w:tcPr>
            <w:tcW w:w="1320" w:type="dxa"/>
            <w:vAlign w:val="bottom"/>
          </w:tcPr>
          <w:p>
            <w:pPr>
              <w:ind w:left="960"/>
              <w:spacing w:after="0"/>
              <w:rPr>
                <w:sz w:val="20"/>
                <w:szCs w:val="20"/>
                <w:color w:val="auto"/>
              </w:rPr>
            </w:pPr>
            <w:r>
              <w:rPr>
                <w:rFonts w:ascii="Arial" w:cs="Arial" w:eastAsia="Arial" w:hAnsi="Arial"/>
                <w:sz w:val="18"/>
                <w:szCs w:val="18"/>
                <w:color w:val="auto"/>
              </w:rPr>
              <w:t>Yes</w:t>
            </w:r>
          </w:p>
        </w:tc>
        <w:tc>
          <w:tcPr>
            <w:tcW w:w="128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420" w:type="dxa"/>
            <w:vAlign w:val="bottom"/>
          </w:tcPr>
          <w:p>
            <w:pPr>
              <w:ind w:left="80"/>
              <w:spacing w:after="0"/>
              <w:rPr>
                <w:sz w:val="20"/>
                <w:szCs w:val="20"/>
                <w:color w:val="auto"/>
              </w:rPr>
            </w:pPr>
            <w:r>
              <w:rPr>
                <w:rFonts w:ascii="Arial" w:cs="Arial" w:eastAsia="Arial" w:hAnsi="Arial"/>
                <w:sz w:val="18"/>
                <w:szCs w:val="18"/>
                <w:color w:val="auto"/>
              </w:rPr>
              <w:t>No</w:t>
            </w:r>
          </w:p>
        </w:tc>
        <w:tc>
          <w:tcPr>
            <w:tcW w:w="2740" w:type="dxa"/>
            <w:vAlign w:val="bottom"/>
          </w:tcPr>
          <w:p>
            <w:pPr>
              <w:jc w:val="right"/>
              <w:ind w:right="2350"/>
              <w:spacing w:after="0"/>
              <w:rPr>
                <w:sz w:val="20"/>
                <w:szCs w:val="20"/>
                <w:color w:val="auto"/>
              </w:rPr>
            </w:pPr>
            <w:r>
              <w:rPr>
                <w:rFonts w:ascii="Arial" w:cs="Arial" w:eastAsia="Arial" w:hAnsi="Arial"/>
                <w:sz w:val="18"/>
                <w:szCs w:val="18"/>
                <w:color w:val="auto"/>
              </w:rPr>
              <w:t>x</w:t>
            </w: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358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274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t>EXPLANATORY NOTE</w:t>
      </w:r>
    </w:p>
    <w:p>
      <w:pPr>
        <w:spacing w:after="0" w:line="256"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Credicorp Ltd. is filing this amendment to its Form 20-F for the year ended December 31, 2009 in order to address comments received from the Securities and Exchange Commission to the original Form 20-F filed on June 18, 2010 (the “Original Filing”).</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amendment amends and restates the following Items of Credicorp’s Form 20-F:</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Item 3 “Key Information”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Item 4 “Information on the Company”</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Item 5 “Operating and Financial Review and Prospects”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Item 6 “Directors and Senior Management”</w:t>
      </w:r>
    </w:p>
    <w:p>
      <w:pPr>
        <w:spacing w:after="0" w:line="252"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This amendment and the Original Filing continue to speak as of June 18, 2010, the date on which the Original Filing was made. Except as described above, this amendment does not, and does not purport to, amend or restate the information in any other Item of the Original Filing, or update the disclosure for or on account of any events that have occurred after the date on which the Original Filing was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516890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13" w:right="4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440" w:type="dxa"/>
            <w:vAlign w:val="bottom"/>
            <w:gridSpan w:val="3"/>
          </w:tcPr>
          <w:p>
            <w:pPr>
              <w:spacing w:after="0"/>
              <w:rPr>
                <w:sz w:val="20"/>
                <w:szCs w:val="20"/>
                <w:color w:val="auto"/>
              </w:rPr>
            </w:pPr>
            <w:r>
              <w:rPr>
                <w:rFonts w:ascii="Arial" w:cs="Arial" w:eastAsia="Arial" w:hAnsi="Arial"/>
                <w:sz w:val="18"/>
                <w:szCs w:val="18"/>
                <w:b w:val="1"/>
                <w:bCs w:val="1"/>
                <w:color w:val="auto"/>
              </w:rPr>
              <w:t>TABLE OF CONTENTS</w:t>
            </w: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42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PRESENTATION OF FINANCIAL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CAUTIONARY STATEMENT WITH RESPECT TO FORWARD-LOOKING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IDENTITY OF DIRECTORS, SENIOR MANAGEMENT AND ADVISERS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OFFER STATISTICS AND EXPECTED TIMETABLE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KEY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INFORMATION ON THE COMPANY</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UNRESOLVED STAFF COMMENTS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OPERATING AND FINANCIAL REVIEW AND PROSPECTS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DIRECTORS, SENIOR MANAGEMENT AND EMPLOYEES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MAJOR SHAREHOLDERS AND RELATED PARTY TRANSACTIONS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THE OFFER AND LISTING</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ADDITIONAL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11.</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13.</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DEFAULTS, DIVIDEND ARREARAGES AND DELINQUENCIES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MATERIAL MODIFICATIONS TO THE RIGHTS OF SECURITY HOLDERS AND USE OF PROCEEDS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15T.</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16A.</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AUDIT COMMITTEE FINANCIAL EXPERT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16B.</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CODE OF ETHICS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16C.</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PRINCIPAL ACCOUNTANT FEES AND SERVICES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16D.</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EXEMPTIONS FROM THE LISTING STANDARDS FOR AUDIT COMMITTEES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16E.</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16F.</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CHANGE IN REGISTRANT’S CERTIFYING ACCOUNTANT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16G.</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CORPORATE GOVERNANCE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17.</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18.</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4" w:name="page5"/>
    <w:bookmarkEnd w:id="4"/>
    <w:p>
      <w:pPr>
        <w:jc w:val="center"/>
        <w:ind w:left="66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Unless otherwise specified or the context otherwise requires, references in this Form 20-F (also referred to as the Annual Report), to “$,” “US$,” “Dollars,” “foreign currency” or “U.S. Dollars” are to United States Dollars, and references to “S/.”, “Nuevo Sol” or “Nuevos Soles” are to Peruvian Nuevos Soles. Each Nuevo Sol is divided into 100 céntimos (cents).</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Credicorp Ltd. is a Bermuda limited liability company (and is referred to in this Annual Report as Credicorp, we, or us, and means either Credicorp as a separate entity or as an entity together with our consolidated subsidiaries, as the context may require). We maintain our financial books and records in U.S. Dollars and present our financial statements in accordance with International Financial Reporting Standards (IFRS), as issued by the International Accounting Standards Board (IASB). IFRS differ in certain respects from United States Generally Accepted Accounting Principles (U.S. GAAP).</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operate primarily through our four operating segments: banking (including commercial and investment banking), insurance, pension funds, and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brokerage and other. See information about operating segments in “Item 4.-Information on the Company: (A) History and Development of the Company,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 Business Overview”.</w:t>
      </w:r>
    </w:p>
    <w:p>
      <w:pPr>
        <w:spacing w:after="0" w:line="23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Our four principal subsidiaries are Banco de Crédito del Perú (which, together with its consolidated subsidiaries, is referred to as BCP), Atlantic Security Holding Corporation (which, together with its consolidated subsidiaries, is referred to as ASHC), El Pacífico-Peruano Suiza Compañía de Seguros y Reaseguros (which, together with its consolidated subsidiaries, is referred to as Pacífico Peruano Suiza or PPS) and Grupo Crédito S.A. (which, together with its consolidated subsidiaries, including the main subsidiary Prima AFP, is referred to as Grupo Crédito). BCP’s activities include commercial banking, investment banking and retail banking. As of and for the year ended December 31, 2009, BCP accounted for 72.8% of our total revenues, 87.2% of our total assets, 84.6% of our net income and 70.6% of our net equity. Unless otherwise specified, the individual financial information for BCP, ASHC, PPS and Grupo Crédito included in this Annual Report has been derived from the audited consolidated financial statements of each such entity.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3. Key Information —(A) Selected Financial Data” and “Item 4. Information on the Company—(A) History and Development of the Company.”</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3. Key Information—(A) Selected Financial Data” contains key information related to our performance. This information was obtained mainly from our consolidated financial statements as of December 31, 2005, 2006, 2007, 2008 and 2009.</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management’s criteria on foreign currency translation, for the purpose of preparing the Credicorp Consolidated Financial Statements, is described in “Item 5. Operating and Financial Review and Prospects—(A) Operating Results—(1) Critical Accounting Policies—Foreign Currency Translation.”</w:t>
      </w:r>
    </w:p>
    <w:p>
      <w:pPr>
        <w:spacing w:after="0" w:line="20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Some of our subsidiaries maintain their operations and balances in Nuevos Soles. As a result, this Annual Report contains certain Nuevo Sol amounts translated into U.S. Dollars which is solely for the convenience of the reader. You should not construe any of these translations as representations that the Nuevo Sol amounts actually represent such equivalent U.S. Dollar amounts or could be converted into U.S. Dollars at the rate indicated as of the dates mentioned herein, or at all. Unless otherwise indicated, these U.S. Dollar amounts have been translated from Nuevos Soles at an exchange rate of S/.2.89 = US$1.00, which is the December 31, 2009 exchange rate set by the Peruvian Superintendencia de Banca, Seguros y AFP (the Superintendency of Banks, Insurance and Pension Funds, or the SBS). The average of the bid and offered free market exchange rates published by the SBS for June 14, 2010 was S/.2.843 per US$1.00. Translating amounts expressed in Nuevos Soles on a specified date (at the prevailing exchange rate on that date) may result in the presentation of U.S. Dollar amounts that are different from the U.S. Dollar amounts that would have been obtained by translating Nuevos Soles on another specified date (at the prevailing exchange rate on that different specified date). </w:t>
      </w:r>
      <w:r>
        <w:rPr>
          <w:rFonts w:ascii="Arial" w:cs="Arial" w:eastAsia="Arial" w:hAnsi="Arial"/>
          <w:sz w:val="17"/>
          <w:szCs w:val="17"/>
          <w:i w:val="1"/>
          <w:iCs w:val="1"/>
          <w:color w:val="auto"/>
        </w:rPr>
        <w:t>See also</w:t>
      </w:r>
      <w:r>
        <w:rPr>
          <w:rFonts w:ascii="Arial" w:cs="Arial" w:eastAsia="Arial" w:hAnsi="Arial"/>
          <w:sz w:val="17"/>
          <w:szCs w:val="17"/>
          <w:color w:val="auto"/>
        </w:rPr>
        <w:t xml:space="preserve">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397510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jc w:val="center"/>
        <w:ind w:left="660"/>
        <w:spacing w:after="0"/>
        <w:rPr>
          <w:sz w:val="20"/>
          <w:szCs w:val="20"/>
          <w:color w:val="auto"/>
        </w:rPr>
      </w:pPr>
      <w:r>
        <w:rPr>
          <w:rFonts w:ascii="Arial" w:cs="Arial" w:eastAsia="Arial" w:hAnsi="Arial"/>
          <w:sz w:val="18"/>
          <w:szCs w:val="18"/>
          <w:b w:val="1"/>
          <w:bCs w:val="1"/>
          <w:color w:val="auto"/>
        </w:rPr>
        <w:t>CAUTIONARY STATEMENT WITH RESPECT TO</w:t>
      </w:r>
    </w:p>
    <w:p>
      <w:pPr>
        <w:spacing w:after="0" w:line="2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FORWARD-LOOKING STATEMENTS</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Certain statements contained in this Annual Report are not historical facts, including, without limitation, certain statements made in the sections entitled “Item 3. Key Information,” “Item 4. Information on the Company,” “Item 5. Operating and Financial Review and Prospects” and “Item 11. Quantitative and Qualitative Disclosures about Market Risk,” which are forward-looking statements within the meaning of Section 27A of the U.S. Securities Act of 1933 and Section 21E of the U.S. Securities Exchange Act of 1934 (or the Exchange Act). These forward-looking statements are based on our management’s current views and assumptions and involve known and unknown risks and uncertainties that could cause actual results, performance or events to differ materially from those expressed or implied in the forward-looking statements. Therefore, actual results, performance or events may be materially different from those in the forward-looking statements due to, without limitation:</w:t>
      </w:r>
    </w:p>
    <w:p>
      <w:pPr>
        <w:spacing w:after="0" w:line="21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conditions, including in particular economic conditions in Peru;</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performance of financial markets, including emerging markets;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frequency and severity of insured loss events;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interest rate levels;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currency exchange rates, including the Nuevo Sol/U.S. Dollar exchange rate;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emerging markets;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competitive factors, in each case on a global, regional and/or national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3. Key Information—(D) Risk Factors,” and “Item 5. Operating and Financial Review and Prospects.”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are not under any obligation to, and we expressly disclaim any such obligation to, update or alter our forward-looking statements, whether as a result of new information, future events or otherwise.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52"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presents a summary of our consolidated financial information at the dates and for the periods indicated. This selected financial data is presented in U.S. Dollars. You should read this information in conjunction with, and qualify this information in its entirety by reference to, the Credicorp Consolidated Financial Statements, which are also presented in U.S. Dollars.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summary of our consolidated financial data as of, and for the years ended, December 31, 2005, 2006, 2007, 2008 and 2009 is derived from the Credicorp Consolidated Financial Statements audited by Medina, Zaldívar, Paredes &amp; Asociados S.C.R.L, member of Ernst &amp; Young Global, independent registered public accountants.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report of Medina, Zaldívar, Paredes &amp; Asociados S.C.R.L on the Credicorp Consolidated Financial Statements as of December 31, 2008 and 2009 and for the years ended December 31, 2007, 2008 and 2009 appears elsewhere in this Annual Report.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080" w:type="dxa"/>
            <w:vAlign w:val="bottom"/>
            <w:gridSpan w:val="5"/>
          </w:tcPr>
          <w:p>
            <w:pPr>
              <w:jc w:val="right"/>
              <w:ind w:right="290"/>
              <w:spacing w:after="0"/>
              <w:rPr>
                <w:sz w:val="20"/>
                <w:szCs w:val="20"/>
                <w:color w:val="auto"/>
              </w:rPr>
            </w:pPr>
            <w:r>
              <w:rPr>
                <w:rFonts w:ascii="Arial" w:cs="Arial" w:eastAsia="Arial" w:hAnsi="Arial"/>
                <w:sz w:val="18"/>
                <w:szCs w:val="18"/>
                <w:b w:val="1"/>
                <w:bCs w:val="1"/>
                <w:color w:val="auto"/>
              </w:rPr>
              <w:t>SELECTED FINANCIAL DATA</w:t>
            </w: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6"/>
          </w:tcPr>
          <w:p>
            <w:pPr>
              <w:jc w:val="right"/>
              <w:ind w:right="1240"/>
              <w:spacing w:after="0"/>
              <w:rPr>
                <w:sz w:val="20"/>
                <w:szCs w:val="20"/>
                <w:color w:val="auto"/>
              </w:rPr>
            </w:pPr>
            <w:r>
              <w:rPr>
                <w:rFonts w:ascii="Arial" w:cs="Arial" w:eastAsia="Arial" w:hAnsi="Arial"/>
                <w:sz w:val="18"/>
                <w:szCs w:val="18"/>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2005</w:t>
            </w: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w w:val="92"/>
              </w:rPr>
              <w:t>(U.S. Dollars</w:t>
            </w:r>
          </w:p>
        </w:tc>
        <w:tc>
          <w:tcPr>
            <w:tcW w:w="320" w:type="dxa"/>
            <w:vAlign w:val="bottom"/>
          </w:tcPr>
          <w:p>
            <w:pPr>
              <w:jc w:val="right"/>
              <w:ind w:right="110"/>
              <w:spacing w:after="0" w:line="201" w:lineRule="exact"/>
              <w:rPr>
                <w:sz w:val="20"/>
                <w:szCs w:val="20"/>
                <w:color w:val="auto"/>
              </w:rPr>
            </w:pPr>
            <w:r>
              <w:rPr>
                <w:rFonts w:ascii="Arial" w:cs="Arial" w:eastAsia="Arial" w:hAnsi="Arial"/>
                <w:sz w:val="18"/>
                <w:szCs w:val="18"/>
                <w:color w:val="auto"/>
                <w:w w:val="71"/>
              </w:rPr>
              <w:t>in</w:t>
            </w: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75"/>
              </w:rPr>
              <w:t>thousands, except</w:t>
            </w:r>
          </w:p>
        </w:tc>
        <w:tc>
          <w:tcPr>
            <w:tcW w:w="1420" w:type="dxa"/>
            <w:vAlign w:val="bottom"/>
            <w:gridSpan w:val="2"/>
          </w:tcPr>
          <w:p>
            <w:pPr>
              <w:jc w:val="right"/>
              <w:spacing w:after="0" w:line="201" w:lineRule="exact"/>
              <w:rPr>
                <w:sz w:val="20"/>
                <w:szCs w:val="20"/>
                <w:color w:val="auto"/>
              </w:rPr>
            </w:pPr>
            <w:r>
              <w:rPr>
                <w:rFonts w:ascii="Arial" w:cs="Arial" w:eastAsia="Arial" w:hAnsi="Arial"/>
                <w:sz w:val="18"/>
                <w:szCs w:val="18"/>
                <w:color w:val="auto"/>
                <w:w w:val="88"/>
              </w:rPr>
              <w:t>percentages, ratios,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6"/>
          </w:tcPr>
          <w:p>
            <w:pPr>
              <w:jc w:val="right"/>
              <w:ind w:right="1200"/>
              <w:spacing w:after="0"/>
              <w:rPr>
                <w:sz w:val="20"/>
                <w:szCs w:val="20"/>
                <w:color w:val="auto"/>
              </w:rPr>
            </w:pPr>
            <w:r>
              <w:rPr>
                <w:rFonts w:ascii="Arial" w:cs="Arial" w:eastAsia="Arial" w:hAnsi="Arial"/>
                <w:sz w:val="18"/>
                <w:szCs w:val="18"/>
                <w:color w:val="auto"/>
              </w:rPr>
              <w:t>and per common share data)</w:t>
            </w: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INCOME STATEMENT DATA:</w:t>
            </w:r>
          </w:p>
        </w:tc>
        <w:tc>
          <w:tcPr>
            <w:tcW w:w="3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IFRS: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w w:val="95"/>
              </w:rPr>
              <w:t>US$ 612,432</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w w:val="95"/>
              </w:rPr>
              <w:t>US$ 782,002</w:t>
            </w:r>
          </w:p>
        </w:tc>
        <w:tc>
          <w:tcPr>
            <w:tcW w:w="1420" w:type="dxa"/>
            <w:vAlign w:val="bottom"/>
            <w:gridSpan w:val="2"/>
            <w:shd w:val="clear" w:color="auto" w:fill="CCFFCC"/>
          </w:tcPr>
          <w:p>
            <w:pPr>
              <w:jc w:val="center"/>
              <w:ind w:right="210"/>
              <w:spacing w:after="0"/>
              <w:rPr>
                <w:sz w:val="20"/>
                <w:szCs w:val="20"/>
                <w:color w:val="auto"/>
              </w:rPr>
            </w:pPr>
            <w:r>
              <w:rPr>
                <w:rFonts w:ascii="Arial" w:cs="Arial" w:eastAsia="Arial" w:hAnsi="Arial"/>
                <w:sz w:val="18"/>
                <w:szCs w:val="18"/>
                <w:color w:val="auto"/>
                <w:w w:val="89"/>
              </w:rPr>
              <w:t>US$ 1,065,339</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w w:val="89"/>
              </w:rPr>
              <w:t>US$ 1,382,844</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9"/>
              </w:rPr>
              <w:t>US$ 1,312,925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(173,159)</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(283,478)</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(431,365)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(561,617)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(420,564)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439,273</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498,524</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633,974</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821,227</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Provision for loan losses (1)</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6,356</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4,243</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(28,439)</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(48,760)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interest income after provision for loan losses</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445,629</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502,767</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605,535</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772,467</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Fees and commissions from banking services</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206,163</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243,778</w:t>
            </w:r>
          </w:p>
        </w:tc>
        <w:tc>
          <w:tcPr>
            <w:tcW w:w="1100" w:type="dxa"/>
            <w:vAlign w:val="bottom"/>
          </w:tcPr>
          <w:p>
            <w:pPr>
              <w:jc w:val="right"/>
              <w:spacing w:after="0"/>
              <w:rPr>
                <w:sz w:val="20"/>
                <w:szCs w:val="20"/>
                <w:color w:val="auto"/>
              </w:rPr>
            </w:pPr>
            <w:r>
              <w:rPr>
                <w:rFonts w:ascii="Arial" w:cs="Arial" w:eastAsia="Arial" w:hAnsi="Arial"/>
                <w:sz w:val="18"/>
                <w:szCs w:val="18"/>
                <w:color w:val="auto"/>
              </w:rPr>
              <w:t>324,761</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394,247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gains (loss) from sales of securities</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8,965</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27,281</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46,376</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51,936</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120,932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rPr>
              <w:t>Net gains on foreign exchange</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transactions</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29,286</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41,638</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61,778</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108,709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218,955</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251,261</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297,272</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393,903</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424,682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21,571</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26,197</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90,022</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37,672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74,936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Claims on insurance activities</w:t>
            </w:r>
          </w:p>
        </w:tc>
        <w:tc>
          <w:tcPr>
            <w:tcW w:w="17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(175,500)</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(186,522)</w:t>
            </w:r>
          </w:p>
        </w:tc>
        <w:tc>
          <w:tcPr>
            <w:tcW w:w="1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(238,600)</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(341,910)</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(286,458)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(477,073)</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(585,058)</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(747,089)</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(920,603)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(957,110)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Merger costs</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(5,706)</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0</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Income before translation result and income tax</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277,996</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315,636</w:t>
            </w:r>
          </w:p>
        </w:tc>
        <w:tc>
          <w:tcPr>
            <w:tcW w:w="1100" w:type="dxa"/>
            <w:vAlign w:val="bottom"/>
          </w:tcPr>
          <w:p>
            <w:pPr>
              <w:jc w:val="right"/>
              <w:spacing w:after="0"/>
              <w:rPr>
                <w:sz w:val="20"/>
                <w:szCs w:val="20"/>
                <w:color w:val="auto"/>
              </w:rPr>
            </w:pPr>
            <w:r>
              <w:rPr>
                <w:rFonts w:ascii="Arial" w:cs="Arial" w:eastAsia="Arial" w:hAnsi="Arial"/>
                <w:sz w:val="18"/>
                <w:szCs w:val="18"/>
                <w:color w:val="auto"/>
              </w:rPr>
              <w:t>440,055</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496,421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630,714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7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(9,597)</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15,216</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34,627</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(17,650)</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(73,546)</w:t>
            </w:r>
          </w:p>
        </w:tc>
        <w:tc>
          <w:tcPr>
            <w:tcW w:w="1340" w:type="dxa"/>
            <w:vAlign w:val="bottom"/>
            <w:gridSpan w:val="2"/>
          </w:tcPr>
          <w:p>
            <w:pPr>
              <w:jc w:val="right"/>
              <w:ind w:right="170"/>
              <w:spacing w:after="0"/>
              <w:rPr>
                <w:sz w:val="20"/>
                <w:szCs w:val="20"/>
                <w:color w:val="auto"/>
              </w:rPr>
            </w:pPr>
            <w:r>
              <w:rPr>
                <w:rFonts w:ascii="Arial" w:cs="Arial" w:eastAsia="Arial" w:hAnsi="Arial"/>
                <w:sz w:val="18"/>
                <w:szCs w:val="18"/>
                <w:color w:val="auto"/>
              </w:rPr>
              <w:t>(83,587)</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(102,287)</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(109,508)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(138,500)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194,853</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247,265</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372,395</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369,263</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504,436</w:t>
            </w:r>
          </w:p>
        </w:tc>
        <w:tc>
          <w:tcPr>
            <w:tcW w:w="0" w:type="dxa"/>
            <w:vAlign w:val="bottom"/>
          </w:tcPr>
          <w:p>
            <w:pPr>
              <w:spacing w:after="0"/>
              <w:rPr>
                <w:sz w:val="1"/>
                <w:szCs w:val="1"/>
                <w:color w:val="auto"/>
              </w:rPr>
            </w:pPr>
          </w:p>
        </w:tc>
      </w:tr>
      <w:tr>
        <w:trPr>
          <w:trHeight w:val="203"/>
        </w:trPr>
        <w:tc>
          <w:tcPr>
            <w:tcW w:w="4300" w:type="dxa"/>
            <w:vAlign w:val="bottom"/>
            <w:gridSpan w:val="3"/>
          </w:tcPr>
          <w:p>
            <w:pPr>
              <w:spacing w:after="0" w:line="202" w:lineRule="exact"/>
              <w:rPr>
                <w:sz w:val="20"/>
                <w:szCs w:val="20"/>
                <w:color w:val="auto"/>
              </w:rPr>
            </w:pPr>
            <w:r>
              <w:rPr>
                <w:rFonts w:ascii="Arial" w:cs="Arial" w:eastAsia="Arial" w:hAnsi="Arial"/>
                <w:sz w:val="18"/>
                <w:szCs w:val="18"/>
                <w:color w:val="auto"/>
              </w:rPr>
              <w:t>Attributable to:</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income attributable to Credicorp’s equity holders</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181,885</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230,013</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350,735</w:t>
            </w:r>
          </w:p>
        </w:tc>
        <w:tc>
          <w:tcPr>
            <w:tcW w:w="32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357,756</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469,785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12,968</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17,252</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21,660</w:t>
            </w:r>
          </w:p>
        </w:tc>
        <w:tc>
          <w:tcPr>
            <w:tcW w:w="1100" w:type="dxa"/>
            <w:vAlign w:val="bottom"/>
          </w:tcPr>
          <w:p>
            <w:pPr>
              <w:jc w:val="right"/>
              <w:spacing w:after="0"/>
              <w:rPr>
                <w:sz w:val="20"/>
                <w:szCs w:val="20"/>
                <w:color w:val="auto"/>
              </w:rPr>
            </w:pPr>
            <w:r>
              <w:rPr>
                <w:rFonts w:ascii="Arial" w:cs="Arial" w:eastAsia="Arial" w:hAnsi="Arial"/>
                <w:sz w:val="18"/>
                <w:szCs w:val="18"/>
                <w:color w:val="auto"/>
              </w:rPr>
              <w:t>11,507</w:t>
            </w:r>
          </w:p>
        </w:tc>
        <w:tc>
          <w:tcPr>
            <w:tcW w:w="32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1"/>
              </w:rPr>
              <w:t>Number of shares as adjusted to reflect changes in capital</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79,761,475</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79,761,475</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79,761,475</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79,761,475</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79,591,225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tcPr>
          <w:p>
            <w:pPr>
              <w:spacing w:after="0" w:line="201" w:lineRule="exact"/>
              <w:rPr>
                <w:sz w:val="20"/>
                <w:szCs w:val="20"/>
                <w:color w:val="auto"/>
              </w:rPr>
            </w:pPr>
            <w:r>
              <w:rPr>
                <w:rFonts w:ascii="Arial" w:cs="Arial" w:eastAsia="Arial" w:hAnsi="Arial"/>
                <w:sz w:val="18"/>
                <w:szCs w:val="18"/>
                <w:color w:val="auto"/>
                <w:w w:val="92"/>
              </w:rPr>
              <w:t>Net income per common share attributable to Credicorp´s</w:t>
            </w: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gridSpan w:val="3"/>
          </w:tcPr>
          <w:p>
            <w:pPr>
              <w:spacing w:after="0"/>
              <w:rPr>
                <w:sz w:val="20"/>
                <w:szCs w:val="20"/>
                <w:color w:val="auto"/>
              </w:rPr>
            </w:pPr>
            <w:r>
              <w:rPr>
                <w:rFonts w:ascii="Arial" w:cs="Arial" w:eastAsia="Arial" w:hAnsi="Arial"/>
                <w:sz w:val="18"/>
                <w:szCs w:val="18"/>
                <w:color w:val="auto"/>
              </w:rPr>
              <w:t>equity holders (2)</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2.28</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2.88</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4.40</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4.49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Diluted net income per share</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2.28</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2.88</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4.40</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4.49</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1.10</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1.30</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1.50</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1.50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IFRS: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assets</w:t>
            </w:r>
          </w:p>
        </w:tc>
        <w:tc>
          <w:tcPr>
            <w:tcW w:w="1740" w:type="dxa"/>
            <w:vAlign w:val="bottom"/>
            <w:gridSpan w:val="3"/>
            <w:shd w:val="clear" w:color="auto" w:fill="CCFFCC"/>
          </w:tcPr>
          <w:p>
            <w:pPr>
              <w:jc w:val="right"/>
              <w:ind w:right="340"/>
              <w:spacing w:after="0"/>
              <w:rPr>
                <w:sz w:val="20"/>
                <w:szCs w:val="20"/>
                <w:color w:val="auto"/>
              </w:rPr>
            </w:pPr>
            <w:r>
              <w:rPr>
                <w:rFonts w:ascii="Arial" w:cs="Arial" w:eastAsia="Arial" w:hAnsi="Arial"/>
                <w:sz w:val="18"/>
                <w:szCs w:val="18"/>
                <w:color w:val="auto"/>
              </w:rPr>
              <w:t>11,036,075</w:t>
            </w: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12,881,529</w:t>
            </w:r>
          </w:p>
        </w:tc>
        <w:tc>
          <w:tcPr>
            <w:tcW w:w="14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17,705,898</w:t>
            </w: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20,821,069</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22,028,107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Total loans (3)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4,972,975</w:t>
            </w:r>
          </w:p>
        </w:tc>
        <w:tc>
          <w:tcPr>
            <w:tcW w:w="340" w:type="dxa"/>
            <w:vAlign w:val="bottom"/>
          </w:tcPr>
          <w:p>
            <w:pPr>
              <w:spacing w:after="0"/>
              <w:rPr>
                <w:sz w:val="18"/>
                <w:szCs w:val="18"/>
                <w:color w:val="auto"/>
              </w:rPr>
            </w:pP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5,877,361</w:t>
            </w:r>
          </w:p>
        </w:tc>
        <w:tc>
          <w:tcPr>
            <w:tcW w:w="1100" w:type="dxa"/>
            <w:vAlign w:val="bottom"/>
          </w:tcPr>
          <w:p>
            <w:pPr>
              <w:jc w:val="right"/>
              <w:spacing w:after="0"/>
              <w:rPr>
                <w:sz w:val="20"/>
                <w:szCs w:val="20"/>
                <w:color w:val="auto"/>
              </w:rPr>
            </w:pPr>
            <w:r>
              <w:rPr>
                <w:rFonts w:ascii="Arial" w:cs="Arial" w:eastAsia="Arial" w:hAnsi="Arial"/>
                <w:sz w:val="18"/>
                <w:szCs w:val="18"/>
                <w:color w:val="auto"/>
              </w:rPr>
              <w:t>8,183,845</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10,456,284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11,505,319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Reserves for loan losses (1)</w:t>
            </w:r>
          </w:p>
        </w:tc>
        <w:tc>
          <w:tcPr>
            <w:tcW w:w="174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(218,636)</w:t>
            </w:r>
          </w:p>
        </w:tc>
        <w:tc>
          <w:tcPr>
            <w:tcW w:w="134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(210,586)</w:t>
            </w:r>
          </w:p>
        </w:tc>
        <w:tc>
          <w:tcPr>
            <w:tcW w:w="1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(229,700)</w:t>
            </w:r>
          </w:p>
        </w:tc>
        <w:tc>
          <w:tcPr>
            <w:tcW w:w="14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(248,063)</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(376,049)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Total deposits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7,067,754</w:t>
            </w:r>
          </w:p>
        </w:tc>
        <w:tc>
          <w:tcPr>
            <w:tcW w:w="340" w:type="dxa"/>
            <w:vAlign w:val="bottom"/>
          </w:tcPr>
          <w:p>
            <w:pPr>
              <w:spacing w:after="0"/>
              <w:rPr>
                <w:sz w:val="18"/>
                <w:szCs w:val="18"/>
                <w:color w:val="auto"/>
              </w:rPr>
            </w:pP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8,799,134</w:t>
            </w:r>
          </w:p>
        </w:tc>
        <w:tc>
          <w:tcPr>
            <w:tcW w:w="1420" w:type="dxa"/>
            <w:vAlign w:val="bottom"/>
            <w:gridSpan w:val="2"/>
          </w:tcPr>
          <w:p>
            <w:pPr>
              <w:jc w:val="right"/>
              <w:ind w:right="230"/>
              <w:spacing w:after="0"/>
              <w:rPr>
                <w:sz w:val="20"/>
                <w:szCs w:val="20"/>
                <w:color w:val="auto"/>
              </w:rPr>
            </w:pPr>
            <w:r>
              <w:rPr>
                <w:rFonts w:ascii="Arial" w:cs="Arial" w:eastAsia="Arial" w:hAnsi="Arial"/>
                <w:sz w:val="18"/>
                <w:szCs w:val="18"/>
                <w:color w:val="auto"/>
              </w:rPr>
              <w:t>11,299,671</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13,877,028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14,038,710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attributable to Credicorp’s equity holders</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1,190,440</w:t>
            </w:r>
          </w:p>
        </w:tc>
        <w:tc>
          <w:tcPr>
            <w:tcW w:w="3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1,396,822</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1,676,009</w:t>
            </w: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1,689,172</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Arial" w:cs="Arial" w:eastAsia="Arial" w:hAnsi="Arial"/>
                <w:sz w:val="18"/>
                <w:szCs w:val="18"/>
                <w:color w:val="auto"/>
              </w:rPr>
              <w:t>Minority interest</w:t>
            </w:r>
          </w:p>
        </w:tc>
        <w:tc>
          <w:tcPr>
            <w:tcW w:w="1740" w:type="dxa"/>
            <w:vAlign w:val="bottom"/>
            <w:gridSpan w:val="3"/>
          </w:tcPr>
          <w:p>
            <w:pPr>
              <w:jc w:val="right"/>
              <w:ind w:right="340"/>
              <w:spacing w:after="0"/>
              <w:rPr>
                <w:sz w:val="20"/>
                <w:szCs w:val="20"/>
                <w:color w:val="auto"/>
              </w:rPr>
            </w:pPr>
            <w:r>
              <w:rPr>
                <w:rFonts w:ascii="Arial" w:cs="Arial" w:eastAsia="Arial" w:hAnsi="Arial"/>
                <w:sz w:val="18"/>
                <w:szCs w:val="18"/>
                <w:color w:val="auto"/>
              </w:rPr>
              <w:t>101,515</w:t>
            </w:r>
          </w:p>
        </w:tc>
        <w:tc>
          <w:tcPr>
            <w:tcW w:w="1340" w:type="dxa"/>
            <w:vAlign w:val="bottom"/>
            <w:gridSpan w:val="2"/>
          </w:tcPr>
          <w:p>
            <w:pPr>
              <w:jc w:val="right"/>
              <w:ind w:right="230"/>
              <w:spacing w:after="0"/>
              <w:rPr>
                <w:sz w:val="20"/>
                <w:szCs w:val="20"/>
                <w:color w:val="auto"/>
              </w:rPr>
            </w:pPr>
            <w:r>
              <w:rPr>
                <w:rFonts w:ascii="Arial" w:cs="Arial" w:eastAsia="Arial" w:hAnsi="Arial"/>
                <w:sz w:val="18"/>
                <w:szCs w:val="18"/>
                <w:color w:val="auto"/>
              </w:rPr>
              <w:t>136,946</w:t>
            </w:r>
          </w:p>
        </w:tc>
        <w:tc>
          <w:tcPr>
            <w:tcW w:w="1100" w:type="dxa"/>
            <w:vAlign w:val="bottom"/>
          </w:tcPr>
          <w:p>
            <w:pPr>
              <w:jc w:val="right"/>
              <w:spacing w:after="0"/>
              <w:rPr>
                <w:sz w:val="20"/>
                <w:szCs w:val="20"/>
                <w:color w:val="auto"/>
              </w:rPr>
            </w:pPr>
            <w:r>
              <w:rPr>
                <w:rFonts w:ascii="Arial" w:cs="Arial" w:eastAsia="Arial" w:hAnsi="Arial"/>
                <w:sz w:val="18"/>
                <w:szCs w:val="18"/>
                <w:color w:val="auto"/>
              </w:rPr>
              <w:t>139,264</w:t>
            </w:r>
          </w:p>
        </w:tc>
        <w:tc>
          <w:tcPr>
            <w:tcW w:w="32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106,933</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Net Equity</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1,291,955</w:t>
            </w:r>
          </w:p>
        </w:tc>
        <w:tc>
          <w:tcPr>
            <w:tcW w:w="3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1,533,768</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1,815,273</w:t>
            </w:r>
          </w:p>
        </w:tc>
        <w:tc>
          <w:tcPr>
            <w:tcW w:w="32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1,796,105</w:t>
            </w:r>
          </w:p>
        </w:tc>
        <w:tc>
          <w:tcPr>
            <w:tcW w:w="3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2,503,352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74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1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8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2005</w:t>
            </w:r>
          </w:p>
        </w:tc>
        <w:tc>
          <w:tcPr>
            <w:tcW w:w="240" w:type="dxa"/>
            <w:vAlign w:val="bottom"/>
          </w:tcPr>
          <w:p>
            <w:pPr>
              <w:spacing w:after="0"/>
              <w:rPr>
                <w:sz w:val="19"/>
                <w:szCs w:val="19"/>
                <w:color w:val="auto"/>
              </w:rPr>
            </w:pPr>
          </w:p>
        </w:tc>
        <w:tc>
          <w:tcPr>
            <w:tcW w:w="86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9"/>
              </w:rPr>
              <w:t>2006</w:t>
            </w:r>
          </w:p>
        </w:tc>
        <w:tc>
          <w:tcPr>
            <w:tcW w:w="2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2008</w:t>
            </w:r>
          </w:p>
        </w:tc>
        <w:tc>
          <w:tcPr>
            <w:tcW w:w="2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r>
      <w:tr>
        <w:trPr>
          <w:trHeight w:val="202"/>
        </w:trPr>
        <w:tc>
          <w:tcPr>
            <w:tcW w:w="2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spacing w:after="0" w:line="201" w:lineRule="exact"/>
              <w:rPr>
                <w:sz w:val="20"/>
                <w:szCs w:val="20"/>
                <w:color w:val="auto"/>
              </w:rPr>
            </w:pPr>
            <w:r>
              <w:rPr>
                <w:rFonts w:ascii="Arial" w:cs="Arial" w:eastAsia="Arial" w:hAnsi="Arial"/>
                <w:sz w:val="18"/>
                <w:szCs w:val="18"/>
                <w:color w:val="auto"/>
                <w:w w:val="87"/>
              </w:rPr>
              <w:t>(U.S. Dollars in</w:t>
            </w:r>
          </w:p>
        </w:tc>
        <w:tc>
          <w:tcPr>
            <w:tcW w:w="1340" w:type="dxa"/>
            <w:vAlign w:val="bottom"/>
            <w:gridSpan w:val="2"/>
          </w:tcPr>
          <w:p>
            <w:pPr>
              <w:ind w:left="40"/>
              <w:spacing w:after="0" w:line="201" w:lineRule="exact"/>
              <w:rPr>
                <w:sz w:val="20"/>
                <w:szCs w:val="20"/>
                <w:color w:val="auto"/>
              </w:rPr>
            </w:pPr>
            <w:r>
              <w:rPr>
                <w:rFonts w:ascii="Arial" w:cs="Arial" w:eastAsia="Arial" w:hAnsi="Arial"/>
                <w:sz w:val="18"/>
                <w:szCs w:val="18"/>
                <w:color w:val="auto"/>
                <w:w w:val="87"/>
              </w:rPr>
              <w:t>thousands, except</w:t>
            </w:r>
          </w:p>
        </w:tc>
        <w:tc>
          <w:tcPr>
            <w:tcW w:w="1560" w:type="dxa"/>
            <w:vAlign w:val="bottom"/>
            <w:gridSpan w:val="4"/>
          </w:tcPr>
          <w:p>
            <w:pPr>
              <w:ind w:left="20"/>
              <w:spacing w:after="0" w:line="201" w:lineRule="exact"/>
              <w:rPr>
                <w:sz w:val="20"/>
                <w:szCs w:val="20"/>
                <w:color w:val="auto"/>
              </w:rPr>
            </w:pPr>
            <w:r>
              <w:rPr>
                <w:rFonts w:ascii="Arial" w:cs="Arial" w:eastAsia="Arial" w:hAnsi="Arial"/>
                <w:sz w:val="18"/>
                <w:szCs w:val="18"/>
                <w:color w:val="auto"/>
                <w:w w:val="96"/>
              </w:rPr>
              <w:t>percentages, ratios,</w:t>
            </w:r>
          </w:p>
        </w:tc>
        <w:tc>
          <w:tcPr>
            <w:tcW w:w="11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center"/>
              <w:ind w:right="1080"/>
              <w:spacing w:after="0"/>
              <w:rPr>
                <w:sz w:val="20"/>
                <w:szCs w:val="20"/>
                <w:color w:val="auto"/>
              </w:rPr>
            </w:pPr>
            <w:r>
              <w:rPr>
                <w:rFonts w:ascii="Arial" w:cs="Arial" w:eastAsia="Arial" w:hAnsi="Arial"/>
                <w:sz w:val="18"/>
                <w:szCs w:val="18"/>
                <w:color w:val="auto"/>
                <w:w w:val="88"/>
              </w:rPr>
              <w:t>and per common share data)</w:t>
            </w:r>
          </w:p>
        </w:tc>
        <w:tc>
          <w:tcPr>
            <w:tcW w:w="1120" w:type="dxa"/>
            <w:vAlign w:val="bottom"/>
            <w:tcBorders>
              <w:bottom w:val="single" w:sz="8" w:color="auto"/>
            </w:tcBorders>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SELECTED RATIOS</w:t>
            </w:r>
          </w:p>
        </w:tc>
        <w:tc>
          <w:tcPr>
            <w:tcW w:w="10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b w:val="1"/>
                <w:bCs w:val="1"/>
                <w:color w:val="auto"/>
              </w:rPr>
              <w:t>IFRS:</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(4)</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4.90%</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3"/>
              </w:rPr>
              <w:t>4.64%</w:t>
            </w:r>
          </w:p>
        </w:tc>
        <w:tc>
          <w:tcPr>
            <w:tcW w:w="156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90"/>
              </w:rPr>
              <w:t>4.50%</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0"/>
              </w:rPr>
              <w:t>4.46%</w:t>
            </w: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4.70%</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Return on average total assets (5)</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1.81%</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1.92%</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2.29%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1.86%</w:t>
            </w:r>
          </w:p>
        </w:tc>
        <w:tc>
          <w:tcPr>
            <w:tcW w:w="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2.19%</w:t>
            </w:r>
          </w:p>
        </w:tc>
      </w:tr>
      <w:tr>
        <w:trPr>
          <w:trHeight w:val="202"/>
        </w:trPr>
        <w:tc>
          <w:tcPr>
            <w:tcW w:w="20" w:type="dxa"/>
            <w:vAlign w:val="bottom"/>
          </w:tcPr>
          <w:p>
            <w:pPr>
              <w:spacing w:after="0"/>
              <w:rPr>
                <w:sz w:val="17"/>
                <w:szCs w:val="17"/>
                <w:color w:val="auto"/>
              </w:rPr>
            </w:pPr>
          </w:p>
        </w:tc>
        <w:tc>
          <w:tcPr>
            <w:tcW w:w="498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Return on average equity attributable to Credicorp’s equity holders</w:t>
            </w:r>
          </w:p>
        </w:tc>
        <w:tc>
          <w:tcPr>
            <w:tcW w:w="10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(6)</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16.39%</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1"/>
              </w:rPr>
              <w:t>18.44%</w:t>
            </w:r>
          </w:p>
        </w:tc>
        <w:tc>
          <w:tcPr>
            <w:tcW w:w="1560" w:type="dxa"/>
            <w:vAlign w:val="bottom"/>
            <w:gridSpan w:val="3"/>
            <w:shd w:val="clear" w:color="auto" w:fill="CCFFCC"/>
          </w:tcPr>
          <w:p>
            <w:pPr>
              <w:jc w:val="center"/>
              <w:ind w:left="350"/>
              <w:spacing w:after="0"/>
              <w:rPr>
                <w:sz w:val="20"/>
                <w:szCs w:val="20"/>
                <w:color w:val="auto"/>
              </w:rPr>
            </w:pPr>
            <w:r>
              <w:rPr>
                <w:rFonts w:ascii="Arial" w:cs="Arial" w:eastAsia="Arial" w:hAnsi="Arial"/>
                <w:sz w:val="18"/>
                <w:szCs w:val="18"/>
                <w:color w:val="auto"/>
                <w:w w:val="91"/>
              </w:rPr>
              <w:t>22.67%</w:t>
            </w:r>
          </w:p>
        </w:tc>
        <w:tc>
          <w:tcPr>
            <w:tcW w:w="2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880" w:type="dxa"/>
            <w:vAlign w:val="bottom"/>
            <w:shd w:val="clear" w:color="auto" w:fill="CCFFCC"/>
          </w:tcPr>
          <w:p>
            <w:pPr>
              <w:jc w:val="center"/>
              <w:ind w:right="110"/>
              <w:spacing w:after="0"/>
              <w:rPr>
                <w:sz w:val="20"/>
                <w:szCs w:val="20"/>
                <w:color w:val="auto"/>
              </w:rPr>
            </w:pPr>
            <w:r>
              <w:rPr>
                <w:rFonts w:ascii="Arial" w:cs="Arial" w:eastAsia="Arial" w:hAnsi="Arial"/>
                <w:sz w:val="18"/>
                <w:szCs w:val="18"/>
                <w:color w:val="auto"/>
                <w:w w:val="91"/>
              </w:rPr>
              <w:t>20.21%</w:t>
            </w:r>
          </w:p>
        </w:tc>
        <w:tc>
          <w:tcPr>
            <w:tcW w:w="240" w:type="dxa"/>
            <w:vAlign w:val="bottom"/>
            <w:shd w:val="clear" w:color="auto" w:fill="CCFFCC"/>
          </w:tcPr>
          <w:p>
            <w:pPr>
              <w:spacing w:after="0"/>
              <w:rPr>
                <w:sz w:val="20"/>
                <w:szCs w:val="20"/>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23.72%</w:t>
            </w: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w w:val="91"/>
              </w:rPr>
              <w:t>Operating expenses as a percentage of net interest and non-interest</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income (7)</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46.25%</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50.26%</w:t>
            </w:r>
          </w:p>
        </w:tc>
        <w:tc>
          <w:tcPr>
            <w:tcW w:w="156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50.62%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color w:val="auto"/>
                <w:w w:val="91"/>
              </w:rPr>
              <w:t>40.27%</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46.18%</w:t>
            </w: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Operating expenses as a percentage of average assets</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4.74%</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3"/>
              </w:rPr>
              <w:t>4.89%</w:t>
            </w:r>
          </w:p>
        </w:tc>
        <w:tc>
          <w:tcPr>
            <w:tcW w:w="156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90"/>
              </w:rPr>
              <w:t>4.88%</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0"/>
              </w:rPr>
              <w:t>4.78%</w:t>
            </w: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4.47%</w:t>
            </w: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w w:val="93"/>
              </w:rPr>
              <w:t>Equity attributable to Credicorp’s equity holders as a percentage of</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period end total assets</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10.79%</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10.84%</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9.47%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8.11%</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10.52%</w:t>
            </w: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Regulatory capital as a percentage of risk weighted assets (8)</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13.10%</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1"/>
              </w:rPr>
              <w:t>11.98%</w:t>
            </w:r>
          </w:p>
        </w:tc>
        <w:tc>
          <w:tcPr>
            <w:tcW w:w="1560" w:type="dxa"/>
            <w:vAlign w:val="bottom"/>
            <w:gridSpan w:val="3"/>
            <w:shd w:val="clear" w:color="auto" w:fill="CCFFCC"/>
          </w:tcPr>
          <w:p>
            <w:pPr>
              <w:jc w:val="center"/>
              <w:ind w:left="350"/>
              <w:spacing w:after="0"/>
              <w:rPr>
                <w:sz w:val="20"/>
                <w:szCs w:val="20"/>
                <w:color w:val="auto"/>
              </w:rPr>
            </w:pPr>
            <w:r>
              <w:rPr>
                <w:rFonts w:ascii="Arial" w:cs="Arial" w:eastAsia="Arial" w:hAnsi="Arial"/>
                <w:sz w:val="18"/>
                <w:szCs w:val="18"/>
                <w:color w:val="auto"/>
                <w:w w:val="91"/>
              </w:rPr>
              <w:t>12.80%</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center"/>
              <w:ind w:right="110"/>
              <w:spacing w:after="0"/>
              <w:rPr>
                <w:sz w:val="20"/>
                <w:szCs w:val="20"/>
                <w:color w:val="auto"/>
              </w:rPr>
            </w:pPr>
            <w:r>
              <w:rPr>
                <w:rFonts w:ascii="Arial" w:cs="Arial" w:eastAsia="Arial" w:hAnsi="Arial"/>
                <w:sz w:val="18"/>
                <w:szCs w:val="18"/>
                <w:color w:val="auto"/>
                <w:w w:val="91"/>
              </w:rPr>
              <w:t>12.33%</w:t>
            </w: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14.32%</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9"/>
              </w:rPr>
              <w:t>Total past-due loan amounts as a percentage of total loans (9)</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1.93%</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1.31%</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0.75%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0.79%</w:t>
            </w:r>
          </w:p>
        </w:tc>
        <w:tc>
          <w:tcPr>
            <w:tcW w:w="24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1.60%</w:t>
            </w: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as a percentage of total loans</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3.97%</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3"/>
              </w:rPr>
              <w:t>3.24%</w:t>
            </w:r>
          </w:p>
        </w:tc>
        <w:tc>
          <w:tcPr>
            <w:tcW w:w="156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90"/>
              </w:rPr>
              <w:t>2.58%</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0"/>
              </w:rPr>
              <w:t>2.15%</w:t>
            </w: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3.08%</w:t>
            </w: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w w:val="95"/>
              </w:rPr>
              <w:t>Reserves for loan losses as a percentage of total loans and other</w:t>
            </w: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contingent credits (10)</w:t>
            </w: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3.19%</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3"/>
              </w:rPr>
              <w:t>2.59%</w:t>
            </w:r>
          </w:p>
        </w:tc>
        <w:tc>
          <w:tcPr>
            <w:tcW w:w="1560" w:type="dxa"/>
            <w:vAlign w:val="bottom"/>
            <w:gridSpan w:val="3"/>
          </w:tcPr>
          <w:p>
            <w:pPr>
              <w:jc w:val="center"/>
              <w:ind w:left="370"/>
              <w:spacing w:after="0"/>
              <w:rPr>
                <w:sz w:val="20"/>
                <w:szCs w:val="20"/>
                <w:color w:val="auto"/>
              </w:rPr>
            </w:pPr>
            <w:r>
              <w:rPr>
                <w:rFonts w:ascii="Arial" w:cs="Arial" w:eastAsia="Arial" w:hAnsi="Arial"/>
                <w:sz w:val="18"/>
                <w:szCs w:val="18"/>
                <w:color w:val="auto"/>
                <w:w w:val="90"/>
              </w:rPr>
              <w:t>2.17%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130"/>
              <w:spacing w:after="0"/>
              <w:rPr>
                <w:sz w:val="20"/>
                <w:szCs w:val="20"/>
                <w:color w:val="auto"/>
              </w:rPr>
            </w:pPr>
            <w:r>
              <w:rPr>
                <w:rFonts w:ascii="Arial" w:cs="Arial" w:eastAsia="Arial" w:hAnsi="Arial"/>
                <w:sz w:val="18"/>
                <w:szCs w:val="18"/>
                <w:color w:val="auto"/>
                <w:w w:val="90"/>
              </w:rPr>
              <w:t>1.84%</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3"/>
              </w:rPr>
              <w:t>2.53%</w:t>
            </w: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w w:val="90"/>
              </w:rPr>
              <w:t>Reserves for loan losses as a percentage of total past-due loans (11)</w:t>
            </w:r>
          </w:p>
        </w:tc>
        <w:tc>
          <w:tcPr>
            <w:tcW w:w="10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206.22%</w:t>
            </w:r>
          </w:p>
        </w:tc>
        <w:tc>
          <w:tcPr>
            <w:tcW w:w="1100" w:type="dxa"/>
            <w:vAlign w:val="bottom"/>
            <w:gridSpan w:val="2"/>
            <w:shd w:val="clear" w:color="auto" w:fill="CCFFCC"/>
          </w:tcPr>
          <w:p>
            <w:pPr>
              <w:jc w:val="center"/>
              <w:ind w:left="370"/>
              <w:spacing w:after="0"/>
              <w:rPr>
                <w:sz w:val="20"/>
                <w:szCs w:val="20"/>
                <w:color w:val="auto"/>
              </w:rPr>
            </w:pPr>
            <w:r>
              <w:rPr>
                <w:rFonts w:ascii="Arial" w:cs="Arial" w:eastAsia="Arial" w:hAnsi="Arial"/>
                <w:sz w:val="18"/>
                <w:szCs w:val="18"/>
                <w:color w:val="auto"/>
                <w:w w:val="90"/>
              </w:rPr>
              <w:t>247.85%</w:t>
            </w:r>
          </w:p>
        </w:tc>
        <w:tc>
          <w:tcPr>
            <w:tcW w:w="1560" w:type="dxa"/>
            <w:vAlign w:val="bottom"/>
            <w:gridSpan w:val="3"/>
            <w:shd w:val="clear" w:color="auto" w:fill="CCFFCC"/>
          </w:tcPr>
          <w:p>
            <w:pPr>
              <w:jc w:val="center"/>
              <w:ind w:left="350"/>
              <w:spacing w:after="0"/>
              <w:rPr>
                <w:sz w:val="20"/>
                <w:szCs w:val="20"/>
                <w:color w:val="auto"/>
              </w:rPr>
            </w:pPr>
            <w:r>
              <w:rPr>
                <w:rFonts w:ascii="Arial" w:cs="Arial" w:eastAsia="Arial" w:hAnsi="Arial"/>
                <w:sz w:val="18"/>
                <w:szCs w:val="18"/>
                <w:color w:val="auto"/>
                <w:w w:val="90"/>
              </w:rPr>
              <w:t>343.68%</w:t>
            </w:r>
          </w:p>
        </w:tc>
        <w:tc>
          <w:tcPr>
            <w:tcW w:w="2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jc w:val="center"/>
              <w:ind w:right="110"/>
              <w:spacing w:after="0"/>
              <w:rPr>
                <w:sz w:val="20"/>
                <w:szCs w:val="20"/>
                <w:color w:val="auto"/>
              </w:rPr>
            </w:pPr>
            <w:r>
              <w:rPr>
                <w:rFonts w:ascii="Arial" w:cs="Arial" w:eastAsia="Arial" w:hAnsi="Arial"/>
                <w:sz w:val="18"/>
                <w:szCs w:val="18"/>
                <w:color w:val="auto"/>
                <w:w w:val="90"/>
              </w:rPr>
              <w:t>270.72%</w:t>
            </w:r>
          </w:p>
        </w:tc>
        <w:tc>
          <w:tcPr>
            <w:tcW w:w="240" w:type="dxa"/>
            <w:vAlign w:val="bottom"/>
            <w:shd w:val="clear" w:color="auto" w:fill="CCFFCC"/>
          </w:tcPr>
          <w:p>
            <w:pPr>
              <w:spacing w:after="0"/>
              <w:rPr>
                <w:sz w:val="18"/>
                <w:szCs w:val="18"/>
                <w:color w:val="auto"/>
              </w:rPr>
            </w:pPr>
          </w:p>
        </w:tc>
        <w:tc>
          <w:tcPr>
            <w:tcW w:w="11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191.99%</w:t>
            </w:r>
          </w:p>
        </w:tc>
      </w:tr>
      <w:tr>
        <w:trPr>
          <w:trHeight w:val="230"/>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1"/>
              </w:rPr>
              <w:t>Reserves for loan losses as a percentage of substandard loans (12)</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65.42%</w:t>
            </w:r>
          </w:p>
        </w:tc>
        <w:tc>
          <w:tcPr>
            <w:tcW w:w="1100" w:type="dxa"/>
            <w:vAlign w:val="bottom"/>
            <w:gridSpan w:val="2"/>
          </w:tcPr>
          <w:p>
            <w:pPr>
              <w:jc w:val="center"/>
              <w:ind w:left="370"/>
              <w:spacing w:after="0"/>
              <w:rPr>
                <w:sz w:val="20"/>
                <w:szCs w:val="20"/>
                <w:color w:val="auto"/>
              </w:rPr>
            </w:pPr>
            <w:r>
              <w:rPr>
                <w:rFonts w:ascii="Arial" w:cs="Arial" w:eastAsia="Arial" w:hAnsi="Arial"/>
                <w:sz w:val="18"/>
                <w:szCs w:val="18"/>
                <w:color w:val="auto"/>
                <w:w w:val="91"/>
              </w:rPr>
              <w:t>78.24%</w:t>
            </w:r>
          </w:p>
        </w:tc>
        <w:tc>
          <w:tcPr>
            <w:tcW w:w="1560" w:type="dxa"/>
            <w:vAlign w:val="bottom"/>
            <w:gridSpan w:val="3"/>
          </w:tcPr>
          <w:p>
            <w:pPr>
              <w:jc w:val="center"/>
              <w:ind w:left="350"/>
              <w:spacing w:after="0"/>
              <w:rPr>
                <w:sz w:val="20"/>
                <w:szCs w:val="20"/>
                <w:color w:val="auto"/>
              </w:rPr>
            </w:pPr>
            <w:r>
              <w:rPr>
                <w:rFonts w:ascii="Arial" w:cs="Arial" w:eastAsia="Arial" w:hAnsi="Arial"/>
                <w:sz w:val="18"/>
                <w:szCs w:val="18"/>
                <w:color w:val="auto"/>
                <w:w w:val="90"/>
              </w:rPr>
              <w:t>100.45%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center"/>
              <w:ind w:right="110"/>
              <w:spacing w:after="0"/>
              <w:rPr>
                <w:sz w:val="20"/>
                <w:szCs w:val="20"/>
                <w:color w:val="auto"/>
              </w:rPr>
            </w:pPr>
            <w:r>
              <w:rPr>
                <w:rFonts w:ascii="Arial" w:cs="Arial" w:eastAsia="Arial" w:hAnsi="Arial"/>
                <w:sz w:val="18"/>
                <w:szCs w:val="18"/>
                <w:color w:val="auto"/>
                <w:w w:val="90"/>
              </w:rPr>
              <w:t>112.26%</w:t>
            </w:r>
          </w:p>
        </w:tc>
        <w:tc>
          <w:tcPr>
            <w:tcW w:w="24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99.45%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1" w:lineRule="exact"/>
        <w:rPr>
          <w:sz w:val="20"/>
          <w:szCs w:val="20"/>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Provision for loan losses and reserve for loan losses include provisions and reserves with respect to total loans and contingent credits, net of write-off recoveries.</w:t>
      </w:r>
    </w:p>
    <w:p>
      <w:pPr>
        <w:spacing w:after="0" w:line="19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We have 100 million authorized common shares. As of December 31, 2009, we had issued 94.4 million common shares, of which 14.6 million were held by ASHC. The per common share data given considers net outstanding shares (common shares net of shares held by BCP, ASHC and PPS) of 79.7 million in 2002 to 2009.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Notes 16 and 25 to the Credicorp Consolidated Financial Statements.</w:t>
      </w:r>
    </w:p>
    <w:p>
      <w:pPr>
        <w:spacing w:after="0" w:line="208"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Net of unearned interest, but prior to reserve for loan losses. In addition to loans outstanding, we had contingent loans of US$1,220.9 million, US$1,455.4 million, US$1,564.5 million, US$1,755.9 million and US$2,528.1 million, as of December 31, 2005, 2006, 2007, 2008 and 2009, respectively.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19 to the Credicorp Consolidated Financial Statements.</w:t>
      </w:r>
    </w:p>
    <w:p>
      <w:pPr>
        <w:spacing w:after="0" w:line="208"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interest income as a percentage of average interest-earning assets, computed as the average of period-beginning and period-ending balances on a monthly basis.</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as a percentage of average total assets, computed as the average of period-beginning and period-ending balances.</w:t>
      </w:r>
    </w:p>
    <w:p>
      <w:pPr>
        <w:spacing w:after="0" w:line="252"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as a percentage of average equity attributable to our equity holders, computed as the average of period-beginning and period-ending balances, and calculated on a monthly basis.</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Sum of the salaries and employee’s benefits, administrative expenses, depreciation and amortization, as a percentage of the sum of net interest income and non-interest income, less net gains from sales of securities and other income.</w:t>
      </w:r>
    </w:p>
    <w:p>
      <w:pPr>
        <w:spacing w:after="0" w:line="197" w:lineRule="exact"/>
        <w:rPr>
          <w:rFonts w:ascii="Arial" w:cs="Arial" w:eastAsia="Arial" w:hAnsi="Arial"/>
          <w:sz w:val="18"/>
          <w:szCs w:val="18"/>
          <w:color w:val="auto"/>
        </w:rPr>
      </w:pPr>
    </w:p>
    <w:p>
      <w:pPr>
        <w:jc w:val="both"/>
        <w:ind w:left="500" w:hanging="492"/>
        <w:spacing w:after="0" w:line="26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Regulatory capital calculated in accordance with guidelines by the Basel Committee on Banking Regulations and Supervisory Practices of International Settlements (or the BIS I Accord) as adopted by the SBS.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5. Operating and Financial Review and Prospects—(B) Liquidity and Capital Resources—Regulatory Capital and Capital Adequacy Ratios.”</w:t>
      </w:r>
    </w:p>
    <w:p>
      <w:pPr>
        <w:spacing w:after="0" w:line="208" w:lineRule="exact"/>
        <w:rPr>
          <w:rFonts w:ascii="Arial" w:cs="Arial" w:eastAsia="Arial" w:hAnsi="Arial"/>
          <w:sz w:val="18"/>
          <w:szCs w:val="18"/>
          <w:color w:val="auto"/>
        </w:rPr>
      </w:pPr>
    </w:p>
    <w:p>
      <w:pPr>
        <w:jc w:val="both"/>
        <w:ind w:left="500" w:hanging="492"/>
        <w:spacing w:after="0" w:line="257"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BCP considers loans past due after 90 days for installment loans, which include mortgage loans but exclude consumer loans. ASHC considers past due all overdue loans except for consumer loans, which are considered past due when the scheduled principal and/or interest payments are overdue for more than 90 days. For IFRS 7 disclosure requirements on past-due loans,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29.1 to the Credicorp Consolidated Financial Statements.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Information—(iii) Loan Portfolio—Classification of the Loan Portfolio Based on the Borrower’s Payment Performance.”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 w:name="page10"/>
    <w:bookmarkEnd w:id="9"/>
    <w:p>
      <w:pPr>
        <w:ind w:left="50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Other contingent credits primarily consist of guarantees, stand-by letters and letters of credit.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19 to the Credicorp Consolidated Financial Statements.</w:t>
      </w:r>
    </w:p>
    <w:p>
      <w:pPr>
        <w:spacing w:after="0" w:line="197"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all past-due loans, with no reduction for collateral securing such loans. Reserves for loan and contingent credit losses include reserves with respect to total loans and other credits.</w:t>
      </w:r>
    </w:p>
    <w:p>
      <w:pPr>
        <w:spacing w:after="0" w:line="197" w:lineRule="exact"/>
        <w:rPr>
          <w:rFonts w:ascii="Arial" w:cs="Arial" w:eastAsia="Arial" w:hAnsi="Arial"/>
          <w:sz w:val="18"/>
          <w:szCs w:val="18"/>
          <w:color w:val="auto"/>
        </w:rPr>
      </w:pPr>
    </w:p>
    <w:p>
      <w:pPr>
        <w:ind w:left="500" w:hanging="492"/>
        <w:spacing w:after="0"/>
        <w:tabs>
          <w:tab w:leader="none" w:pos="50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Reserves for loan and contingent credit losses as a percentage of loans classified in categories C, D or E.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w:t>
      </w:r>
    </w:p>
    <w:p>
      <w:pPr>
        <w:spacing w:after="0" w:line="46"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(B) Business Overview—(12) Selected Statistical Information—(iii) Loan Portfolio—Classification of Loan Portfolio.”</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Exchange Rates</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the high and low month-end rates and the average and end-of-period rates for the sale of Nuevos Soles for U.S. Dollars for the periods indicated.</w:t>
      </w:r>
    </w:p>
    <w:p>
      <w:pPr>
        <w:spacing w:after="0" w:line="193" w:lineRule="exact"/>
        <w:rPr>
          <w:sz w:val="20"/>
          <w:szCs w:val="20"/>
          <w:color w:val="auto"/>
        </w:rPr>
      </w:pPr>
    </w:p>
    <w:tbl>
      <w:tblPr>
        <w:tblLayout w:type="fixed"/>
        <w:tblInd w:w="1500" w:type="dxa"/>
        <w:tblCellMar>
          <w:top w:w="0" w:type="dxa"/>
          <w:left w:w="0" w:type="dxa"/>
          <w:bottom w:w="0" w:type="dxa"/>
          <w:right w:w="0" w:type="dxa"/>
        </w:tblCellMar>
      </w:tblPr>
      <w:tr>
        <w:trPr>
          <w:trHeight w:val="241"/>
        </w:trPr>
        <w:tc>
          <w:tcPr>
            <w:tcW w:w="3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 ended December 31,</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High (1)</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Low (1)</w:t>
            </w:r>
          </w:p>
        </w:tc>
        <w:tc>
          <w:tcPr>
            <w:tcW w:w="20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Average (2)</w:t>
            </w:r>
          </w:p>
        </w:tc>
        <w:tc>
          <w:tcPr>
            <w:tcW w:w="22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Period-end (3)</w:t>
            </w:r>
          </w:p>
        </w:tc>
        <w:tc>
          <w:tcPr>
            <w:tcW w:w="120" w:type="dxa"/>
            <w:vAlign w:val="bottom"/>
          </w:tcPr>
          <w:p>
            <w:pPr>
              <w:spacing w:after="0"/>
              <w:rPr>
                <w:sz w:val="20"/>
                <w:szCs w:val="20"/>
                <w:color w:val="auto"/>
              </w:rPr>
            </w:pPr>
          </w:p>
        </w:tc>
      </w:tr>
      <w:tr>
        <w:trPr>
          <w:trHeight w:val="223"/>
        </w:trPr>
        <w:tc>
          <w:tcPr>
            <w:tcW w:w="3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5"/>
          </w:tcPr>
          <w:p>
            <w:pPr>
              <w:spacing w:after="0"/>
              <w:rPr>
                <w:sz w:val="20"/>
                <w:szCs w:val="20"/>
                <w:color w:val="auto"/>
              </w:rPr>
            </w:pPr>
            <w:r>
              <w:rPr>
                <w:rFonts w:ascii="Arial" w:cs="Arial" w:eastAsia="Arial" w:hAnsi="Arial"/>
                <w:sz w:val="18"/>
                <w:szCs w:val="18"/>
                <w:i w:val="1"/>
                <w:iCs w:val="1"/>
                <w:color w:val="auto"/>
              </w:rPr>
              <w:t>(Nominal Nuevos Soles per U.S. Dollar)</w:t>
            </w:r>
          </w:p>
        </w:tc>
        <w:tc>
          <w:tcPr>
            <w:tcW w:w="120" w:type="dxa"/>
            <w:vAlign w:val="bottom"/>
          </w:tcPr>
          <w:p>
            <w:pPr>
              <w:spacing w:after="0"/>
              <w:rPr>
                <w:sz w:val="19"/>
                <w:szCs w:val="19"/>
                <w:color w:val="auto"/>
              </w:rPr>
            </w:pPr>
          </w:p>
        </w:tc>
      </w:tr>
      <w:tr>
        <w:trPr>
          <w:trHeight w:val="216"/>
        </w:trPr>
        <w:tc>
          <w:tcPr>
            <w:tcW w:w="32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2005</w:t>
            </w:r>
          </w:p>
        </w:tc>
        <w:tc>
          <w:tcPr>
            <w:tcW w:w="10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88"/>
              </w:rPr>
              <w:t>3.440</w:t>
            </w:r>
          </w:p>
        </w:tc>
        <w:tc>
          <w:tcPr>
            <w:tcW w:w="11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3.249</w:t>
            </w:r>
          </w:p>
        </w:tc>
        <w:tc>
          <w:tcPr>
            <w:tcW w:w="13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3.295</w:t>
            </w:r>
          </w:p>
        </w:tc>
        <w:tc>
          <w:tcPr>
            <w:tcW w:w="15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3"/>
              </w:rPr>
              <w:t>3.420</w:t>
            </w:r>
          </w:p>
        </w:tc>
        <w:tc>
          <w:tcPr>
            <w:tcW w:w="120" w:type="dxa"/>
            <w:vAlign w:val="bottom"/>
            <w:shd w:val="clear" w:color="auto" w:fill="CCFFCC"/>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0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3.455</w:t>
            </w:r>
          </w:p>
        </w:tc>
        <w:tc>
          <w:tcPr>
            <w:tcW w:w="116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3.195</w:t>
            </w:r>
          </w:p>
        </w:tc>
        <w:tc>
          <w:tcPr>
            <w:tcW w:w="13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3.274</w:t>
            </w:r>
          </w:p>
        </w:tc>
        <w:tc>
          <w:tcPr>
            <w:tcW w:w="15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3.195</w:t>
            </w:r>
          </w:p>
        </w:tc>
        <w:tc>
          <w:tcPr>
            <w:tcW w:w="120" w:type="dxa"/>
            <w:vAlign w:val="bottom"/>
          </w:tcPr>
          <w:p>
            <w:pPr>
              <w:spacing w:after="0"/>
              <w:rPr>
                <w:sz w:val="18"/>
                <w:szCs w:val="18"/>
                <w:color w:val="auto"/>
              </w:rPr>
            </w:pPr>
          </w:p>
        </w:tc>
      </w:tr>
      <w:tr>
        <w:trPr>
          <w:trHeight w:val="216"/>
        </w:trPr>
        <w:tc>
          <w:tcPr>
            <w:tcW w:w="32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2007</w:t>
            </w:r>
          </w:p>
        </w:tc>
        <w:tc>
          <w:tcPr>
            <w:tcW w:w="10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88"/>
              </w:rPr>
              <w:t>3.197</w:t>
            </w:r>
          </w:p>
        </w:tc>
        <w:tc>
          <w:tcPr>
            <w:tcW w:w="11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2.998</w:t>
            </w:r>
          </w:p>
        </w:tc>
        <w:tc>
          <w:tcPr>
            <w:tcW w:w="13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3.125</w:t>
            </w:r>
          </w:p>
        </w:tc>
        <w:tc>
          <w:tcPr>
            <w:tcW w:w="15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3"/>
              </w:rPr>
              <w:t>2.998</w:t>
            </w:r>
          </w:p>
        </w:tc>
        <w:tc>
          <w:tcPr>
            <w:tcW w:w="120" w:type="dxa"/>
            <w:vAlign w:val="bottom"/>
            <w:shd w:val="clear" w:color="auto" w:fill="CCFFCC"/>
          </w:tcPr>
          <w:p>
            <w:pPr>
              <w:spacing w:after="0"/>
              <w:rPr>
                <w:sz w:val="18"/>
                <w:szCs w:val="18"/>
                <w:color w:val="auto"/>
              </w:rPr>
            </w:pP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6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3.135</w:t>
            </w:r>
          </w:p>
        </w:tc>
        <w:tc>
          <w:tcPr>
            <w:tcW w:w="116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2.751</w:t>
            </w:r>
          </w:p>
        </w:tc>
        <w:tc>
          <w:tcPr>
            <w:tcW w:w="1320" w:type="dxa"/>
            <w:vAlign w:val="bottom"/>
            <w:gridSpan w:val="2"/>
          </w:tcPr>
          <w:p>
            <w:pPr>
              <w:jc w:val="center"/>
              <w:ind w:left="110"/>
              <w:spacing w:after="0"/>
              <w:rPr>
                <w:sz w:val="20"/>
                <w:szCs w:val="20"/>
                <w:color w:val="auto"/>
              </w:rPr>
            </w:pPr>
            <w:r>
              <w:rPr>
                <w:rFonts w:ascii="Arial" w:cs="Arial" w:eastAsia="Arial" w:hAnsi="Arial"/>
                <w:sz w:val="18"/>
                <w:szCs w:val="18"/>
                <w:color w:val="auto"/>
                <w:w w:val="88"/>
              </w:rPr>
              <w:t>2.939</w:t>
            </w:r>
          </w:p>
        </w:tc>
        <w:tc>
          <w:tcPr>
            <w:tcW w:w="156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3.135</w:t>
            </w:r>
          </w:p>
        </w:tc>
        <w:tc>
          <w:tcPr>
            <w:tcW w:w="120" w:type="dxa"/>
            <w:vAlign w:val="bottom"/>
          </w:tcPr>
          <w:p>
            <w:pPr>
              <w:spacing w:after="0"/>
              <w:rPr>
                <w:sz w:val="18"/>
                <w:szCs w:val="18"/>
                <w:color w:val="auto"/>
              </w:rPr>
            </w:pPr>
          </w:p>
        </w:tc>
      </w:tr>
      <w:tr>
        <w:trPr>
          <w:trHeight w:val="216"/>
        </w:trPr>
        <w:tc>
          <w:tcPr>
            <w:tcW w:w="32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2009</w:t>
            </w:r>
          </w:p>
        </w:tc>
        <w:tc>
          <w:tcPr>
            <w:tcW w:w="10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88"/>
              </w:rPr>
              <w:t>3.258</w:t>
            </w:r>
          </w:p>
        </w:tc>
        <w:tc>
          <w:tcPr>
            <w:tcW w:w="11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2.853</w:t>
            </w:r>
          </w:p>
        </w:tc>
        <w:tc>
          <w:tcPr>
            <w:tcW w:w="13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8"/>
              </w:rPr>
              <w:t>3.010</w:t>
            </w:r>
          </w:p>
        </w:tc>
        <w:tc>
          <w:tcPr>
            <w:tcW w:w="156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3"/>
              </w:rPr>
              <w:t>2.889</w:t>
            </w:r>
          </w:p>
        </w:tc>
        <w:tc>
          <w:tcPr>
            <w:tcW w:w="12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Bloomberg</w:t>
      </w:r>
    </w:p>
    <w:p>
      <w:pPr>
        <w:spacing w:after="0" w:line="13"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Highest and lowest of the 12 month-end exchange rates for each year based on the offered rate.</w:t>
      </w:r>
    </w:p>
    <w:p>
      <w:pPr>
        <w:spacing w:after="0" w:line="7"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Average of month-end exchange rates based on the offered rate.</w:t>
      </w:r>
    </w:p>
    <w:p>
      <w:pPr>
        <w:spacing w:after="0" w:line="9"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End-of-period exchange rates based on the offered rate.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high and low rates for the sale of Nuevos Soles for U.S. Dollars for the indicated months.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High (1)</w:t>
            </w:r>
          </w:p>
        </w:tc>
        <w:tc>
          <w:tcPr>
            <w:tcW w:w="22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Low (1)</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1960" w:type="dxa"/>
            <w:vAlign w:val="bottom"/>
            <w:tcBorders>
              <w:bottom w:val="single" w:sz="8" w:color="auto"/>
            </w:tcBorders>
          </w:tcPr>
          <w:p>
            <w:pPr>
              <w:ind w:left="640"/>
              <w:spacing w:after="0"/>
              <w:rPr>
                <w:sz w:val="20"/>
                <w:szCs w:val="20"/>
                <w:color w:val="auto"/>
              </w:rPr>
            </w:pPr>
            <w:r>
              <w:rPr>
                <w:rFonts w:ascii="Arial" w:cs="Arial" w:eastAsia="Arial" w:hAnsi="Arial"/>
                <w:sz w:val="18"/>
                <w:szCs w:val="18"/>
                <w:i w:val="1"/>
                <w:iCs w:val="1"/>
                <w:color w:val="auto"/>
                <w:w w:val="94"/>
              </w:rPr>
              <w:t>(Nominal Nuevos</w:t>
            </w: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Soles per U.S. Dollar)</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2009</w:t>
            </w:r>
          </w:p>
        </w:tc>
        <w:tc>
          <w:tcPr>
            <w:tcW w:w="1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December</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2.889</w:t>
            </w:r>
          </w:p>
        </w:tc>
        <w:tc>
          <w:tcPr>
            <w:tcW w:w="22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2.863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2010</w:t>
            </w:r>
          </w:p>
        </w:tc>
        <w:tc>
          <w:tcPr>
            <w:tcW w:w="1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January</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2.889</w:t>
            </w:r>
          </w:p>
        </w:tc>
        <w:tc>
          <w:tcPr>
            <w:tcW w:w="22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2.845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1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2.871</w:t>
            </w:r>
          </w:p>
        </w:tc>
        <w:tc>
          <w:tcPr>
            <w:tcW w:w="222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2.845</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March</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2.846</w:t>
            </w:r>
          </w:p>
        </w:tc>
        <w:tc>
          <w:tcPr>
            <w:tcW w:w="22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2.837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April</w:t>
            </w:r>
          </w:p>
        </w:tc>
        <w:tc>
          <w:tcPr>
            <w:tcW w:w="1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2.848</w:t>
            </w:r>
          </w:p>
        </w:tc>
        <w:tc>
          <w:tcPr>
            <w:tcW w:w="222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2.836</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160"/>
              <w:spacing w:after="0"/>
              <w:rPr>
                <w:sz w:val="20"/>
                <w:szCs w:val="20"/>
                <w:color w:val="auto"/>
              </w:rPr>
            </w:pPr>
            <w:r>
              <w:rPr>
                <w:rFonts w:ascii="Arial" w:cs="Arial" w:eastAsia="Arial" w:hAnsi="Arial"/>
                <w:sz w:val="18"/>
                <w:szCs w:val="18"/>
                <w:color w:val="auto"/>
              </w:rPr>
              <w:t>May</w:t>
            </w:r>
          </w:p>
        </w:tc>
        <w:tc>
          <w:tcPr>
            <w:tcW w:w="1960" w:type="dxa"/>
            <w:vAlign w:val="bottom"/>
          </w:tcPr>
          <w:p>
            <w:pPr>
              <w:jc w:val="center"/>
              <w:spacing w:after="0"/>
              <w:rPr>
                <w:sz w:val="20"/>
                <w:szCs w:val="20"/>
                <w:color w:val="auto"/>
              </w:rPr>
            </w:pPr>
            <w:r>
              <w:rPr>
                <w:rFonts w:ascii="Arial" w:cs="Arial" w:eastAsia="Arial" w:hAnsi="Arial"/>
                <w:sz w:val="18"/>
                <w:szCs w:val="18"/>
                <w:color w:val="auto"/>
                <w:w w:val="88"/>
              </w:rPr>
              <w:t>2.855</w:t>
            </w:r>
          </w:p>
        </w:tc>
        <w:tc>
          <w:tcPr>
            <w:tcW w:w="2220" w:type="dxa"/>
            <w:vAlign w:val="bottom"/>
            <w:gridSpan w:val="2"/>
          </w:tcPr>
          <w:p>
            <w:pPr>
              <w:jc w:val="center"/>
              <w:ind w:left="130"/>
              <w:spacing w:after="0"/>
              <w:rPr>
                <w:sz w:val="20"/>
                <w:szCs w:val="20"/>
                <w:color w:val="auto"/>
              </w:rPr>
            </w:pPr>
            <w:r>
              <w:rPr>
                <w:rFonts w:ascii="Arial" w:cs="Arial" w:eastAsia="Arial" w:hAnsi="Arial"/>
                <w:sz w:val="18"/>
                <w:szCs w:val="18"/>
                <w:color w:val="auto"/>
                <w:w w:val="88"/>
              </w:rPr>
              <w:t>2.836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June (through June 14)</w:t>
            </w:r>
          </w:p>
        </w:tc>
        <w:tc>
          <w:tcPr>
            <w:tcW w:w="19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2.851</w:t>
            </w:r>
          </w:p>
        </w:tc>
        <w:tc>
          <w:tcPr>
            <w:tcW w:w="222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2.844</w:t>
            </w:r>
          </w:p>
        </w:tc>
        <w:tc>
          <w:tcPr>
            <w:tcW w:w="10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Bloomberg</w:t>
      </w:r>
    </w:p>
    <w:p>
      <w:pPr>
        <w:spacing w:after="0" w:line="13" w:lineRule="exact"/>
        <w:rPr>
          <w:sz w:val="20"/>
          <w:szCs w:val="20"/>
          <w:color w:val="auto"/>
        </w:rPr>
      </w:pPr>
    </w:p>
    <w:p>
      <w:pPr>
        <w:ind w:left="620" w:hanging="612"/>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Highest and lowest of the daily closing exchange rates for each month based on the offered rate.</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average of the bid and offered free market exchange rates published by the SBS for June 14, 2010 was S/. 2.843 per US$1.00.</w:t>
      </w:r>
    </w:p>
    <w:p>
      <w:pPr>
        <w:spacing w:after="0" w:line="200" w:lineRule="exact"/>
        <w:rPr>
          <w:sz w:val="20"/>
          <w:szCs w:val="20"/>
          <w:color w:val="auto"/>
        </w:rPr>
      </w:pPr>
    </w:p>
    <w:p>
      <w:pPr>
        <w:spacing w:after="0" w:line="291" w:lineRule="exact"/>
        <w:rPr>
          <w:sz w:val="20"/>
          <w:szCs w:val="20"/>
          <w:color w:val="auto"/>
        </w:rPr>
      </w:pPr>
    </w:p>
    <w:p>
      <w:pPr>
        <w:ind w:left="660" w:right="8280" w:hanging="652"/>
        <w:spacing w:after="0" w:line="5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spacing w:after="0" w:line="188" w:lineRule="exact"/>
        <w:rPr>
          <w:rFonts w:ascii="Arial" w:cs="Arial" w:eastAsia="Arial" w:hAnsi="Arial"/>
          <w:sz w:val="18"/>
          <w:szCs w:val="18"/>
          <w:b w:val="1"/>
          <w:bCs w:val="1"/>
          <w:color w:val="auto"/>
        </w:rPr>
      </w:pPr>
    </w:p>
    <w:p>
      <w:pPr>
        <w:ind w:left="660" w:right="7520" w:hanging="652"/>
        <w:spacing w:after="0" w:line="564" w:lineRule="auto"/>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businesses are affected by many external and other factors in the markets in which we operate. Different risk factors can impact our businesses, our ability to effectively operate and our business strategies. You should consider the risk factors carefully and read them in conjunction with all the information in this document.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geographic location exposes us to risk related to Peruvian political and economic conditions.</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Most of BCP’s, PPS’s and Prima AFP’s operations and customers are located in Peru. In addition, although ASHC is based outside of Peru, most of its customers are located in Peru. Accordingly, our results of operations and financial conditions will be dependent on the level of economic activity in Peru. Changes in economic or other policies of the Peruvian government, which has exercised and continues to exercise a substantial influence over many aspects of the private sector, could affect our results of operations and financial condition. Similarly, other political or economic developments in Peru, including government-induced effects on inflation, devaluation and economic growth could affect our operations and financial condition.</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several decades, Peru had a history of political instability that has included military coups and a succession of regimes with differing policies and programs. Past governments have frequently intervened in the nation’s economy and social structure. Among other actions, past governments have imposed controls on prices, exchange rates, local and foreign investment, and international trade. Past governments have also restricted the ability of companies to dismiss employees, expropriated private sector assets and prohibited the payment of profits to foreign investors.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1980s and the early 1990s, the Sendero Luminoso (Shining Path) and the Movimiento Revolucionario Tupac Amaru (MRTA) terrorist organizations were particularly active in Peru. Although the Shining Path and MRTA were almost de-activated in the 1990s, any resumption of activities by these or other terrorist organizations may adversely affect our operations.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July 1990, Alberto Fujimori was elected President and implemented a broad-based reform of Peru’s political system and economic and social conditions. The reform was aimed at stabilizing the economy, restructuring the national government (by reducing bureaucracy), privatizing state-owned companies, promoting private investment, eradicating corruption and bribery in the judicial system, developing and strengthening free markets, institutionalizing democratic representation, and enacting programs designed to strengthen basic services related to education, health, housing and infrastructure. After taking office for his third term in July 2000, under extreme protest, President Fujimori was forced to call for general elections when corruption in his government was exposed to the public. Fujimori later resigned in favor of a transitory government.</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2001, Alejandro Toledo became President, ending two years of political turmoil. President Toledo retained, for the most part, the economic policies of the previous government. He focused on promoting private investment, eliminating tax exemptions, and reducing underemployment and unemployment. President Toledo also implemented fiscal austerity programs, among other proposals, in order to stimulate the economy. Despite Peru’s moderate economic growth, the Toledo administration faced public unrest spurred by high rates of unemployment, underemployment and poverty.</w:t>
      </w:r>
    </w:p>
    <w:p>
      <w:pPr>
        <w:spacing w:after="0" w:line="19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the elections held in April 2006, no presidential candidate received the required 50% or more of the votes. As a result, a second round election between the top two presidential candidates, Ollanta Humala Tasso from the Partido Unión por el Peru, or the UPP, and Alan García Pérez of the Partido Alianza Popular Revolucionaria, or APRA, was held on June 4, 2006. Although Alan García Pérez was elected and currently serves as President, he has no majority in Congress. President García had previously served as President of Peru from 1985 to 1990, a period which was marked by a severe economic crisis. He is following conservative economic policies and has indicated a desire to avoid the mistakes of his past government. The García administration has followed economic policies similar to those of the Toledo administration, which included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both"/>
        <w:ind w:firstLine="648"/>
        <w:spacing w:after="0" w:line="302" w:lineRule="auto"/>
        <w:rPr>
          <w:sz w:val="20"/>
          <w:szCs w:val="20"/>
          <w:color w:val="auto"/>
        </w:rPr>
      </w:pPr>
      <w:r>
        <w:rPr>
          <w:rFonts w:ascii="Arial" w:cs="Arial" w:eastAsia="Arial" w:hAnsi="Arial"/>
          <w:sz w:val="16"/>
          <w:szCs w:val="16"/>
          <w:color w:val="auto"/>
        </w:rPr>
        <w:t>The Peruvian government’s economic policies during the last decade have provided the appropriate fundamentals to support positive performance by the Peruvian economy. As a result, the international financial crisis did not impact Peru as severely as other countries. In addition, the current government has also implemented a US$3 billion anti-crisis program to alleviate any effects from the crisis. However, while the economic policies of recent Peruvian governments have been relatively stable, future governments might adopt different economic policies that are less favorable for the Peruvian economy.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fluctuations and exchange controls may adversely affect our financial condition and results of operations.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Even though the functional currency of our financial statements is U.S. Dollars and our dividends are paid in U.S. Dollars, BCP, PPS and Prima AFP for local statutory purposes, prepare their financial statements and pay dividends in Nuevos Soles. The Peruvian government does not currently impose restrictions on a company’s ability to transfer U.S. Dollars from Peru to other countries, to convert Peruvian currency into U.S. Dollars or to pay dividends abroad. Nevertheless, Peru has had restrictive exchange controls in the past, and the Peruvian government might in the future consider it necessary to implement restrictions on such transfers, payments or conversions.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10. Additional Information—(D) Exchange Controls.” In addition, depreciation of the Nuevo Sol against the U.S. Dollar would decrease the U.S. Dollar value of any dividends BCP, PPS and Prima AFP pay us, which would have a negative impact on our ability to pay dividends to shareholders.</w:t>
      </w:r>
    </w:p>
    <w:p>
      <w:pPr>
        <w:spacing w:after="0" w:line="20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Although Peru’s foreign reserves currently compare favorably with those of many other Latin American countries, Peru may not be able to maintain adequate foreign reserves to meet its foreign currency-denominated obligations. Similarly, Peru may impose exchange controls should its foreign reserves decline. A decline in Peruvian foreign reserves to inadequate levels, among other economic circumstances, could lead to currency devaluation or a volatility of short-term capital inflows. We have taken steps to manage the gap between our foreign currency-denominated assets and liabilities in several ways, including closely matching the volumes and maturities of our Nuevo Sol-denominated assets against our Nuevo Sol-denominated liabilities. Nevertheless, a sudden and significant devaluation of the Nuevo Sol could have a material adverse effect on our financial condition and results of operations.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11. Quantitative and Qualitative Disclosures about Market Risk—Foreign Exchange Risk.”</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Also, a significant group of BCP’s borrowers and PPS’s insureds generate Nuevo Sol revenues from their own clients. Devaluation of the Nuevo Sol against the U.S. Dollar could negatively impact BCP’s and PPS’s clients’ ability to repay loans or make premium payments. Despite any devaluation, and absent any change in foreign exchange regulations, BCP and PPS would be expected to continue to repay U.S. Dollar-denominated deposits and U.S. Dollar-denominated insurance benefits in U.S. Dollars. Therefore, any significant devaluation of the Nuevo Sol against the U.S. Dollar could have a material adverse effect on our results of operations and financial condition.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It may be difficult to serve process on or enforce judgments against us or our principals residing outside of the United States.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significant majority of our directors and officers live outside the United States (principally in Peru). All or most of our assets and those of our principals are located outside the United States. As a result, it may not be possible for investors to effect service of process within the United States upon us or our principals to bring forth a civil suit under the United States securities laws in United States courts. We have been advised by our Peruvian counsel that liability under the United States federal securities laws may not be enforceable in original actions in Peruvian courts. Also, judgments of United States courts obtained in actions under the United States federal securities laws may not be enforceable. Similarly, Bermudan counsel advised us that courts in Bermuda may not enforce judgments obtained in other jurisdictions, or entertain actions in Bermuda, against us or our directors or officers under the securities laws of those jurisdictions.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ind w:firstLine="648"/>
        <w:spacing w:after="0" w:line="302" w:lineRule="auto"/>
        <w:rPr>
          <w:sz w:val="20"/>
          <w:szCs w:val="20"/>
          <w:color w:val="auto"/>
        </w:rPr>
      </w:pPr>
      <w:r>
        <w:rPr>
          <w:rFonts w:ascii="Arial" w:cs="Arial" w:eastAsia="Arial" w:hAnsi="Arial"/>
          <w:sz w:val="16"/>
          <w:szCs w:val="16"/>
          <w:color w:val="auto"/>
        </w:rPr>
        <w:t>In addition, our bye-laws contain a broad waiver by shareholders of any claim or right of action, both individually and on our behalf, against any of our officers or directors. This waiver limits the rights of shareholders to assert claims against our officers and directors for any action taken by an officer or director. It also limits the rights of shareholders to assert claims against officers for the failure of an officer or director to take any action in the performance of his or her duties, except with respect to any matter involving any willful negligence, willful default, fraud or dishonesty on the part of the officer or director.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Our ability to pay dividends to shareholders and to pay corporate expenses may be adversely affected by the ability of our subsidiaries to pay dividends to us.</w:t>
      </w:r>
    </w:p>
    <w:p>
      <w:pPr>
        <w:spacing w:after="0" w:line="19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holding company, our ability to make dividend payments, if any, and to pay corporate expenses will depend upon the receipt of dividends and other distributions from our operating subsidiaries. Our principal subsidiaries are BCP, PPS, ASHC and Grupo Crédito, which is Prima AFP’s owner. If our subsidiaries do not have funds available, or are otherwise restricted from paying us dividends, we may be limited in our ability to pay dividends to shareholders. Currently, there are no restrictions on the ability of BCP, ASHC, PPS or Grupo Crédito to pay dividends abroad. In addition, our right to participate in the distribution of assets of any subsidiary, upon any subsidiary’s liquidation or reorganization (and thus the ability of holders of our securities to benefit indirectly from such distribution), is subject to the prior claims of creditors of that subsidiary, except where we are considered a creditor of the subsidiary. Accordingly, our securities will effectively be subordinated to all existing and future liabilities of our subsidiaries, and holders of our securities should look only to our assets for payments.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 deterioration in the quality of our loan portfolio may adversely affect our results of operations.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that a significant percentage of our revenues are related to banking activities, a deterioration of loan quality may have an adverse impact on our financial condition and results of operations. On the one hand, loan portfolio risk associated with lending to certain economic sectors or clients in certain market segments can be mitigated through adequate diversification policies. On the other hand, our pursuit of opportunities in which we can charge higher interest rates, thereby increasing revenues, may reduce diversification of the loan portfolio and expose us to greater credit risk. We believe that significant opportunities exist in middle market, consumer lending and microfinance in Peru. We also believe that we can, on average, charge higher interest rates on such loans as compared with interest charged on loans in our core corporate banking business, made primarily to clients that operate in industrial and commercial economic sectors.</w:t>
      </w:r>
    </w:p>
    <w:p>
      <w:pPr>
        <w:spacing w:after="0" w:line="21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Accordingly, our strategy includes a greater emphasis on middle market, consumer loans and microfinance, as well as continued growth of our loan portfolio in general. An increase in the portfolio’s exposure to these areas could be accompanied by greater credit risk. The greater credit risk is not only due to the speed and magnitude of the increase, but also to the shift to lending to these sectors, which have higher risk profiles compared with loans to large corporate customers. Given the changing composition of our loan portfolio, historical loss experience may not be indicative of future loan loss experience.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Because we are subject to regulation and supervision in Peru, Bolivia, the Cayman Islands, the United States and Panama, changes to the regulatory framework in any of these countries could adversely affect our business.</w:t>
      </w:r>
    </w:p>
    <w:p>
      <w:pPr>
        <w:spacing w:after="0" w:line="19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We are mainly subject to extensive supervision and regulation through the SBS’s consolidated supervision regulations, which oversee all of our subsidiaries and offices including those located outside Peru. The SBS and the Banco Central de Reserva, or the Central Bank, supervise and regulate BCP’s operations. Peru’s constitution and the SBS’s statutory charter grant the SBS the authority to oversee and control banks and other financial institutions.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as well as the rate of interest paid on deposit reserves and the amount of deposit reserves on which no interest is payable by the Central Bank. Such changes in the supervision and regulation of BCP may adversely affect our results of operations and financial condition.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Company—(B) Business Overview —(11) Supervision and Regulation—(ii) BCP.” Furthermore, changes in regulation related to consumer protection may also affect our business.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ind w:firstLine="648"/>
        <w:spacing w:after="0" w:line="293" w:lineRule="auto"/>
        <w:rPr>
          <w:sz w:val="20"/>
          <w:szCs w:val="20"/>
          <w:color w:val="auto"/>
        </w:rPr>
      </w:pPr>
      <w:r>
        <w:rPr>
          <w:rFonts w:ascii="Arial" w:cs="Arial" w:eastAsia="Arial" w:hAnsi="Arial"/>
          <w:sz w:val="16"/>
          <w:szCs w:val="16"/>
          <w:color w:val="auto"/>
        </w:rPr>
        <w:t>We are also regulated by the United States Federal Reserve System, which shares its regulatory responsibility with the State of Florida Department of Banking and Finance - Office of Financial Regulation. Similarly, we are regulated by other governmental entities in other jurisdictions. In the Cayman Islands, we are subject to the supervision and regulation of the Cayman Islands Monetary Authority, or CIMA, while in Bolivia, we are subject to the supervision of the Superintendency of Banks and Financial Entities and regulations established by the Central Bank of Bolivia. In Panama, we are subject to the supervision of the Superintendency of Banks and the regulatory framework set forth in the Decree Law 9 of February 25, 1998. Changes in the supervision and regulation of our subsidiaries in other countries may adversely affect our results of operations and financial condition.</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Our banking operations in Bolivia expose us to risk related to Bolivian political and economic conditions.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Most of BCP Bolivia’s operations and customers are located in Bolivia. Accordingly, our results of operations and financial conditions depend on the level of economic activity in Bolivia. Bolivia’s macroeconomic indicators show positive performance by the country over the last several years:</w:t>
      </w:r>
    </w:p>
    <w:p>
      <w:pPr>
        <w:spacing w:after="0" w:line="174" w:lineRule="exact"/>
        <w:rPr>
          <w:sz w:val="20"/>
          <w:szCs w:val="20"/>
          <w:color w:val="auto"/>
        </w:rPr>
      </w:pPr>
    </w:p>
    <w:p>
      <w:pPr>
        <w:ind w:left="1440" w:hanging="352"/>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Bolivia has reached a steady GDP growth rate that was not affected by the international financial crisis;</w:t>
      </w:r>
    </w:p>
    <w:p>
      <w:pPr>
        <w:spacing w:after="0" w:line="252" w:lineRule="exact"/>
        <w:rPr>
          <w:rFonts w:ascii="Arial" w:cs="Arial" w:eastAsia="Arial" w:hAnsi="Arial"/>
          <w:sz w:val="18"/>
          <w:szCs w:val="18"/>
          <w:color w:val="auto"/>
        </w:rPr>
      </w:pPr>
    </w:p>
    <w:p>
      <w:pPr>
        <w:ind w:left="1440" w:hanging="352"/>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2009, Bolivia’s international reserve registered its highest level in Bolivian history;</w:t>
      </w:r>
    </w:p>
    <w:p>
      <w:pPr>
        <w:spacing w:after="0" w:line="252" w:lineRule="exact"/>
        <w:rPr>
          <w:rFonts w:ascii="Arial" w:cs="Arial" w:eastAsia="Arial" w:hAnsi="Arial"/>
          <w:sz w:val="18"/>
          <w:szCs w:val="18"/>
          <w:color w:val="auto"/>
        </w:rPr>
      </w:pPr>
    </w:p>
    <w:p>
      <w:pPr>
        <w:ind w:left="1440" w:hanging="352"/>
        <w:spacing w:after="0"/>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country’s inflation rate decreased to 0.3% and external debt was at its lowest level in 2009;</w:t>
      </w:r>
    </w:p>
    <w:p>
      <w:pPr>
        <w:spacing w:after="0" w:line="252" w:lineRule="exact"/>
        <w:rPr>
          <w:rFonts w:ascii="Arial" w:cs="Arial" w:eastAsia="Arial" w:hAnsi="Arial"/>
          <w:sz w:val="18"/>
          <w:szCs w:val="18"/>
          <w:color w:val="auto"/>
        </w:rPr>
      </w:pPr>
    </w:p>
    <w:p>
      <w:pPr>
        <w:ind w:left="1440" w:right="20" w:hanging="352"/>
        <w:spacing w:after="0" w:line="277" w:lineRule="auto"/>
        <w:tabs>
          <w:tab w:leader="none" w:pos="14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Central Government also maintained a significant fiscal surplus, and Bolivia’s domestic currency has strengthened, causing an important de-dollarization of the national economy.</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While we expect this economic stability to continue in the short-term, there is still some level of concern regarding the continued stability and Bolivia’s long-term economic performance. Bolivia has a high dependence on commodities exports and needs to generate larger local and foreign investment. These long-term concerns could adversely affect BCP Bolivia’s income and results of operation.</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Changes to insurance regulations in Peru may impact the ability of our insurance subsidiary to underwrite and price risk effectively, and may adversely affect our operating performance and financial condition.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insurance business is carried out by our subsidiary PPS. The insurance business is subject to regulation by the SBS. Insurance regulations in Peru frequently change. New legislation or regulations may adversely affect PPS’s ability to underwrite and price risks accurately, which in turn would affect underwriting results and business profitability. PPS is unable to predict whether and to what extent new laws and regulations that would affect its business will be adopted in the future. PPS is also unable to predict the timing of any such adoption and the effects any new laws or regulations would have on its operations, profitability and financial condition.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ind w:firstLine="648"/>
        <w:spacing w:after="0" w:line="264" w:lineRule="auto"/>
        <w:rPr>
          <w:sz w:val="20"/>
          <w:szCs w:val="20"/>
          <w:color w:val="auto"/>
        </w:rPr>
      </w:pPr>
      <w:r>
        <w:rPr>
          <w:rFonts w:ascii="Arial" w:cs="Arial" w:eastAsia="Arial" w:hAnsi="Arial"/>
          <w:sz w:val="18"/>
          <w:szCs w:val="18"/>
          <w:color w:val="auto"/>
        </w:rPr>
        <w:t>Our operating performance and financial condition depend on PPS’s ability to underwrite and set premium rates accurately for a full spectrum of risks. PPS must generate sufficient premiums to offset losses, loss adjustment expenses and underwriting expenses to be profitable. To price premium rates accurately, PPS must:</w:t>
      </w:r>
    </w:p>
    <w:p>
      <w:pPr>
        <w:spacing w:after="0" w:line="208"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collect and analyze a substantial volume of data;</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test and apply appropriate rating formulae;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closely monitor changes in trends in a timely fashion;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project both severity and frequency with reasonable accuracy.</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PPS fails to assess accurately the risks that it assumes or does not accurately estimate its retention, it may fail to establish adequate premium rates. Failure to establish adequate premium rates could reduce income and have a materially adverse effect on its operating results or financial condition. Moreover, there is inherent uncertainty in the process of establishing property and casualty loss reserves. Reserves are estimates based on actuarial and statistical projections at a given point in time of what PPS ultimately expects to pay out on claims and the cost of adjusting those claims, based on the facts and circumstances then known. Factors affecting these projections include, among others, changes in medical costs, repair costs and regulation. Any negative effect on PPS could have a material adverse effect on our results of operations and financial condition.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Regulatory changes to the private pension fund system in Peru could impact our earnings and adversely affect our operating performance.</w:t>
      </w:r>
    </w:p>
    <w:p>
      <w:pPr>
        <w:spacing w:after="0" w:line="2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Prima AFP manages our Pension Fund Administration business. In Peru, private pension fund managers are closely regulated by the SBS. Under the current regulatory framework, we collect commissions based on the salary of each subscriber to our pension funds. This commission-based system could be modified or eliminated by regulations that require pension fund managers to charge fees based on the balance of funds under their control. Any regulations requiring us to use a different methodology to calculate fees could negatively impact our performance.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We are facing increased competition that may impede our growth.</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BCP has experienced increased competition, including increased pressure on margins. This is primarily a result of the presence of the following:</w:t>
      </w:r>
    </w:p>
    <w:p>
      <w:pPr>
        <w:spacing w:after="0" w:line="27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Highly liquid commercial banks in the market;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and foreign investment banks with substantial capital, technology, and marketing resources;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pension funds that lend to BCP’s corporate customers through participation in those customers’ securities issues.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Larger Peruvian companies have gained access to new sources of capital through local and international capital markets, and BCP’s existing and new competitors have increasingly made inroads into the higher margin, middle market and retail banking sectors. Such increased competition, with entrants who may have greater access to capital at lower costs, has affected BCP’s loan growth as well as reduced the average interest rates that BCP can charge its customers.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 w:name="page16"/>
    <w:bookmarkEnd w:id="15"/>
    <w:p>
      <w:pPr>
        <w:jc w:val="both"/>
        <w:ind w:firstLine="648"/>
        <w:spacing w:after="0" w:line="290" w:lineRule="auto"/>
        <w:rPr>
          <w:sz w:val="20"/>
          <w:szCs w:val="20"/>
          <w:color w:val="auto"/>
        </w:rPr>
      </w:pPr>
      <w:r>
        <w:rPr>
          <w:rFonts w:ascii="Arial" w:cs="Arial" w:eastAsia="Arial" w:hAnsi="Arial"/>
          <w:sz w:val="16"/>
          <w:szCs w:val="16"/>
          <w:color w:val="auto"/>
        </w:rPr>
        <w:t>Competitors may also appropriate greater resources to, and be more successful in, the development of technologically advanced products and services that may compete directly with BCP’s products and services. Such competition would adversely affect the acceptance of BCP’s products and/or lead to adverse changes in the spending and saving habits of BCP’s customer base. If competing entities are successful in developing products and services that are more effective or less costly than the products and services developed by BCP, BCP’s products and services may be unable to compete successfully. BCP may not be able to maintain its market share if it is not able to match its competitors’ loan pricing or keep pace with their development of new products and services. Even if BCP’s products and services prove to be more effective than those developed by other entities, such other entities may be more successful in marketing their products and services than BCP because of their greater financial resources, higher sales and marketing capacity or other similar factors. Any negative impact on BCP could have a materially adverse effect on our results of operations and financial condition.</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Fluctuation and volatility of capital markets and interest rates may decrease our net income.</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may suffer losses related to the investments by BCP, ASCH, PPS, Grupo Crédito and other subsidiaries in fixed income and equity securities, and to their respective positions in currency markets, because of changes in market prices, defaults, fluctuations in market interest rates or exchange rates or other reasons. A downturn in capital markets may result in a decline in the value of our positions and lead us to register net losses. In addition, a downturn in capital markets could also lead to volatile prices and negative net revenues from trading positions, even in the absence of a general economic downturn.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our financial condition by causing a decrease in net interest income.</w:t>
      </w:r>
    </w:p>
    <w:p>
      <w:pPr>
        <w:spacing w:after="0" w:line="200" w:lineRule="exact"/>
        <w:rPr>
          <w:sz w:val="20"/>
          <w:szCs w:val="20"/>
          <w:color w:val="auto"/>
        </w:rPr>
      </w:pPr>
    </w:p>
    <w:p>
      <w:pPr>
        <w:spacing w:after="0" w:line="24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52"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limited liability company that was incorporated in Bermuda on October 20, 1995 to act as a holding company, coordinate the policy and administration of our subsidiaries, and engage in investing activities. Our principal activity is to coordinate and manage the business plans of our subsidiaries in an effort to implement universal banking services and develop our insurance business, focusing on Peru and Bolivia along with limited investments in other countries of the region. Our registered address is Clarendon House, 2 Church Street, Bermuda. The management and administrative office (</w:t>
      </w:r>
      <w:r>
        <w:rPr>
          <w:rFonts w:ascii="Arial" w:cs="Arial" w:eastAsia="Arial" w:hAnsi="Arial"/>
          <w:sz w:val="18"/>
          <w:szCs w:val="18"/>
          <w:i w:val="1"/>
          <w:iCs w:val="1"/>
          <w:color w:val="auto"/>
        </w:rPr>
        <w:t>i.e.</w:t>
      </w:r>
      <w:r>
        <w:rPr>
          <w:rFonts w:ascii="Arial" w:cs="Arial" w:eastAsia="Arial" w:hAnsi="Arial"/>
          <w:sz w:val="18"/>
          <w:szCs w:val="18"/>
          <w:color w:val="auto"/>
        </w:rPr>
        <w:t>, principal place of business) in Peru of our subsidiary, Banco de Crédito del Perú, is located at Calle Centenario 156, La Molina, Lima 12, Peru, and the phone number is 51-1-313-2000.</w:t>
      </w:r>
    </w:p>
    <w:p>
      <w:pPr>
        <w:spacing w:after="0" w:line="22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the largest financial services holding company in Peru and are closely identified with our principal subsidiary, BCP, the country’s largest bank and the leading supplier of integrated financial services in Peru.</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We are engaged principally in banking (including commercial and investment banking), insurance (including commercial property, transportation and marine hull, automobile, life, health and underwriting insurance), pension funds (including private pension fund management services), and brokerage and other (including brokerage, trust, custody and securitization services, asset management and proprietary trading and investment). As of December 31, 2009, our total assets were US$22.0 billion and our net equity was US$2.5 billion. Our net income attributable to our equity holders in 2008 and 2009 was US$357.8 million and US$469.8 million, respectively.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Key Information—(A) Selected Financial Data” and “Item 5. Operating and Financial Review and Prospects.”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management purposes, the Group is organized into four operating segments based on products and services. In according to IFRS, an operating segment is a component of an entity that engages in business activities from which it may earn revenues and incur expenses; whose operating results are regularly reviewed by the entity’s chief who makes decisions about resources allocation for the segment and assesses its performance; and for which discrete financial information is available. We conduct our financial services business through our operating segments as follows: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jc w:val="both"/>
        <w:ind w:firstLine="648"/>
        <w:spacing w:after="0" w:line="264" w:lineRule="auto"/>
        <w:rPr>
          <w:sz w:val="20"/>
          <w:szCs w:val="20"/>
          <w:color w:val="auto"/>
        </w:rPr>
      </w:pPr>
      <w:r>
        <w:rPr>
          <w:rFonts w:ascii="Arial" w:cs="Arial" w:eastAsia="Arial" w:hAnsi="Arial"/>
          <w:sz w:val="18"/>
          <w:szCs w:val="18"/>
          <w:color w:val="auto"/>
        </w:rPr>
        <w:t>Banking: principally handling loans, credit facilities, deposits and current accounts, and providing investment banking services, including corporate finance, both for corporate and institutional customers. Banking also includes handling deposits consumer loans and credit cards facilities for individual customers.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Insurance: including commercial property, transportation and marine hull, automobile, life, health and pension fund underwriting insurance.</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Pension funds: providing private pension fund management services to contributors.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Brokerage and others: including the structuring and placement of primary market issues and the execution and trading of secondary market transactions. This segment also includes offers of local securitization structuring to corporate entities, management of mutual funds and other services.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gives certain financial information about us by principal business segments as of and for the year ended December 31, 2009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26 to the Credicorp Consolidated Financial Statements):</w:t>
      </w:r>
    </w:p>
    <w:p>
      <w:pPr>
        <w:spacing w:after="0" w:line="193" w:lineRule="exact"/>
        <w:rPr>
          <w:sz w:val="20"/>
          <w:szCs w:val="20"/>
          <w:color w:val="auto"/>
        </w:rPr>
      </w:pPr>
    </w:p>
    <w:tbl>
      <w:tblPr>
        <w:tblLayout w:type="fixed"/>
        <w:tblInd w:w="2000" w:type="dxa"/>
        <w:tblCellMar>
          <w:top w:w="0" w:type="dxa"/>
          <w:left w:w="0" w:type="dxa"/>
          <w:bottom w:w="0" w:type="dxa"/>
          <w:right w:w="0" w:type="dxa"/>
        </w:tblCellMar>
      </w:tblPr>
      <w:tr>
        <w:trPr>
          <w:trHeight w:val="241"/>
        </w:trPr>
        <w:tc>
          <w:tcPr>
            <w:tcW w:w="2240" w:type="dxa"/>
            <w:vAlign w:val="bottom"/>
          </w:tcPr>
          <w:p>
            <w:pPr>
              <w:spacing w:after="0"/>
              <w:rPr>
                <w:sz w:val="20"/>
                <w:szCs w:val="20"/>
                <w:color w:val="auto"/>
              </w:rPr>
            </w:pPr>
          </w:p>
        </w:tc>
        <w:tc>
          <w:tcPr>
            <w:tcW w:w="518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89"/>
              </w:rPr>
              <w:t>As of and for the Year ended December 31, 2009</w:t>
            </w:r>
          </w:p>
        </w:tc>
      </w:tr>
      <w:tr>
        <w:trPr>
          <w:trHeight w:val="198"/>
        </w:trPr>
        <w:tc>
          <w:tcPr>
            <w:tcW w:w="2240" w:type="dxa"/>
            <w:vAlign w:val="bottom"/>
          </w:tcPr>
          <w:p>
            <w:pPr>
              <w:spacing w:after="0"/>
              <w:rPr>
                <w:sz w:val="17"/>
                <w:szCs w:val="17"/>
                <w:color w:val="auto"/>
              </w:rPr>
            </w:pPr>
          </w:p>
        </w:tc>
        <w:tc>
          <w:tcPr>
            <w:tcW w:w="1580" w:type="dxa"/>
            <w:vAlign w:val="bottom"/>
            <w:tcBorders>
              <w:top w:val="single" w:sz="8" w:color="auto"/>
            </w:tcBorders>
            <w:gridSpan w:val="2"/>
          </w:tcPr>
          <w:p>
            <w:pPr>
              <w:ind w:left="560"/>
              <w:spacing w:after="0" w:line="198" w:lineRule="exact"/>
              <w:rPr>
                <w:sz w:val="20"/>
                <w:szCs w:val="20"/>
                <w:color w:val="auto"/>
              </w:rPr>
            </w:pPr>
            <w:r>
              <w:rPr>
                <w:rFonts w:ascii="Arial" w:cs="Arial" w:eastAsia="Arial" w:hAnsi="Arial"/>
                <w:sz w:val="18"/>
                <w:szCs w:val="18"/>
                <w:b w:val="1"/>
                <w:bCs w:val="1"/>
                <w:color w:val="auto"/>
              </w:rPr>
              <w:t>Total</w:t>
            </w:r>
          </w:p>
        </w:tc>
        <w:tc>
          <w:tcPr>
            <w:tcW w:w="180" w:type="dxa"/>
            <w:vAlign w:val="bottom"/>
            <w:tcBorders>
              <w:top w:val="single" w:sz="8" w:color="auto"/>
            </w:tcBorders>
          </w:tcPr>
          <w:p>
            <w:pPr>
              <w:spacing w:after="0"/>
              <w:rPr>
                <w:sz w:val="17"/>
                <w:szCs w:val="17"/>
                <w:color w:val="auto"/>
              </w:rPr>
            </w:pPr>
          </w:p>
        </w:tc>
        <w:tc>
          <w:tcPr>
            <w:tcW w:w="17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4"/>
              </w:rPr>
              <w:t>Operating</w:t>
            </w:r>
          </w:p>
        </w:tc>
        <w:tc>
          <w:tcPr>
            <w:tcW w:w="1580" w:type="dxa"/>
            <w:vAlign w:val="bottom"/>
            <w:tcBorders>
              <w:top w:val="single" w:sz="8" w:color="auto"/>
            </w:tcBorders>
          </w:tcPr>
          <w:p>
            <w:pPr>
              <w:jc w:val="right"/>
              <w:ind w:right="510"/>
              <w:spacing w:after="0" w:line="198"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r>
      <w:tr>
        <w:trPr>
          <w:trHeight w:val="241"/>
        </w:trPr>
        <w:tc>
          <w:tcPr>
            <w:tcW w:w="2240" w:type="dxa"/>
            <w:vAlign w:val="bottom"/>
          </w:tcPr>
          <w:p>
            <w:pPr>
              <w:spacing w:after="0"/>
              <w:rPr>
                <w:sz w:val="20"/>
                <w:szCs w:val="20"/>
                <w:color w:val="auto"/>
              </w:rPr>
            </w:pP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Revenues</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Income</w:t>
            </w:r>
          </w:p>
        </w:tc>
        <w:tc>
          <w:tcPr>
            <w:tcW w:w="200" w:type="dxa"/>
            <w:vAlign w:val="bottom"/>
          </w:tcPr>
          <w:p>
            <w:pPr>
              <w:spacing w:after="0"/>
              <w:rPr>
                <w:sz w:val="20"/>
                <w:szCs w:val="20"/>
                <w:color w:val="auto"/>
              </w:rPr>
            </w:pPr>
          </w:p>
        </w:tc>
        <w:tc>
          <w:tcPr>
            <w:tcW w:w="15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Assets</w:t>
            </w:r>
          </w:p>
        </w:tc>
        <w:tc>
          <w:tcPr>
            <w:tcW w:w="100" w:type="dxa"/>
            <w:vAlign w:val="bottom"/>
          </w:tcPr>
          <w:p>
            <w:pPr>
              <w:spacing w:after="0"/>
              <w:rPr>
                <w:sz w:val="20"/>
                <w:szCs w:val="20"/>
                <w:color w:val="auto"/>
              </w:rPr>
            </w:pPr>
          </w:p>
        </w:tc>
      </w:tr>
      <w:tr>
        <w:trPr>
          <w:trHeight w:val="216"/>
        </w:trPr>
        <w:tc>
          <w:tcPr>
            <w:tcW w:w="22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gridSpan w:val="3"/>
          </w:tcPr>
          <w:p>
            <w:pPr>
              <w:jc w:val="center"/>
              <w:spacing w:after="0"/>
              <w:rPr>
                <w:sz w:val="20"/>
                <w:szCs w:val="20"/>
                <w:color w:val="auto"/>
              </w:rPr>
            </w:pPr>
            <w:r>
              <w:rPr>
                <w:rFonts w:ascii="Arial" w:cs="Arial" w:eastAsia="Arial" w:hAnsi="Arial"/>
                <w:sz w:val="18"/>
                <w:szCs w:val="18"/>
                <w:i w:val="1"/>
                <w:iCs w:val="1"/>
                <w:color w:val="auto"/>
                <w:w w:val="95"/>
              </w:rPr>
              <w:t>(U.S. Dollars in millions)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Banking</w:t>
            </w:r>
          </w:p>
        </w:tc>
        <w:tc>
          <w:tcPr>
            <w:tcW w:w="158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w w:val="94"/>
              </w:rPr>
              <w:t>US$ 1,820</w:t>
            </w:r>
          </w:p>
        </w:tc>
        <w:tc>
          <w:tcPr>
            <w:tcW w:w="18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US$ 831</w:t>
            </w:r>
          </w:p>
        </w:tc>
        <w:tc>
          <w:tcPr>
            <w:tcW w:w="1680" w:type="dxa"/>
            <w:vAlign w:val="bottom"/>
            <w:gridSpan w:val="2"/>
            <w:shd w:val="clear" w:color="auto" w:fill="CCFFCC"/>
          </w:tcPr>
          <w:p>
            <w:pPr>
              <w:ind w:left="720"/>
              <w:spacing w:after="0"/>
              <w:rPr>
                <w:sz w:val="20"/>
                <w:szCs w:val="20"/>
                <w:color w:val="auto"/>
              </w:rPr>
            </w:pPr>
            <w:r>
              <w:rPr>
                <w:rFonts w:ascii="Arial" w:cs="Arial" w:eastAsia="Arial" w:hAnsi="Arial"/>
                <w:sz w:val="18"/>
                <w:szCs w:val="18"/>
                <w:color w:val="auto"/>
                <w:w w:val="98"/>
              </w:rPr>
              <w:t>US$ 20,120</w:t>
            </w: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Insurance</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518</w:t>
            </w:r>
          </w:p>
        </w:tc>
        <w:tc>
          <w:tcPr>
            <w:tcW w:w="1920" w:type="dxa"/>
            <w:vAlign w:val="bottom"/>
            <w:gridSpan w:val="3"/>
          </w:tcPr>
          <w:p>
            <w:pPr>
              <w:jc w:val="right"/>
              <w:ind w:right="200"/>
              <w:spacing w:after="0"/>
              <w:rPr>
                <w:sz w:val="20"/>
                <w:szCs w:val="20"/>
                <w:color w:val="auto"/>
              </w:rPr>
            </w:pPr>
            <w:r>
              <w:rPr>
                <w:rFonts w:ascii="Arial" w:cs="Arial" w:eastAsia="Arial" w:hAnsi="Arial"/>
                <w:sz w:val="18"/>
                <w:szCs w:val="18"/>
                <w:color w:val="auto"/>
              </w:rPr>
              <w:t>192</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1,457</w:t>
            </w:r>
          </w:p>
        </w:tc>
      </w:tr>
      <w:tr>
        <w:trPr>
          <w:trHeight w:val="216"/>
        </w:trPr>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Pension fund</w:t>
            </w:r>
          </w:p>
        </w:tc>
        <w:tc>
          <w:tcPr>
            <w:tcW w:w="15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80</w:t>
            </w:r>
          </w:p>
        </w:tc>
        <w:tc>
          <w:tcPr>
            <w:tcW w:w="19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0</w:t>
            </w:r>
          </w:p>
        </w:tc>
        <w:tc>
          <w:tcPr>
            <w:tcW w:w="16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237</w:t>
            </w:r>
          </w:p>
        </w:tc>
      </w:tr>
      <w:tr>
        <w:trPr>
          <w:trHeight w:val="223"/>
        </w:trPr>
        <w:tc>
          <w:tcPr>
            <w:tcW w:w="2240" w:type="dxa"/>
            <w:vAlign w:val="bottom"/>
          </w:tcPr>
          <w:p>
            <w:pPr>
              <w:spacing w:after="0"/>
              <w:rPr>
                <w:sz w:val="20"/>
                <w:szCs w:val="20"/>
                <w:color w:val="auto"/>
              </w:rPr>
            </w:pPr>
            <w:r>
              <w:rPr>
                <w:rFonts w:ascii="Arial" w:cs="Arial" w:eastAsia="Arial" w:hAnsi="Arial"/>
                <w:sz w:val="18"/>
                <w:szCs w:val="18"/>
                <w:color w:val="auto"/>
              </w:rPr>
              <w:t>Brokerage and others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9"/>
                <w:szCs w:val="19"/>
                <w:color w:val="auto"/>
              </w:rPr>
            </w:pPr>
          </w:p>
        </w:tc>
      </w:tr>
      <w:tr>
        <w:trPr>
          <w:trHeight w:val="216"/>
        </w:trPr>
        <w:tc>
          <w:tcPr>
            <w:tcW w:w="22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Credicorp</w:t>
            </w:r>
          </w:p>
        </w:tc>
        <w:tc>
          <w:tcPr>
            <w:tcW w:w="1580" w:type="dxa"/>
            <w:vAlign w:val="bottom"/>
            <w:gridSpan w:val="2"/>
            <w:shd w:val="clear" w:color="auto" w:fill="CCFFCC"/>
          </w:tcPr>
          <w:p>
            <w:pPr>
              <w:ind w:left="760"/>
              <w:spacing w:after="0"/>
              <w:rPr>
                <w:sz w:val="20"/>
                <w:szCs w:val="20"/>
                <w:color w:val="auto"/>
              </w:rPr>
            </w:pPr>
            <w:r>
              <w:rPr>
                <w:rFonts w:ascii="Arial" w:cs="Arial" w:eastAsia="Arial" w:hAnsi="Arial"/>
                <w:sz w:val="18"/>
                <w:szCs w:val="18"/>
                <w:color w:val="auto"/>
                <w:w w:val="94"/>
              </w:rPr>
              <w:t>US$ 2,458</w:t>
            </w:r>
          </w:p>
        </w:tc>
        <w:tc>
          <w:tcPr>
            <w:tcW w:w="180" w:type="dxa"/>
            <w:vAlign w:val="bottom"/>
            <w:shd w:val="clear" w:color="auto" w:fill="CCFFCC"/>
          </w:tcPr>
          <w:p>
            <w:pPr>
              <w:spacing w:after="0"/>
              <w:rPr>
                <w:sz w:val="18"/>
                <w:szCs w:val="18"/>
                <w:color w:val="auto"/>
              </w:rPr>
            </w:pPr>
          </w:p>
        </w:tc>
        <w:tc>
          <w:tcPr>
            <w:tcW w:w="17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US$ 1,031</w:t>
            </w:r>
          </w:p>
        </w:tc>
        <w:tc>
          <w:tcPr>
            <w:tcW w:w="1680" w:type="dxa"/>
            <w:vAlign w:val="bottom"/>
            <w:gridSpan w:val="2"/>
            <w:shd w:val="clear" w:color="auto" w:fill="CCFFCC"/>
          </w:tcPr>
          <w:p>
            <w:pPr>
              <w:ind w:left="720"/>
              <w:spacing w:after="0"/>
              <w:rPr>
                <w:sz w:val="20"/>
                <w:szCs w:val="20"/>
                <w:color w:val="auto"/>
              </w:rPr>
            </w:pPr>
            <w:r>
              <w:rPr>
                <w:rFonts w:ascii="Arial" w:cs="Arial" w:eastAsia="Arial" w:hAnsi="Arial"/>
                <w:sz w:val="18"/>
                <w:szCs w:val="18"/>
                <w:color w:val="auto"/>
                <w:w w:val="98"/>
              </w:rPr>
              <w:t>US$ 22,028</w:t>
            </w:r>
          </w:p>
        </w:tc>
      </w:tr>
    </w:tbl>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 our commercial banking and investment banking activities primarily through BCP, the largest (in terms of total assets, loans, deposits, net equity and net income) full-service Peruvian commercial bank, and ASHC, a diversified financial services company. We conduct our pension fund business through Prima AFP and our insurance activities through PPS, which is the second largest Peruvian insurance company in terms of premiums, fees and net income. You should note that the term “Peruvian commercial bank,” “Peruvian insurance company” and other similar terms used in this Annual Report do not include the assets, results or operations of any foreign parent company or foreign subsidiary of such Peruvian company.</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We were formed in 1995 for the purpose of acquiring, through an exchange offer, the common shares of BCP, ASHC and PPS. Pursuant to this exchange offer, in October 1995 we acquired 90.1% of BCP, 98.2% of ASHC and 75.8% of PPS. We acquired the remaining 1.8% outstanding shares of ASHC in March 1996, pursuant to another exchange offer.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Company—(C) Organizational Structure.”</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December 1995, we purchased 99.99% of Inversiones Crédito (whose name has changed to Grupo de Crédito), a non-financial entity with assets of US$376.9 million as of December 2009. Grupo de Crédito’s main subsidiary is Prima AFP.</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August 1997, we acquired 39.5% of BCB from BCP for US$9.2 million. In July 1998, we acquired 94.86% of Banco de La Paz, a Bolivian bank with US$52.1 million in assets, which we subsequently merged with BCB in January 1999. During this time, we also increased our beneficial ownership in BCB to 55.79%, which left BCP with ownership of the remaining 44.21%. In November 2001, however, BCP bought back 55.53% of our interest in BCB for US$31.5 million. As of December 31, 2009, BCB operated 65 branches and 172 ATMs located throughout Bolivia. BCB’s results have been consolidated in the BCP financial statements since the date of its acquisition by BCP in November 1993.</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jc w:val="both"/>
        <w:ind w:firstLine="648"/>
        <w:spacing w:after="0" w:line="259" w:lineRule="auto"/>
        <w:rPr>
          <w:sz w:val="20"/>
          <w:szCs w:val="20"/>
          <w:color w:val="auto"/>
        </w:rPr>
      </w:pPr>
      <w:r>
        <w:rPr>
          <w:rFonts w:ascii="Arial" w:cs="Arial" w:eastAsia="Arial" w:hAnsi="Arial"/>
          <w:sz w:val="18"/>
          <w:szCs w:val="18"/>
          <w:color w:val="auto"/>
        </w:rPr>
        <w:t>In 1997, we acquired Banco Tequendama, a Colombian banking enterprise. In 2002, we sold Banco Tequendama’s Venezuelan branches. In March 2005, we then sold Banco Tequendama to a Colombian bank. While this sale was publicly announced in October 2004 and became effective on January 1, 2005, it was not completed until March 2005 after all required approvals were obtained from the Colombian authorities. We did not record any significant gain or loss as a result of this transaction.</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2002, we made a tender offer for outstanding BCP shares for S/.1.80 per share, approximately equal to the book value of such shares, disbursing directly and through our subsidiary PPS an amount of approximately US$35.3 million. As a result of the tender offer, our equity stake in BCP increased from 90.6% to 97.0% (including shares held by PPS).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December 2002, BCP acquired Banco Santander Central Hispano-Perú (BSCH-Perú) for US$50.0 million. Since that date, BSCH-Perú has been included in BCP’s consolidated financial statements. On December 31, 2002, BSCH-Perú had total assets of US$975.2 million, total loans of US$719.4 million and deposits of US$659.0 million. BSCH-Perú was merged into BCP on February 28, 2003.</w:t>
      </w:r>
    </w:p>
    <w:p>
      <w:pPr>
        <w:spacing w:after="0" w:line="20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March 2003, BCP added to its 55% stake by acquiring for US$17.0 million the remaining 45% of the equity shares of Solución Financiera de Crédito del Perú S.A. (Solución) from Banco de Crédito e Inversiones de Chile (BCI) and other foreign shareholders. As a result, Solución once again became a BCP wholly-owned subsidiary. In March 2004, substantially all of Solución’s assets and liabilities were absorbed into BCP’s Peruvian banking operations. Solución’s net income in 2003 was US$7.6 million, and it had, as of February 28, 2004, a loan portfolio of US$88.4 million, with a 3.0% past-due ratio.</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2003, BCP converted Banco de Crédito Overseas Limited (BCOL), its offshore bank in the Bahamas, into a vehicle to conduct investments and sold it to ASHC. ASHC then consolidated BCOL into its operations during 2004. In accordance with our policy regarding holdings of equity interests in non-financial companies, we then caused certain long-term equity interests that were previously held by BCOL to be transferred to BCP and then in turn transferred to Grupo Crédito. In April 2004, PPS sold substantially all of its holdings of our equity shares to ASHC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7. Major Shareholders and Related Party Transactions—(A) Major Shareholders”).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March 2004, PPS acquired 100% of Novasalud Perú S.A. – Entidad Prestadora de Salud (Novasalud EPS), which is one of three private health insurance providers in Peru, for US$6.5 million. PPS then merged Novasalud EPS with Pacífico S.A. Entidad Prestadora de Salud (Pacífico Salud), a subsidiary of PPS.</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January 2005, BCP and Bank of America, which is the principal shareholder of Fleet Boston N.A., agreed to engage in a buy-sale transaction of the loan portfolio of the Peruvian branch of Bank Boston N.A. BCP paid approximately US$353.8 million in cash for the loan portfolio, which included commercial loans, mortgage and leasing operations. The transaction was recorded at acquisition cost.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2005, we were authorized by Peruvian regulatory authorities to establish Prima AFP, of which Grupo Crédito is the main shareholder.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Prima AFP started operations in August 2005.</w:t>
      </w:r>
    </w:p>
    <w:p>
      <w:pPr>
        <w:spacing w:after="0" w:line="23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August 2006, Prima AFP acquired Unión Vida AFP, which is a pension fund operating in the Peruvian market. Prima AFP’s acquisition of Unión Vida AFP, which was formerly held by Grupo Santander Perú S.A., was a strategic move toward consolidation as part of its efforts to gain a leading position in the pension fund market. This acquisition enabled Prima AFP to position itself as the second ranking company in terms of market share terms (defined as the amount of affiliates and assets under corporate management), with the second highest returns and the lowest commission for affiliates (who invest a portion of their salary each month). The merger between Prima AFP and Unión Vida AFP was consummated in December 2006.</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jc w:val="both"/>
        <w:ind w:right="20" w:firstLine="648"/>
        <w:spacing w:after="0" w:line="308" w:lineRule="auto"/>
        <w:rPr>
          <w:sz w:val="20"/>
          <w:szCs w:val="20"/>
          <w:color w:val="auto"/>
        </w:rPr>
      </w:pPr>
      <w:r>
        <w:rPr>
          <w:rFonts w:ascii="Arial" w:cs="Arial" w:eastAsia="Arial" w:hAnsi="Arial"/>
          <w:sz w:val="17"/>
          <w:szCs w:val="17"/>
          <w:color w:val="auto"/>
        </w:rPr>
        <w:t>In 2006, Prima AFP incurred significant merger expenses relative to its size, reaching the end of the year with losses of US$20.7 million. However, Prima AFP had a net income of US$20.8 million during 2009, with 1,078,317 affiliates and US$6,583 million of funds under its management.</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2006, we bought PPS’s remaining 1.02% of BCP shares, generating goodwill, valued at approximately US$7.2 million, from to the minority interest we acquired (0.25%).</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October 2009, BCP acquired from the Cooperative for Assistance and Relief Everywhere Inc. (CARE) – Perú, all the shares that this entity owned of Empresa Financiera Edyficar S.A. (Edyficar), representing 77.12% of Edyficar’s capital stock. In accordance with Peruvian legal requirements in effect at the time, BCP made a public offering to Edyficar’s minority shareholders to acquire the remaining 22.66% of the company’s stock. At the end of both processes, BCP owned 99.78% of Edyficar. The total purchase price for the acquisition was US$96.1 million, including related direct acquisition costs.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show our organization and the organization of our principal subsidiaries as of December 31, 2009 and their relative percentage contribution to our total assets, total revenues, net income and net equity at the same date (</w:t>
      </w:r>
      <w:r>
        <w:rPr>
          <w:rFonts w:ascii="Arial" w:cs="Arial" w:eastAsia="Arial" w:hAnsi="Arial"/>
          <w:sz w:val="18"/>
          <w:szCs w:val="18"/>
          <w:i w:val="1"/>
          <w:iCs w:val="1"/>
          <w:color w:val="auto"/>
        </w:rPr>
        <w:t>see</w:t>
      </w:r>
      <w:r>
        <w:rPr>
          <w:rFonts w:ascii="Arial" w:cs="Arial" w:eastAsia="Arial" w:hAnsi="Arial"/>
          <w:sz w:val="18"/>
          <w:szCs w:val="18"/>
          <w:color w:val="auto"/>
        </w:rPr>
        <w:t xml:space="preserve"> “—(C)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2055495</wp:posOffset>
            </wp:positionV>
            <wp:extent cx="146621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66215" cy="8890"/>
                    </a:xfrm>
                    <a:prstGeom prst="rect">
                      <a:avLst/>
                    </a:prstGeom>
                    <a:noFill/>
                  </pic:spPr>
                </pic:pic>
              </a:graphicData>
            </a:graphic>
          </wp:anchor>
        </w:drawing>
        <w:drawing>
          <wp:anchor simplePos="0" relativeHeight="251657728" behindDoc="1" locked="0" layoutInCell="0" allowOverlap="1">
            <wp:simplePos x="0" y="0"/>
            <wp:positionH relativeFrom="column">
              <wp:posOffset>1351280</wp:posOffset>
            </wp:positionH>
            <wp:positionV relativeFrom="paragraph">
              <wp:posOffset>288925</wp:posOffset>
            </wp:positionV>
            <wp:extent cx="4553585" cy="1543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53585" cy="154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color w:val="auto"/>
        </w:rPr>
        <w:t>(1)  Includes Prima AFP and others.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5880" w:type="dxa"/>
            <w:vAlign w:val="bottom"/>
            <w:gridSpan w:val="8"/>
          </w:tcPr>
          <w:p>
            <w:pPr>
              <w:ind w:left="920"/>
              <w:spacing w:after="0"/>
              <w:rPr>
                <w:sz w:val="20"/>
                <w:szCs w:val="20"/>
                <w:color w:val="auto"/>
              </w:rPr>
            </w:pPr>
            <w:r>
              <w:rPr>
                <w:rFonts w:ascii="Arial" w:cs="Arial" w:eastAsia="Arial" w:hAnsi="Arial"/>
                <w:sz w:val="18"/>
                <w:szCs w:val="18"/>
                <w:b w:val="1"/>
                <w:bCs w:val="1"/>
                <w:color w:val="auto"/>
              </w:rPr>
              <w:t xml:space="preserve">As of and for the Year ended December 31, 2009 </w:t>
            </w:r>
            <w:r>
              <w:rPr>
                <w:rFonts w:ascii="Arial" w:cs="Arial" w:eastAsia="Arial" w:hAnsi="Arial"/>
                <w:sz w:val="18"/>
                <w:szCs w:val="18"/>
                <w:color w:val="auto"/>
              </w:rPr>
              <w:t>(1)</w:t>
            </w: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19"/>
                <w:szCs w:val="19"/>
                <w:color w:val="auto"/>
              </w:rPr>
            </w:pPr>
          </w:p>
        </w:tc>
        <w:tc>
          <w:tcPr>
            <w:tcW w:w="12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Total Assets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94"/>
              </w:rPr>
              <w:t>Total Revenue</w:t>
            </w: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Net Income (Loss)</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Net Equity</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87.2%</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72.8%</w:t>
            </w:r>
          </w:p>
        </w:tc>
        <w:tc>
          <w:tcPr>
            <w:tcW w:w="16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84.6%</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70.6%</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4.6%</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2.3%</w:t>
            </w:r>
          </w:p>
        </w:tc>
        <w:tc>
          <w:tcPr>
            <w:tcW w:w="16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6.3%</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9.3%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El Pacífico-Peruano Suiza Compañía de Seguros y Reaseguros (2)</w:t>
            </w:r>
          </w:p>
        </w:tc>
        <w:tc>
          <w:tcPr>
            <w:tcW w:w="1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6.6%</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21.3%</w:t>
            </w:r>
          </w:p>
        </w:tc>
        <w:tc>
          <w:tcPr>
            <w:tcW w:w="16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10.5%</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8.2%</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Grupo Crédito (3)</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1.3%</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3.5%</w:t>
            </w:r>
          </w:p>
        </w:tc>
        <w:tc>
          <w:tcPr>
            <w:tcW w:w="162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5.7%</w:t>
            </w:r>
          </w:p>
        </w:tc>
        <w:tc>
          <w:tcPr>
            <w:tcW w:w="14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FFCC"/>
          </w:tcPr>
          <w:p>
            <w:pPr>
              <w:spacing w:after="0"/>
              <w:rPr>
                <w:sz w:val="20"/>
                <w:szCs w:val="20"/>
                <w:color w:val="auto"/>
              </w:rPr>
            </w:pPr>
            <w:r>
              <w:rPr>
                <w:rFonts w:ascii="Arial" w:cs="Arial" w:eastAsia="Arial" w:hAnsi="Arial"/>
                <w:sz w:val="18"/>
                <w:szCs w:val="18"/>
                <w:color w:val="auto"/>
              </w:rPr>
              <w:t>Others (4)</w:t>
            </w:r>
          </w:p>
        </w:tc>
        <w:tc>
          <w:tcPr>
            <w:tcW w:w="1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0.3%</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0.1%</w:t>
            </w:r>
          </w:p>
        </w:tc>
        <w:tc>
          <w:tcPr>
            <w:tcW w:w="162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89"/>
              </w:rPr>
              <w:t>-7.1%</w:t>
            </w:r>
          </w:p>
        </w:tc>
        <w:tc>
          <w:tcPr>
            <w:tcW w:w="14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2.5%</w:t>
            </w:r>
          </w:p>
        </w:tc>
        <w:tc>
          <w:tcPr>
            <w:tcW w:w="10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580" w:hanging="572"/>
        <w:spacing w:after="0"/>
        <w:tabs>
          <w:tab w:leader="none" w:pos="580" w:val="left"/>
        </w:tabs>
        <w:numPr>
          <w:ilvl w:val="0"/>
          <w:numId w:val="16"/>
        </w:numPr>
        <w:rPr>
          <w:rFonts w:ascii="Arial" w:cs="Arial" w:eastAsia="Arial" w:hAnsi="Arial"/>
          <w:sz w:val="22"/>
          <w:szCs w:val="22"/>
          <w:color w:val="auto"/>
        </w:rPr>
      </w:pPr>
      <w:r>
        <w:rPr>
          <w:rFonts w:ascii="Arial" w:cs="Arial" w:eastAsia="Arial" w:hAnsi="Arial"/>
          <w:sz w:val="22"/>
          <w:szCs w:val="22"/>
          <w:color w:val="auto"/>
        </w:rPr>
        <w:t>Percentages determined based on the Credicorp Consolidated Financial Statements.</w:t>
      </w:r>
    </w:p>
    <w:p>
      <w:pPr>
        <w:spacing w:after="0" w:line="13" w:lineRule="exact"/>
        <w:rPr>
          <w:rFonts w:ascii="Arial" w:cs="Arial" w:eastAsia="Arial" w:hAnsi="Arial"/>
          <w:sz w:val="22"/>
          <w:szCs w:val="22"/>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PPS and Pacífico Vida.</w:t>
      </w:r>
    </w:p>
    <w:p>
      <w:pPr>
        <w:spacing w:after="0" w:line="7" w:lineRule="exact"/>
        <w:rPr>
          <w:rFonts w:ascii="Arial" w:cs="Arial" w:eastAsia="Arial" w:hAnsi="Arial"/>
          <w:sz w:val="18"/>
          <w:szCs w:val="18"/>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Prima AFP and others.</w:t>
      </w:r>
    </w:p>
    <w:p>
      <w:pPr>
        <w:spacing w:after="0" w:line="9" w:lineRule="exact"/>
        <w:rPr>
          <w:rFonts w:ascii="Arial" w:cs="Arial" w:eastAsia="Arial" w:hAnsi="Arial"/>
          <w:sz w:val="18"/>
          <w:szCs w:val="18"/>
          <w:color w:val="auto"/>
        </w:rPr>
      </w:pPr>
    </w:p>
    <w:p>
      <w:pPr>
        <w:ind w:left="480" w:hanging="472"/>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Credicorp Ltd., CCR Inc., Credicorp Securities Inc. and others.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left="660"/>
        <w:spacing w:after="0"/>
        <w:rPr>
          <w:sz w:val="20"/>
          <w:szCs w:val="20"/>
          <w:color w:val="auto"/>
        </w:rPr>
      </w:pPr>
      <w:r>
        <w:rPr>
          <w:rFonts w:ascii="Arial" w:cs="Arial" w:eastAsia="Arial" w:hAnsi="Arial"/>
          <w:sz w:val="18"/>
          <w:szCs w:val="18"/>
          <w:color w:val="auto"/>
        </w:rPr>
        <w:t>The following tables show the organization of BCP and its principal subsidiaries as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323850</wp:posOffset>
            </wp:positionV>
            <wp:extent cx="5154295" cy="1577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54295" cy="1577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12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980" w:type="dxa"/>
            <w:vAlign w:val="bottom"/>
            <w:gridSpan w:val="8"/>
          </w:tcPr>
          <w:p>
            <w:pPr>
              <w:ind w:left="460"/>
              <w:spacing w:after="0"/>
              <w:rPr>
                <w:sz w:val="20"/>
                <w:szCs w:val="20"/>
                <w:color w:val="auto"/>
              </w:rPr>
            </w:pPr>
            <w:r>
              <w:rPr>
                <w:rFonts w:ascii="Arial" w:cs="Arial" w:eastAsia="Arial" w:hAnsi="Arial"/>
                <w:sz w:val="18"/>
                <w:szCs w:val="18"/>
                <w:b w:val="1"/>
                <w:bCs w:val="1"/>
                <w:color w:val="auto"/>
              </w:rPr>
              <w:t xml:space="preserve">As of and for the Year ended December 31, 2009 </w:t>
            </w:r>
            <w:r>
              <w:rPr>
                <w:rFonts w:ascii="Arial" w:cs="Arial" w:eastAsia="Arial" w:hAnsi="Arial"/>
                <w:sz w:val="18"/>
                <w:szCs w:val="18"/>
                <w:color w:val="auto"/>
              </w:rPr>
              <w:t>(2)</w:t>
            </w:r>
          </w:p>
        </w:tc>
      </w:tr>
      <w:tr>
        <w:trPr>
          <w:trHeight w:val="198"/>
        </w:trPr>
        <w:tc>
          <w:tcPr>
            <w:tcW w:w="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1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2"/>
              </w:rPr>
              <w:t>Total</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Total</w:t>
            </w: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0"/>
              </w:rPr>
              <w:t>Net Income</w:t>
            </w: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7"/>
                <w:szCs w:val="17"/>
                <w:color w:val="auto"/>
              </w:rPr>
            </w:pPr>
          </w:p>
        </w:tc>
      </w:tr>
      <w:tr>
        <w:trPr>
          <w:trHeight w:val="241"/>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1"/>
              </w:rPr>
              <w:t>Assets</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(Loss)</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92.0%</w:t>
            </w:r>
          </w:p>
        </w:tc>
        <w:tc>
          <w:tcPr>
            <w:tcW w:w="1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90.6%</w:t>
            </w:r>
          </w:p>
        </w:tc>
        <w:tc>
          <w:tcPr>
            <w:tcW w:w="13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0"/>
              </w:rPr>
              <w:t>86.5%</w:t>
            </w:r>
          </w:p>
        </w:tc>
        <w:tc>
          <w:tcPr>
            <w:tcW w:w="12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0"/>
              </w:rPr>
              <w:t>83.3%</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Banco de Crédito de Bolivia</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5.6%</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5.8%</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8.9%</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Empresa Financiera Edyficar S.A.</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1.4%</w:t>
            </w:r>
          </w:p>
        </w:tc>
        <w:tc>
          <w:tcPr>
            <w:tcW w:w="1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1.1%</w:t>
            </w:r>
          </w:p>
        </w:tc>
        <w:tc>
          <w:tcPr>
            <w:tcW w:w="13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0.3%</w:t>
            </w:r>
          </w:p>
        </w:tc>
        <w:tc>
          <w:tcPr>
            <w:tcW w:w="12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2"/>
              </w:rPr>
              <w:t>2.4%</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Financiera de Crédito Solución</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0.3%</w:t>
            </w:r>
          </w:p>
        </w:tc>
        <w:tc>
          <w:tcPr>
            <w:tcW w:w="130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0.3%</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Credifondo S.A.</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0.1%</w:t>
            </w:r>
          </w:p>
        </w:tc>
        <w:tc>
          <w:tcPr>
            <w:tcW w:w="1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1.2%</w:t>
            </w:r>
          </w:p>
        </w:tc>
        <w:tc>
          <w:tcPr>
            <w:tcW w:w="13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3.0%</w:t>
            </w:r>
          </w:p>
        </w:tc>
        <w:tc>
          <w:tcPr>
            <w:tcW w:w="12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2"/>
              </w:rPr>
              <w:t>1.5%</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Credibolsa Sociedad Agente de Bolsa S.A.</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26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0.3%</w:t>
            </w:r>
          </w:p>
        </w:tc>
        <w:tc>
          <w:tcPr>
            <w:tcW w:w="1300" w:type="dxa"/>
            <w:vAlign w:val="bottom"/>
            <w:gridSpan w:val="2"/>
          </w:tcPr>
          <w:p>
            <w:pPr>
              <w:jc w:val="center"/>
              <w:ind w:left="130"/>
              <w:spacing w:after="0"/>
              <w:rPr>
                <w:sz w:val="20"/>
                <w:szCs w:val="20"/>
                <w:color w:val="auto"/>
              </w:rPr>
            </w:pPr>
            <w:r>
              <w:rPr>
                <w:rFonts w:ascii="Arial" w:cs="Arial" w:eastAsia="Arial" w:hAnsi="Arial"/>
                <w:sz w:val="18"/>
                <w:szCs w:val="18"/>
                <w:color w:val="auto"/>
                <w:w w:val="93"/>
              </w:rPr>
              <w:t>-0.1%</w:t>
            </w:r>
          </w:p>
        </w:tc>
        <w:tc>
          <w:tcPr>
            <w:tcW w:w="1260" w:type="dxa"/>
            <w:vAlign w:val="bottom"/>
            <w:gridSpan w:val="2"/>
          </w:tcPr>
          <w:p>
            <w:pPr>
              <w:jc w:val="center"/>
              <w:ind w:left="150"/>
              <w:spacing w:after="0"/>
              <w:rPr>
                <w:sz w:val="20"/>
                <w:szCs w:val="20"/>
                <w:color w:val="auto"/>
              </w:rPr>
            </w:pPr>
            <w:r>
              <w:rPr>
                <w:rFonts w:ascii="Arial" w:cs="Arial" w:eastAsia="Arial" w:hAnsi="Arial"/>
                <w:sz w:val="18"/>
                <w:szCs w:val="18"/>
                <w:color w:val="auto"/>
                <w:w w:val="92"/>
              </w:rPr>
              <w:t>0.6%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Others (3)</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0.5%</w:t>
            </w:r>
          </w:p>
        </w:tc>
        <w:tc>
          <w:tcPr>
            <w:tcW w:w="126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0.7%</w:t>
            </w:r>
          </w:p>
        </w:tc>
        <w:tc>
          <w:tcPr>
            <w:tcW w:w="1300" w:type="dxa"/>
            <w:vAlign w:val="bottom"/>
            <w:gridSpan w:val="2"/>
            <w:shd w:val="clear" w:color="auto" w:fill="CCFFCC"/>
          </w:tcPr>
          <w:p>
            <w:pPr>
              <w:jc w:val="center"/>
              <w:ind w:left="110"/>
              <w:spacing w:after="0"/>
              <w:rPr>
                <w:sz w:val="20"/>
                <w:szCs w:val="20"/>
                <w:color w:val="auto"/>
              </w:rPr>
            </w:pPr>
            <w:r>
              <w:rPr>
                <w:rFonts w:ascii="Arial" w:cs="Arial" w:eastAsia="Arial" w:hAnsi="Arial"/>
                <w:sz w:val="18"/>
                <w:szCs w:val="18"/>
                <w:color w:val="auto"/>
                <w:w w:val="92"/>
              </w:rPr>
              <w:t>1.1%</w:t>
            </w:r>
          </w:p>
        </w:tc>
        <w:tc>
          <w:tcPr>
            <w:tcW w:w="126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2"/>
              </w:rPr>
              <w:t>5.6%</w:t>
            </w:r>
          </w:p>
        </w:tc>
        <w:tc>
          <w:tcPr>
            <w:tcW w:w="12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640" w:hanging="632"/>
        <w:spacing w:after="0"/>
        <w:tabs>
          <w:tab w:leader="none" w:pos="6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We hold an additional 4.08% stake.</w:t>
      </w:r>
    </w:p>
    <w:p>
      <w:pPr>
        <w:spacing w:after="0" w:line="13" w:lineRule="exact"/>
        <w:rPr>
          <w:rFonts w:ascii="Arial" w:cs="Arial" w:eastAsia="Arial" w:hAnsi="Arial"/>
          <w:sz w:val="22"/>
          <w:szCs w:val="22"/>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Percentages determined based on BCP’s consolidated financial statements as of and for the year ended December 31, 2009.</w:t>
      </w:r>
    </w:p>
    <w:p>
      <w:pPr>
        <w:spacing w:after="0" w:line="7" w:lineRule="exact"/>
        <w:rPr>
          <w:rFonts w:ascii="Arial" w:cs="Arial" w:eastAsia="Arial" w:hAnsi="Arial"/>
          <w:sz w:val="18"/>
          <w:szCs w:val="18"/>
          <w:color w:val="auto"/>
        </w:rPr>
      </w:pPr>
    </w:p>
    <w:p>
      <w:pPr>
        <w:ind w:left="540" w:hanging="532"/>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Creditítulos S.A., Inmobiliaria BCP and others.</w:t>
      </w:r>
    </w:p>
    <w:p>
      <w:pPr>
        <w:spacing w:after="0" w:line="200" w:lineRule="exact"/>
        <w:rPr>
          <w:rFonts w:ascii="Arial" w:cs="Arial" w:eastAsia="Arial" w:hAnsi="Arial"/>
          <w:sz w:val="18"/>
          <w:szCs w:val="18"/>
          <w:color w:val="auto"/>
        </w:rPr>
      </w:pPr>
    </w:p>
    <w:p>
      <w:pPr>
        <w:spacing w:after="0" w:line="276" w:lineRule="exact"/>
        <w:rPr>
          <w:rFonts w:ascii="Arial" w:cs="Arial" w:eastAsia="Arial" w:hAnsi="Arial"/>
          <w:sz w:val="18"/>
          <w:szCs w:val="18"/>
          <w:color w:val="auto"/>
        </w:rPr>
      </w:pPr>
    </w:p>
    <w:p>
      <w:pPr>
        <w:ind w:left="660" w:hanging="607"/>
        <w:spacing w:after="0"/>
        <w:tabs>
          <w:tab w:leader="none" w:pos="660" w:val="left"/>
        </w:tabs>
        <w:numPr>
          <w:ilvl w:val="1"/>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52" w:lineRule="exact"/>
        <w:rPr>
          <w:sz w:val="20"/>
          <w:szCs w:val="20"/>
          <w:color w:val="auto"/>
        </w:rPr>
      </w:pPr>
    </w:p>
    <w:p>
      <w:pPr>
        <w:ind w:left="1140" w:hanging="484"/>
        <w:spacing w:after="0"/>
        <w:tabs>
          <w:tab w:leader="none" w:pos="11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 Review of 2009</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conduct our business operations through four different operating segments: Banking (which includes BCP, ASHC, BCB, Edyficar, and other minor financial subsidiaries), Insurance (which includes Pacífico Peruano Suiza and its subsidiaries), Pension funds (which includes Prima AFP, main subsidiary of Grupo Crédito), and Brokerage and other (which include principally Credifondo, Credibolsa, and others).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Despite the persistent weakness in global financial markets and the contraction of the real economy at the beginning of the year, in 2009 we recorded net income after minority interests of US$469.8 million, which was 31.3% higher than our net earnings in 2008. This result reflected the strong performance of our subsidiaries, led by our non-banking, insurance and asset management businesses, which recovered from the international financial crisis that began in 2007.</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0" w:name="page21"/>
    <w:bookmarkEnd w:id="20"/>
    <w:p>
      <w:pPr>
        <w:jc w:val="both"/>
        <w:ind w:firstLine="648"/>
        <w:spacing w:after="0" w:line="254" w:lineRule="auto"/>
        <w:rPr>
          <w:sz w:val="20"/>
          <w:szCs w:val="20"/>
          <w:color w:val="auto"/>
        </w:rPr>
      </w:pPr>
      <w:r>
        <w:rPr>
          <w:rFonts w:ascii="Arial" w:cs="Arial" w:eastAsia="Arial" w:hAnsi="Arial"/>
          <w:sz w:val="18"/>
          <w:szCs w:val="18"/>
          <w:color w:val="auto"/>
        </w:rPr>
        <w:t>Our total assets grew to US$22.0 billion as of December 31, 2009, a 5.8% increase from the US$20.8 billion in assets we held as of December 31, 2008. Our increase in total assets was a result of our modest loan growth. Loans grew by 9.9% in 2009 (compared to 27.8% in 2008 and 39.2% in 2007), following the slowdown of the Peruvian economy (which had a GDP growth rate of 9.8% in 2008 and a GDP growth rate of 0.9% in 2009). As a result of the world recession, which had a greater impact on the Peruvian market than we expected, provision for loan losses net of recoveries increased by 235.1% to US$163.4 million (compared to US$48.8 million in 2008). Our past-due and under legal collection loan ratio increased to 1.60% by the end of 2009 (compared to a ratio of 0.79% at the end of 2008), reflecting the effects of the international financial crisis on the Peruvian domestic economy. We had a coverage ratio of 192.0% (</w:t>
      </w:r>
      <w:r>
        <w:rPr>
          <w:rFonts w:ascii="Arial" w:cs="Arial" w:eastAsia="Arial" w:hAnsi="Arial"/>
          <w:sz w:val="18"/>
          <w:szCs w:val="18"/>
          <w:i w:val="1"/>
          <w:iCs w:val="1"/>
          <w:color w:val="auto"/>
        </w:rPr>
        <w:t>i.e.</w:t>
      </w:r>
      <w:r>
        <w:rPr>
          <w:rFonts w:ascii="Arial" w:cs="Arial" w:eastAsia="Arial" w:hAnsi="Arial"/>
          <w:sz w:val="18"/>
          <w:szCs w:val="18"/>
          <w:color w:val="auto"/>
        </w:rPr>
        <w:t>, reserves for loans as a percentage of past-due loans), and our return on average net equity increased to 23.7% in 2009 (compared to 20.2% in 2008).</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Banking segment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2009, we received an earnings contribution of US$388.5 million resulting from BCP’s year-end 2009 net profit that totaled US$397.4 million. This earnings contribution was 5.4% lower than last year’s contribution (US$410.9 million) and was a product of the general contraction in demand for loans caused by the global economic downturn. As a result, BCP’s average return on net equity (ROE) decreased to 26.7%.</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Despite the troubled economy, BCP remained profitable. The main drivers behind the company’s performance were: i) the 7.4% growth in its operating income that resulted from strong financial management and a 9.3% increase in banking fees; ii) the 147.9% increase in income the company realized from the sale of securities resulting from sound decisions by BCP’s treasury managers, which identified a profitable opportunity to participate in the purchase-sale of sovereign and global bonds; and iii) the significant rise in translation gains from a loss of US$12.2 million in 2008 to a gain of US$7.7 million in 2009.</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Performance in these areas enabled BCP to offset the company’s steep 222% increase in provisions and 15.6% increase in operating expenses. The higher operating expenses were a result of BCP’s aggressive network expansion during the previous two years and the initial cost of its initiatives to improve long-term efficiency. These higher operating expenses were exacerbated by the 8.0% appreciation of the Nuevo Sol against the U.S. dollar over the year, as a significant portion of BCP’s operating expenses are denominated in local currency.</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BCP’s total assets reached US$19.6 billion at the end of 2009, representing an increase of 7.1% over the previous year (US$18.3 billion). This increase in total assets was a result of the 9.8% expansion of BCP’s loan portfolio, which totaled US$11.2 billion at the end of 2009. The loan portfolio constituted 57.4% of BCP’s total assets at the end of 2009, up from 55.9% in 2008. BCP’s total past-due loans reached US$183.8 million (123.9% higher than the US$82.1 million registered in 2008) while refinanced and restructured loans increased by 7.8%, from US$53.7 million in 2008 to US$58.2 million at the end of 2009. The composition of BCP’s loan portfolio in 2009 did not change significantly—wholesale banking and retail banking accounted for 60% and 40% of its total portfolio, respectively (similar to the levels registered in 2008 (62% and 38%)).</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average daily balances of BCP’s wholesale banking loans grew by 8.3% in 2009, exceeding our expectations in light of the economic slowdown, the high frequency of postponed corporate investment plans and the reduced level of corporate inventories in Peru. As a result, BCP continued to lead the Peruvian financial system with a market share of 46.0% for the corporate segment and 33.3% for the middle market.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retail banking portfolio continued its upward trend and grew 17.5% in 2009, reaching an average daily balance of US$3,985. In terms of growth and yields, BCP’s consumer loans were its best performing product, reaching 25.9% growth (measured in average daily balances) to a total volume of US$779 million, followed by credit cards which grew 17.7% to US$453 million. SME loans grew 16.1% to US$1,309 million, while mortgage credits expanded 14.6%, totaling US$1,444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jc w:val="both"/>
        <w:ind w:firstLine="648"/>
        <w:spacing w:after="0" w:line="257" w:lineRule="auto"/>
        <w:rPr>
          <w:sz w:val="20"/>
          <w:szCs w:val="20"/>
          <w:color w:val="auto"/>
        </w:rPr>
      </w:pPr>
      <w:r>
        <w:rPr>
          <w:rFonts w:ascii="Arial" w:cs="Arial" w:eastAsia="Arial" w:hAnsi="Arial"/>
          <w:sz w:val="18"/>
          <w:szCs w:val="18"/>
          <w:color w:val="auto"/>
        </w:rPr>
        <w:t>On the liabilities side, BCP’s deposits reached US$14,466 million on December 31, 2009 (a 2.9% increase from the previous year). This increase in deposits not only continues to reinforce BCP’s funding structure as deposits account for 74.9% of all funding sources, but it also serves to maintain BCP’s status as an industry leader with a market share of 34.2%. Time deposits continued to be BCP’s largest deposit type, totaling US$5,361 million as of December 31, 2009. Demand deposits, BCP’s second-largest deposit type, reached US$4,495 million. Savings deposits totaled US$3,540 million while Severance Accounts, or CTS, totaled US$1,070 million.</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bonds gained greater relevance within the funding structure and, at year end, accounted for 13.8% of the total funds of the bank. In 2009, BCP completed two successful issues, one debt issue and one capital issue.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first issue, in the form of debt, was made through BCP Emisiones LATAM 1 (a subsidiary of Credicorp) and offered an equivalent of US$107 million (UF 2.7 million) in five year bonds for sale in Chilean markets. The demand for these bonds was high, and the offering exceeded our expectations as a cross-section of institutional investors (including pension fund administration companies, mutual funds and banks) purchased the bonds. This issue enabled us to not only diversify our funding sources, but also secure a favorable interest rate.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capital issue was the first of its kind for BCP. It involved the successful placement of hybrid bonds, instruments possessing equity characteristics that enable them to be included in the regulatory capital of the bank. The hybrid bond issue was for US$250 million at 60 years, with a coupon rate of 9.75% per year. Demand for the hybrid bonds was more than four times the offer. The purpose of this issue was to strengthen BCP’s regulatory capital, an important part of BCP’s strategy to absorb the financial growth it anticipates the company will experience as a result of both increased market penetration and economic expansion.</w:t>
      </w:r>
    </w:p>
    <w:p>
      <w:pPr>
        <w:spacing w:after="0" w:line="21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BCP has conservative provisioning and long-term risk management policies, however, its coverage ratio decreased from 271.98% in 2008 to 192.3% in 2009. Total cumulative provisions reached US$353.3 million as of December 31, 2009, which is 58.3% higher than provisions in the previous year.</w:t>
      </w:r>
    </w:p>
    <w:p>
      <w:pPr>
        <w:spacing w:after="0" w:line="15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2009, BCP continued to focus its strategy on strengthening its customer service, which is related to its goal of providing quality and widespread customer access to the financial system and thereby increasing the company’s penetration into the market. In following its network expansion plan, BCP focused on cost-efficient channels, opening ATMs and Agente BCP, which grew 11.9% and 51.3%, respectively. By the end of 2009, BCP had a total of 996 ATMs and 2,801 Agentes BCP. As a result of this strategy, BCP’s average number of transactions in 2009 increased 18.3% from 2008 and its transactional business was therefore able to generate higher income from fees and commissions.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Overall, BCP’s results met our expectations and remained profitable despite the global recession.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 Bolivia</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2009, Banco de Crédito de Bolivia (BCP Bolivia) had a net income of US$30.4 million, a 29% decline from its 2008 net income of US$42.9 million. The bank’s performance was the result of its lower net financial income due to smaller loan growth and a tighter interest margin on investments. BCP Bolivia also incurred higher operating expenses and generated lower non financial income due to regulatory changes that increased salaries and eliminated certain banking commissions. The earnings that BCP Bolivia reported in 2008 were also higher because they incorporated a translation gain from the appreciation of Bolivia’s domestic currency against the U.S. Dollar. In contrast, the translation gain for 2009 was essentially zero, as the exchange rate remained flat.</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2009, BCP Bolivia maintained its status as one of the top banks in Bolivia. In each of the following categories, the bank outperformed the industry average in the Bolivian banking system: return on equity (30.4%), past-due loan ratio (1.8%) and coverage ratio (257.9%) (as compared to industry averages of 21.8%, 3.5% and 167.5%,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2" w:name="page23"/>
    <w:bookmarkEnd w:id="22"/>
    <w:p>
      <w:pPr>
        <w:jc w:val="both"/>
        <w:ind w:firstLine="648"/>
        <w:spacing w:after="0" w:line="277" w:lineRule="auto"/>
        <w:rPr>
          <w:sz w:val="20"/>
          <w:szCs w:val="20"/>
          <w:color w:val="auto"/>
        </w:rPr>
      </w:pPr>
      <w:r>
        <w:rPr>
          <w:rFonts w:ascii="Arial" w:cs="Arial" w:eastAsia="Arial" w:hAnsi="Arial"/>
          <w:sz w:val="18"/>
          <w:szCs w:val="18"/>
          <w:color w:val="auto"/>
        </w:rPr>
        <w:t>BCP Bolivia’s loan portfolio expanded by 0.8% from 2008, totaling US$460.2 million in 2009. This expansion was mainly due to a 4.5% growth in retail banking.</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BCP Bolivia made a positive contribution to our results in 2009, the country of Bolivia still experiences a volatile political environment and shows evidence of significant stagnation in private investment activity.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Edyficar</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Since BCP acquired Edyficar in October 2009, the consolidation of Edyficar’s results into BCP’s financial statements resulted in a total contribution of US$1.1 million (representing Edyficar’s net income from the fourth quarter of 2009). As of December 31, 2009, Edyficar registered total assets of US$275.3 million which consisted of US$229.2 million from the company’s net loan portfolio, its main asset. Total liabilities increased to US$233.9 million, which included US$179.5 million from banking activities. Net shareholders’ equity reached US$41.4 million at the end of 2009.</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Edyficar focuses on SME lending and, together with BCP, it held a 20.0% market share in terms of loans at the end of 2009 (compared to a market share of 17.9% held by its closest competitor). As of December 31, 2009, its client base registered 213 thousand clients, a base 17.9% larger than in 2008. The average amount of an Edyficar loan in 2009 was S/. 3,380 (approximately US$1,170). Edyficar registered a PDL ratio of 3.9% at the end of 2009, a reflection if its portfolio quality. In local accounting Edyficar reached a return on equity of 21.7% and an efficiency ratio of 43.8%.</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acquisition of Edyficar was part of BCP’s strategy to capture most of the SME segment’s growth, which is expected to expand significantly over the next several years. BCP intends to support Edyficar’s growth and development by improving its funding cost and structure and providing the capital and technology that Edyficar needs.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ASHC</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 all our subsidiaries, ASHC experienced the most severe effects from the global financial crisis. In the year since then, ASHC has recovered substantially. The company’s net earnings for 2009 amounted to US$54.1 million, reversing the loss of US$22.4 million reported the previous year. As a result, the contribution of ASHC to Credicorp, net of dividends received, amounted to US$29.7 million, a significant improvement over the US$50.4 million loss reported in 2008.</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income from interest in 2009 totaled US$52.4 million (including the US$21.9 million dividends received from Credicorp Ltd.), which represented an increase of 11% from the previous year. This rise in net income was primarily due to the company’s greater financial margin, which in turn was a result of the company’s lower funding cost (the 2009 cost was 16% below the cost in 2008). This lower funding cost reflected the steady decline of LIBOR rates during the year, a favorable scenario for the bank given the short-term structure of its customers’ deposits and their fast re-pricing, in contrast to assets engaged for longer terms and at higher interest rates. Non-financial income reached US$20.8 million and included income from fees, the sale of securities and foreign exchange operations.</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ASHC’s total assets were US$1,484.8 million as of December 31, 2009, an increase of 2% from 2008. This increase in total assets was primarily a result of the appreciation in value of ASHC’s Investments Available for Sale account. That account recovered approximately US$70 million of its value, which in turn produced unrealized gains of US$23.3 million in 2009. In contrast, that same account produced an unrealized loss of US$46.7 million in 2008.</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Finally, at the end of 2009, assets under ASHC’s management totaled US$2,177 million, compared to US$1,639 million in 2008. This growth was primarily a result of the increase in the market value of our portfolio that followed the larger recovery in global financial markets.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ind w:left="660"/>
        <w:spacing w:after="0"/>
        <w:rPr>
          <w:sz w:val="20"/>
          <w:szCs w:val="20"/>
          <w:color w:val="auto"/>
        </w:rPr>
      </w:pPr>
      <w:r>
        <w:rPr>
          <w:rFonts w:ascii="Arial" w:cs="Arial" w:eastAsia="Arial" w:hAnsi="Arial"/>
          <w:sz w:val="18"/>
          <w:szCs w:val="18"/>
          <w:b w:val="1"/>
          <w:bCs w:val="1"/>
          <w:color w:val="auto"/>
        </w:rPr>
        <w:t>Insurance segment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PPS</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2009, PPS, which encompasses Pacífico Seguros, Pacífico Vida and Pacífico Salud EPS, reported a net income of US$49.2 million (compared to a US$15.0 million net loss in 2008). As a result, the contribution we received from PPS increased considerably, from a loss of US$15.9 million in 2008 to a gain of US$37.4 million in 2009. This record high contribution from PPS was primarily attributable to a significant reduction in the claims rate by customers of Pacifico General Insurance, a rate which dropped from 87.2% to 53.3%. The lower claims rate for the year was in turn the result of on-going efforts, which began in 2006, to improve the company’s risk diversification strategy and lower the concentration of the company’s portfolio.</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technical result PPS obtained in 2009, which reflects the company’s core business performance for the year, was US$79.9 million, a significant improvement over the 2008 result. This improved technical result followed a reduction in the overall claims rate, which went from 84.3% in 2008 to 65.2% in 2009, and was the product of changes and improvements that PPS implemented over the last several years through underwriting management and operating controls.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2010, PPS will continue to focus on its retail business by developing products to introduce customers to the advantages of insurance. There is enormous growth potential in Peru’s insurance market, given the industry’s weak market penetration. Efficiency and risk management will continue to be key indicators in measuring PPS’s performance. Efficiently utilizing the BCP network is an essential component of PPS’s growth strategy for 2010 since capitalizing on synergies between the insurance business and the distribution channels of the banking business may lead PPS to greater penetration in the insurance market.</w:t>
      </w:r>
    </w:p>
    <w:p>
      <w:pPr>
        <w:spacing w:after="0" w:line="200" w:lineRule="exact"/>
        <w:rPr>
          <w:sz w:val="20"/>
          <w:szCs w:val="20"/>
          <w:color w:val="auto"/>
        </w:rPr>
      </w:pPr>
    </w:p>
    <w:p>
      <w:pPr>
        <w:spacing w:after="0" w:line="25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Pension fund segment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 AFP</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Peruvian pension funds experienced a better year in 2009. The financial markets stabilized and continued a trend toward recovery. These favorable economic conditions led to an increase in the market value of funds under Prima AFP’s management, a value that reached US$23.9 billion on December 31, 2009 and represented a 51% year-over-year increase.</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Prima AFP was able to strengthen its position in the market by adjusting its processes and organization to provide high-quality services and timely and transparent information to its clients. As a result, the contribution we received from Prima AFP in 2009 reached US$20.8 million, as compared to US$11.2 million in 2008.</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Funds under management of Prima AFP increased 47.6% from US$4.9 billion in 2008 to US$6.6 billion as of December 31, 2009. By year-end 2009, Prima AFP’s share of total funds under management was 30.6%, unchanged from 2008, making Prima AFP the second largest fund management company in Peru.</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Prima AFP’s revenues from commissions in 2009 reached US$78.8 million, an 11.4% increase from 2008. This improvement in performance was a result of a stable and improved portfolio of contributing members that was supported by the increase of administration fee from 1.50% to 1.75% since January</w:t>
      </w:r>
    </w:p>
    <w:p>
      <w:pPr>
        <w:jc w:val="both"/>
        <w:ind w:firstLine="8"/>
        <w:spacing w:after="0" w:line="255" w:lineRule="auto"/>
        <w:tabs>
          <w:tab w:leader="none" w:pos="366"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Unlike the revenues Prima AFP reported in 2008, Prima AFP’s revenues in 2009 included 13, rather than 14, contribution periods because the Peruvian government, as part of its anti-crisis plan, exempted affiliates from deductions on additional salaries that must be paid in July and December under Peruvian labor law.</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4" w:name="page25"/>
    <w:bookmarkEnd w:id="24"/>
    <w:p>
      <w:pPr>
        <w:jc w:val="both"/>
        <w:ind w:firstLine="648"/>
        <w:spacing w:after="0" w:line="312" w:lineRule="auto"/>
        <w:rPr>
          <w:sz w:val="20"/>
          <w:szCs w:val="20"/>
          <w:color w:val="auto"/>
        </w:rPr>
      </w:pPr>
      <w:r>
        <w:rPr>
          <w:rFonts w:ascii="Arial" w:cs="Arial" w:eastAsia="Arial" w:hAnsi="Arial"/>
          <w:sz w:val="16"/>
          <w:szCs w:val="16"/>
          <w:color w:val="auto"/>
        </w:rPr>
        <w:t>In 2010 Prima AFP plans to maximize its contribution to us by obtaining moderate growth in its client base, a goal consistent with our expectation that the Peruvian economy will expand over the next year. Prima AFP also plans to continue to reinforce its position in the market, strengthen its affiliate base and progressively incorporate independent workers into pension plans designed specifically for that segment of the labor market.</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improve its operating results, Prima AFP will continue to focus on increasing efficiency and reducing costs. Emphasis will also be placed on improving Prima AFP’s long-term stability through better risk management, one of the company’s highest priorities.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contribution to the consolidated net income attributable to our equity holders by each of our principal subsidiaries: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Variation</w:t>
            </w:r>
          </w:p>
        </w:tc>
      </w:tr>
      <w:tr>
        <w:trPr>
          <w:trHeight w:val="241"/>
        </w:trPr>
        <w:tc>
          <w:tcPr>
            <w:tcW w:w="1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9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89"/>
              </w:rPr>
              <w:t>2007</w:t>
            </w:r>
          </w:p>
        </w:tc>
        <w:tc>
          <w:tcPr>
            <w:tcW w:w="2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2009</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2009/2008</w:t>
            </w:r>
          </w:p>
        </w:tc>
        <w:tc>
          <w:tcPr>
            <w:tcW w:w="120" w:type="dxa"/>
            <w:vAlign w:val="bottom"/>
          </w:tcPr>
          <w:p>
            <w:pPr>
              <w:spacing w:after="0"/>
              <w:rPr>
                <w:sz w:val="20"/>
                <w:szCs w:val="20"/>
                <w:color w:val="auto"/>
              </w:rPr>
            </w:pPr>
          </w:p>
        </w:tc>
      </w:tr>
      <w:tr>
        <w:trPr>
          <w:trHeight w:val="223"/>
        </w:trPr>
        <w:tc>
          <w:tcPr>
            <w:tcW w:w="1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i w:val="1"/>
                <w:iCs w:val="1"/>
                <w:color w:val="auto"/>
                <w:w w:val="92"/>
              </w:rPr>
              <w:t>(U.S. Dollars in millions, except percentages)</w:t>
            </w: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780" w:type="dxa"/>
            <w:vAlign w:val="bottom"/>
          </w:tcPr>
          <w:p>
            <w:pPr>
              <w:spacing w:after="0"/>
              <w:rPr>
                <w:sz w:val="18"/>
                <w:szCs w:val="18"/>
                <w:color w:val="auto"/>
              </w:rPr>
            </w:pPr>
          </w:p>
        </w:tc>
        <w:tc>
          <w:tcPr>
            <w:tcW w:w="2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BCP (1)</w:t>
            </w:r>
          </w:p>
        </w:tc>
        <w:tc>
          <w:tcPr>
            <w:tcW w:w="90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3"/>
              </w:rPr>
              <w:t>322.5</w:t>
            </w:r>
          </w:p>
        </w:tc>
        <w:tc>
          <w:tcPr>
            <w:tcW w:w="160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93"/>
              </w:rPr>
              <w:t>410.9</w:t>
            </w:r>
          </w:p>
        </w:tc>
        <w:tc>
          <w:tcPr>
            <w:tcW w:w="150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388.5</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93"/>
              </w:rPr>
              <w:t>-5%</w:t>
            </w:r>
          </w:p>
        </w:tc>
        <w:tc>
          <w:tcPr>
            <w:tcW w:w="120" w:type="dxa"/>
            <w:vAlign w:val="bottom"/>
            <w:shd w:val="clear" w:color="auto" w:fill="CCFFCC"/>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ASCH</w:t>
            </w:r>
          </w:p>
        </w:tc>
        <w:tc>
          <w:tcPr>
            <w:tcW w:w="900" w:type="dxa"/>
            <w:vAlign w:val="bottom"/>
          </w:tcPr>
          <w:p>
            <w:pPr>
              <w:jc w:val="center"/>
              <w:ind w:left="150"/>
              <w:spacing w:after="0"/>
              <w:rPr>
                <w:sz w:val="20"/>
                <w:szCs w:val="20"/>
                <w:color w:val="auto"/>
              </w:rPr>
            </w:pPr>
            <w:r>
              <w:rPr>
                <w:rFonts w:ascii="Arial" w:cs="Arial" w:eastAsia="Arial" w:hAnsi="Arial"/>
                <w:sz w:val="18"/>
                <w:szCs w:val="18"/>
                <w:color w:val="auto"/>
                <w:w w:val="85"/>
              </w:rPr>
              <w:t>20.5</w:t>
            </w:r>
          </w:p>
        </w:tc>
        <w:tc>
          <w:tcPr>
            <w:tcW w:w="1600" w:type="dxa"/>
            <w:vAlign w:val="bottom"/>
            <w:gridSpan w:val="3"/>
          </w:tcPr>
          <w:p>
            <w:pPr>
              <w:jc w:val="center"/>
              <w:ind w:left="370"/>
              <w:spacing w:after="0"/>
              <w:rPr>
                <w:sz w:val="20"/>
                <w:szCs w:val="20"/>
                <w:color w:val="auto"/>
              </w:rPr>
            </w:pPr>
            <w:r>
              <w:rPr>
                <w:rFonts w:ascii="Arial" w:cs="Arial" w:eastAsia="Arial" w:hAnsi="Arial"/>
                <w:sz w:val="18"/>
                <w:szCs w:val="18"/>
                <w:color w:val="auto"/>
                <w:w w:val="89"/>
              </w:rPr>
              <w:t>(50.4)</w:t>
            </w:r>
          </w:p>
        </w:tc>
        <w:tc>
          <w:tcPr>
            <w:tcW w:w="1500" w:type="dxa"/>
            <w:vAlign w:val="bottom"/>
            <w:gridSpan w:val="2"/>
          </w:tcPr>
          <w:p>
            <w:pPr>
              <w:jc w:val="center"/>
              <w:ind w:left="130"/>
              <w:spacing w:after="0"/>
              <w:rPr>
                <w:sz w:val="20"/>
                <w:szCs w:val="20"/>
                <w:color w:val="auto"/>
              </w:rPr>
            </w:pPr>
            <w:r>
              <w:rPr>
                <w:rFonts w:ascii="Arial" w:cs="Arial" w:eastAsia="Arial" w:hAnsi="Arial"/>
                <w:sz w:val="18"/>
                <w:szCs w:val="18"/>
                <w:color w:val="auto"/>
                <w:w w:val="91"/>
              </w:rPr>
              <w:t>29.7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center"/>
              <w:ind w:right="90"/>
              <w:spacing w:after="0"/>
              <w:rPr>
                <w:sz w:val="20"/>
                <w:szCs w:val="20"/>
                <w:color w:val="auto"/>
              </w:rPr>
            </w:pPr>
            <w:r>
              <w:rPr>
                <w:rFonts w:ascii="Arial" w:cs="Arial" w:eastAsia="Arial" w:hAnsi="Arial"/>
                <w:sz w:val="18"/>
                <w:szCs w:val="18"/>
                <w:color w:val="auto"/>
                <w:w w:val="91"/>
              </w:rPr>
              <w:t>159%</w:t>
            </w:r>
          </w:p>
        </w:tc>
        <w:tc>
          <w:tcPr>
            <w:tcW w:w="120" w:type="dxa"/>
            <w:vAlign w:val="bottom"/>
          </w:tcPr>
          <w:p>
            <w:pPr>
              <w:spacing w:after="0"/>
              <w:rPr>
                <w:sz w:val="18"/>
                <w:szCs w:val="18"/>
                <w:color w:val="auto"/>
              </w:rPr>
            </w:pPr>
          </w:p>
        </w:tc>
      </w:tr>
      <w:tr>
        <w:trPr>
          <w:trHeight w:val="216"/>
        </w:trPr>
        <w:tc>
          <w:tcPr>
            <w:tcW w:w="1780" w:type="dxa"/>
            <w:vAlign w:val="bottom"/>
          </w:tcPr>
          <w:p>
            <w:pPr>
              <w:spacing w:after="0"/>
              <w:rPr>
                <w:sz w:val="18"/>
                <w:szCs w:val="18"/>
                <w:color w:val="auto"/>
              </w:rPr>
            </w:pPr>
          </w:p>
        </w:tc>
        <w:tc>
          <w:tcPr>
            <w:tcW w:w="2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PPS</w:t>
            </w:r>
          </w:p>
        </w:tc>
        <w:tc>
          <w:tcPr>
            <w:tcW w:w="90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87"/>
              </w:rPr>
              <w:t>9.4</w:t>
            </w:r>
          </w:p>
        </w:tc>
        <w:tc>
          <w:tcPr>
            <w:tcW w:w="160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89"/>
              </w:rPr>
              <w:t>(15.9)</w:t>
            </w:r>
          </w:p>
        </w:tc>
        <w:tc>
          <w:tcPr>
            <w:tcW w:w="150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91"/>
              </w:rPr>
              <w:t>37.4</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center"/>
              <w:ind w:right="90"/>
              <w:spacing w:after="0"/>
              <w:rPr>
                <w:sz w:val="20"/>
                <w:szCs w:val="20"/>
                <w:color w:val="auto"/>
              </w:rPr>
            </w:pPr>
            <w:r>
              <w:rPr>
                <w:rFonts w:ascii="Arial" w:cs="Arial" w:eastAsia="Arial" w:hAnsi="Arial"/>
                <w:sz w:val="18"/>
                <w:szCs w:val="18"/>
                <w:color w:val="auto"/>
                <w:w w:val="91"/>
              </w:rPr>
              <w:t>335%</w:t>
            </w:r>
          </w:p>
        </w:tc>
        <w:tc>
          <w:tcPr>
            <w:tcW w:w="120" w:type="dxa"/>
            <w:vAlign w:val="bottom"/>
            <w:shd w:val="clear" w:color="auto" w:fill="CCFFCC"/>
          </w:tcPr>
          <w:p>
            <w:pPr>
              <w:spacing w:after="0"/>
              <w:rPr>
                <w:sz w:val="18"/>
                <w:szCs w:val="18"/>
                <w:color w:val="auto"/>
              </w:rPr>
            </w:pPr>
          </w:p>
        </w:tc>
      </w:tr>
      <w:tr>
        <w:trPr>
          <w:trHeight w:val="223"/>
        </w:trPr>
        <w:tc>
          <w:tcPr>
            <w:tcW w:w="1780" w:type="dxa"/>
            <w:vAlign w:val="bottom"/>
          </w:tcPr>
          <w:p>
            <w:pPr>
              <w:spacing w:after="0"/>
              <w:rPr>
                <w:sz w:val="19"/>
                <w:szCs w:val="19"/>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auto"/>
              </w:rPr>
              <w:t>Grupo Crédito (2)</w:t>
            </w:r>
          </w:p>
        </w:tc>
        <w:tc>
          <w:tcPr>
            <w:tcW w:w="9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1"/>
              </w:rPr>
              <w:t>(1.7)</w:t>
            </w:r>
          </w:p>
        </w:tc>
        <w:tc>
          <w:tcPr>
            <w:tcW w:w="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13.2</w:t>
            </w:r>
          </w:p>
        </w:tc>
        <w:tc>
          <w:tcPr>
            <w:tcW w:w="220" w:type="dxa"/>
            <w:vAlign w:val="bottom"/>
          </w:tcPr>
          <w:p>
            <w:pPr>
              <w:spacing w:after="0"/>
              <w:rPr>
                <w:sz w:val="19"/>
                <w:szCs w:val="19"/>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14.2</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8%</w:t>
            </w:r>
          </w:p>
        </w:tc>
        <w:tc>
          <w:tcPr>
            <w:tcW w:w="120" w:type="dxa"/>
            <w:vAlign w:val="bottom"/>
          </w:tcPr>
          <w:p>
            <w:pPr>
              <w:spacing w:after="0"/>
              <w:rPr>
                <w:sz w:val="19"/>
                <w:szCs w:val="19"/>
                <w:color w:val="auto"/>
              </w:rPr>
            </w:pPr>
          </w:p>
        </w:tc>
      </w:tr>
      <w:tr>
        <w:trPr>
          <w:trHeight w:val="216"/>
        </w:trPr>
        <w:tc>
          <w:tcPr>
            <w:tcW w:w="1780" w:type="dxa"/>
            <w:vAlign w:val="bottom"/>
          </w:tcPr>
          <w:p>
            <w:pPr>
              <w:spacing w:after="0"/>
              <w:rPr>
                <w:sz w:val="18"/>
                <w:szCs w:val="18"/>
                <w:color w:val="auto"/>
              </w:rPr>
            </w:pPr>
          </w:p>
        </w:tc>
        <w:tc>
          <w:tcPr>
            <w:tcW w:w="23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w:t>
            </w:r>
          </w:p>
        </w:tc>
        <w:tc>
          <w:tcPr>
            <w:tcW w:w="90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3"/>
              </w:rPr>
              <w:t>350.7</w:t>
            </w:r>
          </w:p>
        </w:tc>
        <w:tc>
          <w:tcPr>
            <w:tcW w:w="1600" w:type="dxa"/>
            <w:vAlign w:val="bottom"/>
            <w:gridSpan w:val="3"/>
            <w:shd w:val="clear" w:color="auto" w:fill="CCFFCC"/>
          </w:tcPr>
          <w:p>
            <w:pPr>
              <w:jc w:val="center"/>
              <w:ind w:left="370"/>
              <w:spacing w:after="0"/>
              <w:rPr>
                <w:sz w:val="20"/>
                <w:szCs w:val="20"/>
                <w:color w:val="auto"/>
              </w:rPr>
            </w:pPr>
            <w:r>
              <w:rPr>
                <w:rFonts w:ascii="Arial" w:cs="Arial" w:eastAsia="Arial" w:hAnsi="Arial"/>
                <w:sz w:val="18"/>
                <w:szCs w:val="18"/>
                <w:color w:val="auto"/>
                <w:w w:val="93"/>
              </w:rPr>
              <w:t>357.8</w:t>
            </w:r>
          </w:p>
        </w:tc>
        <w:tc>
          <w:tcPr>
            <w:tcW w:w="1500" w:type="dxa"/>
            <w:vAlign w:val="bottom"/>
            <w:gridSpan w:val="2"/>
            <w:shd w:val="clear" w:color="auto" w:fill="CCFFCC"/>
          </w:tcPr>
          <w:p>
            <w:pPr>
              <w:jc w:val="center"/>
              <w:ind w:left="130"/>
              <w:spacing w:after="0"/>
              <w:rPr>
                <w:sz w:val="20"/>
                <w:szCs w:val="20"/>
                <w:color w:val="auto"/>
              </w:rPr>
            </w:pPr>
            <w:r>
              <w:rPr>
                <w:rFonts w:ascii="Arial" w:cs="Arial" w:eastAsia="Arial" w:hAnsi="Arial"/>
                <w:sz w:val="18"/>
                <w:szCs w:val="18"/>
                <w:color w:val="auto"/>
                <w:w w:val="88"/>
              </w:rPr>
              <w:t>469.8</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0" w:type="dxa"/>
            <w:vAlign w:val="bottom"/>
            <w:shd w:val="clear" w:color="auto" w:fill="CCFFCC"/>
          </w:tcPr>
          <w:p>
            <w:pPr>
              <w:jc w:val="center"/>
              <w:ind w:right="70"/>
              <w:spacing w:after="0"/>
              <w:rPr>
                <w:sz w:val="20"/>
                <w:szCs w:val="20"/>
                <w:color w:val="auto"/>
              </w:rPr>
            </w:pPr>
            <w:r>
              <w:rPr>
                <w:rFonts w:ascii="Arial" w:cs="Arial" w:eastAsia="Arial" w:hAnsi="Arial"/>
                <w:sz w:val="18"/>
                <w:szCs w:val="18"/>
                <w:color w:val="auto"/>
                <w:w w:val="88"/>
              </w:rPr>
              <w:t>31%</w:t>
            </w:r>
          </w:p>
        </w:tc>
        <w:tc>
          <w:tcPr>
            <w:tcW w:w="120" w:type="dxa"/>
            <w:vAlign w:val="bottom"/>
            <w:shd w:val="clear" w:color="auto" w:fill="CCFFCC"/>
          </w:tcPr>
          <w:p>
            <w:pPr>
              <w:spacing w:after="0"/>
              <w:rPr>
                <w:sz w:val="18"/>
                <w:szCs w:val="18"/>
                <w:color w:val="auto"/>
              </w:rPr>
            </w:pPr>
          </w:p>
        </w:tc>
      </w:tr>
      <w:tr>
        <w:trPr>
          <w:trHeight w:val="351"/>
        </w:trPr>
        <w:tc>
          <w:tcPr>
            <w:tcW w:w="178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8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33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Banco de Crédito de Bolivia, which contributed US$30.3 million in 2009, US$42.9 million in 2008 and US$27.0 million in 2007.</w:t>
      </w:r>
    </w:p>
    <w:p>
      <w:pPr>
        <w:spacing w:after="0" w:line="23"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Prima AFP (which recorded a net income of US$20.8 million in 2009, US$11.2 million in 2008 and US$3.0 million in 2007), Credicorp Securities, Credicorp Ltd. (which mainly includes expenses and the tax withheld in connection with the estimation of the dividends to be distributed to us by our Peruvian subsidiaries (BCP and PPS)) and others.</w:t>
      </w:r>
    </w:p>
    <w:p>
      <w:pPr>
        <w:spacing w:after="0" w:line="200" w:lineRule="exact"/>
        <w:rPr>
          <w:sz w:val="20"/>
          <w:szCs w:val="20"/>
          <w:color w:val="auto"/>
        </w:rPr>
      </w:pPr>
    </w:p>
    <w:p>
      <w:pPr>
        <w:spacing w:after="0" w:line="256" w:lineRule="exact"/>
        <w:rPr>
          <w:sz w:val="20"/>
          <w:szCs w:val="20"/>
          <w:color w:val="auto"/>
        </w:rPr>
      </w:pPr>
    </w:p>
    <w:p>
      <w:pPr>
        <w:ind w:left="1100" w:hanging="444"/>
        <w:spacing w:after="0"/>
        <w:tabs>
          <w:tab w:leader="none" w:pos="11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Strategy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 was established to create a financial group that would benefit from the synergies among the group’s companies and would become a leader within each business market in which the companies operate. In moving steadily toward achieving these strategic goals, we have become a leading financial group. However, we do not operate in a static environment and the last two years have demonstrated how quickly and dramatically the world can change. Peru’s economic growth slowed significantly in 2009 as a result of the international recession. This led us to take steps toward improving our long-term sustainability and positioning our companies for growth as Peru’s needs evolve.</w:t>
      </w:r>
    </w:p>
    <w:p>
      <w:pPr>
        <w:spacing w:after="0" w:line="21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Peruvian market offers one of the greatest growth opportunities in South America. In the banking, insurance and pension fund industries, market penetration by service providers remains low. Accordingly, we have revisited our business plans, incorporating strategies that will enable us to reach underserved segments of the Peruvian population and achieve higher returns on our capital. As our businesses expand, it becomes increasingly important for us to maximize efficiencies and control risk. Strength in these areas will be the cornerstone of a healthy, sustained and profitable growth.</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growth strategies we have adopted for each of our companies contain a focus on retail markets. Using our collective resources, we are developing information systems that can collect commercial sales information and provide us with the data we need to process scoring models by segment. This will enhance our ability to assess and control risk.</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ind w:left="660"/>
        <w:spacing w:after="0"/>
        <w:rPr>
          <w:sz w:val="20"/>
          <w:szCs w:val="20"/>
          <w:color w:val="auto"/>
        </w:rPr>
      </w:pPr>
      <w:r>
        <w:rPr>
          <w:rFonts w:ascii="Arial" w:cs="Arial" w:eastAsia="Arial" w:hAnsi="Arial"/>
          <w:sz w:val="16"/>
          <w:szCs w:val="16"/>
          <w:color w:val="auto"/>
        </w:rPr>
        <w:t>We also continue to makes strides toward greater integration of our companies by more extensively sharing our talents, intelligence, and experience.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Two examples of our most successful integrations, involved gains in our ability to manage assets and provide insurance products:</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Asset Management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success of our growth strategy depends on our ability to effectively manage our assets and the assets of our clients. In 2009, we undertook a comprehensive review of our asset management systems. As a result of our review, we adopted a new asset management strategy, based on international best practices, in all the areas of the corporation that manage investment funds. We also adopted a unified set of standards and policies designed to protect the interests of our investors and ultimately maximize our profitability.</w:t>
      </w:r>
    </w:p>
    <w:p>
      <w:pPr>
        <w:spacing w:after="0" w:line="214"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We also streamlined our asset management systems by making greater use of technology. Our new tools will allow us to access risk more effectively and tailor our products to meet the specific needs of our customers. In addition, we adopted new service models that will enable us to continue to provide quality service as our company continues to grow.</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Insurance Business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made significant changes to our insurance business in 2009. Encouraging our subsidiaries to work together, we created new distribution channels for our insurance products. For example, we now offer our insurance products through the BCP network, which has historically focused on the commercial and retail banking markets. This more integrated approach has enabled us to expand our insurance customer base and increase our profitability.</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also implemented several changes to our managerial structure. We now rotate our managers among our primary subsidiaries. This practice prevents entrenchment, giving our managers a better understanding of our operations across markets. We also established new management committees, comprised of representatives from each of our primary subsidiaries. These committees have already proven to be a value resource, offering effective problem-solving strategies and spurring innovation.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Outlook for 2010</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expect economic conditions in Peru to continue to improve in 2010. Throughout the year, we will continue to take a development-oriented approach, preparing for changes in the Peruvian market, which is expected to have high growth rates in the upcoming years. Given the low levels of competition in Peru’s banking and insurance markets, our subsidiaries will be well positioned to expand. Our high equity, sound levels of technical and professional expertise, and strong relationships built on the trust of our customers, are all signals indicating a positive outlook for the Company.</w:t>
      </w:r>
    </w:p>
    <w:p>
      <w:pPr>
        <w:spacing w:after="0" w:line="200" w:lineRule="exact"/>
        <w:rPr>
          <w:sz w:val="20"/>
          <w:szCs w:val="20"/>
          <w:color w:val="auto"/>
        </w:rPr>
      </w:pPr>
    </w:p>
    <w:p>
      <w:pPr>
        <w:spacing w:after="0" w:line="238" w:lineRule="exact"/>
        <w:rPr>
          <w:sz w:val="20"/>
          <w:szCs w:val="20"/>
          <w:color w:val="auto"/>
        </w:rPr>
      </w:pPr>
    </w:p>
    <w:p>
      <w:pPr>
        <w:ind w:left="1100" w:hanging="444"/>
        <w:spacing w:after="0"/>
        <w:tabs>
          <w:tab w:leader="none" w:pos="11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Credicorp Operating Segments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of our banking business is carried out through BCP, which is our largest subsidiary and the oldest bank in Peru. A portion of our banking business is also carried out by ASHC, which principally serves Peruvian private banking customers through offices in Panama. We conduct banking activities in Bolivia through BCB, a full service commercial bank and the fourth largest Bolivian bank in terms of loans and deposits, with 11.8% and 13.0% market share, respectively.</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banking business is organized into wholesale banking activities, which are carried out by BCP’s wholesale banking group (which includes the corporate banking operations of ASHC), and retail banking activities, which are carried out by BCP’s retail banking group. To increase our visibility and raise our market share in the retail banking industry, BCP bought Edyficar, which is a scaled, high-growth and highly profitable microfinance business. Edyficar has a solid risk management strategy and a proven track record in both loan portfolio growth and social impact. The company provides financial services for low-income micro-entrepreneurs and unbanked communities.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ind w:firstLine="648"/>
        <w:spacing w:after="0" w:line="259" w:lineRule="auto"/>
        <w:rPr>
          <w:sz w:val="20"/>
          <w:szCs w:val="20"/>
          <w:color w:val="auto"/>
        </w:rPr>
      </w:pPr>
      <w:r>
        <w:rPr>
          <w:rFonts w:ascii="Arial" w:cs="Arial" w:eastAsia="Arial" w:hAnsi="Arial"/>
          <w:sz w:val="18"/>
          <w:szCs w:val="18"/>
          <w:color w:val="auto"/>
        </w:rPr>
        <w:t>We apply uniform credit policies and approval and review procedures, which are based on conservative criteria adopted by BCP, to all of BCP’s subsidiaries. Our general manager is in charge of setting the general credit policies for our different business areas. These policies are set within the guidelines established by Peruvian financial sector laws and SBS regulations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“¾(11) Supervision and Regulation—(ii) BCP”) and the guidelines set forth by our Board of Directors.</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Our deposit-taking operations are principally managed by BCP’s retail banking group and ASHC’s private banking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“¾(12) Selected Statistical Information—(iv) Deposits.”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Pension funds, brokerage and others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majority of our trading and brokerage activities are conducted through BCP, ASHC and Credicorp Securities Inc. (also referred to as Credicorp Securities), which is one of our wholly-owned subsidiaries. Credicorp Securities is a U.S. registered broker-dealer with its offices in Miami. Our asset management business is carried out by BCP in Peru, through its subsidiary Credifondo, by ASHC and by Prima AFP, the pension fund administrator.</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offer Brokerage and other services through BCP and ASHC. BCP offers clients a wide range of such products and services, such as brokerage, mutual funds and custody services through its branch network in Lima and, on a more limited basis, throughout the rest of Peru. In addition, we also distribute such products through ASHC.</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last few years, we have consolidated an important line of business, asset management, for our customers. As of December 31, 2009 our assets under management totaled US$11.1 billion, an increase of 56.8% from 2008, which was mainly due to the market recovery after a drastic drop in the market values of securities caused by the international financial crisis. The majority of our asset management business is performed through our subsidiary, Prima AFP.</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Mutual funds represent another important contributor to our asset management business, carried out through BCP’s mutual funds subsidiary, Credifondo Sociedad Administradora de Fondos Mutuos (or Credifondo). Credifondo leads the Peruvian market with a share of 45.2% of the total assets currently under management. Finally, BCP’s affiliate, Atlantic Security Bank, offers the international mutual funds and financial advisory services to BCP’s private banking customers.</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established a corporate supervision project entitled “Asset Management” due to the size of these businesses, the importance of the commissions they generate and, above all, the fiduciary responsibility they entail. The main objectives of the project are to establish homogeneous risk control and investment policies based on best international practices. The Asset Management business has four main components:</w:t>
      </w:r>
    </w:p>
    <w:p>
      <w:pPr>
        <w:spacing w:after="0" w:line="193" w:lineRule="exact"/>
        <w:rPr>
          <w:sz w:val="20"/>
          <w:szCs w:val="20"/>
          <w:color w:val="auto"/>
        </w:rPr>
      </w:pPr>
    </w:p>
    <w:p>
      <w:pPr>
        <w:ind w:left="980" w:hanging="324"/>
        <w:spacing w:after="0"/>
        <w:tabs>
          <w:tab w:leader="none" w:pos="980"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Portfolio Management: </w:t>
      </w:r>
      <w:r>
        <w:rPr>
          <w:rFonts w:ascii="Arial" w:cs="Arial" w:eastAsia="Arial" w:hAnsi="Arial"/>
          <w:sz w:val="16"/>
          <w:szCs w:val="16"/>
          <w:color w:val="auto"/>
        </w:rPr>
        <w:t>We seek to consolidate the good performance of our portfolios and funds through strict risk control and an appropriate</w:t>
      </w:r>
    </w:p>
    <w:p>
      <w:pPr>
        <w:spacing w:after="0" w:line="46" w:lineRule="exact"/>
        <w:rPr>
          <w:rFonts w:ascii="Arial" w:cs="Arial" w:eastAsia="Arial" w:hAnsi="Arial"/>
          <w:sz w:val="16"/>
          <w:szCs w:val="16"/>
          <w:color w:val="auto"/>
        </w:rPr>
      </w:pPr>
    </w:p>
    <w:p>
      <w:pPr>
        <w:ind w:left="980"/>
        <w:spacing w:after="0" w:line="261" w:lineRule="auto"/>
        <w:rPr>
          <w:rFonts w:ascii="Arial" w:cs="Arial" w:eastAsia="Arial" w:hAnsi="Arial"/>
          <w:sz w:val="16"/>
          <w:szCs w:val="16"/>
          <w:color w:val="auto"/>
        </w:rPr>
      </w:pPr>
      <w:r>
        <w:rPr>
          <w:rFonts w:ascii="Arial" w:cs="Arial" w:eastAsia="Arial" w:hAnsi="Arial"/>
          <w:sz w:val="18"/>
          <w:szCs w:val="18"/>
          <w:color w:val="auto"/>
        </w:rPr>
        <w:t>level of diversification. To achieve this, we focus on improving three key aspects: investment policies, investment processes and management metrics.</w:t>
      </w:r>
    </w:p>
    <w:p>
      <w:pPr>
        <w:spacing w:after="0" w:line="210" w:lineRule="exact"/>
        <w:rPr>
          <w:rFonts w:ascii="Arial" w:cs="Arial" w:eastAsia="Arial" w:hAnsi="Arial"/>
          <w:sz w:val="16"/>
          <w:szCs w:val="16"/>
          <w:color w:val="auto"/>
        </w:rPr>
      </w:pPr>
    </w:p>
    <w:p>
      <w:pPr>
        <w:jc w:val="both"/>
        <w:ind w:left="980" w:right="20" w:hanging="324"/>
        <w:spacing w:after="0" w:line="286"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Financial Management: </w:t>
      </w:r>
      <w:r>
        <w:rPr>
          <w:rFonts w:ascii="Arial" w:cs="Arial" w:eastAsia="Arial" w:hAnsi="Arial"/>
          <w:sz w:val="17"/>
          <w:szCs w:val="17"/>
          <w:color w:val="auto"/>
        </w:rPr>
        <w:t>We focus on providing quality financial advisory services, building customer loyalty, and encouraging customers to</w:t>
      </w:r>
      <w:r>
        <w:rPr>
          <w:rFonts w:ascii="Arial" w:cs="Arial" w:eastAsia="Arial" w:hAnsi="Arial"/>
          <w:sz w:val="17"/>
          <w:szCs w:val="17"/>
          <w:i w:val="1"/>
          <w:iCs w:val="1"/>
          <w:color w:val="auto"/>
        </w:rPr>
        <w:t xml:space="preserve"> </w:t>
      </w:r>
      <w:r>
        <w:rPr>
          <w:rFonts w:ascii="Arial" w:cs="Arial" w:eastAsia="Arial" w:hAnsi="Arial"/>
          <w:sz w:val="17"/>
          <w:szCs w:val="17"/>
          <w:color w:val="auto"/>
        </w:rPr>
        <w:t>invest in a diverse combination of securities according to their risk profile. Our objective is to improve the standards of the advisory services that our commercial bank offers and to distinguish between the levels of advisory services provided to different sectors.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Brokerage: </w:t>
      </w:r>
      <w:r>
        <w:rPr>
          <w:rFonts w:ascii="Arial" w:cs="Arial" w:eastAsia="Arial" w:hAnsi="Arial"/>
          <w:sz w:val="18"/>
          <w:szCs w:val="18"/>
          <w:color w:val="auto"/>
        </w:rPr>
        <w:t>We attempt to provide a timely and high quality service, offering competitive execution costs, channeling a greater proportion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traded by our companies to profitable investments and identifying opportunities for joint action (resulting in better prices), in addition to improving controls aimed at avoiding possible conflicts of interest.</w:t>
      </w:r>
    </w:p>
    <w:p>
      <w:pPr>
        <w:spacing w:after="0" w:line="20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Risk Analysis: </w:t>
      </w:r>
      <w:r>
        <w:rPr>
          <w:rFonts w:ascii="Arial" w:cs="Arial" w:eastAsia="Arial" w:hAnsi="Arial"/>
          <w:sz w:val="18"/>
          <w:szCs w:val="18"/>
          <w:color w:val="auto"/>
        </w:rPr>
        <w:t>We seek to identify, quantify, regulate and, ultimately, minimize the risks associated with operations, credit, market, liquidity,</w:t>
      </w:r>
      <w:r>
        <w:rPr>
          <w:rFonts w:ascii="Arial" w:cs="Arial" w:eastAsia="Arial" w:hAnsi="Arial"/>
          <w:sz w:val="18"/>
          <w:szCs w:val="18"/>
          <w:i w:val="1"/>
          <w:iCs w:val="1"/>
          <w:color w:val="auto"/>
        </w:rPr>
        <w:t xml:space="preserve"> </w:t>
      </w:r>
      <w:r>
        <w:rPr>
          <w:rFonts w:ascii="Arial" w:cs="Arial" w:eastAsia="Arial" w:hAnsi="Arial"/>
          <w:sz w:val="18"/>
          <w:szCs w:val="18"/>
          <w:color w:val="auto"/>
        </w:rPr>
        <w:t>legal contingencies, conflict of interests and other risks. Another objective of our risk analysis is setting corporate investment limits, creating a portfolio investments risk manual, and ensuring strict compliance with risk control rules.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conduct our insurance operations exclusively through PPS and its subsidiaries, which provide a broad range of insurance products. PPS focuses on three business areas, general insurance through Pacífico Seguros, life and pension insurance through Pacífico Vida, and health care insurance through Pacífico Salud EPS. PPS, like other major Peruvian insurance companies, sells its products both directly and through independent brokers and agents. Directly written policies tend to be for large commercial clients, as well as for life and health insurance lines.</w:t>
      </w:r>
    </w:p>
    <w:p>
      <w:pPr>
        <w:spacing w:after="0" w:line="200" w:lineRule="exact"/>
        <w:rPr>
          <w:sz w:val="20"/>
          <w:szCs w:val="20"/>
          <w:color w:val="auto"/>
        </w:rPr>
      </w:pPr>
    </w:p>
    <w:p>
      <w:pPr>
        <w:spacing w:after="0" w:line="238" w:lineRule="exact"/>
        <w:rPr>
          <w:sz w:val="20"/>
          <w:szCs w:val="20"/>
          <w:color w:val="auto"/>
        </w:rPr>
      </w:pPr>
    </w:p>
    <w:p>
      <w:pPr>
        <w:ind w:left="1100" w:hanging="444"/>
        <w:spacing w:after="0"/>
        <w:tabs>
          <w:tab w:leader="none" w:pos="11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BCP and Subsidiaries</w:t>
      </w:r>
    </w:p>
    <w:p>
      <w:pPr>
        <w:spacing w:after="0" w:line="252" w:lineRule="exact"/>
        <w:rPr>
          <w:sz w:val="20"/>
          <w:szCs w:val="20"/>
          <w:color w:val="auto"/>
        </w:rPr>
      </w:pPr>
    </w:p>
    <w:p>
      <w:pPr>
        <w:ind w:left="1100" w:hanging="444"/>
        <w:spacing w:after="0"/>
        <w:tabs>
          <w:tab w:leader="none" w:pos="11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activities include commercial banking, investment banking and retail banking. As of December 31, 2009, the consolidated operations of BCP ranked first among Peruvian banks in terms of total assets of US$19.6 billion, total loans of US$11.2 billion, deposits of US$14.5 billion and net equity of US$1.7 billion. At the end of 2009, BCP’s loans, on an unconsolidated basis, represented approximately 33.4% and the deposits represented approximately 34.2% of the total Peruvian banking system, respectively.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2009, BCP had the largest branch network of any commercial bank in Peru with 334 branches. BCP operates an agency in Miami and a branch in Panama. In addition, as of December 31, 2009 Edyficar had 96 offices through which it serves its clients.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and for the year ended December 31, 2009, BCP accounted for 72.8% of our total revenues, 87.2% of total assets, 84.6% of net income and 70.6% of net equity. BCP’s operations are supervised and regulated by the SBS and the Central Bank.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groups its client base according to the following criteria:</w:t>
      </w:r>
    </w:p>
    <w:p>
      <w:pPr>
        <w:spacing w:after="0" w:line="248" w:lineRule="exact"/>
        <w:rPr>
          <w:sz w:val="20"/>
          <w:szCs w:val="20"/>
          <w:color w:val="auto"/>
        </w:rPr>
      </w:pPr>
    </w:p>
    <w:tbl>
      <w:tblPr>
        <w:tblLayout w:type="fixed"/>
        <w:tblInd w:w="820" w:type="dxa"/>
        <w:tblCellMar>
          <w:top w:w="0" w:type="dxa"/>
          <w:left w:w="0" w:type="dxa"/>
          <w:bottom w:w="0" w:type="dxa"/>
          <w:right w:w="0" w:type="dxa"/>
        </w:tblCellMar>
      </w:tblPr>
      <w:tr>
        <w:trPr>
          <w:trHeight w:val="241"/>
        </w:trPr>
        <w:tc>
          <w:tcPr>
            <w:tcW w:w="1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Client Segmentation</w:t>
            </w:r>
          </w:p>
        </w:tc>
      </w:tr>
      <w:tr>
        <w:trPr>
          <w:trHeight w:val="223"/>
        </w:trPr>
        <w:tc>
          <w:tcPr>
            <w:tcW w:w="19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Group</w:t>
            </w:r>
          </w:p>
        </w:tc>
        <w:tc>
          <w:tcPr>
            <w:tcW w:w="300" w:type="dxa"/>
            <w:vAlign w:val="bottom"/>
          </w:tcPr>
          <w:p>
            <w:pPr>
              <w:spacing w:after="0"/>
              <w:rPr>
                <w:sz w:val="19"/>
                <w:szCs w:val="19"/>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 xml:space="preserve">Sales </w:t>
            </w:r>
            <w:r>
              <w:rPr>
                <w:rFonts w:ascii="Arial" w:cs="Arial" w:eastAsia="Arial" w:hAnsi="Arial"/>
                <w:sz w:val="18"/>
                <w:szCs w:val="18"/>
                <w:i w:val="1"/>
                <w:iCs w:val="1"/>
                <w:color w:val="auto"/>
                <w:w w:val="91"/>
              </w:rPr>
              <w:t>(US$MM)</w:t>
            </w:r>
          </w:p>
        </w:tc>
      </w:tr>
      <w:tr>
        <w:trPr>
          <w:trHeight w:val="216"/>
        </w:trPr>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Micro-business</w:t>
            </w:r>
          </w:p>
        </w:tc>
        <w:tc>
          <w:tcPr>
            <w:tcW w:w="300" w:type="dxa"/>
            <w:vAlign w:val="bottom"/>
            <w:shd w:val="clear" w:color="auto" w:fill="CCFFCC"/>
          </w:tcPr>
          <w:p>
            <w:pPr>
              <w:spacing w:after="0"/>
              <w:rPr>
                <w:sz w:val="18"/>
                <w:szCs w:val="18"/>
                <w:color w:val="auto"/>
              </w:rPr>
            </w:pPr>
          </w:p>
        </w:tc>
        <w:tc>
          <w:tcPr>
            <w:tcW w:w="5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Up to 0.5 or total debt of 0.2</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Small Business</w:t>
            </w:r>
          </w:p>
        </w:tc>
        <w:tc>
          <w:tcPr>
            <w:tcW w:w="30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1"/>
              </w:rPr>
              <w:t>From 0.5 to 6.6 or total debt of 1.0</w:t>
            </w:r>
          </w:p>
        </w:tc>
      </w:tr>
      <w:tr>
        <w:trPr>
          <w:trHeight w:val="216"/>
        </w:trPr>
        <w:tc>
          <w:tcPr>
            <w:tcW w:w="1920" w:type="dxa"/>
            <w:vAlign w:val="bottom"/>
            <w:shd w:val="clear" w:color="auto" w:fill="CCFFCC"/>
          </w:tcPr>
          <w:p>
            <w:pPr>
              <w:spacing w:after="0"/>
              <w:rPr>
                <w:sz w:val="20"/>
                <w:szCs w:val="20"/>
                <w:color w:val="auto"/>
              </w:rPr>
            </w:pPr>
            <w:r>
              <w:rPr>
                <w:rFonts w:ascii="Arial" w:cs="Arial" w:eastAsia="Arial" w:hAnsi="Arial"/>
                <w:sz w:val="18"/>
                <w:szCs w:val="18"/>
                <w:color w:val="auto"/>
              </w:rPr>
              <w:t>Middle market</w:t>
            </w:r>
          </w:p>
        </w:tc>
        <w:tc>
          <w:tcPr>
            <w:tcW w:w="300" w:type="dxa"/>
            <w:vAlign w:val="bottom"/>
            <w:shd w:val="clear" w:color="auto" w:fill="CCFFCC"/>
          </w:tcPr>
          <w:p>
            <w:pPr>
              <w:spacing w:after="0"/>
              <w:rPr>
                <w:sz w:val="18"/>
                <w:szCs w:val="18"/>
                <w:color w:val="auto"/>
              </w:rPr>
            </w:pPr>
          </w:p>
        </w:tc>
        <w:tc>
          <w:tcPr>
            <w:tcW w:w="52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From 6.7 to 30</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color w:val="auto"/>
                <w:w w:val="91"/>
              </w:rPr>
              <w:t>Higher than 30</w:t>
            </w:r>
          </w:p>
        </w:tc>
      </w:tr>
    </w:tbl>
    <w:p>
      <w:pPr>
        <w:spacing w:after="0" w:line="21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grouping was a result of an analysis which addressed factors beyond the simple size and volume of activity for each client, such as clients’ affiliation with other companies or groups, the degree of follow-up required, and their credit ratings.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ind w:left="660"/>
        <w:spacing w:after="0"/>
        <w:rPr>
          <w:sz w:val="20"/>
          <w:szCs w:val="20"/>
          <w:color w:val="auto"/>
        </w:rPr>
      </w:pPr>
      <w:r>
        <w:rPr>
          <w:rFonts w:ascii="Arial" w:cs="Arial" w:eastAsia="Arial" w:hAnsi="Arial"/>
          <w:sz w:val="18"/>
          <w:szCs w:val="18"/>
          <w:i w:val="1"/>
          <w:iCs w:val="1"/>
          <w:color w:val="auto"/>
        </w:rPr>
        <w:t>Subsidiaries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corporate structure consists of a group of local subsidiaries offering specialized financial services, which complement BCP’s commercial banking activities. In addition to its local subsidiaries, BCP has an agency in Miami and a branch in Panama, a subsidiary in Bolivia and an affiliate bank, Atlantic Security Bank, in the Cayman Islands.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and its principal subsidiaries as of December 31, 2009 are as follows:</w:t>
      </w:r>
    </w:p>
    <w:p>
      <w:pPr>
        <w:spacing w:after="0" w:line="252" w:lineRule="exact"/>
        <w:rPr>
          <w:sz w:val="20"/>
          <w:szCs w:val="20"/>
          <w:color w:val="auto"/>
        </w:rPr>
      </w:pPr>
    </w:p>
    <w:p>
      <w:pPr>
        <w:jc w:val="both"/>
        <w:ind w:left="980" w:hanging="324"/>
        <w:spacing w:after="0" w:line="25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Banco de Crédito de Bolivia, or BCB, is BCP’s commercial bank in Bolivia. BCP owns 95.92% of BCB and we hold the remaining interest. Currently, BCB is the fourth largest bank in Bolivia in terms of deposits and loans market share and has a network of 65 offices located throughout Bolivia. BCB owns one of Bolivia’s largest brokerage houses, Credibolsa S.A. Agente de Bolsa, and this subsidiary owns Credifondo SAFI Bolivia, a mutual fund company. BCP targets middle- and small-sized clients and offers a broad range of corporate, personal banking and leasing products. BCB’s results are consolidated in BCP’s financial statements.</w:t>
      </w:r>
    </w:p>
    <w:p>
      <w:pPr>
        <w:spacing w:after="0" w:line="215"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Empresa Financiera Edyficar S.A. was acquired in October 2009 and is 99.78% owned by BCP. It is engaged in micro finance in Peru.</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Credibolsa Sociedad Agente de Bolsa, or Credibolsa, was established in June 1991 and is 100% owned by BCP. It is engaged in portfolio advisory and brokerage activities in the Lima Stock Exchange.</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Credifondo Sociedad Administradora de Fondos Mutuos, or Credifondo, is a mutual fund management company that was established in 1994. Credifondo is 100% owned by BCP.</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Creditítulos S.A., or Creditítulos was established in 1997 and is 100% owned by BCP. Creditítulos serves as an asset securitization entity.</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Inmobiliaria BCP is the real estate subsidiary of BCP. It manages and promotes the sale of real estate that has been foreclosed or received in payment by BCP. Inmobiliaria BCP is 100% owned by BCP.</w:t>
      </w:r>
    </w:p>
    <w:p>
      <w:pPr>
        <w:spacing w:after="0" w:line="197"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Solución Financiera de Crédito del Perú S.A. was established in 1979 and is 100% owned by BCP. Its business includes mortgage lending, consumer lending and SME financing. In the company’s shareholders meeting on November 19, 2009, Solución Financiera de Crédito del Perú S.A.’s shareholders decided to change the company from a finance company to a mortgage administrator company and to change the company’s name to Solución Empresa Administradora Hipotecaria S.A. These changes were necessary because, according to Peruvian Law, no person is allowed to be the owner of two financial institutions of the same type. As a result, the company will primarily engage in the administration of mortgage portfolios. These changes were submitted to the SBS for approval and are still under evaluation.</w:t>
      </w:r>
    </w:p>
    <w:p>
      <w:pPr>
        <w:spacing w:after="0" w:line="200" w:lineRule="exact"/>
        <w:rPr>
          <w:sz w:val="20"/>
          <w:szCs w:val="20"/>
          <w:color w:val="auto"/>
        </w:rPr>
      </w:pPr>
    </w:p>
    <w:p>
      <w:pPr>
        <w:spacing w:after="0" w:line="245" w:lineRule="exact"/>
        <w:rPr>
          <w:sz w:val="20"/>
          <w:szCs w:val="20"/>
          <w:color w:val="auto"/>
        </w:rPr>
      </w:pPr>
    </w:p>
    <w:p>
      <w:pPr>
        <w:ind w:left="1100" w:hanging="444"/>
        <w:spacing w:after="0"/>
        <w:tabs>
          <w:tab w:leader="none" w:pos="11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Wholesale Banking Group</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BCP’s wholesale banking group (Wholesale Banking Group), which competes with local and foreign banks, has traditionally represented the majority of BCP’s loans. BCP’s traditional relationships provide its Wholesale Banking Group with a competitive advantage.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9" w:name="page30"/>
    <w:bookmarkEnd w:id="29"/>
    <w:p>
      <w:pPr>
        <w:jc w:val="both"/>
        <w:ind w:firstLine="648"/>
        <w:spacing w:after="0" w:line="297" w:lineRule="auto"/>
        <w:rPr>
          <w:sz w:val="20"/>
          <w:szCs w:val="20"/>
          <w:color w:val="auto"/>
        </w:rPr>
      </w:pPr>
      <w:r>
        <w:rPr>
          <w:rFonts w:ascii="Arial" w:cs="Arial" w:eastAsia="Arial" w:hAnsi="Arial"/>
          <w:sz w:val="16"/>
          <w:szCs w:val="16"/>
          <w:color w:val="auto"/>
        </w:rPr>
        <w:t>In spite of the international recession, BCP’s Wholesale Banking Group maintained its positive trend in loan placements, posting average portfolio levels of US$5,881 million (8.2% higher than in 2008). It also maintained its leadership in the wholesale banking market with a 40% stake in placements. BCP has the largest capital base among Peruvian banks, which provides it with more resources to meet the financing needs of its corporate clients. BCP has established longstanding client relationships with virtually all of the major industrial and commercial groups in Peru. The Wholesale Banking Group provides its customers with short- and medium-term loans in local and foreign currencies, foreign trade-related financing and lease financing.</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Wholesale Banking Group is divided into the following areas:</w:t>
      </w:r>
    </w:p>
    <w:p>
      <w:pPr>
        <w:spacing w:after="0" w:line="252"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Corporate Banking, which provides loans and other credit services to companies with annual revenues in excess of US$30 million;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Middle Market Banking, which serves mid-sized companies;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International Banking, which manages BCP’s relationship with financial institutions locally and abroad, trade products and international operations services;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Corporate Finance, which provides underwriting and financial advisory services to corporate and middle market clients;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Finance, which finances business projects and manages the financial leasing product;</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Institutional Banking, which focuses principally on serving profit and non-profit organizations, state-owned companies and other major institutions;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Business Services, which develops transactional services.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interest income from the wholesale banking sector reached US$146 million in 2009 (compared to US$141 million in 2008). This growth was a result of the higher interest rates BCP charged during the first half of 2009 due to the increased risks associated with lending to it customers. These higher interest rates helped to offset the reduction in business volume BCP experienced in 2009. Income from financial services accounted for 48% of the total revenue generated by the wholesale banking sector.</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Banking</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Despite a difficult financial environment, BCP continued to meet the needs of its corporate clients, helping them meet their short- and medium-term financing needs. As a result, BCP’s direct credits grew slightly from US$3,928 million to US$4,058 million, and income from financial services increased 19%, from US$47 million to US$56 million. These increases, coupled with a very low default ratio (less than 0.1%), enabled the Corporate Banking Area to meet its financial targets with a net profit US$94 million, an increase of 38% over the US$68 million achieved in 2008.</w:t>
      </w:r>
    </w:p>
    <w:p>
      <w:pPr>
        <w:spacing w:after="0" w:line="19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Client Profile: </w:t>
      </w:r>
      <w:r>
        <w:rPr>
          <w:rFonts w:ascii="Arial" w:cs="Arial" w:eastAsia="Arial" w:hAnsi="Arial"/>
          <w:sz w:val="17"/>
          <w:szCs w:val="17"/>
          <w:color w:val="auto"/>
        </w:rPr>
        <w:t>The Corporate Banking Area is focused on serving large-sized companies that have an annual turnover of over US$30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audited financial statements and dominant market positions in their particular products or brands. Even if they do not meet the above criteria, BCP may classify other firms in this category if they belong to very large economic groups from industries that are important to the country’s economy.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 xml:space="preserve">Products: </w:t>
      </w:r>
      <w:r>
        <w:rPr>
          <w:rFonts w:ascii="Arial" w:cs="Arial" w:eastAsia="Arial" w:hAnsi="Arial"/>
          <w:sz w:val="16"/>
          <w:szCs w:val="16"/>
          <w:color w:val="auto"/>
        </w:rPr>
        <w:t>The Corporate Banking Area offers a broad range of products and tailors its product offerings to meet each client’s unique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general, this area is expected to offer high-value-added products and services, particularly cash management services, at competitive prices.</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majority the Corporate Banking Area’s financing is provided to fund sales, international trade and inventories. In general, the Corporate Banking Area grants short-term financing. However, it can provide longer term financing for companies in need of financing capital expenditures and fixed assets, among other purposes. The Area also offers term financing (in all cases backed by real guarantees), financial leasing, factoring, and domestic collections and nationwide fund transfers.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0" w:name="page31"/>
    <w:bookmarkEnd w:id="30"/>
    <w:p>
      <w:pPr>
        <w:ind w:firstLine="648"/>
        <w:spacing w:after="0" w:line="277" w:lineRule="auto"/>
        <w:rPr>
          <w:sz w:val="20"/>
          <w:szCs w:val="20"/>
          <w:color w:val="auto"/>
        </w:rPr>
      </w:pPr>
      <w:r>
        <w:rPr>
          <w:rFonts w:ascii="Arial" w:cs="Arial" w:eastAsia="Arial" w:hAnsi="Arial"/>
          <w:sz w:val="18"/>
          <w:szCs w:val="18"/>
          <w:color w:val="auto"/>
        </w:rPr>
        <w:t>Additionally, Corporate Banking clients can obtain investment banking, advisory and financing services through the Corporate Finance Area, which operates as part of the Wholesale Banking Group and also serves major middle market clients.</w:t>
      </w:r>
    </w:p>
    <w:p>
      <w:pPr>
        <w:spacing w:after="0" w:line="19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Guarantees received by this area consist of (i) receivables in the case of sales financing, (ii) warrants or pledges on inventory in the case of inventory financing and (iii) real guarantees, in the case of financing for fixed asset acquisitions and improvements to their infrastructure.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a limited growth prospect in this business due to high market penetration and competition from capital markets in loans.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Middle Market Banking</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BCP’s middle market banking area provides banking services tailored to medium-sized companies located in a variety of markets. The products offered to middle market clients resemble those offered to corporate banking clients. The three major types of products are:</w:t>
      </w:r>
    </w:p>
    <w:p>
      <w:pPr>
        <w:spacing w:after="0" w:line="197" w:lineRule="exact"/>
        <w:rPr>
          <w:sz w:val="20"/>
          <w:szCs w:val="20"/>
          <w:color w:val="auto"/>
        </w:rPr>
      </w:pPr>
    </w:p>
    <w:p>
      <w:pPr>
        <w:ind w:left="960" w:hanging="317"/>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Revolving credit lines to finance inventories and sales, as well as stand-by letters of credit and international trade financing;</w:t>
      </w:r>
    </w:p>
    <w:p>
      <w:pPr>
        <w:spacing w:after="0" w:line="252" w:lineRule="exact"/>
        <w:rPr>
          <w:rFonts w:ascii="Arial" w:cs="Arial" w:eastAsia="Arial" w:hAnsi="Arial"/>
          <w:sz w:val="18"/>
          <w:szCs w:val="18"/>
          <w:color w:val="auto"/>
        </w:rPr>
      </w:pPr>
    </w:p>
    <w:p>
      <w:pPr>
        <w:ind w:left="960" w:hanging="317"/>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Financing for short-term requirements such as current account credits and temporary account advances (overdrafts); and</w:t>
      </w:r>
    </w:p>
    <w:p>
      <w:pPr>
        <w:spacing w:after="0" w:line="252" w:lineRule="exact"/>
        <w:rPr>
          <w:rFonts w:ascii="Arial" w:cs="Arial" w:eastAsia="Arial" w:hAnsi="Arial"/>
          <w:sz w:val="18"/>
          <w:szCs w:val="18"/>
          <w:color w:val="auto"/>
        </w:rPr>
      </w:pPr>
    </w:p>
    <w:p>
      <w:pPr>
        <w:ind w:left="960" w:right="20" w:hanging="317"/>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Financing for medium and long-term requirements using intermediation resources (term deposits) and various types of financial leasing financing.</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identified several opportunities to engage middle market companies, particularly in Peru’s manufacturing, wholesale, retail, fishing and construction industries, where special emphasis has been placed and specific task areas have been created to attend to the needs of these economic groups. BCP has a middle market client portfolio of approximately 7,000 companies, including 1,069 economic groups. Generally, these clients are not listed on the stock exchange but, in some cases, are capable of issuing financial obligations or commercial papers. Their financial information is reliable and audited. These companies are typically family-controlled but professionally managed.</w:t>
      </w:r>
    </w:p>
    <w:p>
      <w:pPr>
        <w:spacing w:after="0" w:line="21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During 2009, the middle market banking area revised its customer segmentation policies. The area now includes established (but growing) companies that will eventually become part of our corporate segment, traditional mid-size companies and a group of growing small cap companies. Inselecting which small companies are best suited for service by our middle market banking area, we consider a mix of different characteristics; such as annual revenues, financial leverage, overall debt and product penetration and complexity. BCP’s middle market customers are distributed among nine regional managers nationwide and have annual revenues that vary from US$1.5 million to US$50 million.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Last year, the middle market banking area made significant progress toward implementing its strategic goals by:</w:t>
      </w:r>
    </w:p>
    <w:p>
      <w:pPr>
        <w:spacing w:after="0" w:line="252"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Creating hubs to meet the needs of its customers more efficiently</w:t>
      </w:r>
    </w:p>
    <w:p>
      <w:pPr>
        <w:spacing w:after="0" w:line="25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BCP now has a customer redistribution hub in Lima, where a new business area was created;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Streamlining its lending process to provide middle market customers with prompt service;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Introducing new electronic financial products to make its services more accessible to customers;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Incorporating sophisticated technical tools that assist it in analyzing risk-based pricing and profitability;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Focusing on risk based financial services revenues, which account for 50% of the total income generated by the middle market banking area</w:t>
      </w:r>
    </w:p>
    <w:p>
      <w:pPr>
        <w:spacing w:after="0" w:line="2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 to internal reports, in 2009 net income from the middle market banking area remained at US$63 million, essentially unchanged from 2008. This business segment managed to maintain its income base in a difficult economic environment by actively managing its loan spread, achieving a spread of US$78 million (34% higher than in 2008). The middle market area’s annual average loan portfolio had 32.4% of market share, (US$1,904 million), making BCP the leading bank in its segment.</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Because of their size, middle market companies in Peru generally do not have access to the local or international capital markets or to credit from foreign banks. In addition, we believe that middle market companies have benefited significantly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Institutional Banking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Institutional Banking Area serves for-profit and non-profit organizations, including 600 clients in Lima and 300 clients in provinces. In Lima, a specialized team in wholesale banking serves governmental entities, educational institutions, religious organizations, international bodies, non-governmental organizations, and microfinance institutions. In provinces, a specialized remote wholesale banking team partners with BCP’s retail banking area to serve clients.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annual average deposit amount in BCP’s Institutional Banking Area (Lima and Provinces) reached US$1.6 billion in 2009. The Institutional Banking Area is strategically important because of the opportunities its clients present for generating income from fees and cross-selling opportunities. BCP’s strategy in this area is focused on building customer loyalty by offering customized services at competitive rates and providing outstanding service quality. The institutional banking clients mainly require remote office banking, collections and automated payroll payment services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International Banking</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BCP’s international banking area is focused primarily on providing short-term credit for international trade, which is funded with internal resources or with credit lines from foreign banks and institutions. Medium-term lines of credit funded by international commercial banks and other countries’ governmental institutions are also provided to clients. In addition, this area earns fees by confirming guarantees issued by international banks and other fees as a result of the international payment business. The International Banking Area also promotes international trade activities with its local clients by structuring trade products and services, establishing conferences and assessing the customer in a wide range of trade products.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September 2008, the International Banking Area has also been supervising the trade Back Office Unit (International Operations). BCP maintains business relations with correspondent banks, development banks, multilateral and export credit agencies in countries around the world. At present, BCP manages credit lines for foreign trade transactions, working capital and medium- and long-term investment projects.</w:t>
      </w:r>
    </w:p>
    <w:p>
      <w:pPr>
        <w:spacing w:after="0" w:line="20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international market volatility during 2009 affected Peruvian trading volume, which fell 30% compared to volume in 2008. The volume of trades managed by BCP was similarly affected and its trade fee income fell 12.1%. Although volumes declined, BCP’s trade market share increased from 36.5% to 41.5% due to a shift in the usage of trade tools from open accounts to guarantees, were BCP is a recognized leader.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both"/>
        <w:ind w:firstLine="648"/>
        <w:spacing w:after="0" w:line="259" w:lineRule="auto"/>
        <w:rPr>
          <w:sz w:val="20"/>
          <w:szCs w:val="20"/>
          <w:color w:val="auto"/>
        </w:rPr>
      </w:pPr>
      <w:r>
        <w:rPr>
          <w:rFonts w:ascii="Arial" w:cs="Arial" w:eastAsia="Arial" w:hAnsi="Arial"/>
          <w:sz w:val="18"/>
          <w:szCs w:val="18"/>
          <w:color w:val="auto"/>
        </w:rPr>
        <w:t>According to the Central Bank, in 2009 Peruvian exports decreased 14.6% to US$26.9 billion (compared to US$31.5 billion in 2008). This result was principally due to decreased exports of commodities (gold, silver and iron) and of manufactured goods (textiles, basic metals and chemicals). During the same year (based on BCP’s internal report), BCP’s exports volume decreased 10.1% to US$11.6 billion (compared to US$12.9 billion in 2008), which amounted to 43.1% of total Peruvian exports.</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Total Peruvian imports were US$21.0 billion in 2009, decreasing -26.1% from US$28.4 billion in 2008, which was primarily due to a lower demand for capital goods (industry, construction and transportation), raw materials for industry, and consumer goods. BCP’s import letters of credit, collections and transfers amounted to US$6.5 billion in 2009, increasing 6.6 % from US$6.1 billion in 2008, which amounted to 31.0% of total Peruvian imports.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has a direct presence abroad through its agency in Miami and its branch in Panama. It has access to a wide network of foreign correspondent banks and can offer several internationally competitive products to its customers.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has correspondent banking relationships and uncommitted credit lines with more than 80 banks for foreign trade operations, financing of working capital and medium- and long-term investment projects.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line with trade trends, China has become the second largest trade partner for Peru. In light of China’s growing influence, BCP has visited several banks and corporations in China to explore a possible alternative to intermediate trade flows, assess Peruvian exporters and importers and to facilitate Chinese investment in Peru through direct investment and trade development.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Finance</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Corporate Finance Area is a leading advisor to corporate, middle market and institutional clients in Peru. Our Corporate Finance team composed of over 20 executives based in Peru is the largest team of its kind in the marketplace. BCP’s Corporate Finance Area provides a wide range of investment banking and corporate finance advisory services, including structured financings, capital raisings, initial public offerings, mergers and acquisitions and corporate restructurings. In 2009, the Corporate Finance Area focused on investment banking and structured financing for projects in Peruvian economic sectors that remained strong despite the global financial crisis, such as construction, energy and mining. The main projects in 2009 included:</w:t>
      </w:r>
    </w:p>
    <w:p>
      <w:pPr>
        <w:spacing w:after="0" w:line="185" w:lineRule="exact"/>
        <w:rPr>
          <w:sz w:val="20"/>
          <w:szCs w:val="20"/>
          <w:color w:val="auto"/>
        </w:rPr>
      </w:pPr>
    </w:p>
    <w:p>
      <w:pPr>
        <w:ind w:left="1000" w:right="20" w:hanging="330"/>
        <w:spacing w:after="0" w:line="277" w:lineRule="auto"/>
        <w:tabs>
          <w:tab w:leader="none" w:pos="10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leasing arrangement for US$162 million for Cemento Andino to expand their cement plant, representing the largest leasing transaction that has been structured and paid by a local bank;</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medium-term leaseback facility to Votorantim Metais Cajamarquilla for US$120 million to expand their zinc refinery capacity to 320 Tons per year.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 leaseback facility to Empresa de Generación Huanza for US$119 million to finance the construction of their 91.2MW hydroelectric plant.</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syndicated leasing to Compañia Electrica el Platanal, or CELEPSA, for US$60 million to complete the construction of their 220MW hydroelectric plant.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the global economy started showing signs of recovery and the Peruvian capital market started to open late in the second half of 2009, BCP´s Corporate Finance Area was in charge of leading the US$200 million bond placement to complete the financing of Peru LNG’s natural gas liquefaction plant and the US$172 million bond placement to finance Kallpa Generación’s combined cycle power plant. In addition, the Corporate Finance Area acted as financial advisor to Credicorp in its acquisition of 99.34% of the stock of Edyficar.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During 2009, the Corporate Finance Area generated income in excess of US$14.0 million from structuring, advisory and issuance fees.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Leasing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financial leasing business offers and manages financial leasing operations. It also carries out medium-term operations, principally for small-and medium-sized companies. BCP is the leader with a market share of 36% of total leasing.</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financial leasing business only grew by 13% during 2009 (as compared to a 54% growth in the previous year). BCP’s leasing loan balances show a 31% growth in 2009 as a consequence of tax rule stabilization applicable to leasing operations and the growth of the Peruvian economy.</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Growth during 2009, like growth in 2008, was driven by business loans in sectors requiring investment in mining, energy generation and manufacturing companies. Loan demand also increased in the telecommunication sector; however, loans to small-sized companies grew at a slower pace as a result of the new risk policies BCP established.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Business Services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business services area is in charge of developing transactional services that handle the exchange of information and money transfers to corporations, midsize companies, institutions and micro-business companies. This area is responsible for both the development and marketing of transactional (or “cash management”) services for BCP’s corporate and its institutional clients. The business services area offers more than 30 products, aimed at strengthening ties with clients, assuring their loyalty and reciprocity in the business carried out with BCP, reducing costs using electronic channels, and increasing fee income.</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Services managed by the business services area include collections (automated trade bill collection and collection via internet), automated payments (direct credits to personnel and suppliers accounts and money transfers), electronic office banking, electronic lending and cash management through checking accounts with special features.</w:t>
      </w:r>
    </w:p>
    <w:p>
      <w:pPr>
        <w:spacing w:after="0" w:line="20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During 2009, transactional services continued to contribute to BCP’s earnings. The monthly average number of current accounts increased by 18% and fee revenues increased by 9.5% compared to those of 2008. This improvement is mainly the result of the dynamism experienced in the small business sector (also referred to as SME). Collection services, such as bills and companies’ collections, generated commissions that increased 6.8% and 21.4%, respectively, over the 2008 collections. This improvement is explained, in part, by BCP’s strategic decision to offer value to its clients through the implementation of a more efficient mechanism of information related to these services. The higher demand by clients for the remote banking service Telecredito also generated 8.6% more transactions than 2008. Likewise, other commissions generated by remittances abroad grew 9.3% from those generated in 2008, and the transaction volume generated by electronic factoring increased 20.6% in 2008. Finally, the electronic service for invoice financing, recently introduced in the market, grew by 40.5% in volume from 2008.</w:t>
      </w:r>
    </w:p>
    <w:p>
      <w:pPr>
        <w:spacing w:after="0" w:line="200" w:lineRule="exact"/>
        <w:rPr>
          <w:sz w:val="20"/>
          <w:szCs w:val="20"/>
          <w:color w:val="auto"/>
        </w:rPr>
      </w:pPr>
    </w:p>
    <w:p>
      <w:pPr>
        <w:spacing w:after="0" w:line="245" w:lineRule="exact"/>
        <w:rPr>
          <w:sz w:val="20"/>
          <w:szCs w:val="20"/>
          <w:color w:val="auto"/>
        </w:rPr>
      </w:pPr>
    </w:p>
    <w:p>
      <w:pPr>
        <w:ind w:left="1280" w:hanging="624"/>
        <w:spacing w:after="0"/>
        <w:tabs>
          <w:tab w:leader="none" w:pos="128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Retail Banking Group</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According to BCP’s internal reports, by the end of 2009, retail banking-related loans represented 40% of BCP’s total loans, while retail banking-related deposits accounted for 47% of BCP’s total deposits. Retail income from fees constituted 45% of BCP’s total income from fees.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4" w:name="page35"/>
    <w:bookmarkEnd w:id="34"/>
    <w:p>
      <w:pPr>
        <w:jc w:val="both"/>
        <w:ind w:firstLine="648"/>
        <w:spacing w:after="0" w:line="257" w:lineRule="auto"/>
        <w:rPr>
          <w:sz w:val="20"/>
          <w:szCs w:val="20"/>
          <w:color w:val="auto"/>
        </w:rPr>
      </w:pPr>
      <w:r>
        <w:rPr>
          <w:rFonts w:ascii="Arial" w:cs="Arial" w:eastAsia="Arial" w:hAnsi="Arial"/>
          <w:sz w:val="18"/>
          <w:szCs w:val="18"/>
          <w:color w:val="auto"/>
        </w:rPr>
        <w:t>Between 2006 and 2007, the Retail Banking Group’s loan volumes increased by 45%, reaching US$2,840 million. During 2008, loans grew again by 30%, reaching US$3,694 million. Throughout 2009, loan balances grew by US$621 million to US$4,315 million. This growth was a result of strong consumer lending, which includes installment loans and credit cards, home mortgages and small and micro business loans. With respect to deposits, BCP’s retail banking group has also shown constant growth, by growing 29% between 2006 and 2007, US$1,051 million in 2008 and US$690 million during 2009, reaching a total of US$7,818 million by the end of 2009.</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With the segmentation of its retail client base, BCP is able to focus on cross-selling its products and improving per-client profitability. The Retail Banking Group has undertaken several projects to improve one-on-one marketing techniques and tools for the sale of its products to all market segments. BCP’s management expects the retail banking business to be one of the principal growth areas for BCP’s lending activities.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BCP’s retail banking serves individuals and small-sized companies with annual sales levels of up to US$6.6 million. BCP’s objective is to establish profitable long-term relationships with its broad client base, using segmentation strategies that satisfy the specific needs of each client type. BCP’s retail distribution strategy changed at the beginning of 2007, when BCP started using the branch network as the center for all transactional and commercial activities. BCP now has a commercial division, in charge of all direct sales forces and the branches, which in turn are organized on a geographic level. Each branch is responsible for servicing and selling products to three customers groups: exclusive banking, small business banking and consumer banking. In addition, each branch is responsible for coordinating the different channels offered within the branch, such as account managers, customer service representatives and tellers.</w:t>
      </w:r>
    </w:p>
    <w:p>
      <w:pPr>
        <w:spacing w:after="0" w:line="21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Marketing Division is responsible for product, channel and segment management. During 2008, BCP saw an unprecedented investment in infrastructure and human resources to support its “banking the unbanked” strategy. As a result, in 2008 and 2009, BCP experienced an explosive growth in channels, including 1,580 new customer contact locations (59 branches, 247 ATMs and 1,580 correspondent banking offices). Demonstrating its leadership in attracting new customers, BCP now services over three million customers with its network of 334 branch offices, 996 ATMs and 2,801 correspondent banking offices (these figures do not include the customer contact locations under Edyficar’s management, which are counted separately).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Exclusive Banking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Exclusive banking is BCP’s upscale retail banking area which manages a select number of individual customers. These customers are crucial to BCP because of their high loan and deposit volume and their attractive profitability.</w:t>
      </w:r>
    </w:p>
    <w:p>
      <w:pPr>
        <w:spacing w:after="0" w:line="19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exclusive banking customers receive a differentiated value plan which includes (i) access to innovative products, (ii) dedicated customer services channels such as specialized account managers and/or expert phone banking, (iii) privileged preferential service in the branches at the teller window and (iv) special interest rates on loans. BCP’s exclusive customers, totaling about 160,000, must have a good credit record and at least US$20,000 in outstanding loans within the banking system or a US$40,000 balance in deposits with BCP. Approximately 100,000 of the most profitable exclusive clients are serviced through specialized accounts managers responsible for improving per-client profitability and achieving long-term relationships through personalized service, cross-selling and share of wallet strategies. Account managers are also responsible for new customer acquisition, particularly through mortgage loans. The higher end of this segment also has access to investment advisors who prepare customized investment plans consisting of capital market products and mutual funds. The exclusive banking segment is very profitable, generating 36% of the retail banking group’s income while managing 5% of the total customer base, 45% of retail group’s loan volume and 41% of its deposit volume.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i w:val="1"/>
          <w:iCs w:val="1"/>
          <w:color w:val="auto"/>
        </w:rPr>
        <w:t>Small Business Banking</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small business segment now accounts for 282,000 clients. Customers are divided into three groups with different business models, services levels, and products access. The first group is top-end small business banking, which serves approximately 7,200 clients with annual sales between US$500,000 and US$6.6 million. The next group of 100,000 small business clients has annual sales up to US$500,000 but has debt, and the third group of approximately 210,000 consists of very small business customers who have only deposit product needs.</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addition to products, such as revolving credit lines repaid in installments, BCP also helps the development of the small and micro (SME lending) business segments, which composed of individuals who primarily derive their income from small, family-run businesses, in two ways: (i) client training programs through seminars and presentations and (ii) formalization programs based upon alliances with government institutions such as Prompyme, the Ministry of Labor and Social Promotion, municipalities and the Peruvian Center for the Promotion of Small Business. BCP’s total loans to small businesses as of December 31, 2009 amounted to US$1,065 million, which represented another year of consecutive growth.</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the Small Business Banking loan portfolio grew from US$1,037 million in 2007 to US$1,345 million in 2008 and reached US$1,546 million by the end of 2009. In terms of deposits, this group increased deposits from US$1,197 million in 2007 to US$1,562 million in 2008 and US$1,698 million by the conclusion of 2009.</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Edyficar also serves the microfinance segment, and as of December 31, 2009, it registered 165,345 SME clients with a total loan portfolio equivalent to US$198.8 million (S/. 574.6 million in Nuevos Soles), which represented an increase of 15.1% compared to the level registered at the end of 2008. As of December 31, 2009, Edyficar had a client market share of 9.7%, making it second in terms of market share within the SME segment. Edyficar also had a loan market share of 4.6% in 2009, making it fifth in terms of market share within the SME segment. The aggregate market share of Edyficar and BCP in the SME segment totaled 20.0% at the end of 2009, and combined, they have the highest market share in the SME segment.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Banking</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Consumer banking is in charge of developing strategies for the retail customers not included in exclusive banking or small business banking. Its customer base is approximately 2.7 million medium to low income individuals. Consumer banking focuses its attention on customers who receive their payroll through BCP (which represents slightly more than 1 million clients). Its strategies vary from basic acquisition of new accounts for wage-earners with special terms regarding fees and interest rates, to more sophisticated, aggressive cross-sell and retention programs that expand benefits to non-banking products (</w:t>
      </w:r>
      <w:r>
        <w:rPr>
          <w:rFonts w:ascii="Arial" w:cs="Arial" w:eastAsia="Arial" w:hAnsi="Arial"/>
          <w:sz w:val="18"/>
          <w:szCs w:val="18"/>
          <w:i w:val="1"/>
          <w:iCs w:val="1"/>
          <w:color w:val="auto"/>
        </w:rPr>
        <w:t>i.e</w:t>
      </w:r>
      <w:r>
        <w:rPr>
          <w:rFonts w:ascii="Arial" w:cs="Arial" w:eastAsia="Arial" w:hAnsi="Arial"/>
          <w:sz w:val="18"/>
          <w:szCs w:val="18"/>
          <w:color w:val="auto"/>
        </w:rPr>
        <w:t>., access to discounted products). BCP has continued excelling in expanding its debit card as a form of payment, maintaining more than half of the market share in withdrawals and payments with debit cards, which is a year-to-year increase of 400,000 cards. BCP concluded 2008 with more than 2.7 million cards.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Lending</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2009, BCP was the largest mortgage lender in Peru with a market share of 35.5% of total mortgage loans in the Peruvian banking system. This was largely the result of BCP’s extensive marketing campaigns and its improvements in the quality of procedures for extending credit and establishing guarantees.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expects the mortgage lending business to continue grow because of (i) low levels of penetration in the financial market, (ii) increasing demand for housing, (iii) the availability of funds for the Peruvian government’s MiVivienda low-income housing program and (iv) the current economic outlook for controlled inflation and economic growth in Peru.</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jc w:val="both"/>
        <w:ind w:firstLine="648"/>
        <w:spacing w:after="0" w:line="277" w:lineRule="auto"/>
        <w:rPr>
          <w:sz w:val="20"/>
          <w:szCs w:val="20"/>
          <w:color w:val="auto"/>
        </w:rPr>
      </w:pPr>
      <w:r>
        <w:rPr>
          <w:rFonts w:ascii="Arial" w:cs="Arial" w:eastAsia="Arial" w:hAnsi="Arial"/>
          <w:sz w:val="18"/>
          <w:szCs w:val="18"/>
          <w:color w:val="auto"/>
        </w:rPr>
        <w:t>BCP had US$1,551 million in outstanding mortgage loans as of December 31, 2009 (as compared to US$1,346 million in 2008, US$1,125 million in 2007 and US$868 million for year-end 2006).</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programs of mortgage financing are available to customers with minimum monthly income of US$400. The MiVivienda program, a program supported by government resources, placed a limit of US$60,000 on the value of the house to be purchased. BCP will finance up to 90% of the appraised value of a property where monthly mortgage payments do not exceed 30% of the client’s stable net income. The maximum maturity of the mortgage loans BCP offers is 25 years, in U.S. Dollars, and 25 years, in local currency. Within the mortgage lending business, BCP offers variable, fixed and Libor-based interest rates on home mortgage loans denominated in both U.S. Dollars and Nuevos Soles. However, BCP’s mortgage portfolio is predominantly fixed rate and U.S. Dollar-denominated.</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May 2006, the original MiVivienda program was terminated. However, local banks (with government’s approval) launched a similar project, known as MiVivienda2, to which proprietary funds contribute. In addition, in March 2007, BCP created a new program financed by the government called Mi Hogar, which targeted persons with a lower income profile. The conditions of the new program are almost identical to those of the first MiVivienda, except that financing is in local currency.</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Lending (Credit Cards and Installment Loans)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lending, credit cards and installment loans have grown significantly as improving economic conditions have led to increased consumer spending. BCP expects the strong demand for these products to continue. In addition to interest income, BCP derives fee income from customer application and maintenance, retailer transactions, and merchant processing, finance and penalty charges on credit cards.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Peru’s economic growth has had a huge impact on the consumer credit market, which grew by a total of 24% during 2008 and 16% between 2008 and 2009. The outstanding balance is US$1,326 million, consisting of US$503 million in credit card loans and US$823 million in installment loans. BCP’s market share in consumer lending has consistently increased since 2007, 2008 and 2009 from 17.9% to 19.2% to 20.0%. This growth in consumer lending was achieved while maintaining a ratio of delinquent accounts below 5% (over 30 days).</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Between 2007 and 2008, installment loans experienced an unprecedented growth of US$214 million in outstanding balances, a 45% increase, and during 2009 installment loans grew another 19%. This result was due, in part, to BCP’s strategic change which was designed to broaden its customer base. Fifty percent of BCP’s new loans came from customers with a monthly gross income of less than US$400.</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credit card business, BCP continued to apply segmented strategies. BCP continues to offer value to its high-end customers through partnerships with the airline LAN and with Primax, a chain of gas stations. These programs, coupled with BCP’s own travel program, enabled it to reach record levels, both in point generation and point usage (exchanges). To catch the attention of the lower income segment, BCP worked on streamlining its risk assessment and card delivery process.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BCP has been continuously improving monitoring and optimizing its scoring models, which includes, among others, behavior, payments and income forecasting. As a result, BCP has achieved a US$58 million yearly increase in outstanding balances during each of 2008 and 2009. According to BCP’s internal records, the number of active credit cards has constantly increased from 325,000 in 2006 to 387,000 in 2007 to 430,000 in 2008 and 446,000 by year end 2009. In addition, annual purchases have increased from US$592 million in 2006 to US$868 million in 2007 to US$1,131 million in 2008 and US$1,203 million in 2009.</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is also the largest shareholder of VISANET, holding approximately 40% of its total shares. The number of VISANET electronic payment terminals grew to approximately 55,000 in 2009, as compared to 28,000 in 2006.</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7" w:name="page38"/>
    <w:bookmarkEnd w:id="37"/>
    <w:p>
      <w:pPr>
        <w:ind w:left="1280" w:hanging="624"/>
        <w:spacing w:after="0"/>
        <w:tabs>
          <w:tab w:leader="none" w:pos="128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 Group</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to BCP’s wholesale and retail banking operations, BCP operates a capital markets group, which currently is the largest capital markets and brokerage distribution system in Peru. The principal activities of the Capital Markets Group include currency transactions (both for clients and on a proprietary basis) as well as treasury, custody and trust, investment advisory services, and general research activities.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products are distributed through its subsidiaries and branches. BCP’s close relationship and coordination with its subsidiaries has established BCP as the market leader in the capital markets business.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Credibolsa is BCP’s brokerage subsidiary through which BCP offers a wide variety of variable and fixed-income products and services. Credibolsa’s activities include the structuring and placement of primary market issues and the execution and trading of secondary market transactions.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Creditítulos is BCP’s asset securitization subsidiary through which BCP offers local securitization structuring to corporate entities.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Credifondo is BCP’s fund management subsidiary, which offers investment fund products and services. Fund types offered by Credifondo include short/long term, U.S. Dollar and local currency and fixed/variable income funds.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and Brokerage Services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2009, markets recovered strongly after the international financial crisis. The Lima Stock Exchange General Index (IGBVL) experienced an increase of 100.9%, even though trading volume (measured in U.S. Dollars) decreased 22% to US$4,007 million, as compared to 2008. Including fixed income and REPO operations, total trading volume in the Lima Stock Exchange reached US$5,710 million, representing a 28% decline as compared to 2008.</w:t>
      </w:r>
    </w:p>
    <w:p>
      <w:pPr>
        <w:spacing w:after="0" w:line="17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Credibolsa maintained its leadership position in the Lima Stock Exchange with a 24.87% share of the market in equity and 50.77% in fixed income, compared to 19.8% and 49.6% in 2008, respectively. Credibolsa’s trading volume was generated by domestic customers (both retail and institutional), by foreign institutional clients and by our proprietary trading. Credibolsa’s total trading volume reached US$3,158 million in 2009. Credibolsa was also the number one stock broker for initial offerings, issuing a total of S/. 388 million and US$543 million in fixed income, representing a 46% market share.</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management believes that Credibolsa will continue expanding its business based on its ability to provide appropriate advice to clients while offering various products that meet their requirements. Furthermore, BCP’s wholesale banking marketing represents an important strength that allows it to reach main companies in the local market, while BCP’s branch network helps to expand its business in the retail banking segment.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Treasury, Foreign Exchange and Proprietary Trading</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It has also been active in the auctions of certificates of deposit by Peru’s central bank as well as in financings through certificates of deposit, interbank transactions and guaranteed negotiable notes, among other instruments.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Since 2007, BCP has adhered to the best international cash management practices. BCP created the Assets and Liabilities Management Service (or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ALM) which is responsible for managing its balance sheet under the Asset and Liabilities Committee (or ALCO) oversight. ALM is responsible for managing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BCP’s balance sheet and for accepting reasonable interest rate and liquidity risks through management of the short- and long-term transfer rates.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8" w:name="page39"/>
    <w:bookmarkEnd w:id="38"/>
    <w:p>
      <w:pPr>
        <w:jc w:val="both"/>
        <w:ind w:firstLine="648"/>
        <w:spacing w:after="0" w:line="279" w:lineRule="auto"/>
        <w:rPr>
          <w:sz w:val="20"/>
          <w:szCs w:val="20"/>
          <w:color w:val="auto"/>
        </w:rPr>
      </w:pPr>
      <w:r>
        <w:rPr>
          <w:rFonts w:ascii="Arial" w:cs="Arial" w:eastAsia="Arial" w:hAnsi="Arial"/>
          <w:sz w:val="17"/>
          <w:szCs w:val="17"/>
          <w:color w:val="auto"/>
        </w:rPr>
        <w:t>BCP’s proprietary trading consists of trading and short-term investments in securities, which includes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 During 2008, the investments were mainly oriented to Nuevo Soles-denominated instruments such as BCRP certificates of deposits and government bonds.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Management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Credifondo S.A., Sociedad Administradora de Fondos, or Credifondo, provides advice to and operates mutual funds in Peru. It is the largest mutual fund manager in Peru based upon data from the Peruvian securities market authority, the Comisión Nacional Supervisora de Empresas y Valores (CONASEV). As of December 31, 2009, total Peruvian funds in the mutual funds system amounted to US$4.86 billion, increasing 72.3% from US$2.82 billion in 2008.</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According to CONASEV, as of December 31, 2009, Credifondo managed ten separate funds, with a total of 102,211 participants (38.9% of total participants) compared to 78,497 in 2008. Among the securities in which the different funds specialize are: equities, U.S. Dollar-denominated bonds, Nuevo Sol-denominated bonds and U.S. Dollar-denominated short-term securities. As of December 31, 2009, Credifondo’s total managed funds amounted to US$1,929 million, increasing from US$1,273 million – 60.4% – as of December 31, 2008. Because these funds are subject to certain volatility, there can be no assurance as to their future performance. As a result, we do not guarantee any return on these investments.</w:t>
      </w:r>
    </w:p>
    <w:p>
      <w:pPr>
        <w:spacing w:after="0" w:line="20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2009, the Bolivian fund administrator managed a total of US$139.9 million of third-party funds increasing 27.4% as of December 31, 2008.</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According to BCP’s internal reports, BCP holds US$22.7 billion in securities for over 61,189 domestic and foreign clients. BCP provides custody services that include the physical keeping of securities and the payment of dividends and interest. In addition, BCP acts as paying agent for securities of which it does not keep custody. BCP is one of the few banks in Peru qualified to serve as a foreign custodian for U.S. mutual funds. Trust services include (i) escrow, (ii) administration and representation services, (iii) supervision of transactions completed for its clients and (iv) transfer settlement and payment services for local securities issues. These services allow BCP to adequately represent its clients’ activities in the local and international securities markets.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 Fiduciaria S.A., or Fiduciaria, is an associated entity and the first specialized trust services company in Peru. We hold a 45% interest in Fiduciaria. In its eighth year of existence, Fiduciaria has managed trusts for a majority of the institutions in the national financial system, putting itself at the forefront of fiduciary services in Peru. Fiduciaria’s operations encompass sectors including energy, communications, mining, tourism, fishing, education and construction. Fiduciaria ended 2009 with 185 outstanding operations.</w:t>
      </w:r>
    </w:p>
    <w:p>
      <w:pPr>
        <w:spacing w:after="0" w:line="200" w:lineRule="exact"/>
        <w:rPr>
          <w:sz w:val="20"/>
          <w:szCs w:val="20"/>
          <w:color w:val="auto"/>
        </w:rPr>
      </w:pPr>
    </w:p>
    <w:p>
      <w:pPr>
        <w:spacing w:after="0" w:line="253" w:lineRule="exact"/>
        <w:rPr>
          <w:sz w:val="20"/>
          <w:szCs w:val="20"/>
          <w:color w:val="auto"/>
        </w:rPr>
      </w:pPr>
    </w:p>
    <w:p>
      <w:pPr>
        <w:ind w:left="1280" w:hanging="624"/>
        <w:spacing w:after="0"/>
        <w:tabs>
          <w:tab w:leader="none" w:pos="128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Lending Policies and Procedures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uniform credit policies and approval and review procedures are based upon conservative criteria and are uniformly applied to all of its subsidiaries. These policies are in accordance with the guidelines established by Peruvian financial sector laws and SBS regulations.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“—(11) Supervision and Regulation—(ii) BCP,” and the guidelines set forth by our board of directors.)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credit approval process is based primarily on an evaluation of the borrower’s repayment capacity and on commercial and banking references. BCP determines a corporate borrower’s repayment capacity by analyzing the historical and projected financial condition of the company and of the industry in which it operates. Other important factors that BCP analyzes include the company’s current management, banking references, past experiences in similar transactions, and collateral to be provided.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9" w:name="page40"/>
    <w:bookmarkEnd w:id="39"/>
    <w:p>
      <w:pPr>
        <w:jc w:val="both"/>
        <w:ind w:firstLine="648"/>
        <w:spacing w:after="0" w:line="264" w:lineRule="auto"/>
        <w:rPr>
          <w:sz w:val="20"/>
          <w:szCs w:val="20"/>
          <w:color w:val="auto"/>
        </w:rPr>
      </w:pPr>
      <w:r>
        <w:rPr>
          <w:rFonts w:ascii="Arial" w:cs="Arial" w:eastAsia="Arial" w:hAnsi="Arial"/>
          <w:sz w:val="18"/>
          <w:szCs w:val="18"/>
          <w:color w:val="auto"/>
        </w:rPr>
        <w:t>For the evaluation of BCP’s corporate borrowers, credit officers prepare a risk assessment report, which analyzes the client’s ability to repay its obligations, determines the probability of default of the client using an internal risk rating model, and defines the maximum credit exposure that the BCP wants to hold with the company.</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BCP’s individual and small business borrowers, it evaluates credits based on the client’s capacity for repayment, a documented set of policies (regarding the client’s financial track record among other issues), and in most cases, credit scores, which assign loan-loss probabilities that relate to expected returns of each market segment. Approximately 80% of BCP’s credit card, consumer, mortgage, and small business loan application decisions are made by automatic systems. The complement is decided by credit officers reporting to a centralized unit.</w:t>
      </w:r>
    </w:p>
    <w:p>
      <w:pPr>
        <w:spacing w:after="0" w:line="19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Success in the small business and personal lending areas depends largely on BCP’s ability to obtain reliable credit information about prospective borrowers. BCP, together with several partners, formed a credit research company called Infocorp in November 1995. In addition, the SBS has expanded its credit exposure database service to cover all businesses or individuals with any amount borrowed from a Peruvian financial institution. This database includes information on the loan risk category in which the borrowers are classified: “Normal,” “Potential Problem,” “Deficient,” “Doubtful” and “Loss.”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a strictly enforced policy with respect to the lending authority of its loan officers. It also has procedures to ensure that these limits are adhered to before a loan is disbursed. Under BCP’s credit approval process, the lending authority for middle market, small business, and personal loans is centralized into a specialized credit risk analysis area, whose officers have been granted lending limits. To ensure that loan officers and credit analysis officers are complying with their lending authority, the credit department and BCP’s internal auditors regularly examine credit approvals, in addition to the controls built into the loan approval workflow systems.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BCP’s general manager, executive committee or, if the amount of the proposed facility is sufficiently large, board of directors.</w:t>
      </w:r>
    </w:p>
    <w:p>
      <w:pPr>
        <w:spacing w:after="0" w:line="208" w:lineRule="exact"/>
        <w:rPr>
          <w:sz w:val="20"/>
          <w:szCs w:val="20"/>
          <w:color w:val="auto"/>
        </w:rPr>
      </w:pPr>
    </w:p>
    <w:tbl>
      <w:tblPr>
        <w:tblLayout w:type="fixed"/>
        <w:tblInd w:w="23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4"/>
              </w:rPr>
              <w:t>Risk without collateral or with</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only personal collateral or</w:t>
            </w:r>
          </w:p>
        </w:tc>
        <w:tc>
          <w:tcPr>
            <w:tcW w:w="200" w:type="dxa"/>
            <w:vAlign w:val="bottom"/>
          </w:tcPr>
          <w:p>
            <w:pPr>
              <w:spacing w:after="0"/>
              <w:rPr>
                <w:sz w:val="18"/>
                <w:szCs w:val="18"/>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Risk with preferred</w:t>
            </w:r>
          </w:p>
        </w:tc>
      </w:tr>
      <w:tr>
        <w:trPr>
          <w:trHeight w:val="237"/>
        </w:trPr>
        <w:tc>
          <w:tcPr>
            <w:tcW w:w="2340" w:type="dxa"/>
            <w:vAlign w:val="bottom"/>
            <w:gridSpan w:val="2"/>
          </w:tcPr>
          <w:p>
            <w:pPr>
              <w:spacing w:after="0"/>
              <w:rPr>
                <w:sz w:val="20"/>
                <w:szCs w:val="20"/>
                <w:color w:val="auto"/>
              </w:rPr>
            </w:pPr>
            <w:r>
              <w:rPr>
                <w:rFonts w:ascii="Arial" w:cs="Arial" w:eastAsia="Arial" w:hAnsi="Arial"/>
                <w:sz w:val="18"/>
                <w:szCs w:val="18"/>
                <w:color w:val="auto"/>
              </w:rPr>
              <w:t>In US$ thousands</w:t>
            </w:r>
          </w:p>
        </w:tc>
        <w:tc>
          <w:tcPr>
            <w:tcW w:w="22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6"/>
              </w:rPr>
              <w:t>guarantee</w:t>
            </w:r>
          </w:p>
        </w:tc>
        <w:tc>
          <w:tcPr>
            <w:tcW w:w="200" w:type="dxa"/>
            <w:vAlign w:val="bottom"/>
          </w:tcPr>
          <w:p>
            <w:pPr>
              <w:spacing w:after="0"/>
              <w:rPr>
                <w:sz w:val="20"/>
                <w:szCs w:val="20"/>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guarantees (1)</w:t>
            </w:r>
          </w:p>
        </w:tc>
      </w:tr>
      <w:tr>
        <w:trPr>
          <w:trHeight w:val="216"/>
        </w:trPr>
        <w:tc>
          <w:tcPr>
            <w:tcW w:w="20" w:type="dxa"/>
            <w:vAlign w:val="bottom"/>
          </w:tcPr>
          <w:p>
            <w:pPr>
              <w:spacing w:after="0"/>
              <w:rPr>
                <w:sz w:val="18"/>
                <w:szCs w:val="18"/>
                <w:color w:val="auto"/>
              </w:rPr>
            </w:pPr>
          </w:p>
        </w:tc>
        <w:tc>
          <w:tcPr>
            <w:tcW w:w="23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Board of Directors</w:t>
            </w:r>
          </w:p>
        </w:tc>
        <w:tc>
          <w:tcPr>
            <w:tcW w:w="220" w:type="dxa"/>
            <w:vAlign w:val="bottom"/>
            <w:shd w:val="clear" w:color="auto" w:fill="CCFFCC"/>
          </w:tcPr>
          <w:p>
            <w:pPr>
              <w:spacing w:after="0"/>
              <w:rPr>
                <w:sz w:val="18"/>
                <w:szCs w:val="18"/>
                <w:color w:val="auto"/>
              </w:rPr>
            </w:pPr>
          </w:p>
        </w:tc>
        <w:tc>
          <w:tcPr>
            <w:tcW w:w="23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5"/>
              </w:rPr>
              <w:t>Regulatory limit</w:t>
            </w:r>
          </w:p>
        </w:tc>
        <w:tc>
          <w:tcPr>
            <w:tcW w:w="200" w:type="dxa"/>
            <w:vAlign w:val="bottom"/>
            <w:shd w:val="clear" w:color="auto" w:fill="CCFFCC"/>
          </w:tcPr>
          <w:p>
            <w:pPr>
              <w:spacing w:after="0"/>
              <w:rPr>
                <w:sz w:val="18"/>
                <w:szCs w:val="18"/>
                <w:color w:val="auto"/>
              </w:rPr>
            </w:pPr>
          </w:p>
        </w:tc>
        <w:tc>
          <w:tcPr>
            <w:tcW w:w="158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5"/>
              </w:rPr>
              <w:t>Regulatory limit</w:t>
            </w:r>
          </w:p>
        </w:tc>
        <w:tc>
          <w:tcPr>
            <w:tcW w:w="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Executive Committee</w:t>
            </w:r>
          </w:p>
        </w:tc>
        <w:tc>
          <w:tcPr>
            <w:tcW w:w="2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US$ 191,076</w:t>
            </w:r>
          </w:p>
        </w:tc>
        <w:tc>
          <w:tcPr>
            <w:tcW w:w="200" w:type="dxa"/>
            <w:vAlign w:val="bottom"/>
          </w:tcPr>
          <w:p>
            <w:pPr>
              <w:spacing w:after="0"/>
              <w:rPr>
                <w:sz w:val="18"/>
                <w:szCs w:val="18"/>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US$ 191,076</w:t>
            </w:r>
          </w:p>
        </w:tc>
      </w:tr>
      <w:tr>
        <w:trPr>
          <w:trHeight w:val="216"/>
        </w:trPr>
        <w:tc>
          <w:tcPr>
            <w:tcW w:w="20" w:type="dxa"/>
            <w:vAlign w:val="bottom"/>
          </w:tcPr>
          <w:p>
            <w:pPr>
              <w:spacing w:after="0"/>
              <w:rPr>
                <w:sz w:val="18"/>
                <w:szCs w:val="18"/>
                <w:color w:val="auto"/>
              </w:rPr>
            </w:pPr>
          </w:p>
        </w:tc>
        <w:tc>
          <w:tcPr>
            <w:tcW w:w="2320" w:type="dxa"/>
            <w:vAlign w:val="bottom"/>
            <w:shd w:val="clear" w:color="auto" w:fill="CCFFCC"/>
          </w:tcPr>
          <w:p>
            <w:pPr>
              <w:spacing w:after="0"/>
              <w:rPr>
                <w:sz w:val="20"/>
                <w:szCs w:val="20"/>
                <w:color w:val="auto"/>
              </w:rPr>
            </w:pPr>
            <w:r>
              <w:rPr>
                <w:rFonts w:ascii="Arial" w:cs="Arial" w:eastAsia="Arial" w:hAnsi="Arial"/>
                <w:sz w:val="18"/>
                <w:szCs w:val="18"/>
                <w:color w:val="auto"/>
              </w:rPr>
              <w:t>General Manager</w:t>
            </w:r>
          </w:p>
        </w:tc>
        <w:tc>
          <w:tcPr>
            <w:tcW w:w="220" w:type="dxa"/>
            <w:vAlign w:val="bottom"/>
            <w:shd w:val="clear" w:color="auto" w:fill="CCFFCC"/>
          </w:tcPr>
          <w:p>
            <w:pPr>
              <w:spacing w:after="0"/>
              <w:rPr>
                <w:sz w:val="18"/>
                <w:szCs w:val="18"/>
                <w:color w:val="auto"/>
              </w:rPr>
            </w:pPr>
          </w:p>
        </w:tc>
        <w:tc>
          <w:tcPr>
            <w:tcW w:w="2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US$ 35,000</w:t>
            </w:r>
          </w:p>
        </w:tc>
        <w:tc>
          <w:tcPr>
            <w:tcW w:w="2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0"/>
              </w:rPr>
              <w:t>US$ 30,000</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Credit Group Manager</w:t>
            </w:r>
          </w:p>
        </w:tc>
        <w:tc>
          <w:tcPr>
            <w:tcW w:w="2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US$ 7,500</w:t>
            </w:r>
          </w:p>
        </w:tc>
        <w:tc>
          <w:tcPr>
            <w:tcW w:w="200" w:type="dxa"/>
            <w:vAlign w:val="bottom"/>
          </w:tcPr>
          <w:p>
            <w:pPr>
              <w:spacing w:after="0"/>
              <w:rPr>
                <w:sz w:val="18"/>
                <w:szCs w:val="18"/>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US$ 15,000</w:t>
            </w:r>
          </w:p>
        </w:tc>
      </w:tr>
      <w:tr>
        <w:trPr>
          <w:trHeight w:val="216"/>
        </w:trPr>
        <w:tc>
          <w:tcPr>
            <w:tcW w:w="20" w:type="dxa"/>
            <w:vAlign w:val="bottom"/>
          </w:tcPr>
          <w:p>
            <w:pPr>
              <w:spacing w:after="0"/>
              <w:rPr>
                <w:sz w:val="18"/>
                <w:szCs w:val="18"/>
                <w:color w:val="auto"/>
              </w:rPr>
            </w:pPr>
          </w:p>
        </w:tc>
        <w:tc>
          <w:tcPr>
            <w:tcW w:w="2320" w:type="dxa"/>
            <w:vAlign w:val="bottom"/>
            <w:shd w:val="clear" w:color="auto" w:fill="CCFFCC"/>
          </w:tcPr>
          <w:p>
            <w:pPr>
              <w:spacing w:after="0"/>
              <w:rPr>
                <w:sz w:val="20"/>
                <w:szCs w:val="20"/>
                <w:color w:val="auto"/>
              </w:rPr>
            </w:pPr>
            <w:r>
              <w:rPr>
                <w:rFonts w:ascii="Arial" w:cs="Arial" w:eastAsia="Arial" w:hAnsi="Arial"/>
                <w:sz w:val="18"/>
                <w:szCs w:val="18"/>
                <w:color w:val="auto"/>
              </w:rPr>
              <w:t>Credit Risk Manager</w:t>
            </w:r>
          </w:p>
        </w:tc>
        <w:tc>
          <w:tcPr>
            <w:tcW w:w="220" w:type="dxa"/>
            <w:vAlign w:val="bottom"/>
            <w:shd w:val="clear" w:color="auto" w:fill="CCFFCC"/>
          </w:tcPr>
          <w:p>
            <w:pPr>
              <w:spacing w:after="0"/>
              <w:rPr>
                <w:sz w:val="18"/>
                <w:szCs w:val="18"/>
                <w:color w:val="auto"/>
              </w:rPr>
            </w:pPr>
          </w:p>
        </w:tc>
        <w:tc>
          <w:tcPr>
            <w:tcW w:w="2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US$ 4,000</w:t>
            </w:r>
          </w:p>
        </w:tc>
        <w:tc>
          <w:tcPr>
            <w:tcW w:w="2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center"/>
              <w:ind w:right="60"/>
              <w:spacing w:after="0"/>
              <w:rPr>
                <w:sz w:val="20"/>
                <w:szCs w:val="20"/>
                <w:color w:val="auto"/>
              </w:rPr>
            </w:pPr>
            <w:r>
              <w:rPr>
                <w:rFonts w:ascii="Arial" w:cs="Arial" w:eastAsia="Arial" w:hAnsi="Arial"/>
                <w:sz w:val="18"/>
                <w:szCs w:val="18"/>
                <w:color w:val="auto"/>
                <w:w w:val="91"/>
              </w:rPr>
              <w:t>US$ 8,000</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8"/>
                <w:szCs w:val="18"/>
                <w:color w:val="auto"/>
              </w:rPr>
              <w:t>Credit Risk Chiefs</w:t>
            </w:r>
          </w:p>
        </w:tc>
        <w:tc>
          <w:tcPr>
            <w:tcW w:w="2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US$ 2,000</w:t>
            </w:r>
          </w:p>
        </w:tc>
        <w:tc>
          <w:tcPr>
            <w:tcW w:w="200" w:type="dxa"/>
            <w:vAlign w:val="bottom"/>
          </w:tcPr>
          <w:p>
            <w:pPr>
              <w:spacing w:after="0"/>
              <w:rPr>
                <w:sz w:val="18"/>
                <w:szCs w:val="18"/>
                <w:color w:val="auto"/>
              </w:rPr>
            </w:pPr>
          </w:p>
        </w:tc>
        <w:tc>
          <w:tcPr>
            <w:tcW w:w="1640" w:type="dxa"/>
            <w:vAlign w:val="bottom"/>
            <w:gridSpan w:val="2"/>
          </w:tcPr>
          <w:p>
            <w:pPr>
              <w:jc w:val="center"/>
              <w:ind w:right="60"/>
              <w:spacing w:after="0"/>
              <w:rPr>
                <w:sz w:val="20"/>
                <w:szCs w:val="20"/>
                <w:color w:val="auto"/>
              </w:rPr>
            </w:pPr>
            <w:r>
              <w:rPr>
                <w:rFonts w:ascii="Arial" w:cs="Arial" w:eastAsia="Arial" w:hAnsi="Arial"/>
                <w:sz w:val="18"/>
                <w:szCs w:val="18"/>
                <w:color w:val="auto"/>
                <w:w w:val="91"/>
              </w:rPr>
              <w:t>US$ 3,000</w:t>
            </w:r>
          </w:p>
        </w:tc>
      </w:tr>
      <w:tr>
        <w:trPr>
          <w:trHeight w:val="216"/>
        </w:trPr>
        <w:tc>
          <w:tcPr>
            <w:tcW w:w="20" w:type="dxa"/>
            <w:vAlign w:val="bottom"/>
          </w:tcPr>
          <w:p>
            <w:pPr>
              <w:spacing w:after="0"/>
              <w:rPr>
                <w:sz w:val="18"/>
                <w:szCs w:val="18"/>
                <w:color w:val="auto"/>
              </w:rPr>
            </w:pPr>
          </w:p>
        </w:tc>
        <w:tc>
          <w:tcPr>
            <w:tcW w:w="2320" w:type="dxa"/>
            <w:vAlign w:val="bottom"/>
            <w:shd w:val="clear" w:color="auto" w:fill="CCFFCC"/>
          </w:tcPr>
          <w:p>
            <w:pPr>
              <w:spacing w:after="0"/>
              <w:rPr>
                <w:sz w:val="20"/>
                <w:szCs w:val="20"/>
                <w:color w:val="auto"/>
              </w:rPr>
            </w:pPr>
            <w:r>
              <w:rPr>
                <w:rFonts w:ascii="Arial" w:cs="Arial" w:eastAsia="Arial" w:hAnsi="Arial"/>
                <w:sz w:val="18"/>
                <w:szCs w:val="18"/>
                <w:color w:val="auto"/>
              </w:rPr>
              <w:t>Retail Credit Risk Manager</w:t>
            </w:r>
          </w:p>
        </w:tc>
        <w:tc>
          <w:tcPr>
            <w:tcW w:w="220" w:type="dxa"/>
            <w:vAlign w:val="bottom"/>
            <w:shd w:val="clear" w:color="auto" w:fill="CCFFCC"/>
          </w:tcPr>
          <w:p>
            <w:pPr>
              <w:spacing w:after="0"/>
              <w:rPr>
                <w:sz w:val="18"/>
                <w:szCs w:val="18"/>
                <w:color w:val="auto"/>
              </w:rPr>
            </w:pPr>
          </w:p>
        </w:tc>
        <w:tc>
          <w:tcPr>
            <w:tcW w:w="23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US$ 500</w:t>
            </w:r>
          </w:p>
        </w:tc>
        <w:tc>
          <w:tcPr>
            <w:tcW w:w="20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center"/>
              <w:ind w:right="80"/>
              <w:spacing w:after="0"/>
              <w:rPr>
                <w:sz w:val="20"/>
                <w:szCs w:val="20"/>
                <w:color w:val="auto"/>
              </w:rPr>
            </w:pPr>
            <w:r>
              <w:rPr>
                <w:rFonts w:ascii="Arial" w:cs="Arial" w:eastAsia="Arial" w:hAnsi="Arial"/>
                <w:sz w:val="18"/>
                <w:szCs w:val="18"/>
                <w:color w:val="auto"/>
                <w:w w:val="91"/>
              </w:rPr>
              <w:t>US$ 500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Preferred guarantees include deposits in cash, stand-by letters, securities and other liquid assets with market price, mortgages, non-real estate property guarantees and assets generated by leasing operations.</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believes that an important factor in maintaining the quality of its loan portfolio is the selection and training of its loan and risk officers. BCP requires loan officers to have degrees in economics, accounting or business administration from competitive local or foreign universities. In addition, the training program consists of a six-month rotation through all of the business-related areas of BCP and the credit risk analysis area. After the training period is over, trainees are assigned as assistants to loan officers for a period of at least one year before they can be promoted to loan officers. Loan officers also receive additional training throughout their careers at BCP. Laterally-hired officers are generally required to have previously held positions as loan officers.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jc w:val="both"/>
        <w:ind w:firstLine="648"/>
        <w:spacing w:after="0" w:line="257" w:lineRule="auto"/>
        <w:rPr>
          <w:sz w:val="20"/>
          <w:szCs w:val="20"/>
          <w:color w:val="auto"/>
        </w:rPr>
      </w:pPr>
      <w:r>
        <w:rPr>
          <w:rFonts w:ascii="Arial" w:cs="Arial" w:eastAsia="Arial" w:hAnsi="Arial"/>
          <w:sz w:val="18"/>
          <w:szCs w:val="18"/>
          <w:color w:val="auto"/>
        </w:rPr>
        <w:t>In general, BCP is a secured lender. As of December 31, 2009, approximately US$6.4 billion of our loan portfolio and contingent credits were secured by collateral, which represents 47.9% of the total loan portfolio based upon our unconsolidated figures, as compared to 41.7% in 2008 and 43.8% in 2007. Liquid collateral is a small portion of the total collateral. In general, if BCP requires collateral for the extension of credit, it requires collateral valued at between 10% and 50% above the facilities granted. The appraisal of illiquid collateral, in particular real estate assets, machinery and equipment, is performed by independent experts when required for specific reasons.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existence of collateral does not affect the loan classification process according to regulations in effect as of December 1998. Pursuant to Peruvian banking law, secured loans, or the portion thereof covered by collateral, classified in Class “B,” “C,” or “D” risk categories have a lower loan loss provision requirement for Peruvian accounting purposes. If a borrower is classified as substandard or below, then BCP’s entire credit exposure to that borrower is so classified.</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BCP conducts unannounced internal audits on the financial statements, consistent with local banking regulation of the different jurisdictions in which it operates.</w:t>
      </w:r>
    </w:p>
    <w:p>
      <w:pPr>
        <w:spacing w:after="0" w:line="200" w:lineRule="exact"/>
        <w:rPr>
          <w:sz w:val="20"/>
          <w:szCs w:val="20"/>
          <w:color w:val="auto"/>
        </w:rPr>
      </w:pPr>
    </w:p>
    <w:p>
      <w:pPr>
        <w:spacing w:after="0" w:line="237" w:lineRule="exact"/>
        <w:rPr>
          <w:sz w:val="20"/>
          <w:szCs w:val="20"/>
          <w:color w:val="auto"/>
        </w:rPr>
      </w:pPr>
    </w:p>
    <w:p>
      <w:pPr>
        <w:ind w:left="1280" w:hanging="624"/>
        <w:spacing w:after="0"/>
        <w:tabs>
          <w:tab w:leader="none" w:pos="128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Deposits are principally managed by BCP’s retail banking group. The main objective of BCP’s Retail Banking Group operations has historically been to develop a diversified and stable deposit base in order to provide a low-cost source of funding. This deposit base has traditionally been one of BCP’s greatest strengths. BCP has historically relied on the more traditional, stable, low cost deposit sources, which it considers to be its core deposits: time, demand deposits, savings and CTS deposits. CTS deposits, or Severance Indemnity Deposits, are funded by companies in the name of their employees. CTS deposits amount to one month’s salary per year and may be withdrawn by the employee only upon termination of employment or upon transfer to another bank, subject to certain exceptions. Exceptions include disposing of 50% of the CTS deposit at any time and disposing of up to 80% at once for home purchase. For the year 2009 and 2010 and as part of the Government program to minimize the impact of the international crisis, individuals may dispose 100% of their CTS deposits.</w:t>
      </w:r>
    </w:p>
    <w:p>
      <w:pPr>
        <w:spacing w:after="0" w:line="21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2009, deposits represented 74.9% of BCP’s total source funding. BCP’s extensive branch network facilitates access to this type of stable and low-cost funding. BCP’s corporate clients are also an important source of funding for BCP.</w:t>
      </w:r>
    </w:p>
    <w:p>
      <w:pPr>
        <w:spacing w:after="0" w:line="200" w:lineRule="exact"/>
        <w:rPr>
          <w:sz w:val="20"/>
          <w:szCs w:val="20"/>
          <w:color w:val="auto"/>
        </w:rPr>
      </w:pPr>
    </w:p>
    <w:p>
      <w:pPr>
        <w:spacing w:after="0" w:line="237" w:lineRule="exact"/>
        <w:rPr>
          <w:sz w:val="20"/>
          <w:szCs w:val="20"/>
          <w:color w:val="auto"/>
        </w:rPr>
      </w:pPr>
    </w:p>
    <w:p>
      <w:pPr>
        <w:ind w:left="1280" w:hanging="624"/>
        <w:spacing w:after="0"/>
        <w:tabs>
          <w:tab w:leader="none" w:pos="128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Support Areas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BCP’s commercial banking operations are supported by its risk area, which evaluates and helps administer credit relationships, establishes credit policies and monitors credit risk. </w:t>
      </w:r>
      <w:r>
        <w:rPr>
          <w:rFonts w:ascii="Arial" w:cs="Arial" w:eastAsia="Arial" w:hAnsi="Arial"/>
          <w:sz w:val="18"/>
          <w:szCs w:val="18"/>
          <w:i w:val="1"/>
          <w:iCs w:val="1"/>
          <w:color w:val="auto"/>
        </w:rPr>
        <w:t>See</w:t>
      </w:r>
      <w:r>
        <w:rPr>
          <w:rFonts w:ascii="Arial" w:cs="Arial" w:eastAsia="Arial" w:hAnsi="Arial"/>
          <w:sz w:val="18"/>
          <w:szCs w:val="18"/>
          <w:color w:val="auto"/>
        </w:rPr>
        <w:t xml:space="preserve"> “—(4) BCP and Subsidiaries—(v) Lending Policies and Procedures.”</w:t>
      </w:r>
    </w:p>
    <w:p>
      <w:pPr>
        <w:spacing w:after="0" w:line="197"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BCP’s planning and finance area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17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to the above, BCP’s administration group is generally responsible for information technology, quality control, institutional and public relations, human resources, the legal department, security, maintenance and supplies.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1" w:name="page42"/>
    <w:bookmarkEnd w:id="41"/>
    <w:p>
      <w:pPr>
        <w:ind w:left="660"/>
        <w:spacing w:after="0"/>
        <w:rPr>
          <w:sz w:val="20"/>
          <w:szCs w:val="20"/>
          <w:color w:val="auto"/>
        </w:rPr>
      </w:pPr>
      <w:r>
        <w:rPr>
          <w:rFonts w:ascii="Arial" w:cs="Arial" w:eastAsia="Arial" w:hAnsi="Arial"/>
          <w:sz w:val="18"/>
          <w:szCs w:val="18"/>
          <w:i w:val="1"/>
          <w:iCs w:val="1"/>
          <w:color w:val="auto"/>
        </w:rPr>
        <w:t>Information Technology</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 is a technology leader in the Peruvian banking sector. All of BCP’s retail banking group services and a substantial portion of BCP’s corporate banking services are fully computerized. All of BCP’s points of service, including branches, ATMs and POS terminals, are linked to BCP’s data processing center, which permits BCP to monitor and analyze service while allowing most transactions to be executed on a real-time, online basis.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BCP considers its technology platform to be one of its main competitive strengths and has continued to invest in this area to maintain its competitive position in the banking sector. During 2009, BCP’s expenses on systems totaled US$120.7 million, of which US$96.4 million were recurring expenses and US$24.3 million were allocated to specific projects. These totals were higher than those of 2008, which were US$97.9 million, US$79.2 million and US$18.7 million, respectively. BCP’s investments totaled US$50.9 million, of which US$14.9 million were for tactical projects, US$22.2 million for core processes, and US$13.8 million for subsistence projects. These amounts were lower than those reported for 2008 (US$60.9 million, US$16.6 million, US$27.5 million and US$16.8 million, respectively).</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Furthermore, to continue with the objective of increasing lending in the Retail Banking Group, BCP expanded its “Loans Integrated Model”, or MIC, to consumer loans. The Loans Integrated Model, which was started in 2007 for credit cards, provides customers instant reply to credit card applications and approved credit lines. In 2009, the system could be able to mortgage loan screening to give customers point of contact response. Finally in 2010, the system will have a new function, enabling it to buy debt from other financial entities.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continued to align its systems to the technological architecture by building and implementing shared services. In 2008, two modules of SAP were implemented—human resources and procurement. Three other important projects were completed: (i) implementation of the collections management system for retail banking products; (ii) migration of the IVR (interactive voice response) system to a new platform, which is more robust, safe and high availability; and (iii) implementation of a new anti-money laundering system to intercept all suspicious banking transactions. During 2009, BCP started an accounting module that will be completed in 2010.</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part of the “Excellence in Continuous Operations” Program (ECO Program), BCP completed the construction of a new data center at the La Molina headquarters at the end of 2008. In June 2009, also as a part of the ECO Program, BCP started the construction of a world-class data center in Chorrillos to replace its downtown Lima facility. Operations at the data center in Chorrillos are scheduled to lunch in November 2010. The La Molina and Chorrillos data centers will operate in an “active-active” mode, backing-up each other. In parallel, a third project within the ECO Program called “Out-of-Region Disaster Recovery Data Center” (OOR) started in July 2009 at IBM’s Brazil Global Delivery Center located in Hortolandia, Sao Paulo. The main objective of the OOR project is to provide remote recovery capabilities of the core banking applications and channels of BCP nationwide in case of a major disruptive event that may affect both data centers in Lima.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BCP continually works to protect and strengthen the BCP brand. BCP has a proactive attitude towards competition and is focused on change and innovation. The company promotes its products and services by constantly improving them. In this manner, BCP aims to grow and be a leader in every retail market by offering the highest possible value for its clients and shareholders. In 2009, BCP continued its strategy which was based on two fronts:</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Generating Value</w:t>
      </w:r>
      <w:r>
        <w:rPr>
          <w:rFonts w:ascii="Arial" w:cs="Arial" w:eastAsia="Arial" w:hAnsi="Arial"/>
          <w:sz w:val="18"/>
          <w:szCs w:val="18"/>
          <w:color w:val="auto"/>
        </w:rPr>
        <w:t>: In terms of generating value, BCP continues to develop strategies to approach different retail customer groups. BCP’s increasing</w:t>
      </w:r>
      <w:r>
        <w:rPr>
          <w:rFonts w:ascii="Arial" w:cs="Arial" w:eastAsia="Arial" w:hAnsi="Arial"/>
          <w:sz w:val="18"/>
          <w:szCs w:val="18"/>
          <w:i w:val="1"/>
          <w:iCs w:val="1"/>
          <w:color w:val="auto"/>
        </w:rPr>
        <w:t xml:space="preserve"> </w:t>
      </w:r>
      <w:r>
        <w:rPr>
          <w:rFonts w:ascii="Arial" w:cs="Arial" w:eastAsia="Arial" w:hAnsi="Arial"/>
          <w:sz w:val="18"/>
          <w:szCs w:val="18"/>
          <w:color w:val="auto"/>
        </w:rPr>
        <w:t>use of Customer Relation Management (CRM) tools across all sectors enables it to proactively reach customers and provide them with personalized offers and terms in a timely manner. In an effort to build long-term relationships, the BCP has heightened its development and training activities. These activities include training programs with small-business owners supported by Universidad del Pacífico, the ExpoNegocios and the Bodegas y Mercados, as well as exhaustive seminars conducted in different cities across the country.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2" w:name="page43"/>
    <w:bookmarkEnd w:id="42"/>
    <w:p>
      <w:pPr>
        <w:jc w:val="both"/>
        <w:ind w:firstLine="648"/>
        <w:spacing w:after="0" w:line="297" w:lineRule="auto"/>
        <w:rPr>
          <w:sz w:val="20"/>
          <w:szCs w:val="20"/>
          <w:color w:val="auto"/>
        </w:rPr>
      </w:pPr>
      <w:r>
        <w:rPr>
          <w:rFonts w:ascii="Arial" w:cs="Arial" w:eastAsia="Arial" w:hAnsi="Arial"/>
          <w:sz w:val="16"/>
          <w:szCs w:val="16"/>
          <w:color w:val="auto"/>
        </w:rPr>
        <w:t>Another key element for BCP to create value is innovation. BCP has launched several innovative products, including new service products for very wealthy customers, new benefits for customers whose wages are paid at their BCP accounts, and the development of the Línea Múltiple de Negocios (Multiple Business Line) that allows its customers to meet their financial needs with a comprehensive, easy-to-use product. BCP also innovates by transforming the way it operates throughout the organization, achieving internally, leaner and more efficient processes and externally, an enhanced experience for our customers. During 2009 leaner processes have been accomplished for branch layout and tellers, ATM cash management and mortgage lending.</w:t>
      </w:r>
    </w:p>
    <w:p>
      <w:pPr>
        <w:spacing w:after="0" w:line="18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Quality in Service</w:t>
      </w:r>
      <w:r>
        <w:rPr>
          <w:rFonts w:ascii="Arial" w:cs="Arial" w:eastAsia="Arial" w:hAnsi="Arial"/>
          <w:sz w:val="18"/>
          <w:szCs w:val="18"/>
          <w:color w:val="auto"/>
        </w:rPr>
        <w:t>: Quality in service is a permanent goal for BCP. BCP has progressed in this area by implementing a new regulation promulgated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Consumer Protection Law, which included significant investments toward improving service and keeping customers informed about BCP’s products and services.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improved processes and supporting tools have enabled it to leverage growing businesses. BCP successfully implemented its new commercial loan disbursement process (promissory notes, loans, advances and issuing bank guarantees nationwide) by using CAPS as a tool. The result was an improvement in BCP’s customer service timing and to reduction in its business consultants’ and assistants’ workload.</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Operations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Achieving greater operational efficiency is an essential part of BCP’s s growth strategy, and BCP is committed to improving efficiency by streamlining its processes. One of the main initiatives the company advanced in 2009 was “Lean Project”, which aimed at increasing the satisfaction of BCP’s clients by enhancing business-origination processes based on the “Lean” methodology. In 2009, the redesign of the processes occurred in three “waves”: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Wave 1 - New branch model</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new model seeks to offer better service to BCP’s clients in each branch, and turn the branches into commercial points rather than transactional centers. The most relevant achievements in 2009 included: operating 41 offices under the new model; reducing the waiting time at BCP offices by 48%; increasing the productivity of teller promoters by 20%; and migrating 6% of the transactions handled by tellers to electronic channels. BPC expects that by April 2011, approximately 279 offices out of a total of 334 will operate under the new model.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Wave 2 - Post-sales and cash management</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purpose of Wave 2 is to improve BCP’s post-sale service and cash logistics management. On the post-sales side, BCP began by conducting an initial process review of its claims attention service. The company then extended its review, examining how it processes requests from current clients (including requests to update of client information or requests for copies of credit card statements). The main achievements in this process review included: reducing the claim response time from 9 days to 2 days; and increasing the company’s productivity in responding to applications by an average of 160%.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cash management side, BCP sought to improve efficiency in its management of cash logistics. Cash logistics management includes facilitating the movement of cash among in and among BCP’s branch offices, vaults and ATMs. The most relevant achievements in this wave were: reducing the cash transportation expenses (remittance and pick up) by 24% and reducing expensed for cash processing by 57%. Overall, the office logistics expenses were cut 29%.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ind w:left="660"/>
        <w:spacing w:after="0"/>
        <w:rPr>
          <w:sz w:val="20"/>
          <w:szCs w:val="20"/>
          <w:color w:val="auto"/>
        </w:rPr>
      </w:pPr>
      <w:r>
        <w:rPr>
          <w:rFonts w:ascii="Arial" w:cs="Arial" w:eastAsia="Arial" w:hAnsi="Arial"/>
          <w:sz w:val="18"/>
          <w:szCs w:val="18"/>
          <w:u w:val="single" w:color="auto"/>
          <w:color w:val="auto"/>
        </w:rPr>
        <w:t>Wave 3 - Commercial loans, mortgage loans and leasing</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For Wave 3, BCP undertook an exhaustive review of its commercial lending, mortgage lending and leasing processes. The review tracked loans from the time a client submitted a loan application until the loan was disbursed. They examined the work structure used to handle these loan applications, the quality of customer service, the information provided to the client and the celerity of the overall service, in order to propose systems that might enable BCP to better serve its clients and improve its sales process. The main achievements in Wave 3 were: reducing the renewal cycle time for credit lines extended through BCP’s Corporate Banking Area by 47%, reducing the same renewal cycle time for loans extended through BCP’s Middle Market Banking by 14%, reducing the renewal cycle time for loans in BCP’s Corporate Finance Area by 15%; increasing productivity in the risk area by 53% in Corporate Banking Area, increasing productivity in the risk area by 24% in Middle Market Banking and increasing productivity in the risk area by 24% in BCP’s Corporate Finance Area. BCP also reduced its mortgage loan cycle time from 47 days to 14 business days for 75% of its mortgage loans; and reduced its application-to-disbursement time on leases from more than 21 days to just 15 days for 83% of its leases.</w:t>
      </w:r>
    </w:p>
    <w:p>
      <w:pPr>
        <w:spacing w:after="0" w:line="200" w:lineRule="exact"/>
        <w:rPr>
          <w:sz w:val="20"/>
          <w:szCs w:val="20"/>
          <w:color w:val="auto"/>
        </w:rPr>
      </w:pPr>
    </w:p>
    <w:p>
      <w:pPr>
        <w:spacing w:after="0" w:line="248" w:lineRule="exact"/>
        <w:rPr>
          <w:sz w:val="20"/>
          <w:szCs w:val="20"/>
          <w:color w:val="auto"/>
        </w:rPr>
      </w:pPr>
    </w:p>
    <w:p>
      <w:pPr>
        <w:ind w:left="1280" w:hanging="579"/>
        <w:spacing w:after="0"/>
        <w:tabs>
          <w:tab w:leader="none" w:pos="1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Anti-Money Laundering Policies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our enterprise wide compliance program, BCP and all the companies under our group have adopted policies and procedures for “know your customer,” “know your market,” “know your correspondent bank” and “know your employee” as an integral part of our anti-money laundering program. These policies and procedures are required to be followed by all employees corporate wide and is under the responsibility of the Board of Directors, the Chief Executive Officer and the Corporate Compliance Officer.</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corporate compliance officer is responsible for the monitoring and oversight of the program and coordinates with the compliance officers of each of the foreign branches (BCP Panama and BCP Miami), affiliates (PPS, Atlantic Security Bank and Credicorp Securities) and foreign subsidiaries (BCP Bolivia). These institutions must comply with all regulatory laws established in the countries in which they operate, in addition to corporate policies and procedures and GAFI recommendations. Under Peruvian law, BCP must notify the SBS if any of its branches, affiliates or subsidiaries abroad are unable to meet any requirements imposed by the aforementioned entities.</w:t>
      </w:r>
    </w:p>
    <w:p>
      <w:pPr>
        <w:spacing w:after="0" w:line="21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Financial Intelligence Unit is the governmental entity responsible for receiving, analyzing and disseminating suspicious transaction reports filed by obligated entities. It was created under Law 27693 in April of 2002, as amended by Laws 28009 and 28306, and incorporated under Law 29038 in June 2007 as a specialized unit of the SBS. The Financial Intelligence Unit is autonomous, both functionally and technically.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One of the main banking regulations, Law 838-2008, requires that all financial institutions supervised by the SBS have an anti-money laundering and terrorist financing compliance program that includes adequate policies, monitoring of client operations, evaluation of red flags, registration of all cash operations and a training program for all staff.</w:t>
      </w:r>
    </w:p>
    <w:p>
      <w:pPr>
        <w:spacing w:after="0" w:line="200" w:lineRule="exact"/>
        <w:rPr>
          <w:sz w:val="20"/>
          <w:szCs w:val="20"/>
          <w:color w:val="auto"/>
        </w:rPr>
      </w:pPr>
    </w:p>
    <w:p>
      <w:pPr>
        <w:spacing w:after="0" w:line="247" w:lineRule="exact"/>
        <w:rPr>
          <w:sz w:val="20"/>
          <w:szCs w:val="20"/>
          <w:color w:val="auto"/>
        </w:rPr>
      </w:pPr>
    </w:p>
    <w:p>
      <w:pPr>
        <w:ind w:left="1280" w:hanging="579"/>
        <w:spacing w:after="0"/>
        <w:tabs>
          <w:tab w:leader="none" w:pos="128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December 31, 2009, BCP had 16,748 employees (including 1,247 employees from Edyficar) compared to 15,969 employees as of December 31, 2008 and 12,667 employees as of December 31, 2007. All employees of banks in Peru are given the option of belonging to an employee union. These employee unions are collectively represented by the Federación de Empleados Bancarios (Federation of Banking Employees or FEB).</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ind w:left="1260" w:hanging="604"/>
        <w:spacing w:after="0"/>
        <w:tabs>
          <w:tab w:leader="none" w:pos="12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Holding Corporation</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ASHC is a holding corporation that engages in private banking, asset management and proprietary investment. ASHC was incorporated in December 1981 in the Cayman Islands and principally serves Peruvian-based customers through Atlantic Security Bank (ASB), a wholly-owned subsidiary. ASB is a Cayman Islands licensed bank with offices in Panama through which ASHC conducts all commercial business. ASHC’s balance sheet is virtually identical to ASB’s, with the exception of approximately 14.6 million Credicorp shares directly held by ASHC.</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2009, ASHC had total assets of US$1,484.8 million and shareholders’ equity of US$239.8 million (compared with US$1,454.2 million and US$115.7 million, respectively, as of December 31, 2008). ASHC reported a net profit of US$54.1 million in 2009, compared with a net loss of US$22.4 million in 2008. Adjusting for dividend income from Credicorp that is not reflected in consolidated results, ASHC’s net income contribution increased from a negative US$50.4 million in 2008 to US$29.7 in 2009. All income other than Credicorp dividends was generated by ASB.</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ASB’s clients have traditionally provided a stable funding source, as many are long-time clients who roll-over deposits on a permanent basis. As of December 31, 2009, ASB had approximately 4,000 clients, 95% of whom are Peruvian. ASB deposits at year-end 2009 reached US$1,230.4 million, down slightly from US$1,283.6 million as of December 31, 2008.</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 trades on its own account primarily by making medium-term investments in investment grade fixed-income securities and sovereign debt. Non-investment grade fixed-income securities represent a distant second in terms of portfolio allocation, while equity and hedge-fund positions, though present, are even less relevant. As of December 31, 2009, ASB had US$797.2 million at fair value, compared to US$594.9 million in 2008. In addition to ASB’s portfolio, ASHC also holds an equity investment in Credicorp with a fair value of approximately US$1,124.2 million as of December 31, 2009 (compared to US$730.5 million as of December 31, 2008).</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Third-party Asset management is an important activity for ASB. Total assets under management reached US$2,177.0 million as of December 31, 2009, compared to US$1,639.4 million as of December 31, 2008. These assets cover the range from direct unsolicited securities to ASB managed mutual funds.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 also maintains a sizable loan portfolio. Total loans outstanding were US$525.5 million and US$560.1 million for 2009 and 2008, respectively. Between 85% and 95% of these loans were guaranteed by client’s deposits or investments. For the year-ended 2009, for example, only US$23.4 million were unsecured loans. This high level of securitization is reflected in ASB’s low level of non-performing loans, consistently much less than 1% of total loan portfolio. The overwhelming majority of ASB’s loans are granted to Peruvian nationals and companies, while those that are not are directed exclusively to Latin American borrowers.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ASB’s overall investment strategy, general profile of its investment portfolio and specific investment decisions are reviewed on a weekly basis by an investment committee. Its credit risk by counterparty, including direct and indirect risk, is evaluated on a consolidated basis and covers all activities that generate credit exposure such as interbank placements, commercial loans and securities investment. Market, Liquidity and Operational risks are monitored by ASB’s Risk Management Unit, which in turn reports to and is supervised by a Corporate Risk Committee, an Asset-Liability Committee and the Board of Directors.</w:t>
      </w:r>
    </w:p>
    <w:p>
      <w:pPr>
        <w:spacing w:after="0" w:line="200" w:lineRule="exact"/>
        <w:rPr>
          <w:sz w:val="20"/>
          <w:szCs w:val="20"/>
          <w:color w:val="auto"/>
        </w:rPr>
      </w:pPr>
    </w:p>
    <w:p>
      <w:pPr>
        <w:spacing w:after="0" w:line="254" w:lineRule="exact"/>
        <w:rPr>
          <w:sz w:val="20"/>
          <w:szCs w:val="20"/>
          <w:color w:val="auto"/>
        </w:rPr>
      </w:pPr>
    </w:p>
    <w:p>
      <w:pPr>
        <w:ind w:left="1280" w:hanging="624"/>
        <w:spacing w:after="0"/>
        <w:tabs>
          <w:tab w:leader="none" w:pos="128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Pacífico Peruano Suiza</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conduct our insurance activities through Pacifico Peruano Suiza and its subsidiaries, El Pacifico Vida and Pacifico Salud, which together make up Pacifico Grupo Asegurador, providing a broad range of insurance products in the property and casualty, life and health businesses. In 2009, the six most significant business lines collectively generated 82.9% of total premiums written by PPS. These business lines consisted of commercial property damage (including fire, earthquake and allied lines and limited liability risks), automobile, health, life and pension fund underwriting and life annuities. PPS is the second leading Peruvian insurance company, including private health companies, with a market share of 30.9% based on net premiums earned and fees in 2009.</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5" w:name="page46"/>
    <w:bookmarkEnd w:id="45"/>
    <w:p>
      <w:pPr>
        <w:jc w:val="both"/>
        <w:ind w:firstLine="648"/>
        <w:spacing w:after="0" w:line="286" w:lineRule="auto"/>
        <w:rPr>
          <w:sz w:val="20"/>
          <w:szCs w:val="20"/>
          <w:color w:val="auto"/>
        </w:rPr>
      </w:pPr>
      <w:r>
        <w:rPr>
          <w:rFonts w:ascii="Arial" w:cs="Arial" w:eastAsia="Arial" w:hAnsi="Arial"/>
          <w:sz w:val="17"/>
          <w:szCs w:val="17"/>
          <w:color w:val="auto"/>
        </w:rPr>
        <w:t>In 2009, we were attributed a consolidated net gain from PPS of US$37.4 million compared to a net loss of US$15.9 million in 2008. PPS’s total premiums increased 3.6% to US$608.8 million during 2009 from US$587.6 million in 2008, and net premiums earned, net of reinsured premiums and of technical reserves (as defined below in “―(ii) Claims and Reserves”), were US$439.5 million in 2009, increasing 8.3% compared to 2008.</w:t>
      </w:r>
    </w:p>
    <w:p>
      <w:pPr>
        <w:spacing w:after="0" w:line="193"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PPS’s net underwriting results increased from a loss of US$7.7 million in 2008 to a gain of US$79.9 million in 2009. This rise in PPS’s underwriting results is primarily a due to the decrease of net claims paid as a percentage of net premiums written from 84.3% during 2008 to 65.2% during 2009.</w:t>
      </w:r>
    </w:p>
    <w:p>
      <w:pPr>
        <w:spacing w:after="0" w:line="15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PPS’s business in property and casualty and private health is highly concentrated, with a client base of over 28,000 companies and over 417,000 individuals in the property and casualty and health insurance programs, including individuals affiliated with group health insurance programs through the companies by which they are employed. As of December 2009, revenues from policies written for PPS’s three largest and 20 largest customers represented 7.5% and 21.6% of total premiums in its property and casualty and health insurance businesses, respectively. PPS’s property insurance lines are sold through agents and brokers, while life insurance is sold by its own sales force. The 10 largest brokers in the property and casualty as well as in the private health segment accounted for approximately 43.5% of total premiums as of December 31, 2009 (compared to 41.2% as of December 31, 2008).</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El Pacífico Vida (Pacífico Vida), PPS’s life insurance subsidiary, is 38%-owned by ALICO, a subsidiary of AIG. In 2009, Pacífico Vida reached total premiums of US$188 million, a 5.9% increase from total premiums of US$178.2 million in 2008.</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Pacífico Vida’s market share was 27% in 2009 versus 27.6% in 2008. Its individual life and personal accident businesses increased by 14.5%, mainly due to an increase in sales of the company’s new products, the improved quality of Pacífico Vida’s sales service and the development of its distribution channels, which includes its main channel, the agencies, and its part time channels, such as brokers, BCP (bank-assurance), sponsors, among others. As a result, the market share in individual life market was 35.7% where Pacifico Vida has positioned as the leader.</w:t>
      </w:r>
    </w:p>
    <w:p>
      <w:pPr>
        <w:spacing w:after="0" w:line="19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2009, total premiums on Group Life, Group Life Ley and SCTR (limited workers compensation) increased by 12%. This increase was largely the product of a broad based national economic recovery, which spurred the formalization of more companies and the development of the mining and construction sectors. Credit Life, Pacífico Vida’s most dynamic product, reached an increase of 14.7% in total premiums over that of 2008 and represented 12% of total direct premiums (compared to 11.2% in 2008). Credit Life’s increase was primarily a result of Pacífico Vida’s business with BCP, which involved credit cards and mortgage loans. Pacífico Vida’s life annuity business decreased 0.3% in total premiums and fell from 19.9% to 17.9% in its market share. This decrease was mainly because we did not take part in the VAC bonds’ market (“valor adquisitivo constante” in Spanish, constant acquisition value).</w:t>
      </w:r>
    </w:p>
    <w:p>
      <w:pPr>
        <w:spacing w:after="0" w:line="21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Pacífico Vida’s pension fund underwriting business fell 9.9% for the year. This decline was a result of a government program that prohibited the company from assessing pension fees on employee bonuses payable in July 2009 and December 2009.</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Pacífico Vida generated financial earnings of US$32.9 million in 2009. Pacífico Salud reported total revenue of US$125.3 million and net gain of US$2.7 million in 2009 mainly due to a decrease in claims. The net loss ratio decreased to 84.6% in 2009 from 90.3% in 2008.</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ind w:left="1240" w:hanging="584"/>
        <w:spacing w:after="0"/>
        <w:tabs>
          <w:tab w:leader="none" w:pos="124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 Clients and Reinsurance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Underwriting decisions for substantially all of PPS’s insurance (property and casualty) risks are made through its central underwriting office. PPS’s own risk management staff inspects most medium and medium-to-large commercial risks prior to their underwriting, whereas third party surveyors are employed to inspect smaller risks. Underwriting standards are approved by the Board of Directors on a yearly basis.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PPS utilizes reinsurance to limit its maximum aggregate losses and minimize exposure on large risks. Reinsurance is placed with reinsurance companies based on evaluation of the financial capacity of the reinsurer, terms of coverage and price. PPS’s principal reinsurers in 2009 were, among others, Lloyd’s, Allianz Re, Amlin, Catlin, China Re, Endurance, Everest Re, Flagstone Re, Glacier Re, GIC, Hannover Re, Mapfre Re, MS Frontier, Munich Re, Odyssey Re, Omega, Partner Re, Paris Re, QBE Reinsurance Corp., QBE Europe, R+V, Reaseguradora Patria, Scor, Sirius International, Swiss Re, Validus Re, White Mountain y XL Re. Premiums ceded to reinsurers represented 16.7% in 2009. PPS acts as a reinsurer on a very limited basis, providing its excess reinsurance capacity to other Peruvian insurers who are unable to satisfy their reinsurance requirements.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2009, premiums for reinsurance written by PPS totaled US$4.8 million. Although PPS historically has obtained reinsurance for a substantial portion of its earthquake-related risks through excess loss contracts, there can be no assurance that a major catastrophe would not have a material adverse impact on its results of operations or financial condition. See “—(ii) Claims and Reserves.”</w:t>
      </w:r>
    </w:p>
    <w:p>
      <w:pPr>
        <w:spacing w:after="0" w:line="200" w:lineRule="exact"/>
        <w:rPr>
          <w:sz w:val="20"/>
          <w:szCs w:val="20"/>
          <w:color w:val="auto"/>
        </w:rPr>
      </w:pPr>
    </w:p>
    <w:p>
      <w:pPr>
        <w:spacing w:after="0" w:line="247" w:lineRule="exact"/>
        <w:rPr>
          <w:sz w:val="20"/>
          <w:szCs w:val="20"/>
          <w:color w:val="auto"/>
        </w:rPr>
      </w:pPr>
    </w:p>
    <w:p>
      <w:pPr>
        <w:ind w:left="1280" w:hanging="624"/>
        <w:spacing w:after="0"/>
        <w:tabs>
          <w:tab w:leader="none" w:pos="128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Reserves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claims paid by PPS as a percentage of net premiums written (i.e., the net loss ratio) reached 65.2% in 2009, down from 84.3% in 2008.</w:t>
      </w:r>
    </w:p>
    <w:p>
      <w:pPr>
        <w:spacing w:after="0" w:line="26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net loss ratio, in the property and casualty segment, which represented 49.1% of PPS’s premiums in 2009 (50.5% in 2008), decreased to 53.3% in 2009 from 87.2% in 2008, mainly due to the improved performance of automobile, fire, medical assistance and allied lines. The net loss ratio from the automobile line, which represented 24% of property and casualty premiums in 2009 (22% in 2008) decreased from 80.8% in 2008 to 52.3% in 2009. The net loss ratio from the fire and allied lines, which represented 19.8% of property and casualty premiums in 2009 (20.1% in 2008) decreased from 105.1% in 2008 to 18.7% in 2009. The net loss ratio of the medical assistance line, which was 19.5% of property and casualty premiums in 2009 (16.4% in 2008) decreased from 107.5% in 2008 to 73.7% in 2009.</w:t>
      </w:r>
    </w:p>
    <w:p>
      <w:pPr>
        <w:spacing w:after="0" w:line="22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net loss ratio in the life insurance lines decreased from 84% in 2008 to 77% in 2009, due to the low performance of disability and survivor (pension fund) insurance and Group Life claims.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loss ratio in the health insurance lines decreased from 90.3% in 2008 to 84.6% in 2009 and represented 20.6% of PPS’s premiums in 2009 (19.8% in 2008).</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PPS is required to establish (i) claims reserves in respect of pending claims in its property-casualty business, (ii) reserves for future benefit obligations under its in-force life and accident insurance policies, and (iii) unearned premium reserves in respect of that portion of premiums written that is allocable to the unexpired portion of the related policy periods (collectively, “Technical Reserves”). PPS establishes claims reserves with respect to claims when reported, as well as for incurred but not reported (IBNR) claims. Such reserves are reflected as liabilities in PPS’s financial statements.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7" w:name="page48"/>
    <w:bookmarkEnd w:id="47"/>
    <w:p>
      <w:pPr>
        <w:jc w:val="both"/>
        <w:ind w:firstLine="648"/>
        <w:spacing w:after="0" w:line="264" w:lineRule="auto"/>
        <w:rPr>
          <w:sz w:val="20"/>
          <w:szCs w:val="20"/>
          <w:color w:val="auto"/>
        </w:rPr>
      </w:pPr>
      <w:r>
        <w:rPr>
          <w:rFonts w:ascii="Arial" w:cs="Arial" w:eastAsia="Arial" w:hAnsi="Arial"/>
          <w:sz w:val="18"/>
          <w:szCs w:val="18"/>
          <w:color w:val="auto"/>
        </w:rPr>
        <w:t>Pursuant to SBS regulations, PPS establishes pre-event reserves for catastrophic risks with respect to earthquake coverage. See “—(11) Supervision and Regulation—(v) PPS—Reserve Requirements.” In accordance with IFRS principles, the pre-event reserves and income charges for catastrophic reserves are not considered in Credicorp’s consolidated financial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can be no assurance that ultimate claims will not exceed PPS’s reserves.</w:t>
      </w:r>
    </w:p>
    <w:p>
      <w:pPr>
        <w:spacing w:after="0" w:line="200" w:lineRule="exact"/>
        <w:rPr>
          <w:sz w:val="20"/>
          <w:szCs w:val="20"/>
          <w:color w:val="auto"/>
        </w:rPr>
      </w:pPr>
    </w:p>
    <w:p>
      <w:pPr>
        <w:spacing w:after="0" w:line="291" w:lineRule="exact"/>
        <w:rPr>
          <w:sz w:val="20"/>
          <w:szCs w:val="20"/>
          <w:color w:val="auto"/>
        </w:rPr>
      </w:pPr>
    </w:p>
    <w:p>
      <w:pPr>
        <w:ind w:left="1240" w:hanging="584"/>
        <w:spacing w:after="0"/>
        <w:tabs>
          <w:tab w:leader="none" w:pos="124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2009, the book value of PPS’s portfolio (which includes Pacífico Seguros, Pacifico Vida and Pacifico Salud) was US$1,057.2 million, which included US$77.4 million in equity securities and US$979.7 million in bonds. The company’s real estate investments’ gross book value reached US$33.8 million.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Pacifico Seguros had a book value of US$178.2 million in 2009 and mostly included investments of equity and short-term debt instruments. Pacifico Vida’s book value was close to US$865.7 million and mainly consisted of long-term debt instruments. Pacifico Salud, on the other hand, had a small portfolio with a book value of US$13.3 million and was mainly invested in short-term debt instruments.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part of its improvement process, PPS has been adjusting its investment policy in order to apply the best international risk management practices and tools. PPS also incorporated the recommendations of Solvencia II and Basel II, with a view to developing a better match of terms and currencies with the company’s liabilities, especially in connection with obligations vis-à-vis PPS’s insured customers.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PPS reported financial income in 2009 of US$75.7 million, as compared to US$70.4 million in 2008. This outcome is explained by the growth of PPS’s life and property and casualty businesses.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PPS’s 2009 financial income grew to US$3.5 million, an increase of 18.3% compared to 2008 and an increase of 81% compared to the company’s 2009 forecast. The better performance was mainly due to the capital gains that PPS obtained in the equity market, its use of a barbell strategy in the fixed income portfolio (long-short position in bonds) and the company’s increased income from rent fees.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equity profits that PPS earned during 2009 were higher than those earned in previous years because of a strong recovery in international stock markets. The Peruvian stock market rallied 105% during 2009, as commodities prices recovered (due to higher demand from emerging markets) and the construction and financial sectors improved as demand for housing rose. PPS’s portfolio strategy, supported by the recovery of the stock market, generated capital gains of US$6.8 million and a return on equity of 77%.</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Despite the strong decline in world interest rates, the company was able to generate US$ 11.9 million in fixed income profits, 29% higher than forecast and only 4.5% below PPS’s 2008 earnings. Revenue in this portfolio was higher than forecast because PPS applied a “barbell strategy” to the portfolio at the end of 2008 and the beginning of 2009. The barbell strategy generated a higher return and provided PPS with enough liquidity to cover its obligations. Additional income also came from PPS’s real estate investments as a result of higher rental fees. Overall, earnings increased by 14.8% compared to 2008.</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PPS’s main strategy is to have an appropriate match of currency and term for its assets and liabilities. In this sense, since a significant portion of its premiums is denominated, and much of its operations are conducted, in U.S. Dollars. Most of the company’s assets are also invested in this currency. In 2009, 79.4% of the gross premiums received by PPS were denominated in U.S. Dollars (86.4% in 2008).</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ind w:firstLine="648"/>
        <w:spacing w:after="0" w:line="273" w:lineRule="auto"/>
        <w:rPr>
          <w:sz w:val="20"/>
          <w:szCs w:val="20"/>
          <w:color w:val="auto"/>
        </w:rPr>
      </w:pPr>
      <w:r>
        <w:rPr>
          <w:rFonts w:ascii="Arial" w:cs="Arial" w:eastAsia="Arial" w:hAnsi="Arial"/>
          <w:sz w:val="17"/>
          <w:szCs w:val="17"/>
          <w:color w:val="auto"/>
        </w:rPr>
        <w:t>PPS’s investments are made primarily to meet its solvency equity ratio and to provide reserves for claims. PPS manages its investments under two distinct portfolios. The first portfolio is designed to match the liabilities of the company’s property, automobile and health lines, and the second portfolio is designed to match the liabilities of the company’s life and annuities lines. Each portfolio is managed under the authority of its own committee, which reviews portfolio strategy on a monthly basis. PPS invests in foreign markets, emphasizing investments in U.S. and European sovereign debt. PPS has adopted strict policies related to investment decisions. PPS’s investment strategies and policies are reviewed and approved by PPS Board of Directors. However, senior management also has investment authority and decision making authority with respect to investment strategies.</w:t>
      </w:r>
    </w:p>
    <w:p>
      <w:pPr>
        <w:spacing w:after="0" w:line="200" w:lineRule="exact"/>
        <w:rPr>
          <w:sz w:val="20"/>
          <w:szCs w:val="20"/>
          <w:color w:val="auto"/>
        </w:rPr>
      </w:pPr>
    </w:p>
    <w:p>
      <w:pPr>
        <w:spacing w:after="0" w:line="245" w:lineRule="exact"/>
        <w:rPr>
          <w:sz w:val="20"/>
          <w:szCs w:val="20"/>
          <w:color w:val="auto"/>
        </w:rPr>
      </w:pPr>
    </w:p>
    <w:p>
      <w:pPr>
        <w:ind w:left="1280" w:hanging="624"/>
        <w:spacing w:after="0"/>
        <w:tabs>
          <w:tab w:leader="none" w:pos="128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Grupo Crédito/Prima AFP</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Continuing to pursue its strategy of fast growth and positioning in the market, on August 24, 2006, Prima AFP reached an agreement with Grupo Santander Perú S.A. for the acquisition of 99.97% of Unión Vida AFP. Prima AFP’s acquisition was completed for a total of US$141 million, with the final purchase price being determined by arbitration proceedings between the parties. As a result, we received a reimbursement in an approximate amount of US$4.5 million. Of the US$141 million purchase price, US$112 million came from a capital increase and US$29 million came from a BCP loan. Prima AFP subsequently engaged in a tender offer directed at minority shareholders.</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2009, the pension fund market was stable with less competition for transfers and increased focus on new recruitments. Prima AFP maintained its leading market position due to a strong value proposal aimed at providing quality information and service to its members.</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Strong productivity by Prima AFP’s sales management helped Prima AFP preserve a high quality portfolio and obtain growth of its monthly insurable remuneration (or RAM), which is the basis of its revenues. The sales management’s strong productivity also contributed to Prima AFP maintaining a robust market share. With regard to contributions collection, Prima AFP maintained the largest market share (31.9% as of December 2009).</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commercial field, Prima AFP focused on recruiting new affiliates, reducing transfer volumes and maintaining its affiliate portfolio. Pursuant to in-house estimates based on revenues and taking into account the 1.75% administration fee, Prima AFP’s basis remuneration for revenues increased in 2009. This increase allowed Prima AFP once again to garner the highest share of the market (31.8%).</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With respect to investments, during 2009 the financial markets began a slow recovery process from the losses sustained after the international financial crisis in 2008. As of December 2009, Prima AFP’s funds under management reached US$6.6 billion, a 30.6% market share. Given that pension funds are long-term investments, it is best to observe their returns over a long period. Over the last 36 months, Prima AFP’s returns were 21.70%, 31.30% and 35.66% for funds 1, 2 and 3 respectively. In 2009, Prima AFP registered total revenues for US$78.8 million and profits of US$20.8 million (IFRS results) through growth of its revenue base and a gradual reduction in operative expenses. The revenues obtained in 2009, unlike those reported in 2008, considered 13 rather than 14 contribution periods. This is due to the fact that the government decided, as part of its anti-crisis plan, to exempt affiliates from deductions on additional salaries that, according to Peruvian law, must be paid in July and December.</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Income from administration fees reached US$78.8 million, 11.4% higher than 2008. This increase was made possible by a strong contributing client portfolio, which remained stable throughout 2009, and by Prima AFP’s efforts to recruit new affiliates. Prima AFP’s personnel expenses reached US$21.3 million, a 17.5% decrease from 2008. This outcome was a result of lower commercial personnel charges stemming from steps taken at the beginning of the year to reduce the sales force.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ind w:left="1280" w:hanging="624"/>
        <w:spacing w:after="0"/>
        <w:tabs>
          <w:tab w:leader="none" w:pos="128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79" w:lineRule="exact"/>
        <w:rPr>
          <w:sz w:val="20"/>
          <w:szCs w:val="20"/>
          <w:color w:val="auto"/>
        </w:rPr>
      </w:pPr>
    </w:p>
    <w:p>
      <w:pPr>
        <w:ind w:left="1360" w:hanging="704"/>
        <w:spacing w:after="0"/>
        <w:tabs>
          <w:tab w:leader="none" w:pos="13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Banking</w:t>
      </w:r>
    </w:p>
    <w:p>
      <w:pPr>
        <w:spacing w:after="0" w:line="2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Peruvian banking sector is currently composed of 15 commercial banking institutions. As of December 31, 2009, BCP ranked first among all Peruvian banks in terms of assets, deposits and loans with a market share of 36.6% of assets, 34.2% of deposits and 33.4% of loans.</w:t>
      </w:r>
    </w:p>
    <w:p>
      <w:pPr>
        <w:spacing w:after="0" w:line="170" w:lineRule="exact"/>
        <w:rPr>
          <w:sz w:val="20"/>
          <w:szCs w:val="20"/>
          <w:color w:val="auto"/>
        </w:rPr>
      </w:pPr>
    </w:p>
    <w:tbl>
      <w:tblPr>
        <w:tblLayout w:type="fixed"/>
        <w:tblInd w:w="3100" w:type="dxa"/>
        <w:tblCellMar>
          <w:top w:w="0" w:type="dxa"/>
          <w:left w:w="0" w:type="dxa"/>
          <w:bottom w:w="0" w:type="dxa"/>
          <w:right w:w="0" w:type="dxa"/>
        </w:tblCellMar>
      </w:tblPr>
      <w:tr>
        <w:trPr>
          <w:trHeight w:val="241"/>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w w:val="94"/>
              </w:rPr>
              <w:t>Major Peruvian Banks as of December 31, 2009</w:t>
            </w:r>
          </w:p>
        </w:tc>
        <w:tc>
          <w:tcPr>
            <w:tcW w:w="80" w:type="dxa"/>
            <w:vAlign w:val="bottom"/>
          </w:tcPr>
          <w:p>
            <w:pPr>
              <w:spacing w:after="0"/>
              <w:rPr>
                <w:sz w:val="20"/>
                <w:szCs w:val="20"/>
                <w:color w:val="auto"/>
              </w:rPr>
            </w:pPr>
          </w:p>
        </w:tc>
        <w:tc>
          <w:tcPr>
            <w:tcW w:w="1020" w:type="dxa"/>
            <w:vAlign w:val="bottom"/>
          </w:tcPr>
          <w:p>
            <w:pPr>
              <w:ind w:left="260"/>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20"/>
                <w:szCs w:val="20"/>
                <w:color w:val="auto"/>
              </w:rPr>
            </w:pPr>
          </w:p>
        </w:tc>
        <w:tc>
          <w:tcPr>
            <w:tcW w:w="1020" w:type="dxa"/>
            <w:vAlign w:val="bottom"/>
          </w:tcPr>
          <w:p>
            <w:pPr>
              <w:ind w:left="180"/>
              <w:spacing w:after="0"/>
              <w:rPr>
                <w:sz w:val="20"/>
                <w:szCs w:val="20"/>
                <w:color w:val="auto"/>
              </w:rPr>
            </w:pPr>
            <w:r>
              <w:rPr>
                <w:rFonts w:ascii="Arial" w:cs="Arial" w:eastAsia="Arial" w:hAnsi="Arial"/>
                <w:sz w:val="18"/>
                <w:szCs w:val="18"/>
                <w:b w:val="1"/>
                <w:bCs w:val="1"/>
                <w:color w:val="auto"/>
              </w:rPr>
              <w:t>Deposits</w:t>
            </w:r>
          </w:p>
        </w:tc>
        <w:tc>
          <w:tcPr>
            <w:tcW w:w="60" w:type="dxa"/>
            <w:vAlign w:val="bottom"/>
          </w:tcPr>
          <w:p>
            <w:pPr>
              <w:spacing w:after="0"/>
              <w:rPr>
                <w:sz w:val="20"/>
                <w:szCs w:val="20"/>
                <w:color w:val="auto"/>
              </w:rPr>
            </w:pPr>
          </w:p>
        </w:tc>
        <w:tc>
          <w:tcPr>
            <w:tcW w:w="1100" w:type="dxa"/>
            <w:vAlign w:val="bottom"/>
            <w:gridSpan w:val="2"/>
          </w:tcPr>
          <w:p>
            <w:pPr>
              <w:ind w:left="260"/>
              <w:spacing w:after="0"/>
              <w:rPr>
                <w:sz w:val="20"/>
                <w:szCs w:val="20"/>
                <w:color w:val="auto"/>
              </w:rPr>
            </w:pPr>
            <w:r>
              <w:rPr>
                <w:rFonts w:ascii="Arial" w:cs="Arial" w:eastAsia="Arial" w:hAnsi="Arial"/>
                <w:sz w:val="18"/>
                <w:szCs w:val="18"/>
                <w:b w:val="1"/>
                <w:bCs w:val="1"/>
                <w:color w:val="auto"/>
              </w:rPr>
              <w:t>Loans</w:t>
            </w:r>
          </w:p>
        </w:tc>
      </w:tr>
      <w:tr>
        <w:trPr>
          <w:trHeight w:val="216"/>
        </w:trPr>
        <w:tc>
          <w:tcPr>
            <w:tcW w:w="20" w:type="dxa"/>
            <w:vAlign w:val="bottom"/>
          </w:tcPr>
          <w:p>
            <w:pPr>
              <w:spacing w:after="0"/>
              <w:rPr>
                <w:sz w:val="18"/>
                <w:szCs w:val="18"/>
                <w:color w:val="auto"/>
              </w:rPr>
            </w:pPr>
          </w:p>
        </w:tc>
        <w:tc>
          <w:tcPr>
            <w:tcW w:w="38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BCP</w:t>
            </w:r>
          </w:p>
        </w:tc>
        <w:tc>
          <w:tcPr>
            <w:tcW w:w="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36.6%</w:t>
            </w:r>
          </w:p>
        </w:tc>
        <w:tc>
          <w:tcPr>
            <w:tcW w:w="6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34.2%</w:t>
            </w:r>
          </w:p>
        </w:tc>
        <w:tc>
          <w:tcPr>
            <w:tcW w:w="6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0"/>
              </w:rPr>
              <w:t>33.4%</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BBVA Banco Continental</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0"/>
              </w:rPr>
              <w:t>20.8%</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22.2%</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23.4%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Scotiabank Perú</w:t>
            </w:r>
          </w:p>
        </w:tc>
        <w:tc>
          <w:tcPr>
            <w:tcW w:w="110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15.9%</w:t>
            </w:r>
          </w:p>
        </w:tc>
        <w:tc>
          <w:tcPr>
            <w:tcW w:w="108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16.2%</w:t>
            </w:r>
          </w:p>
        </w:tc>
        <w:tc>
          <w:tcPr>
            <w:tcW w:w="108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15.2%</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Interbank</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0"/>
              </w:rPr>
              <w:t>11.2%</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11.9%</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0"/>
              </w:rPr>
              <w:t>11.4%</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Banco Interamericano de Finanzas</w:t>
            </w:r>
          </w:p>
        </w:tc>
        <w:tc>
          <w:tcPr>
            <w:tcW w:w="110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2"/>
              </w:rPr>
              <w:t>2.8%</w:t>
            </w:r>
          </w:p>
        </w:tc>
        <w:tc>
          <w:tcPr>
            <w:tcW w:w="108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87"/>
              </w:rPr>
              <w:t>3.4%</w:t>
            </w:r>
          </w:p>
        </w:tc>
        <w:tc>
          <w:tcPr>
            <w:tcW w:w="108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2"/>
              </w:rPr>
              <w:t>3.4%</w:t>
            </w:r>
          </w:p>
        </w:tc>
        <w:tc>
          <w:tcPr>
            <w:tcW w:w="8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Source: SBS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the Peruvian banking industry will continue to be a competitive environment within a generally comfortable liquidity situation. This increased competition may in the future affect our loan growth and reduce the average interest rates that we may charge our customers, as well as reduce our fee income.</w:t>
      </w:r>
    </w:p>
    <w:p>
      <w:pPr>
        <w:spacing w:after="0" w:line="20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Since 1999, excess liquidity at major Peruvian banks has put pressure on margins. We do not intend to pursue corporate lending opportunities that are unprofitable solely in order to maintain market share. We expect BCP’s corporate banking to grow at levels similar to GDP growth. We will seek to maintain our close relationships with corporate customers, focusing on providing prompt responses to their requirements and setting competitive prices. To this end, we are currently updating our information systems to improve customer service and to allow management to obtain information on customer and business profitability more efficiently. We also intend to expand the range of BCP’s investment banking and cash management products.</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its core corporate lending and trade finance businesses, ASHC principally competes with larger international institutions. ASHC attributes its ability to compete effectively with larger lending institutions to its (i) aggressive marketing efforts, (ii) ability as a smaller, more flexible institution to make decisions quickly and respond rapidly to customer needs, (iii) association with BCP and (iv) superior knowledge of the region, particularly the Peruvian market.</w:t>
      </w:r>
    </w:p>
    <w:p>
      <w:pPr>
        <w:spacing w:after="0" w:line="200" w:lineRule="exact"/>
        <w:rPr>
          <w:sz w:val="20"/>
          <w:szCs w:val="20"/>
          <w:color w:val="auto"/>
        </w:rPr>
      </w:pPr>
    </w:p>
    <w:p>
      <w:pPr>
        <w:spacing w:after="0" w:line="253" w:lineRule="exact"/>
        <w:rPr>
          <w:sz w:val="20"/>
          <w:szCs w:val="20"/>
          <w:color w:val="auto"/>
        </w:rPr>
      </w:pPr>
    </w:p>
    <w:p>
      <w:pPr>
        <w:ind w:left="1200" w:hanging="544"/>
        <w:spacing w:after="0"/>
        <w:tabs>
          <w:tab w:leader="none" w:pos="12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BCP’s wholesale banking group, its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(or AFPs) and mutual fund companies.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Peruvian companies have gained access to new sources of capital through the local and international capital markets. In recent years, the AFPs and mutual funds-managed assets have increased at rates over those experienced by the banking system. The private pension fund assets reached US$23.9 billion as of December 31, 2009, increasing by 51.0% since December 31, 2008 (when funds totaled US$15.9 billion), due to the effect of the international financial crisis on the Peruvian stock market and pension fund system. Total mutual funds reached US$4.9 billion in 2009, a 72.5% increase from US$2.8 billion in 2008.</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0" w:name="page51"/>
    <w:bookmarkEnd w:id="50"/>
    <w:p>
      <w:pPr>
        <w:ind w:left="1300" w:hanging="644"/>
        <w:spacing w:after="0"/>
        <w:tabs>
          <w:tab w:leader="none" w:pos="13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Institutions</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Other institutions in the Peruvian financial system tend to specialize in a given market sector. These institutions include finance companies, municipal and rural savings and credit associations, municipal public credit associations and savings and credit cooperatives. They mainly issue retail loans to small and micro-businesses and consumer and mortgage loans to individuals. These markets have shown substantial increases in recent years. BCP is facing strong competition from these credit providers, primarily with respect to (i) micro-business loans, where such providers lent US$2.4 billion as of December 31, 2009 (50.1% higher than the US$1.6 billion lent in 2008), representing 54.7% of the total in the financial system (compared to 47.2% in 2008); and (ii) consumer loans, where such providers lent US$1.1 billion in 2009 (83.6% higher than US$623.9 million in 2008), representing 15.2% of the total in the financial system (compared to 10.6% in 2008). As part of BCP’s strategy to capture the future growth of these segments in 2009, BCP acquired Edyficar, which was rated sixth in terms of loan share and whose mono-line model proved to be successful in the micro finance business.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also faces strong competition in its credit card operations from credit cards issued by retail stores.</w:t>
      </w:r>
    </w:p>
    <w:p>
      <w:pPr>
        <w:spacing w:after="0" w:line="200" w:lineRule="exact"/>
        <w:rPr>
          <w:sz w:val="20"/>
          <w:szCs w:val="20"/>
          <w:color w:val="auto"/>
        </w:rPr>
      </w:pPr>
    </w:p>
    <w:p>
      <w:pPr>
        <w:spacing w:after="0" w:line="318" w:lineRule="exact"/>
        <w:rPr>
          <w:sz w:val="20"/>
          <w:szCs w:val="20"/>
          <w:color w:val="auto"/>
        </w:rPr>
      </w:pPr>
    </w:p>
    <w:p>
      <w:pPr>
        <w:ind w:left="1340" w:hanging="684"/>
        <w:spacing w:after="0"/>
        <w:tabs>
          <w:tab w:leader="none" w:pos="1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Peruvian insurance companies compete principally on the basis of price, as well as on the basis of name recognition, customer service and product features. PPS believes that its competitive pricing, solid image, and quality of customer service are significant aspects of its overall competitiveness. While increased foreign entry into the Peruvian insurance market may put additional pressure on premium rates, particularly for commercial coverage, PPS believes that in the long-term foreign competition will increase the quality and strength of the industry. PPS believes that its size and its extensive experience in the Peruvian insurance market provide it with a competitive advantage over foreign competitors.</w:t>
      </w:r>
    </w:p>
    <w:p>
      <w:pPr>
        <w:spacing w:after="0" w:line="20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PPS to competitors of even a small number of major customers or brokers could have a material impact on PPS’s premium levels and market share.</w:t>
      </w:r>
    </w:p>
    <w:p>
      <w:pPr>
        <w:spacing w:after="0" w:line="200" w:lineRule="exact"/>
        <w:rPr>
          <w:sz w:val="20"/>
          <w:szCs w:val="20"/>
          <w:color w:val="auto"/>
        </w:rPr>
      </w:pPr>
    </w:p>
    <w:p>
      <w:pPr>
        <w:spacing w:after="0" w:line="232" w:lineRule="exact"/>
        <w:rPr>
          <w:sz w:val="20"/>
          <w:szCs w:val="20"/>
          <w:color w:val="auto"/>
        </w:rPr>
      </w:pPr>
    </w:p>
    <w:p>
      <w:pPr>
        <w:ind w:left="1280" w:hanging="624"/>
        <w:spacing w:after="0"/>
        <w:tabs>
          <w:tab w:leader="none" w:pos="128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 and Economy</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are incorporated in Bermuda, substantially all of BCP’s and PPS’s operations and customers are located in Peru. Although ASHC is based outside of Peru, a substantial number of its customers are also located in Peru. Accordingly, our results of operations and financial condition could be affected by changes in economic or other policies of the Peruvian government, which has exercised and continues to exercise a substantial influence over many aspects of the private sector. Also, our results of operations and financial condition may be affected by other political or economic developments in Peru, such as a devaluation of the Nuevo Sol relative to the U.S. Dollar or the imposition of exchange controls by the Peruvian government. See “Item 10. Additional Information—(D) Exchange Controls.” Our results of operations and financial condition are dependent on the level of economic activity in Peru.</w:t>
      </w:r>
    </w:p>
    <w:p>
      <w:pPr>
        <w:spacing w:after="0" w:line="200" w:lineRule="exact"/>
        <w:rPr>
          <w:sz w:val="20"/>
          <w:szCs w:val="20"/>
          <w:color w:val="auto"/>
        </w:rPr>
      </w:pPr>
    </w:p>
    <w:p>
      <w:pPr>
        <w:spacing w:after="0" w:line="258" w:lineRule="exact"/>
        <w:rPr>
          <w:sz w:val="20"/>
          <w:szCs w:val="20"/>
          <w:color w:val="auto"/>
        </w:rPr>
      </w:pPr>
    </w:p>
    <w:p>
      <w:pPr>
        <w:ind w:left="1360" w:hanging="704"/>
        <w:spacing w:after="0"/>
        <w:tabs>
          <w:tab w:leader="none" w:pos="13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past several decades, Peru has had a history of political instability that has included military coups d’état and different governmental regimes, which in the past have frequently intervened in the nation’s economy and social structure. See “Item 3. Key Information—(D) Risk Factors.”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 (C) Organizational Structure.”</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51" w:name="page52"/>
    <w:bookmarkEnd w:id="51"/>
    <w:p>
      <w:pPr>
        <w:jc w:val="both"/>
        <w:ind w:firstLine="648"/>
        <w:spacing w:after="0" w:line="312" w:lineRule="auto"/>
        <w:rPr>
          <w:sz w:val="20"/>
          <w:szCs w:val="20"/>
          <w:color w:val="auto"/>
        </w:rPr>
      </w:pPr>
      <w:r>
        <w:rPr>
          <w:rFonts w:ascii="Arial" w:cs="Arial" w:eastAsia="Arial" w:hAnsi="Arial"/>
          <w:sz w:val="16"/>
          <w:szCs w:val="16"/>
          <w:color w:val="auto"/>
        </w:rPr>
        <w:t>In the past, Peru experienced significant levels of terrorist activity, which escalated in the late 1980s and early 1990s. See “Item 3. Key Information —(D) Risk Factors.” Upon being elected to office in 1990, President Alberto Fujimori’s government made substantial progress in suppressing Shining Path and MRTA terrorist activity, including the arrest of the leader and second level of leadership in each terrorist group, as well as approximately 2,000 others.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Between 1990 and 2000, President Fujimori implemented a broad-based reform of Peru’s political system, economy and social conditions. See “Item</w:t>
      </w:r>
    </w:p>
    <w:p>
      <w:pPr>
        <w:spacing w:after="0" w:line="46" w:lineRule="exact"/>
        <w:rPr>
          <w:sz w:val="20"/>
          <w:szCs w:val="20"/>
          <w:color w:val="auto"/>
        </w:rPr>
      </w:pPr>
    </w:p>
    <w:p>
      <w:pPr>
        <w:jc w:val="both"/>
        <w:ind w:firstLine="8"/>
        <w:spacing w:after="0" w:line="255" w:lineRule="auto"/>
        <w:tabs>
          <w:tab w:leader="none" w:pos="191" w:val="left"/>
        </w:tabs>
        <w:numPr>
          <w:ilvl w:val="0"/>
          <w:numId w:val="55"/>
        </w:numPr>
        <w:rPr>
          <w:rFonts w:ascii="Arial" w:cs="Arial" w:eastAsia="Arial" w:hAnsi="Arial"/>
          <w:sz w:val="18"/>
          <w:szCs w:val="18"/>
          <w:color w:val="auto"/>
        </w:rPr>
      </w:pPr>
      <w:r>
        <w:rPr>
          <w:rFonts w:ascii="Arial" w:cs="Arial" w:eastAsia="Arial" w:hAnsi="Arial"/>
          <w:sz w:val="18"/>
          <w:szCs w:val="18"/>
          <w:color w:val="auto"/>
        </w:rPr>
        <w:t>Key Information—(D) Risk Factors.” President Fujimori resigned in 2000 in favor of a transitory government due to an outbreak of corruption scandals. President Toledo then assumed the presidency in 2001 after two years of political turmoil, facing high unemployment and underemployment, an economic recession and social need. In 2006, current president Alan García was elected for a five year-term.</w:t>
      </w:r>
    </w:p>
    <w:p>
      <w:pPr>
        <w:spacing w:after="0" w:line="21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Despite the economic strides achieved since 1990, poverty remains a persistent problem in Peru, with almost 40%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Until the global crisis, Peru had experienced continuous economic growth since the second half of 2001. President Toledo retained, for the most part, the economic policies of the previous government, focusing on achieving sustained economic growth by: increasing exports, reducing unemployment, reforming the tax system (primarily by increasing the tax base and improving tax collection), fostering private investment by promoting concessions, maintaining low inflation and the floating exchange rate, improving oversight, transparency guidelines and requirements in regulated sectors of the economy, improving the efficiency of the public sector, and maintaining open trade policies.</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President Toledo transferred the presidency to Alan García Pérez on July 28, 2006, following Mr. García’s victory in the run-off of the presidential elections held on June 4, 2006. Even though Mr. García´s government has mostly retained the economic policies of the previous government, 2009 showed a severe slowdown, due to the impact of the global crisis, which translated to a decrease in the GDP growth rate to 0.9% from 10.0% in the previous year.</w:t>
      </w:r>
    </w:p>
    <w:p>
      <w:pPr>
        <w:spacing w:after="0" w:line="200" w:lineRule="exact"/>
        <w:rPr>
          <w:sz w:val="20"/>
          <w:szCs w:val="20"/>
          <w:color w:val="auto"/>
        </w:rPr>
      </w:pPr>
    </w:p>
    <w:p>
      <w:pPr>
        <w:spacing w:after="0" w:line="213" w:lineRule="exact"/>
        <w:rPr>
          <w:sz w:val="20"/>
          <w:szCs w:val="20"/>
          <w:color w:val="auto"/>
        </w:rPr>
      </w:pPr>
    </w:p>
    <w:p>
      <w:pPr>
        <w:ind w:left="1320" w:hanging="650"/>
        <w:spacing w:after="0"/>
        <w:tabs>
          <w:tab w:leader="none" w:pos="132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Peruvian Economy</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the beginning of the 1990s, President Fujimori liberalized price and wage controls in the private sector, eliminated all restrictions on capital flows, instituted emergency taxes to reduce the fiscal deficit and liberalized interest rates. Furthermore, his government established an agenda to institute a wide-ranging privatization plan and re-establish relations with the international financial community. President Toledo, and now President García, continued these market-oriented policies but, facing some populist initiatives from Congress and social pressures from unions and regional movements, they have passed some interventionist measures.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late 1980s and early 1990s, the Peruvian economy was very volatile. Since 1999, the Peruvian economy has grown every year. Between 2001 and 2008, each year Peru’s economic growth was higher than in the previous year, with a 5.9% annual average. For 2009, the global crisis adversely influenced growth, but within a global comparison, Peru was among the countries with the highest GDP-growth rates: 0.9% in a year when global production decreased 1.1%.</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2009, despite the impressive growth of public investment (+25.9% after 42.8% in 2008), the main driver of growth came from foreign markets, since domestic demand decreased as a consequence of a severe drop in inventories. However, growth dynamics in the foreign sector was driven not by a growth in exports, but due to an almost 20% decrease in imports. In 2010, an additional increase in public investment is expected, as the government’s countercyclical fiscal policy winds down gradually, and regional and local elections approach. Peru will also have a presidential election in 2011, making it less likely that public investment will decline in 2010. However, total economic growth may decline given the status of the world economy and the level of eternal demand for Peruvian products.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2" w:name="page53"/>
    <w:bookmarkEnd w:id="52"/>
    <w:p>
      <w:pPr>
        <w:jc w:val="both"/>
        <w:ind w:firstLine="648"/>
        <w:spacing w:after="0" w:line="270" w:lineRule="auto"/>
        <w:rPr>
          <w:sz w:val="20"/>
          <w:szCs w:val="20"/>
          <w:color w:val="auto"/>
        </w:rPr>
      </w:pPr>
      <w:r>
        <w:rPr>
          <w:rFonts w:ascii="Arial" w:cs="Arial" w:eastAsia="Arial" w:hAnsi="Arial"/>
          <w:sz w:val="17"/>
          <w:szCs w:val="17"/>
          <w:color w:val="auto"/>
        </w:rPr>
        <w:t>The decision by the United States in August 2002 to renew and expand tax benefits through the ATPDEA for certain Latin American export products benefited the manufacturing sector because of its inclusion of Peruvian textiles. In May 2004, negotiations over a free trade agreement with the United States, Colombia and Ecuador began. During 2007, the Free Trade Agreement (FTA) with the United States was signed and the trade deal was put into effect on February 1, 2009, concluding a long process of trade negotiations and goodwill. The FTA made permanent the special access to the U.S. market enjoyed under the Andean Trade Promotion and Drug Eradication Act. The current trade between these countries is about US$11 billion annually (18.5% of total trade). The FTA is expected to encourage higher export growth and diversification, as well as accelerate reforms that will further enhance the investment climate in Peru, which is already benefiting from foreign direct investment at historic highs. During the 2008 APEC Summit, progress was made toward reaching a trade agreement with China. According to the Ministry of Foreign Trade and Tourism, the other Asian countries with which Peru is negotiating free trade agreements are Japan and South Korea, whose negotiations may be closed by mid 2010.</w:t>
      </w:r>
    </w:p>
    <w:p>
      <w:pPr>
        <w:spacing w:after="0" w:line="20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It has taken almost two decades of continued implementation of sound economic policies and a strong political commitment to generate a noticeable improvement in Peru’s economic condition. Peru’s strong macroeconomic performance was underpinned by wide-ranging structural reforms to improve the functioning of markets, foster private sector participation, and modernize the role of the state. In the early 1990s, Peru was one of the first emerging countries to undertake a simultaneous trade and capital account liberalization, accompanied by a flexible exchange rate regime and a deep reform of the financial system. Among several important transformations aimed at enhancing external competitiveness and investor confidence, Peru modernized the civil service and reformed the labor market. Peru’s authorities remain committed to prudent financial policies to preserve the macroeconomic stability and a further deepening of structural reforms to sustain growth and entrench poverty reduction.</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trade surplus in 2009 was US$5.9 billion which was well below its 2006 record (US$9 billion), but it showed signs of a recovery from the US$3.1 billion balance recorded in 2008. In light of the global financial crisis, Peru’s trade surplus was based not on a rise in exports, but on a drop in exports. Exports for 2009 decreased 14.7%, but imports dropped 26.1%. The decline in exports has the most severe effect on non-traditional exports, despite the sharp decline in commodity prices. On imports, the most severe impact was on intermediate goods, specially oil and derivatives, following the contraction in the price of crude.</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 has had a history of high and persistent current account deficits. In 2006, however, Peru had a record surplus of US$2.9 billion, which is equivalent to 3.1% of its GDP. This amount decreased in 2007, with a surplus of US$1.4 billion (1.3% of GDP) and became a deficit again in 2008 (US$4.7 billion, or 3.7% of GDP), turning back to a small surplus in 2009 following the decrease in imports (due to a lower domestic demand) and in investment income (due to lower prices of exported commodities and profits for non-resident companies).</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Peru’s financial account had a surplus of US$0.7 billion in 2006, due mainly to repayment of external debt made by the public sector. This account grew substantively in 2007 and reached US$8.3 billion due mainly to higher foreign direct investment and long-term loans. The decrease in 2008 was concentrated in the last quarter due mainly to the behavior of foreign direct investment. The flow of foreign direct investment, or FDI, into Peru was US$3.5 billion in 2006 and US$5.3 billion in 2007. Despite the US$4.0 billion in 2008 FDI, the result was not necessarily bad news as during the last quarter of 2008, Peruvian companies increased their participation in other Latin American companies, which resulted in a US$1 billion net outflow. In 2009, the financial account was about a fifth of previous years (US$1.7 billion), but it was enough to reverse the current account deficit. Lower inflows were consequence of outflows in the first half of the year given global uncertainty, but they recovered in the third and specially fourth quarter when investors adjusted their risk appetite and reassessed risks in emerging countries, which demonstrated to have solid foundations during the crisis.</w:t>
      </w:r>
    </w:p>
    <w:p>
      <w:pPr>
        <w:spacing w:after="0" w:line="20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inflation rate in Peru, as measured by the Lima consumer price index, has fallen from 7,650.0% in 1990 to 1.1% in 2006. However, despite the Peruvian Central Bank’s 2% inflation goal, with a +/-1% range, inflation was 3.9% in 2007, 6.7% in 2008, due to higher international commodity prices (with Peru being a net importer of fuel and food), and 0.3% in 2009. This is, the Central Bank has breached the inflation bands for three-years-in-a-row (last year on the downside), but it was a consequence of external shocks. When considering core inflation, it was within the band already in 2009.</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3" w:name="page54"/>
    <w:bookmarkEnd w:id="53"/>
    <w:p>
      <w:pPr>
        <w:jc w:val="both"/>
        <w:ind w:firstLine="648"/>
        <w:spacing w:after="0" w:line="297" w:lineRule="auto"/>
        <w:rPr>
          <w:sz w:val="20"/>
          <w:szCs w:val="20"/>
          <w:color w:val="auto"/>
        </w:rPr>
      </w:pPr>
      <w:r>
        <w:rPr>
          <w:rFonts w:ascii="Arial" w:cs="Arial" w:eastAsia="Arial" w:hAnsi="Arial"/>
          <w:sz w:val="16"/>
          <w:szCs w:val="16"/>
          <w:color w:val="auto"/>
        </w:rPr>
        <w:t>The average bank market exchange rate for Nuevos Soles in Peru was S/.2.89 per US$1.00 on December 31, 2009, an 8.0% appreciation considering end-of-year levels, but 11.1% when considering maxima levels reached in February. The Nuevo Sol was getting weaker during the first months of 2009 because of a “flight to quality” process, which favored positions in dollars. This generated an outflow of dollars in emerging markets, including Peru, which was partially countered by the Central Bank selling dollars in the market. Therefore, in 1Q09 Central Bank sold US$1.1 billion, but the gradual recovery of the Peruvian economy, in conjunction with lower risk aversion globally, made possible a slight positive position at the end of the year (US$108 MM).</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sound policy framework put in place in recent years and the build up of international reserves have contributed to significantly reduce Peru’s economic vulnerabilities and poverty (even though poverty still affects almost 40% of the population) and enhance its business environment. Peru’s strong fiscal surpluses in recent years, the recent moderate deficit due to countercyclical policies notwithstanding, have also supported a significant reduction in public debt and improved maturity structure. In the current uncertain global outlook, these are important fiscal buffers. A sound monetary policy, well-established in a framework that targets inflation, has also been instrumental in helping to maintain macroeconomic stability and reduce dollarization. Structural reforms have reduced Peru’s fiscal and financial vulnerabilities. Free trade agreements and the search of new markets to open new trade destinations, lower informality, and improvement in the business climate have helped improve Peru’s long-term growth prospects, which are reflected in a higher investment and a higher potential growth.</w:t>
      </w:r>
    </w:p>
    <w:p>
      <w:pPr>
        <w:spacing w:after="0" w:line="2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achievements have placed Peru in a strong position to face any future deterioration in external conditions, should that be the case. Building on Peru’s strong fundamentals, including a resilient financial system, several measures have been appropriately implemented by the authorities that will help to limit spillovers, preserve adequate liquidity conditions in the domestic markets, and bolster domestic confidence. The Peruvian financial system has proven to be strong, despite a moderate impact of the crisis. Credit, which averages a 31.5% growth in 2007 and 2008, lost dynamism, closing 2009 with only a 9.0% growth, albeit amongst the highest in the region.</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Peruvian authorities have been implementing reforms to further strengthen its financial system. Large official reserves—currently over US$30 billion, equivalent to 13 months of imports—and strong financial soundness indicators, along with the banks’ limited financial reliance on external funding, have helped preserve the system’s stability. Peruvian authorities have recently introduced prudential measures, including more restrictive rules for consumer credit and new dynamic provisioning made effective last December, and strengthened banks’ minimum capital requirements as Basel II is gradually implemented.</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the fiscal side, Peruvian authorities have announced several measures to shield its economy from the global crisis and enhance confidence. These measures include maintaining a program of public investment as well as maintaining support for construction, micro and small enterprises, exporters, and social programs. To further boost confidence, the authorities have also lined up access to contingent credit lines from official creditors. The total amount of these programs is over US$3 billion, which is financed with the public savings of previous years. The issue is currently not whether the government has enough resources to implement its countercyclical policy, but rather the pace at which it is implementing such policy in the context where central government decisions have lost importance and resources have been increasingly transferred to local and regional governments.</w:t>
      </w:r>
    </w:p>
    <w:p>
      <w:pPr>
        <w:spacing w:after="0" w:line="20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a result, the near term domestic economic outlook still remains favorable, although if external risks materialize, their impact on the Peruvian economy could be strong. The pace of economic growth is expected to be around 5.0% in 2010, reflecting a moderate global recovery, and a more vigorous domestic demand. With the global demand still contained, inflation should remain around the 2% (+/- 1%) target range. A more severe and prolonged global slowdown, including a new global recession, in a framework of an electoral calendar due to Municipal and Presidential elections in 2010 and 2011, respectively, constitute downside risks to the growth outlook. Peru’s medium-term prospects are favorable and require preserving prudent macroeconomic policies and dealing with long-standing structural challenges.</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4" w:name="page55"/>
    <w:bookmarkEnd w:id="54"/>
    <w:p>
      <w:pPr>
        <w:ind w:left="1300" w:hanging="644"/>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The Peruvian Financial System</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our activities are conducted primarily through banking and insurance subsidiaries operating in Peru, a summary of the Peruvian financial system is set forth below.</w:t>
      </w:r>
    </w:p>
    <w:p>
      <w:pPr>
        <w:spacing w:after="0" w:line="200" w:lineRule="exact"/>
        <w:rPr>
          <w:sz w:val="20"/>
          <w:szCs w:val="20"/>
          <w:color w:val="auto"/>
        </w:rPr>
      </w:pPr>
    </w:p>
    <w:p>
      <w:pPr>
        <w:spacing w:after="0" w:line="237" w:lineRule="exact"/>
        <w:rPr>
          <w:sz w:val="20"/>
          <w:szCs w:val="20"/>
          <w:color w:val="auto"/>
        </w:rPr>
      </w:pPr>
    </w:p>
    <w:p>
      <w:pPr>
        <w:ind w:left="1320" w:hanging="650"/>
        <w:spacing w:after="0"/>
        <w:tabs>
          <w:tab w:leader="none" w:pos="132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2009, the Peruvian financial system consisted of the following principal participants: the Central Bank, the SBS, 15 banking institutions (not including Banco de la Nación, a Peruvian state-owned bank), six finance companies, and four leasing companies. In addition, Peru has various mutual mortgage associations, municipal and rural savings and credit associations, municipal public credit associations and savings and credit cooperatives, which totaled 34 entities as of December 31, 2009.</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present text of Law 26702 was passed in December 1996. Law 26702 regulates Peruvian financial and insurance companies. In general, it provides for tighter loan loss reserve standards, brings asset risk weighting in line with Basel Committee on Banking Regulations and Supervisory Practices of International Settlements (or the Basel Accord) guidelines, broadens supervision of financial institutions by the SBS to include holding companies, and includes specific treatment of a series of recently developed products in the capital markets and derivatives areas. The primary law governing the Peruvian financial system before the enactment of Law 26702 was Legislative Decree 637, passed in 1991 and amended by Legislative Decree 770, which substantially reformed the Peruvian financial system and modified regulations initially issued in 1930.</w:t>
      </w:r>
    </w:p>
    <w:p>
      <w:pPr>
        <w:spacing w:after="0" w:line="200" w:lineRule="exact"/>
        <w:rPr>
          <w:sz w:val="20"/>
          <w:szCs w:val="20"/>
          <w:color w:val="auto"/>
        </w:rPr>
      </w:pPr>
    </w:p>
    <w:p>
      <w:pPr>
        <w:spacing w:after="0" w:line="245" w:lineRule="exact"/>
        <w:rPr>
          <w:sz w:val="20"/>
          <w:szCs w:val="20"/>
          <w:color w:val="auto"/>
        </w:rPr>
      </w:pPr>
    </w:p>
    <w:p>
      <w:pPr>
        <w:ind w:left="1320" w:hanging="650"/>
        <w:spacing w:after="0"/>
        <w:tabs>
          <w:tab w:leader="none" w:pos="132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Central Bank</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Central Reserve Bank (or the Central Bank) was established in 1922. Pursuant to the Peruvian Constitution, its primary role is to ensure the stability of the Peruvian monetary system. The Central Bank regulates Peru’s money supply, administers international reserves, issues currency, determines Peru’s balance of payments and other monetary accounts, and furnishes information regarding the country’s financial situation. It also represents the government of Peru before the IMF and the Latin American Reserve Fund (a financial institution whose purpose is to provide balance of payments assistance to its member countries by granting credits or guaranteeing loans to third parties).</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highest decision-making authority within the Central Bank is its seven-member board of directors. Each director serves a five-year term. Of the seven directors, four are selected by the executive branch and three are selected by the Congress. The Chairman of the Central Bank is one of the executive branch nominees but must be approved by Peru’s Congress.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Central Bank’s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200" w:lineRule="exact"/>
        <w:rPr>
          <w:sz w:val="20"/>
          <w:szCs w:val="20"/>
          <w:color w:val="auto"/>
        </w:rPr>
      </w:pPr>
    </w:p>
    <w:p>
      <w:pPr>
        <w:spacing w:after="0" w:line="247" w:lineRule="exact"/>
        <w:rPr>
          <w:sz w:val="20"/>
          <w:szCs w:val="20"/>
          <w:color w:val="auto"/>
        </w:rPr>
      </w:pPr>
    </w:p>
    <w:p>
      <w:pPr>
        <w:ind w:left="1320" w:hanging="650"/>
        <w:spacing w:after="0"/>
        <w:tabs>
          <w:tab w:leader="none" w:pos="132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SBS</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SBS, whose authority and activities are discussed in “—(11) Supervision and Regulation,” is the regulatory authority in charge of implementing and enforcing Law 26702 and, more generally, supervising and regulating all financial, insurance and pension fund institutions in Peru.</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55" w:name="page56"/>
    <w:bookmarkEnd w:id="55"/>
    <w:p>
      <w:pPr>
        <w:jc w:val="both"/>
        <w:ind w:firstLine="648"/>
        <w:spacing w:after="0" w:line="264" w:lineRule="auto"/>
        <w:rPr>
          <w:sz w:val="20"/>
          <w:szCs w:val="20"/>
          <w:color w:val="auto"/>
        </w:rPr>
      </w:pPr>
      <w:r>
        <w:rPr>
          <w:rFonts w:ascii="Arial" w:cs="Arial" w:eastAsia="Arial" w:hAnsi="Arial"/>
          <w:sz w:val="18"/>
          <w:szCs w:val="18"/>
          <w:color w:val="auto"/>
        </w:rPr>
        <w:t>In June 2008, Law 1028 and 1052 were approved modifying Law 26702 with the following objectives: (i) to strengthen and to increase competitiveness, (ii) to implement Basel II and (iii) to adapt the current regulatory framework to the Agreement of Commercial Promotion, APC, signed between Peru and the United States.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main amendments defined in Law 1028 were aimed to promote the development of Peruvian capital market by extending the range of financial services that could be offered by microfinance institutions (</w:t>
      </w:r>
      <w:r>
        <w:rPr>
          <w:rFonts w:ascii="Arial" w:cs="Arial" w:eastAsia="Arial" w:hAnsi="Arial"/>
          <w:sz w:val="18"/>
          <w:szCs w:val="18"/>
          <w:i w:val="1"/>
          <w:iCs w:val="1"/>
          <w:color w:val="auto"/>
        </w:rPr>
        <w:t>i.e.</w:t>
      </w:r>
      <w:r>
        <w:rPr>
          <w:rFonts w:ascii="Arial" w:cs="Arial" w:eastAsia="Arial" w:hAnsi="Arial"/>
          <w:sz w:val="18"/>
          <w:szCs w:val="18"/>
          <w:color w:val="auto"/>
        </w:rPr>
        <w:t>, non-banks) without requiring SBS permission.</w:t>
      </w:r>
    </w:p>
    <w:p>
      <w:pPr>
        <w:spacing w:after="0" w:line="19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Law 1028 also modified the framework in which the Peruvian financial system is to be harmonized with the new international standards established by the Basel II Accord (which aims to minimize the issues regarding regulatory arbitrage). Starting in July 2009, Peruvian financial institutions will apply the standardized method to calculate their capital requirement related to credit, market and operational risk. Also, from July 2009, the SBS will start receiving applications to use Internal Models Methods for any of these three risks. Meanwhile, if an institution requires lower capital using its internal models than by using the current approach, it will have to maintain between 80% and 95% of the higher amount during the first years.</w:t>
      </w:r>
    </w:p>
    <w:p>
      <w:pPr>
        <w:spacing w:after="0" w:line="2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Law 1052 aims to include and synchronize Law 26702 and the APC’s framework, particularly regarding insurance services. The amendments allow offering cross-border services and have simplified the process for international institutions to enter into the Peruvian market by establishing subsidiaries.</w:t>
      </w:r>
    </w:p>
    <w:p>
      <w:pPr>
        <w:spacing w:after="0" w:line="390" w:lineRule="exact"/>
        <w:rPr>
          <w:sz w:val="20"/>
          <w:szCs w:val="20"/>
          <w:color w:val="auto"/>
        </w:rPr>
      </w:pPr>
    </w:p>
    <w:p>
      <w:pPr>
        <w:ind w:left="1320" w:hanging="650"/>
        <w:spacing w:after="0"/>
        <w:tabs>
          <w:tab w:leader="none" w:pos="132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System Institutions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bank is defined by Law 26702 as an enterprise whose principal business consists of (i) receiving money from the public, whether by deposits or by any other form of contract, and (ii) using such money (together with the bank’s own capital and funds obtained from other sources) to grant loans or discount documents, or in operations that are subject to market risks.</w:t>
      </w:r>
    </w:p>
    <w:p>
      <w:pPr>
        <w:spacing w:after="0" w:line="20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with the mortgage loans;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those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Peru; (xiii) acting as financial agent for investments in Peru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addition, banks may carry out financial leasing operations by forming separate departments or subsidiaries. Banks may also promote and direct operations in foreign commerce, underwrite initial public offerings, and provide financial advisory services apart from the administration of their clients’ investment portfolios. By forming a separate department within the bank, banks may also act as trustees in trust agreements.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6" w:name="page57"/>
    <w:bookmarkEnd w:id="56"/>
    <w:p>
      <w:pPr>
        <w:jc w:val="both"/>
        <w:ind w:firstLine="648"/>
        <w:spacing w:after="0" w:line="277"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to establish and administer mutual funds.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Branches of foreign banks enjoy the same rights and are subject to the same obligations as Peruvian banks. Multinational banks, with operations in various countries, may perform the same activities as Peruvian banks, although their foreign activities are not subject to Peruvian regulations. To carry out banking operations in the local market, multinational banks must maintain a certain portion of their capital in Peru, in at least the minimum amount that is required of Peruvian banks.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Companies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and (ii) participating in derivative operations. These operations can be carried out by finance companies only if they fulfill the requirements stated by the Peruvian Bank Superintendency.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Financial Institutions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where goods are leased over the term of the contract and in which one party has the option of purchasing the goods at a predetermined price. Savings and loans associations or cooperatives may accept certain types of savings deposits and provide other similar financial services.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Peru also has numerous mutual housing associations, municipal savings and credit associations, savings and credit cooperatives and municipal credit bureaus. The impact of these institutions on the financial system in Peru has not been significant.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Companies</w:t>
      </w:r>
    </w:p>
    <w:p>
      <w:pPr>
        <w:spacing w:after="0" w:line="25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Since the Peruvian insurance industry was deregulated in 1991, insurance companies have been authorized to conduct all types of operations and to enter into all forms of agreements that are needed to offer risk coverage to customers. Insurance companies may also invest in financial and non-financial assets, although they are subject to the regulations on investments and reserves established in Law 26702 and the regulations issued by the SBS.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is the principal law governing insurance companies in Peru. The SBS is charged with the supervision and regulation of all insurance companies. The formation of an insurance company requires prior authorization of the SBS.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insurance industry has experienced consolidation in recent years with the number of companies decreasing from 19 in 1991 to 14 in 2009.</w:t>
      </w:r>
    </w:p>
    <w:p>
      <w:pPr>
        <w:spacing w:after="0" w:line="200" w:lineRule="exact"/>
        <w:rPr>
          <w:sz w:val="20"/>
          <w:szCs w:val="20"/>
          <w:color w:val="auto"/>
        </w:rPr>
      </w:pPr>
    </w:p>
    <w:p>
      <w:pPr>
        <w:spacing w:after="0" w:line="303" w:lineRule="exact"/>
        <w:rPr>
          <w:sz w:val="20"/>
          <w:szCs w:val="20"/>
          <w:color w:val="auto"/>
        </w:rPr>
      </w:pPr>
    </w:p>
    <w:p>
      <w:pPr>
        <w:ind w:left="1300" w:hanging="644"/>
        <w:spacing w:after="0"/>
        <w:tabs>
          <w:tab w:leader="none" w:pos="13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and Regulation</w:t>
      </w:r>
    </w:p>
    <w:p>
      <w:pPr>
        <w:spacing w:after="0" w:line="252" w:lineRule="exact"/>
        <w:rPr>
          <w:sz w:val="20"/>
          <w:szCs w:val="20"/>
          <w:color w:val="auto"/>
        </w:rPr>
      </w:pPr>
    </w:p>
    <w:p>
      <w:pPr>
        <w:ind w:left="1320" w:hanging="650"/>
        <w:spacing w:after="0"/>
        <w:tabs>
          <w:tab w:leader="none" w:pos="132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Currently there are no applicable regulations under Bermuda law that are likely to materially impact our operations as they are currently structured. Under Bermuda law, there is no regulation applicable to us, as a holding company that would require that we separate the operations of our subsidiaries incorporated and existing outside Bermuda. Since our activities will be conducted primarily through our subsidiaries in Peru, the Cayman Islands and Bolivia, a summary of Peruvian banking and insurance regulations and Cayman Islands banking regulations is set forth below.</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7" w:name="page58"/>
    <w:bookmarkEnd w:id="57"/>
    <w:p>
      <w:pPr>
        <w:jc w:val="both"/>
        <w:ind w:right="20" w:firstLine="648"/>
        <w:spacing w:after="0" w:line="277" w:lineRule="auto"/>
        <w:rPr>
          <w:sz w:val="20"/>
          <w:szCs w:val="20"/>
          <w:color w:val="auto"/>
        </w:rPr>
      </w:pPr>
      <w:r>
        <w:rPr>
          <w:rFonts w:ascii="Arial" w:cs="Arial" w:eastAsia="Arial" w:hAnsi="Arial"/>
          <w:sz w:val="18"/>
          <w:szCs w:val="18"/>
          <w:color w:val="auto"/>
        </w:rPr>
        <w:t>Our common shares are listed on the New York Stock Exchange (NYSE). We are therefore subject to regulation by the NYSE and the Securities and Exchange Commission (SEC) as a “foreign issuer.” We also must comply with the Sarbanes-Oxley Act of 2002.</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are, along with BCP, subject to certain requirements set forth in Peruvian Law 26702 (“Peruvian Banking Law” or “Law 26702”) as well as certain banking statutes issued by the Peruvian banking regulator, Superintendencia de Banca y Seguros y AFP (SBS), including SBS Resolution No.0446-2000, enacted in June 2000 and which approved the “Regulation of the Consolidated Supervision of Financial and Mixed Conglomerates.” These regulations affect BCP and us primarily in the areas of reporting, risk control guidelines, limitations, ratios and capital requirements.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our common shares are listed on the Lima Stock Exchange in addition to the New York Stock Exchange, we are subject to certain reporting requirements to CONASEV, the Peruvian securities market regulator, and the Lima Stock Exchange. See “Item 9. The Offer and Listing—(C) Markets—The Lima Stock Exchange—(ii) Market Regulation.”</w:t>
      </w:r>
    </w:p>
    <w:p>
      <w:pPr>
        <w:spacing w:after="0" w:line="200" w:lineRule="exact"/>
        <w:rPr>
          <w:sz w:val="20"/>
          <w:szCs w:val="20"/>
          <w:color w:val="auto"/>
        </w:rPr>
      </w:pPr>
    </w:p>
    <w:p>
      <w:pPr>
        <w:spacing w:after="0" w:line="247" w:lineRule="exact"/>
        <w:rPr>
          <w:sz w:val="20"/>
          <w:szCs w:val="20"/>
          <w:color w:val="auto"/>
        </w:rPr>
      </w:pPr>
    </w:p>
    <w:p>
      <w:pPr>
        <w:ind w:left="1320" w:hanging="650"/>
        <w:spacing w:after="0"/>
        <w:tabs>
          <w:tab w:leader="none" w:pos="13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BCP</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operations are regulated by Peruvian law. The regulations for the operation of the Peruvian financial sector are stated in Law 26702. The SBS periodically issues resolutions that cause Law 26702 to be developed. See “—(10) The Peruvian Financial System.” The SBS, under the direction of the Superintendency of Banks and Insurance Companies, supervises and regulates entities that Law 26702 classifies as financial institutions. These entities include commercial banks, finance companies, small business finance companies, savings and loan corporations, financial services companies such as trust companies and investment banks, and insurance companies. Financial institutions must seek the SBS’s authorization before beginning operations.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operations are supervised and regulated by the SBS and the Central Bank. Those who violate Law 26702 and its underlying regulations are subject to administrative sanctions and criminal penalties. Additionally, the SBS and the Central Bank have the authority to issue fines to financial institutions and their directors and officers if they violate the laws or regulations of Peru, or their own institutions’ bye-laws.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CONASEV is the Peruvian government institution in charge of (i) promoting the securities market, (ii) making sure fair competition takes place in the securities markets, (iii) supervising the management of businesses that trade in the securities markets and (iv) regulating their activities and accounting practices. BCP must inform CONASEV of significant events that affect its business and is required to provide financial statements to it and the Lima Stock Exchange each quarter. BCP is also regulated by CONASEV through Credibolsa, which is BCP’s wholly-owned brokerage house, and Credifondo, which is BCP’s wholly-owned mutual fund administration company. CONASEV examines Credibolsa and Credifondo on a regular basis.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banks may conduct brokerage operations and administer mutual funds but must do so through subsidiaries. However, bank employees may market the financial products of the bank’s brokerage and mutual fund subsidiaries. Banks are prohibited from issuing insurance policies, but are not prohibited from distributing insurance policies issued by insurance companies.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Authority of the SBS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Peru’s Constitution and Law 26702 (which contains the statutory charter of the SBS) grant the SBS the authority to oversee and control banks and financial institutions (with the exception of brokerage firms), insurance and reinsurance companies, companies that receive deposits from the general public and other similar entities as defined by the law. The SBS is also responsible for supervising the Central Bank to ensure that it abides by its statutory charter and bye-laws. Law 27328, enacted in July 2000, transferred to the SBS the supervision and regulation of the pension funds private administrators (“AFPs”) which were previously supervised and regulated by a specialized entity.</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8" w:name="page59"/>
    <w:bookmarkEnd w:id="58"/>
    <w:p>
      <w:pPr>
        <w:jc w:val="both"/>
        <w:ind w:firstLine="648"/>
        <w:spacing w:after="0" w:line="269" w:lineRule="auto"/>
        <w:rPr>
          <w:sz w:val="20"/>
          <w:szCs w:val="20"/>
          <w:color w:val="auto"/>
        </w:rPr>
      </w:pPr>
      <w:r>
        <w:rPr>
          <w:rFonts w:ascii="Arial" w:cs="Arial" w:eastAsia="Arial" w:hAnsi="Arial"/>
          <w:sz w:val="17"/>
          <w:szCs w:val="17"/>
          <w:color w:val="auto"/>
        </w:rPr>
        <w:t>The SBS has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dissolutions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us); (iv) reviewing the bye-laws and amendments of bye-laws of these companies; (v) issuing criteria governing the transfer of bank shares, when permitted by law, for valuation of assets and liabilities and for minimum capital requirements; and (vi) controlling the Central de Riesgos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Peru’s banks). In addition to them, the SBS is also responsible for stating the criteria relating to the existence of financial or mixed conglomerates in Peru and their supervising.</w:t>
      </w:r>
    </w:p>
    <w:p>
      <w:pPr>
        <w:spacing w:after="0" w:line="2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a consequence of it, despite its supervising to BCP, the SBS also supervises Credicorp Ltd. on the basis that we are a financial conglomerate conducting the majority of our operations in Peru.</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of Operational Risk</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SBS Resolutions No. 006-2002 and 37-2008 established guidelines for operational risk management, which includes a broad range of risks and defines operational risks as those dealing with the possibility of suffering financial losses due to deficiencies in internal procedures, information technology or personnel, or the occurrence of adverse external events. Its also establishes responsibilities for developing policies and procedures to identify, measure, control and report such risks. Banks are required to adequately manage risks involved in the performance and continuity of their operations and services in order to minimize possible financial losses and reputation damage due to inadequate or non-existent policies or procedures.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following these SBS guidelines, as well as the guidelines issued by the Basel Committee on Banking Supervision, and the advice of international consultants, has appointed a specialized team that is responsible for operational risk management across our organization. This team reports regularly to our risk committee, top managers and Board of Directors.</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be guided by the risk control standards of international financial institutions that are noted for their leadership in this field. Our overall objective is to implement an efficient and permanent monitoring system to control operational risks, while the actual management of risk control procedures is conducted by the areas that carry out critical activities.</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During 2008 and 2009, we broadened the responsibility of our operational risk team. First, along with critical processes and new products risk analysis, we are assessing operational risks related to critical suppliers, critical information assets, and technological components. Secondly, we have also fully developed the business continuity management, or BCM, discipline, which involves the implementation of continuity plans for critical business processes, incident management and training and testing. Thirdly, we implement procedures to register, collect, analyze and report risk operational losses looking forward to advanced models to operational risk capital allocation requirements. Lastly, we formed the monitoring and reporting team, which main objective is to follow up the actions plans, monitor the KRI and other performance indicators.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9" w:name="page60"/>
    <w:bookmarkEnd w:id="59"/>
    <w:p>
      <w:pPr>
        <w:jc w:val="both"/>
        <w:ind w:firstLine="648"/>
        <w:spacing w:after="0" w:line="257" w:lineRule="auto"/>
        <w:rPr>
          <w:sz w:val="20"/>
          <w:szCs w:val="20"/>
          <w:color w:val="auto"/>
        </w:rPr>
      </w:pPr>
      <w:r>
        <w:rPr>
          <w:rFonts w:ascii="Arial" w:cs="Arial" w:eastAsia="Arial" w:hAnsi="Arial"/>
          <w:sz w:val="18"/>
          <w:szCs w:val="18"/>
          <w:color w:val="auto"/>
        </w:rPr>
        <w:t>Pursuant to Section 404 of the Sarbanes-Oxley Act of 2002, we are required to make certain certifications regarding our internal controls over financial reporting as of December 31, 2009. We have developed internal methods to evaluate how effective our internal controls are over our financial reporting. In addition, we are implementing computer programs that will allow us to continuously monitor, assess and document our internal controls. During 2009, we completed our evaluation of internal controls over financial reporting and are now able to obtain the attestation of our independent auditors. See “Item 15. Controls and Procedures.”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Adequacy Requirements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capital adequacy requirements are set forth in the Peruvian Banking Law (Law 26702) and monitored and regulated by the Superintendency of Banks, Insurance and Private Pension Funds Administrators (the “SBS”). Law 26702 was enacted in December 1996 and amended in June 2008 through Legislative Decree 1028. The amendment became effective in July 2009 and required the capital guidelines to conform to the standards established by the second Basel Accord (Basel II).</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Basel II standards modified the methodology to measure credit, market and operational risks to permit the use of standardized and internal model-based methods. Basel II standards also permit Peruvian financial institutions to request permission from the SBS to implement an internal ratings-based (“IRB”) methodology.</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institutions that receive approval from the SBS to use the IRB methodology are subject to regulatory capital floors. The amount of required capital may not be less than the percentage of capital required under an alternative methodology.</w:t>
      </w:r>
    </w:p>
    <w:p>
      <w:pPr>
        <w:spacing w:after="0" w:line="193" w:lineRule="exact"/>
        <w:rPr>
          <w:sz w:val="20"/>
          <w:szCs w:val="20"/>
          <w:color w:val="auto"/>
        </w:rPr>
      </w:pPr>
    </w:p>
    <w:tbl>
      <w:tblPr>
        <w:tblLayout w:type="fixed"/>
        <w:tblInd w:w="126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p>
        </w:tc>
        <w:tc>
          <w:tcPr>
            <w:tcW w:w="15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First Year</w:t>
            </w: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7"/>
              </w:rPr>
              <w:t>Second Year</w:t>
            </w:r>
          </w:p>
        </w:tc>
        <w:tc>
          <w:tcPr>
            <w:tcW w:w="1280" w:type="dxa"/>
            <w:vAlign w:val="bottom"/>
          </w:tcPr>
          <w:p>
            <w:pPr>
              <w:ind w:left="220"/>
              <w:spacing w:after="0"/>
              <w:rPr>
                <w:sz w:val="20"/>
                <w:szCs w:val="20"/>
                <w:color w:val="auto"/>
              </w:rPr>
            </w:pPr>
            <w:r>
              <w:rPr>
                <w:rFonts w:ascii="Arial" w:cs="Arial" w:eastAsia="Arial" w:hAnsi="Arial"/>
                <w:sz w:val="18"/>
                <w:szCs w:val="18"/>
                <w:b w:val="1"/>
                <w:bCs w:val="1"/>
                <w:color w:val="auto"/>
              </w:rPr>
              <w:t>Third Year</w:t>
            </w:r>
          </w:p>
        </w:tc>
      </w:tr>
      <w:tr>
        <w:trPr>
          <w:trHeight w:val="216"/>
        </w:trPr>
        <w:tc>
          <w:tcPr>
            <w:tcW w:w="4700" w:type="dxa"/>
            <w:vAlign w:val="bottom"/>
            <w:shd w:val="clear" w:color="auto" w:fill="CCFFCC"/>
          </w:tcPr>
          <w:p>
            <w:pPr>
              <w:spacing w:after="0"/>
              <w:rPr>
                <w:sz w:val="20"/>
                <w:szCs w:val="20"/>
                <w:color w:val="auto"/>
              </w:rPr>
            </w:pPr>
            <w:r>
              <w:rPr>
                <w:rFonts w:ascii="Arial" w:cs="Arial" w:eastAsia="Arial" w:hAnsi="Arial"/>
                <w:sz w:val="18"/>
                <w:szCs w:val="18"/>
                <w:color w:val="auto"/>
              </w:rPr>
              <w:t>Basic IRB and Internal Models of Credit Risk</w:t>
            </w:r>
          </w:p>
        </w:tc>
        <w:tc>
          <w:tcPr>
            <w:tcW w:w="1520" w:type="dxa"/>
            <w:vAlign w:val="bottom"/>
            <w:shd w:val="clear" w:color="auto" w:fill="CCFFCC"/>
          </w:tcPr>
          <w:p>
            <w:pPr>
              <w:jc w:val="center"/>
              <w:ind w:left="230"/>
              <w:spacing w:after="0"/>
              <w:rPr>
                <w:sz w:val="20"/>
                <w:szCs w:val="20"/>
                <w:color w:val="auto"/>
              </w:rPr>
            </w:pPr>
            <w:r>
              <w:rPr>
                <w:rFonts w:ascii="Arial" w:cs="Arial" w:eastAsia="Arial" w:hAnsi="Arial"/>
                <w:sz w:val="18"/>
                <w:szCs w:val="18"/>
                <w:color w:val="auto"/>
                <w:w w:val="88"/>
              </w:rPr>
              <w:t>95%</w:t>
            </w:r>
          </w:p>
        </w:tc>
        <w:tc>
          <w:tcPr>
            <w:tcW w:w="14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8"/>
              </w:rPr>
              <w:t>90%</w:t>
            </w:r>
          </w:p>
        </w:tc>
        <w:tc>
          <w:tcPr>
            <w:tcW w:w="128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80%</w:t>
            </w: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Advanced Models of Credit Risk and/or Operational Risk</w:t>
            </w:r>
          </w:p>
        </w:tc>
        <w:tc>
          <w:tcPr>
            <w:tcW w:w="1520" w:type="dxa"/>
            <w:vAlign w:val="bottom"/>
          </w:tcPr>
          <w:p>
            <w:pPr>
              <w:jc w:val="center"/>
              <w:ind w:left="230"/>
              <w:spacing w:after="0"/>
              <w:rPr>
                <w:sz w:val="20"/>
                <w:szCs w:val="20"/>
                <w:color w:val="auto"/>
              </w:rPr>
            </w:pPr>
            <w:r>
              <w:rPr>
                <w:rFonts w:ascii="Arial" w:cs="Arial" w:eastAsia="Arial" w:hAnsi="Arial"/>
                <w:sz w:val="18"/>
                <w:szCs w:val="18"/>
                <w:color w:val="auto"/>
                <w:w w:val="88"/>
              </w:rPr>
              <w:t>90%</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80%</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Prior to June 2009, the capital requirements were based upon the guidelines established by the first Basel Accord (Basel I). Financial institutions were required to limit risk-weighted assets to 11 times their regulatory capital (“patrimonio efectivo”), which is equivalent to a minimum capital ratio of 9.09% of risk-weighted assets. Risk-weighted assets were calculated based upon five risk categories depending on the perceived risk of each asset class.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Basel II guidelines, financial institutions are required to hold regulatory capital (“patrimonio efectivo”) that is greater than or equal to the sum of (i) 10% of credit risk-weighted assets, and (ii) 10 times the amount required to cover market and operational risks. The new minimum capital requirements will be implemented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2"/>
              </w:rPr>
              <w:t>Regulatory capital</w:t>
            </w:r>
          </w:p>
        </w:tc>
        <w:tc>
          <w:tcPr>
            <w:tcW w:w="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3"/>
              </w:rPr>
              <w:t>Implementation</w:t>
            </w:r>
          </w:p>
        </w:tc>
        <w:tc>
          <w:tcPr>
            <w:tcW w:w="10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1"/>
              </w:rPr>
              <w:t>(% of total weighted</w:t>
            </w:r>
          </w:p>
        </w:tc>
        <w:tc>
          <w:tcPr>
            <w:tcW w:w="8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41"/>
        </w:trPr>
        <w:tc>
          <w:tcPr>
            <w:tcW w:w="1560" w:type="dxa"/>
            <w:vAlign w:val="bottom"/>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date</w:t>
            </w:r>
          </w:p>
        </w:tc>
        <w:tc>
          <w:tcPr>
            <w:tcW w:w="10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0"/>
              </w:rPr>
              <w:t>assets)</w:t>
            </w:r>
          </w:p>
        </w:tc>
        <w:tc>
          <w:tcPr>
            <w:tcW w:w="80" w:type="dxa"/>
            <w:vAlign w:val="bottom"/>
          </w:tcPr>
          <w:p>
            <w:pPr>
              <w:spacing w:after="0"/>
              <w:rPr>
                <w:sz w:val="20"/>
                <w:szCs w:val="20"/>
                <w:color w:val="auto"/>
              </w:rPr>
            </w:pPr>
          </w:p>
        </w:tc>
        <w:tc>
          <w:tcPr>
            <w:tcW w:w="4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Total risk-weighted assets</w:t>
            </w:r>
          </w:p>
        </w:tc>
        <w:tc>
          <w:tcPr>
            <w:tcW w:w="1540" w:type="dxa"/>
            <w:vAlign w:val="bottom"/>
          </w:tcPr>
          <w:p>
            <w:pPr>
              <w:spacing w:after="0"/>
              <w:rPr>
                <w:sz w:val="20"/>
                <w:szCs w:val="20"/>
                <w:color w:val="auto"/>
              </w:rPr>
            </w:pPr>
          </w:p>
        </w:tc>
      </w:tr>
      <w:tr>
        <w:trPr>
          <w:trHeight w:val="202"/>
        </w:trPr>
        <w:tc>
          <w:tcPr>
            <w:tcW w:w="1560" w:type="dxa"/>
            <w:vAlign w:val="bottom"/>
          </w:tcPr>
          <w:p>
            <w:pPr>
              <w:spacing w:after="0"/>
              <w:rPr>
                <w:sz w:val="17"/>
                <w:szCs w:val="17"/>
                <w:color w:val="auto"/>
              </w:rPr>
            </w:pPr>
          </w:p>
        </w:tc>
        <w:tc>
          <w:tcPr>
            <w:tcW w:w="1520" w:type="dxa"/>
            <w:vAlign w:val="bottom"/>
            <w:shd w:val="clear" w:color="auto" w:fill="CCFFCC"/>
          </w:tcPr>
          <w:p>
            <w:pPr>
              <w:jc w:val="center"/>
              <w:spacing w:after="0" w:line="202" w:lineRule="exact"/>
              <w:rPr>
                <w:sz w:val="20"/>
                <w:szCs w:val="20"/>
                <w:color w:val="auto"/>
              </w:rPr>
            </w:pPr>
            <w:r>
              <w:rPr>
                <w:rFonts w:ascii="Arial" w:cs="Arial" w:eastAsia="Arial" w:hAnsi="Arial"/>
                <w:sz w:val="17"/>
                <w:szCs w:val="17"/>
                <w:color w:val="auto"/>
                <w:w w:val="92"/>
              </w:rPr>
              <w:t>July 1</w:t>
            </w:r>
            <w:r>
              <w:rPr>
                <w:rFonts w:ascii="Arial" w:cs="Arial" w:eastAsia="Arial" w:hAnsi="Arial"/>
                <w:sz w:val="23"/>
                <w:szCs w:val="23"/>
                <w:color w:val="auto"/>
                <w:w w:val="92"/>
                <w:vertAlign w:val="superscript"/>
              </w:rPr>
              <w:t>st</w:t>
            </w:r>
            <w:r>
              <w:rPr>
                <w:rFonts w:ascii="Arial" w:cs="Arial" w:eastAsia="Arial" w:hAnsi="Arial"/>
                <w:sz w:val="17"/>
                <w:szCs w:val="17"/>
                <w:color w:val="auto"/>
                <w:w w:val="92"/>
              </w:rPr>
              <w:t>, 2009</w:t>
            </w:r>
          </w:p>
        </w:tc>
        <w:tc>
          <w:tcPr>
            <w:tcW w:w="1960" w:type="dxa"/>
            <w:vAlign w:val="bottom"/>
            <w:gridSpan w:val="2"/>
            <w:shd w:val="clear" w:color="auto" w:fill="CCFFCC"/>
          </w:tcPr>
          <w:p>
            <w:pPr>
              <w:jc w:val="center"/>
              <w:spacing w:after="0" w:line="201" w:lineRule="exact"/>
              <w:rPr>
                <w:sz w:val="20"/>
                <w:szCs w:val="20"/>
                <w:color w:val="auto"/>
              </w:rPr>
            </w:pPr>
            <w:r>
              <w:rPr>
                <w:rFonts w:ascii="Arial" w:cs="Arial" w:eastAsia="Arial" w:hAnsi="Arial"/>
                <w:sz w:val="18"/>
                <w:szCs w:val="18"/>
                <w:color w:val="auto"/>
                <w:w w:val="87"/>
              </w:rPr>
              <w:t>9.5%</w:t>
            </w:r>
          </w:p>
        </w:tc>
        <w:tc>
          <w:tcPr>
            <w:tcW w:w="80" w:type="dxa"/>
            <w:vAlign w:val="bottom"/>
            <w:shd w:val="clear" w:color="auto" w:fill="CCFFCC"/>
          </w:tcPr>
          <w:p>
            <w:pPr>
              <w:spacing w:after="0"/>
              <w:rPr>
                <w:sz w:val="17"/>
                <w:szCs w:val="17"/>
                <w:color w:val="auto"/>
              </w:rPr>
            </w:pPr>
          </w:p>
        </w:tc>
        <w:tc>
          <w:tcPr>
            <w:tcW w:w="47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 xml:space="preserve">10.5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market risks;</w:t>
            </w:r>
          </w:p>
        </w:tc>
        <w:tc>
          <w:tcPr>
            <w:tcW w:w="1540" w:type="dxa"/>
            <w:vAlign w:val="bottom"/>
          </w:tcPr>
          <w:p>
            <w:pPr>
              <w:spacing w:after="0"/>
              <w:rPr>
                <w:sz w:val="17"/>
                <w:szCs w:val="17"/>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 xml:space="preserve">10.5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regulatory capital needed to cover operational risks;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15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Total amount of credit risk-weighted assets.</w:t>
            </w:r>
          </w:p>
        </w:tc>
        <w:tc>
          <w:tcPr>
            <w:tcW w:w="1540" w:type="dxa"/>
            <w:vAlign w:val="bottom"/>
          </w:tcPr>
          <w:p>
            <w:pPr>
              <w:spacing w:after="0"/>
              <w:rPr>
                <w:sz w:val="20"/>
                <w:szCs w:val="20"/>
                <w:color w:val="auto"/>
              </w:rPr>
            </w:pPr>
          </w:p>
        </w:tc>
      </w:tr>
      <w:tr>
        <w:trPr>
          <w:trHeight w:val="202"/>
        </w:trPr>
        <w:tc>
          <w:tcPr>
            <w:tcW w:w="1560" w:type="dxa"/>
            <w:vAlign w:val="bottom"/>
          </w:tcPr>
          <w:p>
            <w:pPr>
              <w:spacing w:after="0"/>
              <w:rPr>
                <w:sz w:val="17"/>
                <w:szCs w:val="17"/>
                <w:color w:val="auto"/>
              </w:rPr>
            </w:pPr>
          </w:p>
        </w:tc>
        <w:tc>
          <w:tcPr>
            <w:tcW w:w="1520" w:type="dxa"/>
            <w:vAlign w:val="bottom"/>
          </w:tcPr>
          <w:p>
            <w:pPr>
              <w:jc w:val="center"/>
              <w:spacing w:after="0" w:line="202" w:lineRule="exact"/>
              <w:rPr>
                <w:sz w:val="20"/>
                <w:szCs w:val="20"/>
                <w:color w:val="auto"/>
              </w:rPr>
            </w:pPr>
            <w:r>
              <w:rPr>
                <w:rFonts w:ascii="Arial" w:cs="Arial" w:eastAsia="Arial" w:hAnsi="Arial"/>
                <w:sz w:val="17"/>
                <w:szCs w:val="17"/>
                <w:color w:val="auto"/>
                <w:w w:val="92"/>
              </w:rPr>
              <w:t>July 1</w:t>
            </w:r>
            <w:r>
              <w:rPr>
                <w:rFonts w:ascii="Arial" w:cs="Arial" w:eastAsia="Arial" w:hAnsi="Arial"/>
                <w:sz w:val="23"/>
                <w:szCs w:val="23"/>
                <w:color w:val="auto"/>
                <w:w w:val="92"/>
                <w:vertAlign w:val="superscript"/>
              </w:rPr>
              <w:t>st</w:t>
            </w:r>
            <w:r>
              <w:rPr>
                <w:rFonts w:ascii="Arial" w:cs="Arial" w:eastAsia="Arial" w:hAnsi="Arial"/>
                <w:sz w:val="17"/>
                <w:szCs w:val="17"/>
                <w:color w:val="auto"/>
                <w:w w:val="92"/>
              </w:rPr>
              <w:t>, 2010</w:t>
            </w:r>
          </w:p>
        </w:tc>
        <w:tc>
          <w:tcPr>
            <w:tcW w:w="196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7"/>
              </w:rPr>
              <w:t>9.8%</w:t>
            </w:r>
          </w:p>
        </w:tc>
        <w:tc>
          <w:tcPr>
            <w:tcW w:w="80" w:type="dxa"/>
            <w:vAlign w:val="bottom"/>
          </w:tcPr>
          <w:p>
            <w:pPr>
              <w:spacing w:after="0"/>
              <w:rPr>
                <w:sz w:val="17"/>
                <w:szCs w:val="17"/>
                <w:color w:val="auto"/>
              </w:rPr>
            </w:pPr>
          </w:p>
        </w:tc>
        <w:tc>
          <w:tcPr>
            <w:tcW w:w="4760" w:type="dxa"/>
            <w:vAlign w:val="bottom"/>
          </w:tcPr>
          <w:p>
            <w:pPr>
              <w:jc w:val="center"/>
              <w:spacing w:after="0" w:line="201" w:lineRule="exact"/>
              <w:rPr>
                <w:sz w:val="20"/>
                <w:szCs w:val="20"/>
                <w:color w:val="auto"/>
              </w:rPr>
            </w:pPr>
            <w:r>
              <w:rPr>
                <w:rFonts w:ascii="Arial" w:cs="Arial" w:eastAsia="Arial" w:hAnsi="Arial"/>
                <w:sz w:val="18"/>
                <w:szCs w:val="18"/>
                <w:color w:val="auto"/>
                <w:w w:val="90"/>
              </w:rPr>
              <w:t xml:space="preserve">10.2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market risks;</w:t>
            </w:r>
          </w:p>
        </w:tc>
        <w:tc>
          <w:tcPr>
            <w:tcW w:w="1540" w:type="dxa"/>
            <w:vAlign w:val="bottom"/>
          </w:tcPr>
          <w:p>
            <w:pPr>
              <w:spacing w:after="0"/>
              <w:rPr>
                <w:sz w:val="17"/>
                <w:szCs w:val="17"/>
                <w:color w:val="auto"/>
              </w:rPr>
            </w:pPr>
          </w:p>
        </w:tc>
      </w:tr>
      <w:tr>
        <w:trPr>
          <w:trHeight w:val="216"/>
        </w:trPr>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0"/>
              </w:rPr>
              <w:t xml:space="preserve">10.2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operational</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5"/>
              </w:rPr>
              <w:t>risks;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760" w:type="dxa"/>
            <w:vAlign w:val="bottom"/>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760" w:type="dxa"/>
            <w:vAlign w:val="bottom"/>
          </w:tcPr>
          <w:p>
            <w:pPr>
              <w:jc w:val="center"/>
              <w:spacing w:after="0"/>
              <w:rPr>
                <w:sz w:val="20"/>
                <w:szCs w:val="20"/>
                <w:color w:val="auto"/>
              </w:rPr>
            </w:pPr>
            <w:r>
              <w:rPr>
                <w:rFonts w:ascii="Arial" w:cs="Arial" w:eastAsia="Arial" w:hAnsi="Arial"/>
                <w:sz w:val="18"/>
                <w:szCs w:val="18"/>
                <w:color w:val="auto"/>
                <w:w w:val="90"/>
              </w:rPr>
              <w:t>Total amount of credit risk-weighted assets.</w:t>
            </w:r>
          </w:p>
        </w:tc>
        <w:tc>
          <w:tcPr>
            <w:tcW w:w="1540" w:type="dxa"/>
            <w:vAlign w:val="bottom"/>
          </w:tcPr>
          <w:p>
            <w:pPr>
              <w:spacing w:after="0"/>
              <w:rPr>
                <w:sz w:val="20"/>
                <w:szCs w:val="20"/>
                <w:color w:val="auto"/>
              </w:rPr>
            </w:pPr>
          </w:p>
        </w:tc>
      </w:tr>
      <w:tr>
        <w:trPr>
          <w:trHeight w:val="202"/>
        </w:trPr>
        <w:tc>
          <w:tcPr>
            <w:tcW w:w="1560" w:type="dxa"/>
            <w:vAlign w:val="bottom"/>
          </w:tcPr>
          <w:p>
            <w:pPr>
              <w:spacing w:after="0"/>
              <w:rPr>
                <w:sz w:val="17"/>
                <w:szCs w:val="17"/>
                <w:color w:val="auto"/>
              </w:rPr>
            </w:pPr>
          </w:p>
        </w:tc>
        <w:tc>
          <w:tcPr>
            <w:tcW w:w="1520" w:type="dxa"/>
            <w:vAlign w:val="bottom"/>
            <w:shd w:val="clear" w:color="auto" w:fill="CCFFCC"/>
          </w:tcPr>
          <w:p>
            <w:pPr>
              <w:jc w:val="center"/>
              <w:spacing w:after="0" w:line="202" w:lineRule="exact"/>
              <w:rPr>
                <w:sz w:val="20"/>
                <w:szCs w:val="20"/>
                <w:color w:val="auto"/>
              </w:rPr>
            </w:pPr>
            <w:r>
              <w:rPr>
                <w:rFonts w:ascii="Arial" w:cs="Arial" w:eastAsia="Arial" w:hAnsi="Arial"/>
                <w:sz w:val="17"/>
                <w:szCs w:val="17"/>
                <w:color w:val="auto"/>
                <w:w w:val="92"/>
              </w:rPr>
              <w:t>July 1</w:t>
            </w:r>
            <w:r>
              <w:rPr>
                <w:rFonts w:ascii="Arial" w:cs="Arial" w:eastAsia="Arial" w:hAnsi="Arial"/>
                <w:sz w:val="23"/>
                <w:szCs w:val="23"/>
                <w:color w:val="auto"/>
                <w:w w:val="92"/>
                <w:vertAlign w:val="superscript"/>
              </w:rPr>
              <w:t>st</w:t>
            </w:r>
            <w:r>
              <w:rPr>
                <w:rFonts w:ascii="Arial" w:cs="Arial" w:eastAsia="Arial" w:hAnsi="Arial"/>
                <w:sz w:val="17"/>
                <w:szCs w:val="17"/>
                <w:color w:val="auto"/>
                <w:w w:val="92"/>
              </w:rPr>
              <w:t>, 2011</w:t>
            </w:r>
          </w:p>
        </w:tc>
        <w:tc>
          <w:tcPr>
            <w:tcW w:w="1960" w:type="dxa"/>
            <w:vAlign w:val="bottom"/>
            <w:gridSpan w:val="2"/>
            <w:shd w:val="clear" w:color="auto" w:fill="CCFFCC"/>
          </w:tcPr>
          <w:p>
            <w:pPr>
              <w:jc w:val="center"/>
              <w:spacing w:after="0" w:line="201" w:lineRule="exact"/>
              <w:rPr>
                <w:sz w:val="20"/>
                <w:szCs w:val="20"/>
                <w:color w:val="auto"/>
              </w:rPr>
            </w:pPr>
            <w:r>
              <w:rPr>
                <w:rFonts w:ascii="Arial" w:cs="Arial" w:eastAsia="Arial" w:hAnsi="Arial"/>
                <w:sz w:val="18"/>
                <w:szCs w:val="18"/>
                <w:color w:val="auto"/>
                <w:w w:val="88"/>
              </w:rPr>
              <w:t>10%</w:t>
            </w:r>
          </w:p>
        </w:tc>
        <w:tc>
          <w:tcPr>
            <w:tcW w:w="80" w:type="dxa"/>
            <w:vAlign w:val="bottom"/>
            <w:shd w:val="clear" w:color="auto" w:fill="CCFFCC"/>
          </w:tcPr>
          <w:p>
            <w:pPr>
              <w:spacing w:after="0"/>
              <w:rPr>
                <w:sz w:val="17"/>
                <w:szCs w:val="17"/>
                <w:color w:val="auto"/>
              </w:rPr>
            </w:pPr>
          </w:p>
        </w:tc>
        <w:tc>
          <w:tcPr>
            <w:tcW w:w="47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 xml:space="preserve">10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market risks;</w:t>
            </w:r>
          </w:p>
        </w:tc>
        <w:tc>
          <w:tcPr>
            <w:tcW w:w="1540" w:type="dxa"/>
            <w:vAlign w:val="bottom"/>
          </w:tcPr>
          <w:p>
            <w:pPr>
              <w:spacing w:after="0"/>
              <w:rPr>
                <w:sz w:val="17"/>
                <w:szCs w:val="17"/>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 xml:space="preserve">10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operational risks;</w:t>
            </w:r>
          </w:p>
        </w:tc>
        <w:tc>
          <w:tcPr>
            <w:tcW w:w="1540" w:type="dxa"/>
            <w:vAlign w:val="bottom"/>
          </w:tcPr>
          <w:p>
            <w:pPr>
              <w:spacing w:after="0"/>
              <w:rPr>
                <w:sz w:val="18"/>
                <w:szCs w:val="18"/>
                <w:color w:val="auto"/>
              </w:rPr>
            </w:pPr>
          </w:p>
        </w:tc>
      </w:tr>
      <w:tr>
        <w:trPr>
          <w:trHeight w:val="216"/>
        </w:trPr>
        <w:tc>
          <w:tcPr>
            <w:tcW w:w="1560" w:type="dxa"/>
            <w:vAlign w:val="bottom"/>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c>
          <w:tcPr>
            <w:tcW w:w="1540" w:type="dxa"/>
            <w:vAlign w:val="bottom"/>
          </w:tcPr>
          <w:p>
            <w:pPr>
              <w:spacing w:after="0"/>
              <w:rPr>
                <w:sz w:val="18"/>
                <w:szCs w:val="18"/>
                <w:color w:val="auto"/>
              </w:rPr>
            </w:pPr>
          </w:p>
        </w:tc>
      </w:tr>
      <w:tr>
        <w:trPr>
          <w:trHeight w:val="230"/>
        </w:trPr>
        <w:tc>
          <w:tcPr>
            <w:tcW w:w="1560" w:type="dxa"/>
            <w:vAlign w:val="bottom"/>
          </w:tcPr>
          <w:p>
            <w:pPr>
              <w:spacing w:after="0"/>
              <w:rPr>
                <w:sz w:val="20"/>
                <w:szCs w:val="20"/>
                <w:color w:val="auto"/>
              </w:rPr>
            </w:pPr>
          </w:p>
        </w:tc>
        <w:tc>
          <w:tcPr>
            <w:tcW w:w="15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8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47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Total amount of credit risk-weighted assets.</w:t>
            </w:r>
          </w:p>
        </w:tc>
        <w:tc>
          <w:tcPr>
            <w:tcW w:w="1540" w:type="dxa"/>
            <w:vAlign w:val="bottom"/>
          </w:tcPr>
          <w:p>
            <w:pPr>
              <w:spacing w:after="0"/>
              <w:rPr>
                <w:sz w:val="20"/>
                <w:szCs w:val="20"/>
                <w:color w:val="auto"/>
              </w:rPr>
            </w:pPr>
          </w:p>
        </w:tc>
      </w:tr>
      <w:tr>
        <w:trPr>
          <w:trHeight w:val="702"/>
        </w:trPr>
        <w:tc>
          <w:tcPr>
            <w:tcW w:w="1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840" w:type="dxa"/>
            <w:vAlign w:val="bottom"/>
            <w:gridSpan w:val="2"/>
          </w:tcPr>
          <w:p>
            <w:pPr>
              <w:jc w:val="right"/>
              <w:ind w:right="3990"/>
              <w:spacing w:after="0"/>
              <w:rPr>
                <w:sz w:val="20"/>
                <w:szCs w:val="20"/>
                <w:color w:val="auto"/>
              </w:rPr>
            </w:pPr>
            <w:r>
              <w:rPr>
                <w:rFonts w:ascii="Arial" w:cs="Arial" w:eastAsia="Arial" w:hAnsi="Arial"/>
                <w:sz w:val="18"/>
                <w:szCs w:val="18"/>
                <w:color w:val="auto"/>
              </w:rPr>
              <w:t>56</w:t>
            </w:r>
          </w:p>
        </w:tc>
        <w:tc>
          <w:tcPr>
            <w:tcW w:w="1540" w:type="dxa"/>
            <w:vAlign w:val="bottom"/>
          </w:tcPr>
          <w:p>
            <w:pPr>
              <w:spacing w:after="0"/>
              <w:rPr>
                <w:sz w:val="24"/>
                <w:szCs w:val="24"/>
                <w:color w:val="auto"/>
              </w:rPr>
            </w:pPr>
          </w:p>
        </w:tc>
      </w:tr>
      <w:tr>
        <w:trPr>
          <w:trHeight w:val="118"/>
        </w:trPr>
        <w:tc>
          <w:tcPr>
            <w:tcW w:w="156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4760" w:type="dxa"/>
            <w:vAlign w:val="bottom"/>
            <w:tcBorders>
              <w:bottom w:val="single" w:sz="8" w:color="808080"/>
            </w:tcBorders>
          </w:tcPr>
          <w:p>
            <w:pPr>
              <w:spacing w:after="0"/>
              <w:rPr>
                <w:sz w:val="10"/>
                <w:szCs w:val="10"/>
                <w:color w:val="auto"/>
              </w:rPr>
            </w:pPr>
          </w:p>
        </w:tc>
        <w:tc>
          <w:tcPr>
            <w:tcW w:w="15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0" w:name="page61"/>
    <w:bookmarkEnd w:id="60"/>
    <w:p>
      <w:pPr>
        <w:ind w:firstLine="648"/>
        <w:spacing w:after="0" w:line="308" w:lineRule="auto"/>
        <w:rPr>
          <w:sz w:val="20"/>
          <w:szCs w:val="20"/>
          <w:color w:val="auto"/>
        </w:rPr>
      </w:pPr>
      <w:r>
        <w:rPr>
          <w:rFonts w:ascii="Arial" w:cs="Arial" w:eastAsia="Arial" w:hAnsi="Arial"/>
          <w:sz w:val="17"/>
          <w:szCs w:val="17"/>
          <w:color w:val="auto"/>
        </w:rPr>
        <w:t>Article 184 of Law 26702, as amended by Legislative Decree 1028, provides that regulatory capital may be used to cover credit risk, market risk and operational risk. Regulatory capital is comprised of the sum of basic capital and supplementary capital, and is calculated as follows:</w:t>
      </w:r>
    </w:p>
    <w:p>
      <w:pPr>
        <w:spacing w:after="0" w:line="174" w:lineRule="exact"/>
        <w:rPr>
          <w:sz w:val="20"/>
          <w:szCs w:val="20"/>
          <w:color w:val="auto"/>
        </w:rPr>
      </w:pPr>
    </w:p>
    <w:p>
      <w:pPr>
        <w:jc w:val="both"/>
        <w:ind w:left="660" w:hanging="328"/>
        <w:spacing w:after="0" w:line="270" w:lineRule="auto"/>
        <w:tabs>
          <w:tab w:leader="none" w:pos="660" w:val="left"/>
        </w:tabs>
        <w:numPr>
          <w:ilvl w:val="0"/>
          <w:numId w:val="65"/>
        </w:numPr>
        <w:rPr>
          <w:rFonts w:ascii="Arial" w:cs="Arial" w:eastAsia="Arial" w:hAnsi="Arial"/>
          <w:sz w:val="17"/>
          <w:szCs w:val="17"/>
          <w:color w:val="auto"/>
        </w:rPr>
      </w:pPr>
      <w:r>
        <w:rPr>
          <w:rFonts w:ascii="Arial" w:cs="Arial" w:eastAsia="Arial" w:hAnsi="Arial"/>
          <w:sz w:val="17"/>
          <w:szCs w:val="17"/>
          <w:i w:val="1"/>
          <w:iCs w:val="1"/>
          <w:color w:val="auto"/>
        </w:rPr>
        <w:t>Basic Capita</w:t>
      </w:r>
      <w:r>
        <w:rPr>
          <w:rFonts w:ascii="Arial" w:cs="Arial" w:eastAsia="Arial" w:hAnsi="Arial"/>
          <w:sz w:val="17"/>
          <w:szCs w:val="17"/>
          <w:color w:val="auto"/>
        </w:rPr>
        <w:t>l: Basic Capital or Tier 1 capital is comprised of: (i) paid-in-capital (which includes common stock and perpetual non-cumulative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legal reserves, supplementary capital premiums, voluntary reserves distributable only with prior SBS approval, and retained earnings with capitalization agreements (earnings that the shareholders or the Board of Directors, as the case may be, have committed to capitalize as common stock); (ii) other elements that have characteristics of permanence and loss absorption that are in compliance with regulations enacted by the SBS; and (iii) unrealized gains in Subsidiaries. Items deducted from Tier 1 capital include: (i) current and past years’ unrealized losses; (ii) deficits of loan loss provisions; (iii) goodwill resulting from corporate reorganizations or acquisitions; and (iv) half of the amount referred to in “Deductions” below. Absent any Tier 2 capital, 100% of the amount referred to in “Deductions” below must be deducted from Tier 1 capital. The elements referred to in item (ii) above should not exceed 17.65% of the amount resulting from adding components (i) and (iii) of Tier 1 capital net of the deductions in (i), (ii) and (iii) in this paragraph.</w:t>
      </w:r>
    </w:p>
    <w:p>
      <w:pPr>
        <w:spacing w:after="0" w:line="208" w:lineRule="exact"/>
        <w:rPr>
          <w:rFonts w:ascii="Arial" w:cs="Arial" w:eastAsia="Arial" w:hAnsi="Arial"/>
          <w:sz w:val="17"/>
          <w:szCs w:val="17"/>
          <w:color w:val="auto"/>
        </w:rPr>
      </w:pPr>
    </w:p>
    <w:p>
      <w:pPr>
        <w:ind w:left="980" w:hanging="324"/>
        <w:spacing w:after="0"/>
        <w:tabs>
          <w:tab w:leader="none" w:pos="980" w:val="left"/>
        </w:tabs>
        <w:numPr>
          <w:ilvl w:val="1"/>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Supplementary Capital: </w:t>
      </w:r>
      <w:r>
        <w:rPr>
          <w:rFonts w:ascii="Arial" w:cs="Arial" w:eastAsia="Arial" w:hAnsi="Arial"/>
          <w:sz w:val="16"/>
          <w:szCs w:val="16"/>
          <w:color w:val="auto"/>
        </w:rPr>
        <w:t>Supplementary capital is comprised of the sum of certain elements from Tier 2 capital and Tier 3 capital. Tier 2 capital</w:t>
      </w:r>
    </w:p>
    <w:p>
      <w:pPr>
        <w:spacing w:after="0" w:line="46" w:lineRule="exact"/>
        <w:rPr>
          <w:rFonts w:ascii="Arial" w:cs="Arial" w:eastAsia="Arial" w:hAnsi="Arial"/>
          <w:sz w:val="16"/>
          <w:szCs w:val="16"/>
          <w:color w:val="auto"/>
        </w:rPr>
      </w:pPr>
    </w:p>
    <w:p>
      <w:pPr>
        <w:jc w:val="both"/>
        <w:ind w:left="980"/>
        <w:spacing w:after="0" w:line="270" w:lineRule="auto"/>
        <w:rPr>
          <w:rFonts w:ascii="Arial" w:cs="Arial" w:eastAsia="Arial" w:hAnsi="Arial"/>
          <w:sz w:val="16"/>
          <w:szCs w:val="16"/>
          <w:color w:val="auto"/>
        </w:rPr>
      </w:pPr>
      <w:r>
        <w:rPr>
          <w:rFonts w:ascii="Arial" w:cs="Arial" w:eastAsia="Arial" w:hAnsi="Arial"/>
          <w:sz w:val="17"/>
          <w:szCs w:val="17"/>
          <w:color w:val="auto"/>
        </w:rPr>
        <w:t>elements include: (i) voluntary reserves that may be reduced without prior consent from the SBS; (ii) the eligible portion of redeemable subordinated debt and of any other components that have characteristics of debt and equity as provided by the SBS; (iii) for banks using the Standardized Approach Method (SAM), the generic loan loss provision up to 1.25% of credit risk-weighted assets; or, alternatively, for banks using the Internal Ratings-Based Method (IRB), the generic loan loss provision up to 0.6% of total credit risk-weighted assets (pursuant to article 189 of the Law); and (iv) half of the amount referred to in “Deductions” below. Tier 3 capital is comprised of redeemable subordinated debt that is incurred with the exclusive purpose of covering market risk, as referred to in Article 233 of the Law.</w:t>
      </w:r>
    </w:p>
    <w:p>
      <w:pPr>
        <w:spacing w:after="0" w:line="205"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1"/>
          <w:numId w:val="65"/>
        </w:numPr>
        <w:rPr>
          <w:rFonts w:ascii="Arial" w:cs="Arial" w:eastAsia="Arial" w:hAnsi="Arial"/>
          <w:sz w:val="16"/>
          <w:szCs w:val="16"/>
          <w:color w:val="auto"/>
        </w:rPr>
      </w:pPr>
      <w:r>
        <w:rPr>
          <w:rFonts w:ascii="Arial" w:cs="Arial" w:eastAsia="Arial" w:hAnsi="Arial"/>
          <w:sz w:val="16"/>
          <w:szCs w:val="16"/>
          <w:i w:val="1"/>
          <w:iCs w:val="1"/>
          <w:color w:val="auto"/>
        </w:rPr>
        <w:t xml:space="preserve">Deductions: </w:t>
      </w:r>
      <w:r>
        <w:rPr>
          <w:rFonts w:ascii="Arial" w:cs="Arial" w:eastAsia="Arial" w:hAnsi="Arial"/>
          <w:sz w:val="16"/>
          <w:szCs w:val="16"/>
          <w:color w:val="auto"/>
        </w:rPr>
        <w:t>The following are deducted from Tier 1 and Tier 2 capital: (i) all investments in shares and subordinated debt issued by other local</w:t>
      </w:r>
      <w:r>
        <w:rPr>
          <w:rFonts w:ascii="Arial" w:cs="Arial" w:eastAsia="Arial" w:hAnsi="Arial"/>
          <w:sz w:val="16"/>
          <w:szCs w:val="16"/>
          <w:i w:val="1"/>
          <w:iCs w:val="1"/>
          <w:color w:val="auto"/>
        </w:rPr>
        <w:t xml:space="preserve"> </w:t>
      </w:r>
      <w:r>
        <w:rPr>
          <w:rFonts w:ascii="Arial" w:cs="Arial" w:eastAsia="Arial" w:hAnsi="Arial"/>
          <w:sz w:val="16"/>
          <w:szCs w:val="16"/>
          <w:color w:val="auto"/>
        </w:rPr>
        <w:t>or foreign financial institutions and insurance companies; (ii) all investments in shares and subordinated debt issued by an affiliate with which the bank consolidates its financial statements, including its holding company and such subsidiaries referred to in Articles 34 and 224 of the Law;</w:t>
      </w:r>
    </w:p>
    <w:p>
      <w:pPr>
        <w:jc w:val="both"/>
        <w:ind w:left="980"/>
        <w:spacing w:after="0" w:line="271" w:lineRule="auto"/>
        <w:tabs>
          <w:tab w:leader="none" w:pos="1310" w:val="left"/>
        </w:tabs>
        <w:numPr>
          <w:ilvl w:val="2"/>
          <w:numId w:val="65"/>
        </w:numPr>
        <w:rPr>
          <w:rFonts w:ascii="Arial" w:cs="Arial" w:eastAsia="Arial" w:hAnsi="Arial"/>
          <w:sz w:val="17"/>
          <w:szCs w:val="17"/>
          <w:color w:val="auto"/>
        </w:rPr>
      </w:pPr>
      <w:r>
        <w:rPr>
          <w:rFonts w:ascii="Arial" w:cs="Arial" w:eastAsia="Arial" w:hAnsi="Arial"/>
          <w:sz w:val="17"/>
          <w:szCs w:val="17"/>
          <w:color w:val="auto"/>
        </w:rPr>
        <w:t>the amount in which an investment in shares issued by a company with which the bank does not consolidate its financial statements and which is not part of the bank’s negotiable portfolio, exceeds 15% of the bank’s regulatory capital; (iv) the aggregate amount of all investments in shares issued by companies with which the bank does not consolidate its financial statements and which are not part of the bank’s negotiable portfolio, exceeds 60% of the regulatory capital; (v) when applicable, the amount resulting from the formula prescribed in Article 189 of the Law. For the purposes herein, “regulatory capital” excludes the amounts referred to in (iii), (iv) and (iv) of this paragraph.</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1" w:name="page62"/>
    <w:bookmarkEnd w:id="61"/>
    <w:p>
      <w:pPr>
        <w:jc w:val="both"/>
        <w:ind w:firstLine="648"/>
        <w:spacing w:after="0" w:line="257" w:lineRule="auto"/>
        <w:rPr>
          <w:sz w:val="20"/>
          <w:szCs w:val="20"/>
          <w:color w:val="auto"/>
        </w:rPr>
      </w:pPr>
      <w:r>
        <w:rPr>
          <w:rFonts w:ascii="Arial" w:cs="Arial" w:eastAsia="Arial" w:hAnsi="Arial"/>
          <w:sz w:val="18"/>
          <w:szCs w:val="18"/>
          <w:color w:val="auto"/>
        </w:rPr>
        <w:t>Article 185 of the Law 26702 also provides that the following limits apply when calculating regulatory capital: (i) the aggregate amount of supplementary capital must not exceed the aggregate amount of basic capital; (ii) the amount of redeemable Tier 2 subordinated instruments must be limited to 50% of the amount resulting from the sum of Tier 1 elements net of the deductions in (i), (ii), and (iii) in “Basic Capital” above; (iii) the amount of Tier 3 capital must be limited to 250% of the amount resulting from the sum of Tier 1 elements net of the deductions (i), (ii), and (iii) in “Basic Capital” above in the amounts assigned to cover market risk.</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2009, BCP’s regulatory capital was 14.52% of unconsolidated risk-weighted assets, which is equivalent to having risk-weighted assets that are 6.88 times the amount of regulatory capital.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Pursuant to Article 67 of Law 26702, all banks must maintain legal reserves. Each year a bank must allocate 10% of its net income to its legal reserves until its legal reserves are equal to 35% of its paid-in capital stock. Any subsequent increase in paid-in capital requires a corresponding increase in the amount of legal reserves. As of December 31, 2009, BCP’s consolidated legal reserves were S/.546.5 million (US$189 million), equivalent to 21.7% of BCP’s paid-in capital as of such date. Paid-in capital increased by S/.720 million during 2009 due to the capitalization of 2008, and paid-in capital is expected to increase by an additional S/.329.5 million in 2010 as a consequence of the capitalization of 2009 earnings. Consequently, BCP has communicated to the SBS that it intends to reclassify S/.348.7 million of voluntary reserves into legal reserves to ensure its legal reserves equal 35% of paid-in capital.</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Loan Losses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SBS has authority to establish loan reserves and issue guidelines for the provision of loan losses by Peruvian credit institutions, including commercial banks. SBS Resolution No. 41-2005, enacted in January 2005, requires additional provisions for loans subject to foreign exchange risk, which are recorded for local purposes. Beginning in July 2010, SBS Resolution No. 11356-2008, enacted in November 2008, will require commercial banks to implement a new framework for the assessment and classification of debtors. The SBS Resolution also required the establishment of pro-cyclical provisions starting December 2008. However, given the good evolution of Peruvian GDP in 2009, the “procyclical” provisions were canceled in September 2009. We estimate and record our allowance for loan losses according to the criteria set out in IAS 39, adjusting the local provisions as necessary. See Note 3(f)(ii) and 3(i) to the Credicorp Consolidated Financial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Country Risk</w:t>
      </w:r>
    </w:p>
    <w:p>
      <w:pPr>
        <w:spacing w:after="0" w:line="25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SBS Resolution No. 505-2002 requires the establishment of provisions for exposure to country risk, which includes sovereign risk, transfer risk and expropriation or nationalization risk that may affect operations with companies or individuals in foreign countries. The SBS has also established guidelines for the procedures and responsibilities for the management of country risk. We estimate and record our allowance for country risk according to the criteria set out in IAS 39. See Note 3(f)(ii) and 3(i) to the Credicorp Consolidated Financial Statements.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Central Bank Reserve Requirements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Law 26702, banks and financial institutions are required to maintain legal reserve requirements for certain obligations. In the case of obligations in local currency, the Central Bank requires financial institutions only to comply with the legal reserve requirement. There is no additional reserve for obligations in local currency. In the case of foreign currency obligations, banks are also required to have marginal reserve requirements. The exact level and method of calculation of the reserve requirement is established by the Central Bank. The reserve requirements in Peru apply to obligations such as demand and time deposits, savings accounts, securities, certain bonds and funds administered by the bank. Additionally, the Central Bank requires reserves on amounts due to subsidiaries, foreign banks and other foreign financial institutions. The Central Bank exempts the obligations from any institution subject to reserve requirements in the local financial system. Furthermore, foreign credits with period equal or older than 2 years and funding from the public sector directed to the microfinance sector are not subject to the regulation, among other exemptions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2" w:name="page63"/>
    <w:bookmarkEnd w:id="62"/>
    <w:p>
      <w:pPr>
        <w:jc w:val="both"/>
        <w:ind w:firstLine="648"/>
        <w:spacing w:after="0" w:line="254" w:lineRule="auto"/>
        <w:rPr>
          <w:sz w:val="20"/>
          <w:szCs w:val="20"/>
          <w:color w:val="auto"/>
        </w:rPr>
      </w:pPr>
      <w:r>
        <w:rPr>
          <w:rFonts w:ascii="Arial" w:cs="Arial" w:eastAsia="Arial" w:hAnsi="Arial"/>
          <w:sz w:val="18"/>
          <w:szCs w:val="18"/>
          <w:color w:val="auto"/>
        </w:rPr>
        <w:t>At the beginning of 2009 and as part of the Central Bank´s monetary stimulus to alleviate the impact of the international crisis, the legal reserve rate was reduced to 6.5% in February and then to 6% in April. Since then, the minimum legal rate requirement has not been changed. The reserve funds can be constituted by cash and deposits, with a minimum required of 1% held in deposits in current accounts in the Central Bank. Obligations in foreign currency are subject to a marginal reserve requirement ratio of 30%. In January 2010, the Central Bank set a new marginal reserve requirement to foreign credits with a period less than 2 years, as a way to control the incoming of foreign capital into the economy. Also, the Central Bank establishes a remuneration rate on the marginal reserves, those that exceed the minimum legal requirement (6%), only if it is deposited in its current account. It must be pointed out that foreign currency can not be used as reserve requirements for liability in domestic currency, and vice versa. The Central Bank oversees compliance with the reserve requirements.</w:t>
      </w:r>
    </w:p>
    <w:p>
      <w:pPr>
        <w:spacing w:after="0" w:line="21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reference interest rate is periodically revised by the Central Bank in accordance with its monetary policy objectives. Every first Thursday of each month the board of directors of the Central Bank approves and announces through press release the Monetary Program for the month. The reference interest rate was increased through 2008 reaching a maximum level of 6.5%. During 2009 the Central Bank started to loose its monetary policy stance as a response to the deceleration of the private spending and deterioration of the economy. In February 2009 the Central Bank started easing its monetary policy reducing the reference interest rate from 6.50% to 6.25%. After that, six consecutive reductions followed reaching the current rate level of 1.25%. The central Bank validated the decision based on the low grow of the economy and the sustained reduction observed in the rate of inflation in the first half of 2009. In its session on May 6, 2010 the Central Bank increased the reference interest rate to 1.50%.</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past few years, the Central Bank has on numerous occasions changed the reserve requirement rate applicable to Peruvian financial institutions as part of its monetary policy tool. Changes in the reserve requirement regulation may adversely affect the bank´s business, financial condition and results of operations.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Activities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Law 26702 sets the maximum amount of credit that a financial institution may extend to a single borrower. A single borrower includes an individual or an economic group. An economic group constituting a single or common risk includes a person, such person’s close relatives and the companies in which such person or close relatives have significant share ownership or decision-making capability. According to current regulations, shareholders who own or control directly or indirectly at least one-tenth of a company’s shares are considered significant shareholders.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20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limit on credit that may be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If a financial institution exceeds these limits, the SBS may impose a fine on the institution. As of December 31, 2009, the 10.0% credit limit per borrower of BCP, unconsolidated, was S/. 545.7 million (US$188.8 million) for unsecured loans, and the 30.0% limit was S/.1,637.1 million (US$566.5 million) for secured loans.</w:t>
      </w:r>
    </w:p>
    <w:p>
      <w:pPr>
        <w:spacing w:after="0" w:line="20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Article 52 of the organic law of the Central Bank, in certain circumstances, the Central Bank has the authority to establish limits on interest rates charged by commercial banks and other financial institutions. No such limits are currently in place; however, there can be no assurance that the Central Bank will not establish such limits on interest rates in the future.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Law 26702 regulates transactions with related parties and affiliates of financial institutions. SBS and CONASEV have also enacted regulations that define indirect ownership, related parties and economic groups, which serve to limit transactions with related parties and affiliates. These regulations also provide standards for the supervision of financial and mixed conglomerates formed by financial institutions.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regulatory capital. All loans made to any single related party borrower may not exceed 0.35% of such regulatory capital (i.e., 5% of the overall 7% limit).</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as amended by Law 27102, the aggregate amount of loans to related party borrowers considered to be part of an economic group (as defined above) may not exceed 30% (previously 75%) of a bank’s regulatory capital. For purposes of this test, related party borrowers include (i) any person holding, directly or indirectly, 4% or more of a bank’s shares, (ii) directors, (iii) certain principal executive officers of a bank or (iv) persons affiliated with the administrators of the bank.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Law 26702 establishes certain restrictions on the ownership of a bank’s shares. Banks must have at least two unrelated shareholders at all times. Restrictions are placed on the ownership of shares by persons that have committed certain crimes, as well as by public officials who have supervisory powers over banks or who are majority shareholders of an enterprise of a similar nature. All transfers of shares in a bank must be reported by the bank to the SBS after the transfer. Transfers involving the acquisition by any individual or corporation, whether directly or indirectly, of more than 10% of a bank’s capital stock require prior authorization from the SBS. The SBS may deny authorization to such transfer of shares if the purchasers (or their shareholders in the case of juridical persons) are legally disabled, have engaged in illegal activity in the area of banking, finance, insurance or reinsurance, or if objections are raised on the basis of the purchaser’s moral fitness or economic solvency. The decision of the SBS is final, and cannot be overturned by the courts. If a transfer is made without obtaining the prior approval of the SBS, the purchaser may be fined an amount equivalent to the value of the securities transferred. In addition, the purchaser is required to sell the securities within 30 days, or the fine will double, and the purchaser is disqualified from exercising its voting rights at shareholders’ meetings. Foreign investors receive the same treatment as Peruvian nationals and are subject to the limitations described above.</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Finally, under Peruvian law, individuals or corporations that acquire more than 3% of a bank’s shares or 1% in a period of 12 months are required to provide information to the SBS upon request.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Rating</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Law 26702 and SBS Resolution No. 672 require that all financial companies be rated by at least two risk rating companies on a semi-annual basis (in March and September), in addition to the SBS’s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category. As of September 2009, BCP was assigned the “A+” risk category by its two rating agencies, Equilibrium Clasificadora de Riesgo and Apoyo and Associates International.</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4" w:name="page65"/>
    <w:bookmarkEnd w:id="64"/>
    <w:p>
      <w:pPr>
        <w:ind w:left="660"/>
        <w:spacing w:after="0"/>
        <w:rPr>
          <w:sz w:val="20"/>
          <w:szCs w:val="20"/>
          <w:color w:val="auto"/>
        </w:rPr>
      </w:pPr>
      <w:r>
        <w:rPr>
          <w:rFonts w:ascii="Arial" w:cs="Arial" w:eastAsia="Arial" w:hAnsi="Arial"/>
          <w:sz w:val="18"/>
          <w:szCs w:val="18"/>
          <w:i w:val="1"/>
          <w:iCs w:val="1"/>
          <w:color w:val="auto"/>
        </w:rPr>
        <w:t>Deposit Fund</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Law 26702 provides for mandatory deposit insurance to protect the deposits of financial institutions by establishing the Fondo de Seguro de Depósitos (Deposit Insurance Fund or the Fund) for individuals, associations, not-for-profit companies, and demand deposits of non-financial companies. Financial institutions must pay an annual premium calculated on the basis of the type of deposits accepted by the entity and the risk classification of such entity, made by the SBS and at least two independent risk-rating agencies. The annual premium begins at 0.45% of total funds on deposit under the coverage of the Fund and increases to 1.45% applicable to banks in the highest risk category. BCP is currently classified in the lowest risk category. The maximum amount (defined on a monthly basis) that a customer is entitled to recover from the Fund is S/.83,213 until the end of May 2010.</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Intervention by the SBS</w:t>
      </w:r>
    </w:p>
    <w:p>
      <w:pPr>
        <w:spacing w:after="0" w:line="252"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Law 26702, as amended by Law 27102, the SBS has the authority to seize the operations and assets of a bank. These laws provide for three levels of action by the SBS: a supervisory regime, an intervention regime and the liquidation of the bank. Any of these actions may be taken if certain events occur, including if the bank: (i) interrupts payments on its liabilities, (ii) repeatedly fails to comply with the regulations of the SBS or the Central Bank,</w:t>
      </w:r>
    </w:p>
    <w:p>
      <w:pPr>
        <w:ind w:firstLine="8"/>
        <w:spacing w:after="0" w:line="261" w:lineRule="auto"/>
        <w:tabs>
          <w:tab w:leader="none" w:pos="321"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repeatedly violates the law or the provisions of the bank’s bye-laws, (iv) repeatedly manages its operations in an unauthorized or unsound manner or (v) has its regulatory capital fall or be reduced by more than 50%.</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intervention regime, rather than seizing the operations and assets of a bank, the SBS may adopt other measures, including (i) placing additional requirements on the bank, (ii) ordering it to increase its capital stock or divest certain or all of its assets, or (iii) imposing a special supervision regime during which BCP must adhere to a financial restructuring plan.</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SBS intervention regime stops a bank’s operations and may last for a maximum of 45 days, which may be extended for an additional 45 days. During this time, the SBS may institute measures such as: (i) canceling losses by reducing reserves, capital and subordinated debt, (ii) segregating certain assets and liabilities for transfer to another financial institution and (iii) merging the intervened bank with an acquiring institution according to the program established by Urgent Decree No. 108-2000, enacted in November 2000. After the intervention, the SBS will liquidate the bank unless it is merged with an acquiring institution, as described in (iii) above.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from the United States Federal Reserve Bank and from the State of Florida Department of Banking and Finance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Banco de Credito del Peru, Miami Agency (“BCP Miami Agency”) is licensed to operate as an International Agency in the State of Florida and was authorized to transact business by the Comptroller of Florida on September 3, 2002. The Office of Financial Regulation of the State of Florida shares regulatory responsibility with the Federal Reserve Bank of Atlanta.</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from the Superintendency of Banks in Panama</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Panama is a branch of BCP that is registered in the Republic of Panama. It began operating in June 2002 under an International License issued by the Panamanian Superintendence of Banks, in accordance with Law Decree No. 9 of February 26, 1998, as amended. BCP Panama is subject to an inspection every two (2) years made by auditors and inspectors of the Panamanian Superintendence of Banks, to determine, among other things, its compliance with the Decree Law No. 2 and No. 42 Law on the Prevention of Money Laundering.</w:t>
      </w:r>
    </w:p>
    <w:p>
      <w:pPr>
        <w:spacing w:after="0" w:line="200" w:lineRule="exact"/>
        <w:rPr>
          <w:sz w:val="20"/>
          <w:szCs w:val="20"/>
          <w:color w:val="auto"/>
        </w:rPr>
      </w:pPr>
    </w:p>
    <w:p>
      <w:pPr>
        <w:spacing w:after="0" w:line="253" w:lineRule="exact"/>
        <w:rPr>
          <w:sz w:val="20"/>
          <w:szCs w:val="20"/>
          <w:color w:val="auto"/>
        </w:rPr>
      </w:pPr>
    </w:p>
    <w:p>
      <w:pPr>
        <w:ind w:left="1320" w:hanging="650"/>
        <w:spacing w:after="0"/>
        <w:tabs>
          <w:tab w:leader="none" w:pos="132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ASHC</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Atlantic Security Bank (ASB), a subsidiary of ASHC, is a Cayman Islands bank with a branch in Panama. ASB is regulated by the regulatory authorities of the Cayman Islands while its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5" w:name="page66"/>
    <w:bookmarkEnd w:id="65"/>
    <w:p>
      <w:pPr>
        <w:jc w:val="both"/>
        <w:ind w:firstLine="648"/>
        <w:spacing w:after="0" w:line="259" w:lineRule="auto"/>
        <w:rPr>
          <w:sz w:val="20"/>
          <w:szCs w:val="20"/>
          <w:color w:val="auto"/>
        </w:rPr>
      </w:pPr>
      <w:r>
        <w:rPr>
          <w:rFonts w:ascii="Arial" w:cs="Arial" w:eastAsia="Arial" w:hAnsi="Arial"/>
          <w:sz w:val="18"/>
          <w:szCs w:val="18"/>
          <w:color w:val="auto"/>
        </w:rPr>
        <w:t>ASB is registered as an exempt company and is licensed in the Cayman Islands pursuant to the Banks and Trust Companies Law. ASB holds an unrestricted Category B Banking and Trust License, as well as a Mutual Fund Administrator License. As a holder of a Category B License, ASB may not take deposits from any person residing in the Cayman Islands other than another licensee, an exempt company or an ordinary non-resident company which is not carrying on business in the Cayman Islands.</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ASB may not invest in any asset which represents a claim on any person residing in the Cayman Islands, except a claim resulting from: (i) a loan to an exempt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permitted by the Category B License.</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are no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(approximately 12%). There is a statutory minimum net worth requirement of US$480,000, but the Authority generally requires a bank or trust company to maintain a higher paid-in capital appropriate to its business. The Authority requires compliance with the guidelines promulgated by the Basel Accord on Banking Regulations and Supervisory Practices although, in special circumstances, different gearing and/or capital risk asset ratios may be negotiated. Compliance with the Cayman Banking Law is monitored by the Authority.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Continuing Requirements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law of the Cayman Islands, ASB is subject to the following continuing requirements: (i) to remain in good standing under the Cayman Islands Companies Law, including the filing of annual and other returns and the payment of annual fees; (ii) to file with the Registrar of Companies any change in the information or documents required to be provided and to pay annual fees; (iii) to file certain prescribed forms with the Authority on a quarterly basis; (iv) to file with the Authority audited accounts within three months of each financial year (in the case of a locally incorporated bank which is not part of a substantial international banking group, a senior officer or board member discusses these accounts each year at a meeting with the Authority) and (v) to file an annual questionnaire.</w:t>
      </w:r>
    </w:p>
    <w:p>
      <w:pPr>
        <w:spacing w:after="0" w:line="22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annually in the case of a branch of a substantial international bank; (ii) for the issue, transfer or other disposal of shares (it is rare for a waiver to be granted with respect to shares except in the case of a branch of a substantial international bank and where the shares are widely held and publicly traded); (iii) for any significant change in the business plan filed on the original license application or (iv) to open a subsidiary, branch, agency or representative office outside the Cayman Islands. Finally, ASB must obtain the prior approval of the Authority to change its name and must notify the Authority of any change in the principal office and authorized agent in the Cayman Islands.</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6" w:name="page67"/>
    <w:bookmarkEnd w:id="66"/>
    <w:p>
      <w:pPr>
        <w:ind w:left="1300" w:hanging="644"/>
        <w:spacing w:after="0"/>
        <w:tabs>
          <w:tab w:leader="none" w:pos="13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BCB</w:t>
      </w:r>
    </w:p>
    <w:p>
      <w:pPr>
        <w:spacing w:after="0" w:line="2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Until March 2010, the Bolivian banking system operated under the Ley de Bancos y Entidades Financieras (the Law of Banks and Financial Entities) No. 1488, enacted on April 14, 1993, which was modified by Law 3076 of June 20, 2005, which granted supervisory powers to the Superintendency of Banks and Financial Entities (now referred to as the Financial System Supervisory Authority (Autoridad de Supervición del Sistema Financero), pursuant to Supreme Decree 29894). In addition, the law established that Banco Central de Bolivia (the Central Bank of Bolivia) would regulate financial intermediation and deposit activities, determine monetary and foreign exchange policy, and establish reserve requirements on deposits and capital adequacy, which banks and financial companies were required to follow. Also, the Autoridad de Supervición del Sistema Financiero (the Financial System Supervisory Authority) supervised brokerage activities and mutual fund management that was conducted through BCB’s subsidiaries Credibolsa S.A. and Credifondo S.A. These subsidiaries operated under the Ley del Mercado de Valores (the Securities Markets Law) No. 1834, enacted on March 31, 1998.</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new constitution of Bolivia, which was approved by referendum in February 2009, established that the Bolivian financial system is to be regulated as follows:</w:t>
      </w:r>
    </w:p>
    <w:p>
      <w:pPr>
        <w:spacing w:after="0" w:line="197" w:lineRule="exact"/>
        <w:rPr>
          <w:sz w:val="20"/>
          <w:szCs w:val="20"/>
          <w:color w:val="auto"/>
        </w:rPr>
      </w:pPr>
    </w:p>
    <w:p>
      <w:pPr>
        <w:jc w:val="both"/>
        <w:ind w:left="660" w:hanging="4"/>
        <w:spacing w:after="0" w:line="264" w:lineRule="auto"/>
        <w:tabs>
          <w:tab w:leader="none" w:pos="892"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Central Bank of Bolivia is responsible for maintaining the stability of the internal monetary value and has authority to regulate monetary policy, control foreign exchange policies, regulate the payment system, authorize the issuance of money and administrate international reserves in coordination with the Economic Policy stated by the Public Sector.</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946" w:val="left"/>
        </w:tabs>
        <w:numPr>
          <w:ilvl w:val="0"/>
          <w:numId w:val="69"/>
        </w:numPr>
        <w:rPr>
          <w:rFonts w:ascii="Arial" w:cs="Arial" w:eastAsia="Arial" w:hAnsi="Arial"/>
          <w:sz w:val="18"/>
          <w:szCs w:val="18"/>
          <w:color w:val="auto"/>
        </w:rPr>
      </w:pPr>
      <w:r>
        <w:rPr>
          <w:rFonts w:ascii="Arial" w:cs="Arial" w:eastAsia="Arial" w:hAnsi="Arial"/>
          <w:sz w:val="18"/>
          <w:szCs w:val="18"/>
          <w:color w:val="auto"/>
        </w:rPr>
        <w:t>All financial entities (banks, mutual funds, securities, insurance and others) are regulated by the Financial System Supervisory Authority (or FSSA). The FSSA (or ASFI in Spanish) has assumed all regulatory functions held previously be the Superintendency of Banks and Financial Entities and the Superintendency of Pensions, Securities and Insurance.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existing laws by the new Bolivian constitution have not materially impacted BCB’s business.</w:t>
      </w:r>
    </w:p>
    <w:p>
      <w:pPr>
        <w:spacing w:after="0" w:line="200" w:lineRule="exact"/>
        <w:rPr>
          <w:sz w:val="20"/>
          <w:szCs w:val="20"/>
          <w:color w:val="auto"/>
        </w:rPr>
      </w:pPr>
    </w:p>
    <w:p>
      <w:pPr>
        <w:spacing w:after="0" w:line="291" w:lineRule="exact"/>
        <w:rPr>
          <w:sz w:val="20"/>
          <w:szCs w:val="20"/>
          <w:color w:val="auto"/>
        </w:rPr>
      </w:pPr>
    </w:p>
    <w:p>
      <w:pPr>
        <w:ind w:left="1320" w:hanging="650"/>
        <w:spacing w:after="0"/>
        <w:tabs>
          <w:tab w:leader="none" w:pos="13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PPS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PPS’s operations are regulated by Law 26702 and the SBS. Peruvian insurance companies must submit regular reports to the SBS regarding their operations. In addition, the SBS conducts on-sight reviews on an annual basis. The SBS conducts these reviews primarily to review a company’s compliance with solvency margin and reserve requirements, investment requirements and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21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Peruvian insurance companies are also prohibited from having an ownership interest in other insurance or reinsurance companies of the same class or in private pension funds.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Insurance companies must be authorized by the SBS to commence operations. Peruvian law establishes certain minimum capital requirements for insurance and reinsurance companies, which must be satisfied by cash investments in the company. The statutory amounts are expressed in constant value.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7" w:name="page68"/>
    <w:bookmarkEnd w:id="67"/>
    <w:p>
      <w:pPr>
        <w:ind w:left="660"/>
        <w:spacing w:after="0"/>
        <w:rPr>
          <w:sz w:val="20"/>
          <w:szCs w:val="20"/>
          <w:color w:val="auto"/>
        </w:rPr>
      </w:pPr>
      <w:r>
        <w:rPr>
          <w:rFonts w:ascii="Arial" w:cs="Arial" w:eastAsia="Arial" w:hAnsi="Arial"/>
          <w:sz w:val="18"/>
          <w:szCs w:val="18"/>
          <w:i w:val="1"/>
          <w:iCs w:val="1"/>
          <w:color w:val="auto"/>
        </w:rPr>
        <w:t>Solvency Requirements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Law 26702, the SBS regulates the solvency margin of Peruvian insurance companies. The solvency margin calculations take into account the amount of premiums written and losses incurred during a specified period prior to the date of the calculation.</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also maintain solvency equity, which must be the greater of (i) the solvency margin and (ii) the minimum capital requirement, as established by law. The required amount of solvency equity is recalculated at least quarterly. If an insurance company has outstanding credit risk operations, part of the solvency equity must be set aside for its coverage.</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Reserve Requirements</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Pursuant to Law 26702 and regulations issued by the SBS, Peruvian insurance companies must establish technical reserves. </w:t>
      </w:r>
      <w:r>
        <w:rPr>
          <w:rFonts w:ascii="Arial" w:cs="Arial" w:eastAsia="Arial" w:hAnsi="Arial"/>
          <w:sz w:val="18"/>
          <w:szCs w:val="18"/>
          <w:i w:val="1"/>
          <w:iCs w:val="1"/>
          <w:color w:val="auto"/>
        </w:rPr>
        <w:t>See</w:t>
      </w:r>
      <w:r>
        <w:rPr>
          <w:rFonts w:ascii="Arial" w:cs="Arial" w:eastAsia="Arial" w:hAnsi="Arial"/>
          <w:sz w:val="18"/>
          <w:szCs w:val="18"/>
          <w:color w:val="auto"/>
        </w:rPr>
        <w:t xml:space="preserve"> “—(6) Pacífico Peruano Suiza—(ii) Claims and Reserves.” Law 26702 also requires insurance companies to create a reserve for IBNR claims, which are reflected as a liability, net of recoveries and reinsurance, in the Credicorp Consolidated Financial Statements. Reserves for IBNR claims are estimated by using generally accepted actuarial reserving methods.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3(e) to the Credicorp Consolidated Financial Statements. Finally, PPS is required by the SBS to establish pre-event reserves for risk of catastrophes, which, in accordance with IFRS principles, are not considered in our financial statements. </w:t>
      </w:r>
      <w:r>
        <w:rPr>
          <w:rFonts w:ascii="Arial" w:cs="Arial" w:eastAsia="Arial" w:hAnsi="Arial"/>
          <w:sz w:val="18"/>
          <w:szCs w:val="18"/>
          <w:i w:val="1"/>
          <w:iCs w:val="1"/>
          <w:color w:val="auto"/>
        </w:rPr>
        <w:t>See</w:t>
      </w:r>
      <w:r>
        <w:rPr>
          <w:rFonts w:ascii="Arial" w:cs="Arial" w:eastAsia="Arial" w:hAnsi="Arial"/>
          <w:sz w:val="18"/>
          <w:szCs w:val="18"/>
          <w:color w:val="auto"/>
        </w:rPr>
        <w:t xml:space="preserve"> “—(6) Pacífico Peruano Suiza—(ii) Claims and Reserves.”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Requirements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Law 26702, the total amount of an insurance company’s solvency equity and technical reserves must be permanently supported by diversified assets, which may not be pledged or otherwise encumbered. The investment regulations further state that deposits in and bonds of one financial institution together cannot exceed 10% of the total of an insurer’s solvency equity and technical reserves combined. In general, no more than 20% of an insurance company’s combined solvency equity and technical reserves may be invested in instruments (including stocks and bonds) issued by a company or group of companies. In order for an insurance company to invest in non-Peruvian securities, the securities must be rated by an internationally recognized credit rating company and the asset class must be authorized by Peruvian SBS regulations. Securities owned by insurance companies must be registered in the Public Registry of Securities of Peru or the comparable registry of their respective country.</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certain home mortgage loans to employees.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Law 26702 sets forth the same types of restrictions regarding the ownership and transfer of insurance company shares as it does regarding the ownership and transfer of shares in banks. </w:t>
      </w:r>
      <w:r>
        <w:rPr>
          <w:rFonts w:ascii="Arial" w:cs="Arial" w:eastAsia="Arial" w:hAnsi="Arial"/>
          <w:sz w:val="18"/>
          <w:szCs w:val="18"/>
          <w:i w:val="1"/>
          <w:iCs w:val="1"/>
          <w:color w:val="auto"/>
        </w:rPr>
        <w:t>See</w:t>
      </w:r>
      <w:r>
        <w:rPr>
          <w:rFonts w:ascii="Arial" w:cs="Arial" w:eastAsia="Arial" w:hAnsi="Arial"/>
          <w:sz w:val="18"/>
          <w:szCs w:val="18"/>
          <w:color w:val="auto"/>
        </w:rPr>
        <w:t xml:space="preserve"> “—(11) Supervision and Regulation—(ii) BCP—Overview.”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68" w:name="page69"/>
    <w:bookmarkEnd w:id="68"/>
    <w:p>
      <w:pPr>
        <w:ind w:left="1300" w:hanging="644"/>
        <w:spacing w:after="0"/>
        <w:tabs>
          <w:tab w:leader="none" w:pos="13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Selected Statistical Information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following tables, we have set forth certain selected statistical information and ratios regarding our business for the periods indicated. You should read the selected statistical information in conjunction with the information included in “Item 5. Operating and Financial Review and Prospects—(A) Operating Results” and the Credicorp Consolidated Financial Statements (and the notes that accompany the financial statements). The statistical information and discussion and analysis given below for the years 2005, 2006, 2007, 2008 and 2009 reflect our consolidated financial position as well as that of our subsidiaries, as of December 31, 2005, 2006, 2007, 2008 and 2009 and our results of operations for 2005, 2006, 2007, 2008 and 2009.</w:t>
      </w:r>
    </w:p>
    <w:p>
      <w:pPr>
        <w:spacing w:after="0" w:line="200" w:lineRule="exact"/>
        <w:rPr>
          <w:sz w:val="20"/>
          <w:szCs w:val="20"/>
          <w:color w:val="auto"/>
        </w:rPr>
      </w:pPr>
    </w:p>
    <w:p>
      <w:pPr>
        <w:spacing w:after="0" w:line="239" w:lineRule="exact"/>
        <w:rPr>
          <w:sz w:val="20"/>
          <w:szCs w:val="20"/>
          <w:color w:val="auto"/>
        </w:rPr>
      </w:pPr>
    </w:p>
    <w:p>
      <w:pPr>
        <w:ind w:left="1320" w:hanging="650"/>
        <w:spacing w:after="0"/>
        <w:tabs>
          <w:tab w:leader="none" w:pos="132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Average Balance Sheets and Income from Interest-Earning Assets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tables below set forth selected statistical information based on our average balance sheets prepared on a consolidated basis. Except as otherwise indicated, we have classified average balances by currency (Nuevos Soles or foreign currency (primarily U.S. Dollars)) rather than by the domestic or international nature of the balance. In addition, except where noted, the average balances are based on the quarterly ending balances in each year. Any of these quarter-end balances that were denominated in Nuevos Soles have been converted into U.S. Dollars using the applicable SBS exchange rate as of the date of such balance. We have in certain cases restated nominal average interest rates as real average interest rates using the formula described below. Our management believes that adjusting average balances and average interest rates for inflation in this manner provides more meaningful information for investors than unadjusted average balances and rates, and does not believe that the stated averages present trends materially differ from those that would be presented by daily averages.</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Real Average Interest Rates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calculated the real average interest rates set forth in the tables below by adjusting the nominal average interest rates on Nuevo Sol-denominated assets and liabilities using the following formula: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134620</wp:posOffset>
            </wp:positionV>
            <wp:extent cx="1132205" cy="3257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13220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gridSpan w:val="2"/>
          </w:tcPr>
          <w:p>
            <w:pPr>
              <w:spacing w:after="0"/>
              <w:rPr>
                <w:sz w:val="20"/>
                <w:szCs w:val="20"/>
                <w:color w:val="auto"/>
              </w:rPr>
            </w:pPr>
            <w:r>
              <w:rPr>
                <w:rFonts w:ascii="Arial" w:cs="Arial" w:eastAsia="Arial" w:hAnsi="Arial"/>
                <w:sz w:val="18"/>
                <w:szCs w:val="18"/>
                <w:color w:val="auto"/>
              </w:rPr>
              <w:t>Where:</w:t>
            </w:r>
          </w:p>
        </w:tc>
        <w:tc>
          <w:tcPr>
            <w:tcW w:w="6780" w:type="dxa"/>
            <w:vAlign w:val="bottom"/>
          </w:tcPr>
          <w:p>
            <w:pPr>
              <w:spacing w:after="0"/>
              <w:rPr>
                <w:sz w:val="20"/>
                <w:szCs w:val="20"/>
                <w:color w:val="auto"/>
              </w:rPr>
            </w:pPr>
          </w:p>
        </w:tc>
      </w:tr>
      <w:tr>
        <w:trPr>
          <w:trHeight w:val="445"/>
        </w:trPr>
        <w:tc>
          <w:tcPr>
            <w:tcW w:w="420" w:type="dxa"/>
            <w:vAlign w:val="bottom"/>
          </w:tcPr>
          <w:p>
            <w:pPr>
              <w:spacing w:after="0"/>
              <w:rPr>
                <w:sz w:val="20"/>
                <w:szCs w:val="20"/>
                <w:color w:val="auto"/>
              </w:rPr>
            </w:pPr>
            <w:r>
              <w:rPr>
                <w:rFonts w:ascii="Arial" w:cs="Arial" w:eastAsia="Arial" w:hAnsi="Arial"/>
                <w:sz w:val="18"/>
                <w:szCs w:val="18"/>
                <w:color w:val="auto"/>
              </w:rPr>
              <w:t>R(s)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780" w:type="dxa"/>
            <w:vAlign w:val="bottom"/>
          </w:tcPr>
          <w:p>
            <w:pPr>
              <w:ind w:left="120"/>
              <w:spacing w:after="0"/>
              <w:rPr>
                <w:sz w:val="20"/>
                <w:szCs w:val="20"/>
                <w:color w:val="auto"/>
              </w:rPr>
            </w:pPr>
            <w:r>
              <w:rPr>
                <w:rFonts w:ascii="Arial" w:cs="Arial" w:eastAsia="Arial" w:hAnsi="Arial"/>
                <w:sz w:val="18"/>
                <w:szCs w:val="18"/>
                <w:color w:val="auto"/>
                <w:w w:val="94"/>
              </w:rPr>
              <w:t>real average interest rate on Nuevo Sol-denominated assets and liabilities for the period.</w:t>
            </w:r>
          </w:p>
        </w:tc>
      </w:tr>
      <w:tr>
        <w:trPr>
          <w:trHeight w:val="230"/>
        </w:trPr>
        <w:tc>
          <w:tcPr>
            <w:tcW w:w="420" w:type="dxa"/>
            <w:vAlign w:val="bottom"/>
          </w:tcPr>
          <w:p>
            <w:pPr>
              <w:spacing w:after="0"/>
              <w:rPr>
                <w:sz w:val="20"/>
                <w:szCs w:val="20"/>
                <w:color w:val="auto"/>
              </w:rPr>
            </w:pPr>
            <w:r>
              <w:rPr>
                <w:rFonts w:ascii="Arial" w:cs="Arial" w:eastAsia="Arial" w:hAnsi="Arial"/>
                <w:sz w:val="18"/>
                <w:szCs w:val="18"/>
                <w:color w:val="auto"/>
              </w:rPr>
              <w:t>N(s)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780" w:type="dxa"/>
            <w:vAlign w:val="bottom"/>
          </w:tcPr>
          <w:p>
            <w:pPr>
              <w:ind w:left="120"/>
              <w:spacing w:after="0"/>
              <w:rPr>
                <w:sz w:val="20"/>
                <w:szCs w:val="20"/>
                <w:color w:val="auto"/>
              </w:rPr>
            </w:pPr>
            <w:r>
              <w:rPr>
                <w:rFonts w:ascii="Arial" w:cs="Arial" w:eastAsia="Arial" w:hAnsi="Arial"/>
                <w:sz w:val="18"/>
                <w:szCs w:val="18"/>
                <w:color w:val="auto"/>
                <w:w w:val="90"/>
              </w:rPr>
              <w:t>nominal average interest rate on Nuevo Sol-denominated assets and liabilities for the period.</w:t>
            </w:r>
          </w:p>
        </w:tc>
      </w:tr>
    </w:tbl>
    <w:p>
      <w:pPr>
        <w:ind w:left="500" w:hanging="492"/>
        <w:spacing w:after="0"/>
        <w:tabs>
          <w:tab w:leader="none" w:pos="5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inflation rate in Peru for the period (based on the Peruvian consumer price index).</w:t>
      </w:r>
    </w:p>
    <w:p>
      <w:pPr>
        <w:spacing w:after="0" w:line="23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formula, assuming positive nominal average interest rates, the real average interest rate on a portfolio of Nuevo Sol-denominated assets or liabilities would be equal to the nominal average interest rate on that portfolio if the inflation rate were zero. The real average interest rate would be less than the nominal average interest rate if the inflation rate were positive, and the real average interest rate would be greater than the nominal average interest rate if the inflation rate were negative (</w:t>
      </w:r>
      <w:r>
        <w:rPr>
          <w:rFonts w:ascii="Arial" w:cs="Arial" w:eastAsia="Arial" w:hAnsi="Arial"/>
          <w:sz w:val="18"/>
          <w:szCs w:val="18"/>
          <w:i w:val="1"/>
          <w:iCs w:val="1"/>
          <w:color w:val="auto"/>
        </w:rPr>
        <w:t>i.e.</w:t>
      </w:r>
      <w:r>
        <w:rPr>
          <w:rFonts w:ascii="Arial" w:cs="Arial" w:eastAsia="Arial" w:hAnsi="Arial"/>
          <w:sz w:val="18"/>
          <w:szCs w:val="18"/>
          <w:color w:val="auto"/>
        </w:rPr>
        <w:t>, becomes a deflation rate). In addition, the real average interest rate would be negative if the inflation rate were greater than the average nominal interest rate.</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show average balances for all of our assets and liabilities, interest earned and paid amounts, and nominal rates and real rates for our interest-earning assets and interest-bearing liabilities, all for the years ended December 31, 2007, 2008 and 2009.</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69" w:name="page70"/>
    <w:bookmarkEnd w:id="69"/>
    <w:p>
      <w:pPr>
        <w:ind w:left="5120"/>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34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1"/>
                <w:szCs w:val="11"/>
                <w:b w:val="1"/>
                <w:bCs w:val="1"/>
                <w:color w:val="auto"/>
              </w:rPr>
              <w:t>Year ended December 31,</w:t>
            </w: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9"/>
        </w:trPr>
        <w:tc>
          <w:tcPr>
            <w:tcW w:w="234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2"/>
          </w:tcPr>
          <w:p>
            <w:pPr>
              <w:jc w:val="right"/>
              <w:ind w:right="406"/>
              <w:spacing w:after="0" w:line="122" w:lineRule="exact"/>
              <w:rPr>
                <w:sz w:val="20"/>
                <w:szCs w:val="20"/>
                <w:color w:val="auto"/>
              </w:rPr>
            </w:pPr>
            <w:r>
              <w:rPr>
                <w:rFonts w:ascii="Arial" w:cs="Arial" w:eastAsia="Arial" w:hAnsi="Arial"/>
                <w:sz w:val="11"/>
                <w:szCs w:val="11"/>
                <w:b w:val="1"/>
                <w:bCs w:val="1"/>
                <w:color w:val="auto"/>
                <w:w w:val="89"/>
              </w:rPr>
              <w:t>2007</w:t>
            </w: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jc w:val="right"/>
              <w:ind w:right="80"/>
              <w:spacing w:after="0" w:line="122" w:lineRule="exact"/>
              <w:rPr>
                <w:sz w:val="20"/>
                <w:szCs w:val="20"/>
                <w:color w:val="auto"/>
              </w:rPr>
            </w:pPr>
            <w:r>
              <w:rPr>
                <w:rFonts w:ascii="Arial" w:cs="Arial" w:eastAsia="Arial" w:hAnsi="Arial"/>
                <w:sz w:val="11"/>
                <w:szCs w:val="11"/>
                <w:b w:val="1"/>
                <w:bCs w:val="1"/>
                <w:color w:val="auto"/>
              </w:rPr>
              <w:t>2008</w:t>
            </w: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3"/>
          </w:tcPr>
          <w:p>
            <w:pPr>
              <w:jc w:val="right"/>
              <w:ind w:right="80"/>
              <w:spacing w:after="0" w:line="122" w:lineRule="exact"/>
              <w:rPr>
                <w:sz w:val="20"/>
                <w:szCs w:val="20"/>
                <w:color w:val="auto"/>
              </w:rPr>
            </w:pPr>
            <w:r>
              <w:rPr>
                <w:rFonts w:ascii="Arial" w:cs="Arial" w:eastAsia="Arial" w:hAnsi="Arial"/>
                <w:sz w:val="11"/>
                <w:szCs w:val="11"/>
                <w:b w:val="1"/>
                <w:bCs w:val="1"/>
                <w:color w:val="auto"/>
              </w:rPr>
              <w:t>2009</w:t>
            </w: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8"/>
        </w:trPr>
        <w:tc>
          <w:tcPr>
            <w:tcW w:w="2340" w:type="dxa"/>
            <w:vAlign w:val="bottom"/>
          </w:tcPr>
          <w:p>
            <w:pPr>
              <w:spacing w:after="0"/>
              <w:rPr>
                <w:sz w:val="9"/>
                <w:szCs w:val="9"/>
                <w:color w:val="auto"/>
              </w:rPr>
            </w:pPr>
          </w:p>
        </w:tc>
        <w:tc>
          <w:tcPr>
            <w:tcW w:w="700" w:type="dxa"/>
            <w:vAlign w:val="bottom"/>
            <w:gridSpan w:val="2"/>
          </w:tcPr>
          <w:p>
            <w:pPr>
              <w:jc w:val="right"/>
              <w:ind w:right="140"/>
              <w:spacing w:after="0" w:line="108" w:lineRule="exact"/>
              <w:rPr>
                <w:sz w:val="20"/>
                <w:szCs w:val="20"/>
                <w:color w:val="auto"/>
              </w:rPr>
            </w:pPr>
            <w:r>
              <w:rPr>
                <w:rFonts w:ascii="Arial" w:cs="Arial" w:eastAsia="Arial" w:hAnsi="Arial"/>
                <w:sz w:val="11"/>
                <w:szCs w:val="11"/>
                <w:b w:val="1"/>
                <w:bCs w:val="1"/>
                <w:color w:val="auto"/>
              </w:rPr>
              <w:t>Average</w:t>
            </w:r>
          </w:p>
        </w:tc>
        <w:tc>
          <w:tcPr>
            <w:tcW w:w="600" w:type="dxa"/>
            <w:vAlign w:val="bottom"/>
            <w:gridSpan w:val="2"/>
          </w:tcPr>
          <w:p>
            <w:pPr>
              <w:ind w:left="180"/>
              <w:spacing w:after="0" w:line="108" w:lineRule="exact"/>
              <w:rPr>
                <w:sz w:val="20"/>
                <w:szCs w:val="20"/>
                <w:color w:val="auto"/>
              </w:rPr>
            </w:pPr>
            <w:r>
              <w:rPr>
                <w:rFonts w:ascii="Arial" w:cs="Arial" w:eastAsia="Arial" w:hAnsi="Arial"/>
                <w:sz w:val="11"/>
                <w:szCs w:val="11"/>
                <w:b w:val="1"/>
                <w:bCs w:val="1"/>
                <w:color w:val="auto"/>
              </w:rPr>
              <w:t>Interest</w:t>
            </w:r>
          </w:p>
        </w:tc>
        <w:tc>
          <w:tcPr>
            <w:tcW w:w="80" w:type="dxa"/>
            <w:vAlign w:val="bottom"/>
          </w:tcPr>
          <w:p>
            <w:pPr>
              <w:spacing w:after="0"/>
              <w:rPr>
                <w:sz w:val="9"/>
                <w:szCs w:val="9"/>
                <w:color w:val="auto"/>
              </w:rPr>
            </w:pPr>
          </w:p>
        </w:tc>
        <w:tc>
          <w:tcPr>
            <w:tcW w:w="740" w:type="dxa"/>
            <w:vAlign w:val="bottom"/>
            <w:gridSpan w:val="2"/>
          </w:tcPr>
          <w:p>
            <w:pPr>
              <w:jc w:val="right"/>
              <w:ind w:right="120"/>
              <w:spacing w:after="0" w:line="108" w:lineRule="exact"/>
              <w:rPr>
                <w:sz w:val="20"/>
                <w:szCs w:val="20"/>
                <w:color w:val="auto"/>
              </w:rPr>
            </w:pPr>
            <w:r>
              <w:rPr>
                <w:rFonts w:ascii="Arial" w:cs="Arial" w:eastAsia="Arial" w:hAnsi="Arial"/>
                <w:sz w:val="11"/>
                <w:szCs w:val="11"/>
                <w:b w:val="1"/>
                <w:bCs w:val="1"/>
                <w:color w:val="auto"/>
              </w:rPr>
              <w:t>Real Avg.</w:t>
            </w:r>
          </w:p>
        </w:tc>
        <w:tc>
          <w:tcPr>
            <w:tcW w:w="58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Nominal</w:t>
            </w:r>
          </w:p>
        </w:tc>
        <w:tc>
          <w:tcPr>
            <w:tcW w:w="120" w:type="dxa"/>
            <w:vAlign w:val="bottom"/>
          </w:tcPr>
          <w:p>
            <w:pPr>
              <w:spacing w:after="0"/>
              <w:rPr>
                <w:sz w:val="9"/>
                <w:szCs w:val="9"/>
                <w:color w:val="auto"/>
              </w:rPr>
            </w:pPr>
          </w:p>
        </w:tc>
        <w:tc>
          <w:tcPr>
            <w:tcW w:w="88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rPr>
              <w:t>Average</w:t>
            </w:r>
          </w:p>
        </w:tc>
        <w:tc>
          <w:tcPr>
            <w:tcW w:w="900" w:type="dxa"/>
            <w:vAlign w:val="bottom"/>
            <w:gridSpan w:val="3"/>
          </w:tcPr>
          <w:p>
            <w:pPr>
              <w:ind w:left="260"/>
              <w:spacing w:after="0" w:line="108" w:lineRule="exact"/>
              <w:rPr>
                <w:sz w:val="20"/>
                <w:szCs w:val="20"/>
                <w:color w:val="auto"/>
              </w:rPr>
            </w:pPr>
            <w:r>
              <w:rPr>
                <w:rFonts w:ascii="Arial" w:cs="Arial" w:eastAsia="Arial" w:hAnsi="Arial"/>
                <w:sz w:val="11"/>
                <w:szCs w:val="11"/>
                <w:b w:val="1"/>
                <w:bCs w:val="1"/>
                <w:color w:val="auto"/>
              </w:rPr>
              <w:t>Interest</w:t>
            </w:r>
          </w:p>
        </w:tc>
        <w:tc>
          <w:tcPr>
            <w:tcW w:w="660" w:type="dxa"/>
            <w:vAlign w:val="bottom"/>
            <w:gridSpan w:val="2"/>
          </w:tcPr>
          <w:p>
            <w:pPr>
              <w:jc w:val="right"/>
              <w:ind w:right="120"/>
              <w:spacing w:after="0" w:line="108" w:lineRule="exact"/>
              <w:rPr>
                <w:sz w:val="20"/>
                <w:szCs w:val="20"/>
                <w:color w:val="auto"/>
              </w:rPr>
            </w:pPr>
            <w:r>
              <w:rPr>
                <w:rFonts w:ascii="Arial" w:cs="Arial" w:eastAsia="Arial" w:hAnsi="Arial"/>
                <w:sz w:val="11"/>
                <w:szCs w:val="11"/>
                <w:b w:val="1"/>
                <w:bCs w:val="1"/>
                <w:color w:val="auto"/>
              </w:rPr>
              <w:t>Real Avg.</w:t>
            </w:r>
          </w:p>
        </w:tc>
        <w:tc>
          <w:tcPr>
            <w:tcW w:w="60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Nominal</w:t>
            </w:r>
          </w:p>
        </w:tc>
        <w:tc>
          <w:tcPr>
            <w:tcW w:w="120" w:type="dxa"/>
            <w:vAlign w:val="bottom"/>
          </w:tcPr>
          <w:p>
            <w:pPr>
              <w:spacing w:after="0"/>
              <w:rPr>
                <w:sz w:val="9"/>
                <w:szCs w:val="9"/>
                <w:color w:val="auto"/>
              </w:rPr>
            </w:pPr>
          </w:p>
        </w:tc>
        <w:tc>
          <w:tcPr>
            <w:tcW w:w="820" w:type="dxa"/>
            <w:vAlign w:val="bottom"/>
            <w:gridSpan w:val="2"/>
          </w:tcPr>
          <w:p>
            <w:pPr>
              <w:jc w:val="right"/>
              <w:ind w:right="200"/>
              <w:spacing w:after="0" w:line="108" w:lineRule="exact"/>
              <w:rPr>
                <w:sz w:val="20"/>
                <w:szCs w:val="20"/>
                <w:color w:val="auto"/>
              </w:rPr>
            </w:pPr>
            <w:r>
              <w:rPr>
                <w:rFonts w:ascii="Arial" w:cs="Arial" w:eastAsia="Arial" w:hAnsi="Arial"/>
                <w:sz w:val="11"/>
                <w:szCs w:val="11"/>
                <w:b w:val="1"/>
                <w:bCs w:val="1"/>
                <w:color w:val="auto"/>
              </w:rPr>
              <w:t>Average</w:t>
            </w:r>
          </w:p>
        </w:tc>
        <w:tc>
          <w:tcPr>
            <w:tcW w:w="940" w:type="dxa"/>
            <w:vAlign w:val="bottom"/>
            <w:gridSpan w:val="3"/>
          </w:tcPr>
          <w:p>
            <w:pPr>
              <w:ind w:left="240"/>
              <w:spacing w:after="0" w:line="108" w:lineRule="exact"/>
              <w:rPr>
                <w:sz w:val="20"/>
                <w:szCs w:val="20"/>
                <w:color w:val="auto"/>
              </w:rPr>
            </w:pPr>
            <w:r>
              <w:rPr>
                <w:rFonts w:ascii="Arial" w:cs="Arial" w:eastAsia="Arial" w:hAnsi="Arial"/>
                <w:sz w:val="11"/>
                <w:szCs w:val="11"/>
                <w:b w:val="1"/>
                <w:bCs w:val="1"/>
                <w:color w:val="auto"/>
              </w:rPr>
              <w:t>Interest</w:t>
            </w:r>
          </w:p>
        </w:tc>
        <w:tc>
          <w:tcPr>
            <w:tcW w:w="540" w:type="dxa"/>
            <w:vAlign w:val="bottom"/>
            <w:gridSpan w:val="2"/>
          </w:tcPr>
          <w:p>
            <w:pPr>
              <w:jc w:val="right"/>
              <w:ind w:right="220"/>
              <w:spacing w:after="0" w:line="108" w:lineRule="exact"/>
              <w:rPr>
                <w:sz w:val="20"/>
                <w:szCs w:val="20"/>
                <w:color w:val="auto"/>
              </w:rPr>
            </w:pPr>
            <w:r>
              <w:rPr>
                <w:rFonts w:ascii="Arial" w:cs="Arial" w:eastAsia="Arial" w:hAnsi="Arial"/>
                <w:sz w:val="11"/>
                <w:szCs w:val="11"/>
                <w:b w:val="1"/>
                <w:bCs w:val="1"/>
                <w:color w:val="auto"/>
              </w:rPr>
              <w:t>Real</w:t>
            </w:r>
          </w:p>
        </w:tc>
        <w:tc>
          <w:tcPr>
            <w:tcW w:w="680" w:type="dxa"/>
            <w:vAlign w:val="bottom"/>
          </w:tcPr>
          <w:p>
            <w:pPr>
              <w:jc w:val="right"/>
              <w:ind w:right="6"/>
              <w:spacing w:after="0" w:line="108" w:lineRule="exact"/>
              <w:rPr>
                <w:sz w:val="20"/>
                <w:szCs w:val="20"/>
                <w:color w:val="auto"/>
              </w:rPr>
            </w:pPr>
            <w:r>
              <w:rPr>
                <w:rFonts w:ascii="Arial" w:cs="Arial" w:eastAsia="Arial" w:hAnsi="Arial"/>
                <w:sz w:val="11"/>
                <w:szCs w:val="11"/>
                <w:b w:val="1"/>
                <w:bCs w:val="1"/>
                <w:color w:val="auto"/>
              </w:rPr>
              <w:t>Nominal</w:t>
            </w:r>
          </w:p>
        </w:tc>
        <w:tc>
          <w:tcPr>
            <w:tcW w:w="120" w:type="dxa"/>
            <w:vAlign w:val="bottom"/>
          </w:tcPr>
          <w:p>
            <w:pPr>
              <w:spacing w:after="0"/>
              <w:rPr>
                <w:sz w:val="9"/>
                <w:szCs w:val="9"/>
                <w:color w:val="auto"/>
              </w:rPr>
            </w:pPr>
          </w:p>
        </w:tc>
      </w:tr>
      <w:tr>
        <w:trPr>
          <w:trHeight w:val="122"/>
        </w:trPr>
        <w:tc>
          <w:tcPr>
            <w:tcW w:w="2340" w:type="dxa"/>
            <w:vAlign w:val="bottom"/>
          </w:tcPr>
          <w:p>
            <w:pPr>
              <w:spacing w:after="0"/>
              <w:rPr>
                <w:sz w:val="10"/>
                <w:szCs w:val="10"/>
                <w:color w:val="auto"/>
              </w:rPr>
            </w:pP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rPr>
              <w:t>Balance</w:t>
            </w: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b w:val="1"/>
                <w:bCs w:val="1"/>
                <w:color w:val="auto"/>
              </w:rPr>
              <w:t>Earned</w:t>
            </w:r>
          </w:p>
        </w:tc>
        <w:tc>
          <w:tcPr>
            <w:tcW w:w="80" w:type="dxa"/>
            <w:vAlign w:val="bottom"/>
          </w:tcPr>
          <w:p>
            <w:pPr>
              <w:spacing w:after="0"/>
              <w:rPr>
                <w:sz w:val="10"/>
                <w:szCs w:val="10"/>
                <w:color w:val="auto"/>
              </w:rPr>
            </w:pPr>
          </w:p>
        </w:tc>
        <w:tc>
          <w:tcPr>
            <w:tcW w:w="74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Rate</w:t>
            </w:r>
          </w:p>
        </w:tc>
        <w:tc>
          <w:tcPr>
            <w:tcW w:w="70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Avg.</w:t>
            </w:r>
          </w:p>
        </w:tc>
        <w:tc>
          <w:tcPr>
            <w:tcW w:w="88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Balance</w:t>
            </w:r>
          </w:p>
        </w:tc>
        <w:tc>
          <w:tcPr>
            <w:tcW w:w="900" w:type="dxa"/>
            <w:vAlign w:val="bottom"/>
            <w:gridSpan w:val="3"/>
          </w:tcPr>
          <w:p>
            <w:pPr>
              <w:ind w:left="260"/>
              <w:spacing w:after="0" w:line="122" w:lineRule="exact"/>
              <w:rPr>
                <w:sz w:val="20"/>
                <w:szCs w:val="20"/>
                <w:color w:val="auto"/>
              </w:rPr>
            </w:pPr>
            <w:r>
              <w:rPr>
                <w:rFonts w:ascii="Arial" w:cs="Arial" w:eastAsia="Arial" w:hAnsi="Arial"/>
                <w:sz w:val="11"/>
                <w:szCs w:val="11"/>
                <w:b w:val="1"/>
                <w:bCs w:val="1"/>
                <w:color w:val="auto"/>
              </w:rPr>
              <w:t>Earned</w:t>
            </w:r>
          </w:p>
        </w:tc>
        <w:tc>
          <w:tcPr>
            <w:tcW w:w="66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Rate</w:t>
            </w:r>
          </w:p>
        </w:tc>
        <w:tc>
          <w:tcPr>
            <w:tcW w:w="7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Avg.</w:t>
            </w: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b w:val="1"/>
                <w:bCs w:val="1"/>
                <w:color w:val="auto"/>
              </w:rPr>
              <w:t>Balance</w:t>
            </w:r>
          </w:p>
        </w:tc>
        <w:tc>
          <w:tcPr>
            <w:tcW w:w="940" w:type="dxa"/>
            <w:vAlign w:val="bottom"/>
            <w:gridSpan w:val="3"/>
          </w:tcPr>
          <w:p>
            <w:pPr>
              <w:ind w:left="240"/>
              <w:spacing w:after="0" w:line="122" w:lineRule="exact"/>
              <w:rPr>
                <w:sz w:val="20"/>
                <w:szCs w:val="20"/>
                <w:color w:val="auto"/>
              </w:rPr>
            </w:pPr>
            <w:r>
              <w:rPr>
                <w:rFonts w:ascii="Arial" w:cs="Arial" w:eastAsia="Arial" w:hAnsi="Arial"/>
                <w:sz w:val="11"/>
                <w:szCs w:val="11"/>
                <w:b w:val="1"/>
                <w:bCs w:val="1"/>
                <w:color w:val="auto"/>
              </w:rPr>
              <w:t>Earned</w:t>
            </w:r>
          </w:p>
        </w:tc>
        <w:tc>
          <w:tcPr>
            <w:tcW w:w="54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rPr>
              <w:t>Avg.</w:t>
            </w:r>
          </w:p>
        </w:tc>
        <w:tc>
          <w:tcPr>
            <w:tcW w:w="800" w:type="dxa"/>
            <w:vAlign w:val="bottom"/>
            <w:gridSpan w:val="2"/>
          </w:tcPr>
          <w:p>
            <w:pPr>
              <w:jc w:val="right"/>
              <w:ind w:right="160"/>
              <w:spacing w:after="0" w:line="122" w:lineRule="exact"/>
              <w:rPr>
                <w:sz w:val="20"/>
                <w:szCs w:val="20"/>
                <w:color w:val="auto"/>
              </w:rPr>
            </w:pPr>
            <w:r>
              <w:rPr>
                <w:rFonts w:ascii="Arial" w:cs="Arial" w:eastAsia="Arial" w:hAnsi="Arial"/>
                <w:sz w:val="11"/>
                <w:szCs w:val="11"/>
                <w:b w:val="1"/>
                <w:bCs w:val="1"/>
                <w:color w:val="auto"/>
              </w:rPr>
              <w:t>Avg. Rate</w:t>
            </w:r>
          </w:p>
        </w:tc>
      </w:tr>
      <w:tr>
        <w:trPr>
          <w:trHeight w:val="142"/>
        </w:trPr>
        <w:tc>
          <w:tcPr>
            <w:tcW w:w="2340" w:type="dxa"/>
            <w:vAlign w:val="bottom"/>
          </w:tcPr>
          <w:p>
            <w:pPr>
              <w:spacing w:after="0"/>
              <w:rPr>
                <w:sz w:val="20"/>
                <w:szCs w:val="20"/>
                <w:color w:val="auto"/>
              </w:rPr>
            </w:pPr>
            <w:r>
              <w:rPr>
                <w:rFonts w:ascii="Arial" w:cs="Arial" w:eastAsia="Arial" w:hAnsi="Arial"/>
                <w:sz w:val="11"/>
                <w:szCs w:val="11"/>
                <w:b w:val="1"/>
                <w:bCs w:val="1"/>
                <w:color w:val="auto"/>
              </w:rPr>
              <w:t>ASSETS:</w:t>
            </w: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Rate</w:t>
            </w:r>
          </w:p>
        </w:tc>
        <w:tc>
          <w:tcPr>
            <w:tcW w:w="1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2"/>
        </w:trPr>
        <w:tc>
          <w:tcPr>
            <w:tcW w:w="23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160" w:type="dxa"/>
            <w:vAlign w:val="bottom"/>
            <w:gridSpan w:val="9"/>
          </w:tcPr>
          <w:p>
            <w:pPr>
              <w:jc w:val="right"/>
              <w:ind w:right="460"/>
              <w:spacing w:after="0" w:line="122" w:lineRule="exact"/>
              <w:rPr>
                <w:sz w:val="20"/>
                <w:szCs w:val="20"/>
                <w:color w:val="auto"/>
              </w:rPr>
            </w:pPr>
            <w:r>
              <w:rPr>
                <w:rFonts w:ascii="Arial" w:cs="Arial" w:eastAsia="Arial" w:hAnsi="Arial"/>
                <w:sz w:val="11"/>
                <w:szCs w:val="11"/>
                <w:i w:val="1"/>
                <w:iCs w:val="1"/>
                <w:color w:val="auto"/>
              </w:rPr>
              <w:t>(U.S. Dollars in thousands, except percentages)</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Interest-earning assets:</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Deposits in Central Bank</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6"/>
              </w:rPr>
              <w:t>US$ 16,559</w:t>
            </w:r>
          </w:p>
        </w:tc>
        <w:tc>
          <w:tcPr>
            <w:tcW w:w="60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US$ 339</w:t>
            </w:r>
          </w:p>
        </w:tc>
        <w:tc>
          <w:tcPr>
            <w:tcW w:w="820" w:type="dxa"/>
            <w:vAlign w:val="bottom"/>
            <w:gridSpan w:val="3"/>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1.00%</w:t>
            </w:r>
          </w:p>
        </w:tc>
        <w:tc>
          <w:tcPr>
            <w:tcW w:w="70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2.05%</w:t>
            </w: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US$ 221,485</w:t>
            </w:r>
          </w:p>
        </w:tc>
        <w:tc>
          <w:tcPr>
            <w:tcW w:w="900" w:type="dxa"/>
            <w:vAlign w:val="bottom"/>
            <w:gridSpan w:val="3"/>
            <w:shd w:val="clear" w:color="auto" w:fill="CCFFCC"/>
          </w:tcPr>
          <w:p>
            <w:pPr>
              <w:ind w:left="160"/>
              <w:spacing w:after="0" w:line="122" w:lineRule="exact"/>
              <w:rPr>
                <w:sz w:val="20"/>
                <w:szCs w:val="20"/>
                <w:color w:val="auto"/>
              </w:rPr>
            </w:pPr>
            <w:r>
              <w:rPr>
                <w:rFonts w:ascii="Arial" w:cs="Arial" w:eastAsia="Arial" w:hAnsi="Arial"/>
                <w:sz w:val="11"/>
                <w:szCs w:val="11"/>
                <w:color w:val="auto"/>
              </w:rPr>
              <w:t>US$ 10,055</w:t>
            </w:r>
          </w:p>
        </w:tc>
        <w:tc>
          <w:tcPr>
            <w:tcW w:w="66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3.44%</w:t>
            </w:r>
          </w:p>
        </w:tc>
        <w:tc>
          <w:tcPr>
            <w:tcW w:w="72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4.54%</w:t>
            </w:r>
          </w:p>
        </w:tc>
        <w:tc>
          <w:tcPr>
            <w:tcW w:w="8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US$ 64,870</w:t>
            </w:r>
          </w:p>
        </w:tc>
        <w:tc>
          <w:tcPr>
            <w:tcW w:w="940" w:type="dxa"/>
            <w:vAlign w:val="bottom"/>
            <w:gridSpan w:val="3"/>
            <w:shd w:val="clear" w:color="auto" w:fill="CCFFCC"/>
          </w:tcPr>
          <w:p>
            <w:pPr>
              <w:ind w:left="200"/>
              <w:spacing w:after="0" w:line="122" w:lineRule="exact"/>
              <w:rPr>
                <w:sz w:val="20"/>
                <w:szCs w:val="20"/>
                <w:color w:val="auto"/>
              </w:rPr>
            </w:pPr>
            <w:r>
              <w:rPr>
                <w:rFonts w:ascii="Arial" w:cs="Arial" w:eastAsia="Arial" w:hAnsi="Arial"/>
                <w:sz w:val="11"/>
                <w:szCs w:val="11"/>
                <w:color w:val="auto"/>
              </w:rPr>
              <w:t>US$ 1,425</w:t>
            </w:r>
          </w:p>
        </w:tc>
        <w:tc>
          <w:tcPr>
            <w:tcW w:w="54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1.12%</w:t>
            </w:r>
          </w:p>
        </w:tc>
        <w:tc>
          <w:tcPr>
            <w:tcW w:w="80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2.20%</w:t>
            </w: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1,422,395</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46,582</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3.27</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3.27</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1,737,797</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27,859</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1.60</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1.60</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2,099,395</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3,446</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0.16</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0.16</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1,438,954</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46,921</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3.25</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3.26</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1,959,282</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37,914</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1.81</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1.94</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2,164,265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4,871</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0.19</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0.23</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Deposits in other banks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30,337</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1,224</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2.96</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4.04</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68,990</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2,821</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2.99</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4.09</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111,006</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5,733</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4.05</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5.16</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1,002,633</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57,672</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5.75</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5.75</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778,822</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34,531</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4.43</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4.43</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920,030</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5,314</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0.58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0.58</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1,032,970</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58,896</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5.67</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5.70</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847,812</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37,352</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4.32</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4.41</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1,031,036</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11,047</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0.95</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1.07</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Investment securities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2,110,943</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138,028</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5.44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6.54</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2,453,796</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187,156</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6.49</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7.63</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1,536,677</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38,313</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1.41</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2.49</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2,131,911</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93,734</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4.40</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4.40</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3,355,232</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110,865</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3.30</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3.30</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3,288,724</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148,316</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4.51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4.51</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4,242,854</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231,762</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4.92</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5.46</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5,809,028</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298,021</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4.65</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5.13</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4,825,401</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186,629</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3.52</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3.87</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Total loans (1)</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1,942,261</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262,401</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12.34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13.51</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2,987,721</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400,394</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12.20</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13.40</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3,893,475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537,357</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12.60</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13.80</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5,101,392</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439,070</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8.61</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8.61</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6,533,987</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563,546</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8.62</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8.62</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6,810,072</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524,689</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7.70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7.70</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7,043,653</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701,471</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9.64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9.96</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9,521,708</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963,940</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9.75</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10.12</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10,703,547</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1,062,046</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9.49</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9.92</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Total dividend-earning assets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215,100</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5,791</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1.64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2.69</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174,356</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6,672</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2.73</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3.83</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160,185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2,057</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0.22</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1.28</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118,334</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3,079</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2.60</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2.60</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107,567</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5,517</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5.13</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5.13</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114,074</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7,658</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6.71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6.71</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333,434</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8,870</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1.98</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2.66</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281,923</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12,189</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3.65</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4.32</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274,259</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9,715</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2.92</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3.54</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color w:val="auto"/>
              </w:rPr>
              <w:t>Total interest-earning assets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4,315,200</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407,783</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8.32</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9.45</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5,906,348</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607,098</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9.12</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10.28</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5,766,213</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584,885</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8.98</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10.14</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9,776,665</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640,137</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6.55</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6.55</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12,513,405</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742,318</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5.93</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5.93</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13,232,295</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689,423</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5.21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5.21</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14,091,865</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1,047,920</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7.09</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7.44</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18,419,753</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1,349,416</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6.95</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7.33</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18,998,508</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1,274,308</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6.35</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6.71</w:t>
            </w: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spacing w:after="0" w:line="122" w:lineRule="exact"/>
              <w:rPr>
                <w:sz w:val="20"/>
                <w:szCs w:val="20"/>
                <w:color w:val="auto"/>
              </w:rPr>
            </w:pPr>
            <w:r>
              <w:rPr>
                <w:rFonts w:ascii="Arial" w:cs="Arial" w:eastAsia="Arial" w:hAnsi="Arial"/>
                <w:sz w:val="11"/>
                <w:szCs w:val="11"/>
                <w:i w:val="1"/>
                <w:iCs w:val="1"/>
                <w:color w:val="auto"/>
              </w:rPr>
              <w:t>Noninterest-earning assets:</w:t>
            </w: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Cash and due from banks</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250,118</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308,321</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327,127</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255,715</w:t>
            </w: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259,761</w:t>
            </w: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275,276</w:t>
            </w: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505,833</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568,082</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602,403</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Reserves for loan losses</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(37,601)</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(68,072)</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(133,303)</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(154,917)</w:t>
            </w: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(156,850)</w:t>
            </w: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(156,364)</w:t>
            </w: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(192,518)</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(224,922)</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(289,667)</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Premises and equipment</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182,308</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269,221</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303,170</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73,948</w:t>
            </w: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26,805</w:t>
            </w: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19,242</w:t>
            </w: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256,256</w:t>
            </w: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296,026</w:t>
            </w: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322,412</w:t>
            </w: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234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9"/>
              </w:rPr>
              <w:t>Other non-interest-earning assets and gain from</w:t>
            </w: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4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1"/>
        </w:trPr>
        <w:tc>
          <w:tcPr>
            <w:tcW w:w="2340" w:type="dxa"/>
            <w:vAlign w:val="bottom"/>
            <w:shd w:val="clear" w:color="auto" w:fill="CCFFCC"/>
          </w:tcPr>
          <w:p>
            <w:pPr>
              <w:spacing w:after="0"/>
              <w:rPr>
                <w:sz w:val="20"/>
                <w:szCs w:val="20"/>
                <w:color w:val="auto"/>
              </w:rPr>
            </w:pPr>
            <w:r>
              <w:rPr>
                <w:rFonts w:ascii="Arial" w:cs="Arial" w:eastAsia="Arial" w:hAnsi="Arial"/>
                <w:sz w:val="11"/>
                <w:szCs w:val="11"/>
                <w:color w:val="auto"/>
                <w:w w:val="96"/>
              </w:rPr>
              <w:t>derivatives instruments and other interest income</w:t>
            </w: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4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6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334,653</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2,067</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527,364</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1,193</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820,740</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12,728</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561,477</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15,352</w:t>
            </w: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747,978</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32,235</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814,175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25,889</w:t>
            </w: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896,130</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17,419</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1,275,342</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33,428</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1,634,915</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38,617</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non-interest-earning assets</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729,478</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2,067</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1,036,834</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1,193</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1,317,734</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12,728</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736,223</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15,352</w:t>
            </w: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877,694</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32,235</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952,329</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25,889</w:t>
            </w: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1,465,701</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17,419</w:t>
            </w: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1,914,528</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33,428</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2,270,063</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38,617</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average assets</w:t>
            </w: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4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234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5,044,678</w:t>
            </w:r>
          </w:p>
        </w:tc>
        <w:tc>
          <w:tcPr>
            <w:tcW w:w="60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409,850</w:t>
            </w:r>
          </w:p>
        </w:tc>
        <w:tc>
          <w:tcPr>
            <w:tcW w:w="7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7.01</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8.12</w:t>
            </w:r>
          </w:p>
        </w:tc>
        <w:tc>
          <w:tcPr>
            <w:tcW w:w="8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6,943,182</w:t>
            </w: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608,291</w:t>
            </w: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7.61</w:t>
            </w: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8.76</w:t>
            </w:r>
          </w:p>
        </w:tc>
        <w:tc>
          <w:tcPr>
            <w:tcW w:w="120" w:type="dxa"/>
            <w:vAlign w:val="bottom"/>
          </w:tcPr>
          <w:p>
            <w:pPr>
              <w:spacing w:after="0"/>
              <w:rPr>
                <w:sz w:val="10"/>
                <w:szCs w:val="10"/>
                <w:color w:val="auto"/>
              </w:rPr>
            </w:pPr>
          </w:p>
        </w:tc>
        <w:tc>
          <w:tcPr>
            <w:tcW w:w="8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7,083,947</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597,613</w:t>
            </w:r>
          </w:p>
        </w:tc>
        <w:tc>
          <w:tcPr>
            <w:tcW w:w="180" w:type="dxa"/>
            <w:vAlign w:val="bottom"/>
          </w:tcPr>
          <w:p>
            <w:pPr>
              <w:spacing w:after="0"/>
              <w:rPr>
                <w:sz w:val="10"/>
                <w:szCs w:val="10"/>
                <w:color w:val="auto"/>
              </w:rPr>
            </w:pPr>
          </w:p>
        </w:tc>
        <w:tc>
          <w:tcPr>
            <w:tcW w:w="5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7.29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8.44</w:t>
            </w:r>
          </w:p>
        </w:tc>
        <w:tc>
          <w:tcPr>
            <w:tcW w:w="120" w:type="dxa"/>
            <w:vAlign w:val="bottom"/>
          </w:tcPr>
          <w:p>
            <w:pPr>
              <w:spacing w:after="0"/>
              <w:rPr>
                <w:sz w:val="10"/>
                <w:szCs w:val="10"/>
                <w:color w:val="auto"/>
              </w:rPr>
            </w:pPr>
          </w:p>
        </w:tc>
      </w:tr>
      <w:tr>
        <w:trPr>
          <w:trHeight w:val="122"/>
        </w:trPr>
        <w:tc>
          <w:tcPr>
            <w:tcW w:w="234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10,512,888</w:t>
            </w:r>
          </w:p>
        </w:tc>
        <w:tc>
          <w:tcPr>
            <w:tcW w:w="600" w:type="dxa"/>
            <w:vAlign w:val="bottom"/>
            <w:gridSpan w:val="2"/>
            <w:shd w:val="clear" w:color="auto" w:fill="CCFFCC"/>
          </w:tcPr>
          <w:p>
            <w:pPr>
              <w:jc w:val="right"/>
              <w:ind w:right="20"/>
              <w:spacing w:after="0" w:line="122" w:lineRule="exact"/>
              <w:rPr>
                <w:sz w:val="20"/>
                <w:szCs w:val="20"/>
                <w:color w:val="auto"/>
              </w:rPr>
            </w:pPr>
            <w:r>
              <w:rPr>
                <w:rFonts w:ascii="Arial" w:cs="Arial" w:eastAsia="Arial" w:hAnsi="Arial"/>
                <w:sz w:val="11"/>
                <w:szCs w:val="11"/>
                <w:color w:val="auto"/>
              </w:rPr>
              <w:t>655,489</w:t>
            </w:r>
          </w:p>
        </w:tc>
        <w:tc>
          <w:tcPr>
            <w:tcW w:w="7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6.24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6.24</w:t>
            </w:r>
          </w:p>
        </w:tc>
        <w:tc>
          <w:tcPr>
            <w:tcW w:w="8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13,391,099</w:t>
            </w: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774,553</w:t>
            </w:r>
          </w:p>
        </w:tc>
        <w:tc>
          <w:tcPr>
            <w:tcW w:w="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5.78</w:t>
            </w: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5.78</w:t>
            </w:r>
          </w:p>
        </w:tc>
        <w:tc>
          <w:tcPr>
            <w:tcW w:w="1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14,184,624</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715,312</w:t>
            </w:r>
          </w:p>
        </w:tc>
        <w:tc>
          <w:tcPr>
            <w:tcW w:w="180" w:type="dxa"/>
            <w:vAlign w:val="bottom"/>
            <w:shd w:val="clear" w:color="auto" w:fill="CCFFCC"/>
          </w:tcPr>
          <w:p>
            <w:pPr>
              <w:spacing w:after="0"/>
              <w:rPr>
                <w:sz w:val="10"/>
                <w:szCs w:val="10"/>
                <w:color w:val="auto"/>
              </w:rPr>
            </w:pPr>
          </w:p>
        </w:tc>
        <w:tc>
          <w:tcPr>
            <w:tcW w:w="5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5.04</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5.04</w:t>
            </w:r>
          </w:p>
        </w:tc>
        <w:tc>
          <w:tcPr>
            <w:tcW w:w="120" w:type="dxa"/>
            <w:vAlign w:val="bottom"/>
            <w:shd w:val="clear" w:color="auto" w:fill="CCFFCC"/>
          </w:tcPr>
          <w:p>
            <w:pPr>
              <w:spacing w:after="0"/>
              <w:rPr>
                <w:sz w:val="10"/>
                <w:szCs w:val="10"/>
                <w:color w:val="auto"/>
              </w:rPr>
            </w:pPr>
          </w:p>
        </w:tc>
      </w:tr>
      <w:tr>
        <w:trPr>
          <w:trHeight w:val="136"/>
        </w:trPr>
        <w:tc>
          <w:tcPr>
            <w:tcW w:w="2340" w:type="dxa"/>
            <w:vAlign w:val="bottom"/>
          </w:tcPr>
          <w:p>
            <w:pPr>
              <w:ind w:left="180"/>
              <w:spacing w:after="0"/>
              <w:rPr>
                <w:sz w:val="20"/>
                <w:szCs w:val="20"/>
                <w:color w:val="auto"/>
              </w:rPr>
            </w:pPr>
            <w:r>
              <w:rPr>
                <w:rFonts w:ascii="Arial" w:cs="Arial" w:eastAsia="Arial" w:hAnsi="Arial"/>
                <w:sz w:val="11"/>
                <w:szCs w:val="11"/>
                <w:color w:val="auto"/>
              </w:rPr>
              <w:t>Total</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15,557,566</w:t>
            </w:r>
          </w:p>
        </w:tc>
        <w:tc>
          <w:tcPr>
            <w:tcW w:w="600" w:type="dxa"/>
            <w:vAlign w:val="bottom"/>
            <w:gridSpan w:val="2"/>
          </w:tcPr>
          <w:p>
            <w:pPr>
              <w:jc w:val="right"/>
              <w:ind w:right="20"/>
              <w:spacing w:after="0"/>
              <w:rPr>
                <w:sz w:val="20"/>
                <w:szCs w:val="20"/>
                <w:color w:val="auto"/>
              </w:rPr>
            </w:pPr>
            <w:r>
              <w:rPr>
                <w:rFonts w:ascii="Arial" w:cs="Arial" w:eastAsia="Arial" w:hAnsi="Arial"/>
                <w:sz w:val="11"/>
                <w:szCs w:val="11"/>
                <w:color w:val="auto"/>
              </w:rPr>
              <w:t>1,065,339</w:t>
            </w:r>
          </w:p>
        </w:tc>
        <w:tc>
          <w:tcPr>
            <w:tcW w:w="700" w:type="dxa"/>
            <w:vAlign w:val="bottom"/>
            <w:gridSpan w:val="2"/>
          </w:tcPr>
          <w:p>
            <w:pPr>
              <w:jc w:val="right"/>
              <w:spacing w:after="0"/>
              <w:rPr>
                <w:sz w:val="20"/>
                <w:szCs w:val="20"/>
                <w:color w:val="auto"/>
              </w:rPr>
            </w:pPr>
            <w:r>
              <w:rPr>
                <w:rFonts w:ascii="Arial" w:cs="Arial" w:eastAsia="Arial" w:hAnsi="Arial"/>
                <w:sz w:val="11"/>
                <w:szCs w:val="11"/>
                <w:color w:val="auto"/>
              </w:rPr>
              <w:t>6.49</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6.85</w:t>
            </w:r>
          </w:p>
        </w:tc>
        <w:tc>
          <w:tcPr>
            <w:tcW w:w="880" w:type="dxa"/>
            <w:vAlign w:val="bottom"/>
            <w:gridSpan w:val="2"/>
          </w:tcPr>
          <w:p>
            <w:pPr>
              <w:jc w:val="right"/>
              <w:ind w:right="120"/>
              <w:spacing w:after="0"/>
              <w:rPr>
                <w:sz w:val="20"/>
                <w:szCs w:val="20"/>
                <w:color w:val="auto"/>
              </w:rPr>
            </w:pPr>
            <w:r>
              <w:rPr>
                <w:rFonts w:ascii="Arial" w:cs="Arial" w:eastAsia="Arial" w:hAnsi="Arial"/>
                <w:sz w:val="11"/>
                <w:szCs w:val="11"/>
                <w:color w:val="auto"/>
              </w:rPr>
              <w:t>20,334,281</w:t>
            </w: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1,382,844</w:t>
            </w:r>
          </w:p>
        </w:tc>
        <w:tc>
          <w:tcPr>
            <w:tcW w:w="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6.41</w:t>
            </w:r>
          </w:p>
        </w:tc>
        <w:tc>
          <w:tcPr>
            <w:tcW w:w="600" w:type="dxa"/>
            <w:vAlign w:val="bottom"/>
          </w:tcPr>
          <w:p>
            <w:pPr>
              <w:jc w:val="right"/>
              <w:spacing w:after="0"/>
              <w:rPr>
                <w:sz w:val="20"/>
                <w:szCs w:val="20"/>
                <w:color w:val="auto"/>
              </w:rPr>
            </w:pPr>
            <w:r>
              <w:rPr>
                <w:rFonts w:ascii="Arial" w:cs="Arial" w:eastAsia="Arial" w:hAnsi="Arial"/>
                <w:sz w:val="11"/>
                <w:szCs w:val="11"/>
                <w:color w:val="auto"/>
              </w:rPr>
              <w:t>6.80</w:t>
            </w:r>
          </w:p>
        </w:tc>
        <w:tc>
          <w:tcPr>
            <w:tcW w:w="12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1"/>
                <w:szCs w:val="11"/>
                <w:color w:val="auto"/>
              </w:rPr>
              <w:t>21,268,571</w:t>
            </w:r>
          </w:p>
        </w:tc>
        <w:tc>
          <w:tcPr>
            <w:tcW w:w="760" w:type="dxa"/>
            <w:vAlign w:val="bottom"/>
            <w:gridSpan w:val="2"/>
          </w:tcPr>
          <w:p>
            <w:pPr>
              <w:jc w:val="right"/>
              <w:ind w:right="100"/>
              <w:spacing w:after="0"/>
              <w:rPr>
                <w:sz w:val="20"/>
                <w:szCs w:val="20"/>
                <w:color w:val="auto"/>
              </w:rPr>
            </w:pPr>
            <w:r>
              <w:rPr>
                <w:rFonts w:ascii="Arial" w:cs="Arial" w:eastAsia="Arial" w:hAnsi="Arial"/>
                <w:sz w:val="11"/>
                <w:szCs w:val="11"/>
                <w:color w:val="auto"/>
              </w:rPr>
              <w:t>1,312,925</w:t>
            </w:r>
          </w:p>
        </w:tc>
        <w:tc>
          <w:tcPr>
            <w:tcW w:w="18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1"/>
                <w:szCs w:val="11"/>
                <w:color w:val="auto"/>
              </w:rPr>
              <w:t>5.79</w:t>
            </w:r>
          </w:p>
        </w:tc>
        <w:tc>
          <w:tcPr>
            <w:tcW w:w="680" w:type="dxa"/>
            <w:vAlign w:val="bottom"/>
          </w:tcPr>
          <w:p>
            <w:pPr>
              <w:jc w:val="right"/>
              <w:spacing w:after="0"/>
              <w:rPr>
                <w:sz w:val="20"/>
                <w:szCs w:val="20"/>
                <w:color w:val="auto"/>
              </w:rPr>
            </w:pPr>
            <w:r>
              <w:rPr>
                <w:rFonts w:ascii="Arial" w:cs="Arial" w:eastAsia="Arial" w:hAnsi="Arial"/>
                <w:sz w:val="11"/>
                <w:szCs w:val="11"/>
                <w:color w:val="auto"/>
              </w:rPr>
              <w:t>6.17</w:t>
            </w: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1061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1" w:lineRule="exact"/>
        <w:rPr>
          <w:sz w:val="20"/>
          <w:szCs w:val="20"/>
          <w:color w:val="auto"/>
        </w:rPr>
      </w:pPr>
    </w:p>
    <w:p>
      <w:pPr>
        <w:ind w:left="500" w:right="20" w:hanging="492"/>
        <w:spacing w:after="0" w:line="277" w:lineRule="auto"/>
        <w:tabs>
          <w:tab w:leader="none" w:pos="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6"/>
          </w:tcPr>
          <w:p>
            <w:pPr>
              <w:jc w:val="right"/>
              <w:ind w:right="240"/>
              <w:spacing w:after="0"/>
              <w:rPr>
                <w:sz w:val="20"/>
                <w:szCs w:val="20"/>
                <w:color w:val="auto"/>
              </w:rPr>
            </w:pPr>
            <w:r>
              <w:rPr>
                <w:rFonts w:ascii="Arial" w:cs="Arial" w:eastAsia="Arial" w:hAnsi="Arial"/>
                <w:sz w:val="11"/>
                <w:szCs w:val="11"/>
                <w:b w:val="1"/>
                <w:bCs w:val="1"/>
                <w:color w:val="auto"/>
                <w:w w:val="95"/>
              </w:rPr>
              <w:t>Year ended December 31,</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29"/>
        </w:trPr>
        <w:tc>
          <w:tcPr>
            <w:tcW w:w="1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right"/>
              <w:ind w:right="40"/>
              <w:spacing w:after="0" w:line="122" w:lineRule="exact"/>
              <w:rPr>
                <w:sz w:val="20"/>
                <w:szCs w:val="20"/>
                <w:color w:val="auto"/>
              </w:rPr>
            </w:pPr>
            <w:r>
              <w:rPr>
                <w:rFonts w:ascii="Arial" w:cs="Arial" w:eastAsia="Arial" w:hAnsi="Arial"/>
                <w:sz w:val="11"/>
                <w:szCs w:val="11"/>
                <w:b w:val="1"/>
                <w:bCs w:val="1"/>
                <w:color w:val="auto"/>
              </w:rPr>
              <w:t>2007</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gridSpan w:val="3"/>
          </w:tcPr>
          <w:p>
            <w:pPr>
              <w:jc w:val="right"/>
              <w:ind w:right="40"/>
              <w:spacing w:after="0" w:line="122" w:lineRule="exact"/>
              <w:rPr>
                <w:sz w:val="20"/>
                <w:szCs w:val="20"/>
                <w:color w:val="auto"/>
              </w:rPr>
            </w:pPr>
            <w:r>
              <w:rPr>
                <w:rFonts w:ascii="Arial" w:cs="Arial" w:eastAsia="Arial" w:hAnsi="Arial"/>
                <w:sz w:val="11"/>
                <w:szCs w:val="11"/>
                <w:b w:val="1"/>
                <w:bCs w:val="1"/>
                <w:color w:val="auto"/>
              </w:rPr>
              <w:t>2008</w:t>
            </w: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3"/>
          </w:tcPr>
          <w:p>
            <w:pPr>
              <w:jc w:val="right"/>
              <w:ind w:right="100"/>
              <w:spacing w:after="0" w:line="122" w:lineRule="exact"/>
              <w:rPr>
                <w:sz w:val="20"/>
                <w:szCs w:val="20"/>
                <w:color w:val="auto"/>
              </w:rPr>
            </w:pPr>
            <w:r>
              <w:rPr>
                <w:rFonts w:ascii="Arial" w:cs="Arial" w:eastAsia="Arial" w:hAnsi="Arial"/>
                <w:sz w:val="11"/>
                <w:szCs w:val="11"/>
                <w:b w:val="1"/>
                <w:bCs w:val="1"/>
                <w:color w:val="auto"/>
              </w:rPr>
              <w:t>2009</w:t>
            </w: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r>
      <w:tr>
        <w:trPr>
          <w:trHeight w:val="108"/>
        </w:trPr>
        <w:tc>
          <w:tcPr>
            <w:tcW w:w="1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jc w:val="right"/>
              <w:ind w:right="26"/>
              <w:spacing w:after="0" w:line="108" w:lineRule="exact"/>
              <w:rPr>
                <w:sz w:val="20"/>
                <w:szCs w:val="20"/>
                <w:color w:val="auto"/>
              </w:rPr>
            </w:pPr>
            <w:r>
              <w:rPr>
                <w:rFonts w:ascii="Arial" w:cs="Arial" w:eastAsia="Arial" w:hAnsi="Arial"/>
                <w:sz w:val="11"/>
                <w:szCs w:val="11"/>
                <w:b w:val="1"/>
                <w:bCs w:val="1"/>
                <w:color w:val="auto"/>
              </w:rPr>
              <w:t>Average</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gridSpan w:val="3"/>
          </w:tcPr>
          <w:p>
            <w:pPr>
              <w:jc w:val="center"/>
              <w:ind w:right="300"/>
              <w:spacing w:after="0" w:line="108" w:lineRule="exact"/>
              <w:rPr>
                <w:sz w:val="20"/>
                <w:szCs w:val="20"/>
                <w:color w:val="auto"/>
              </w:rPr>
            </w:pPr>
            <w:r>
              <w:rPr>
                <w:rFonts w:ascii="Arial" w:cs="Arial" w:eastAsia="Arial" w:hAnsi="Arial"/>
                <w:sz w:val="11"/>
                <w:szCs w:val="11"/>
                <w:b w:val="1"/>
                <w:bCs w:val="1"/>
                <w:color w:val="auto"/>
                <w:w w:val="90"/>
              </w:rPr>
              <w:t>Interest</w:t>
            </w:r>
          </w:p>
        </w:tc>
        <w:tc>
          <w:tcPr>
            <w:tcW w:w="620" w:type="dxa"/>
            <w:vAlign w:val="bottom"/>
            <w:gridSpan w:val="2"/>
          </w:tcPr>
          <w:p>
            <w:pPr>
              <w:ind w:left="160"/>
              <w:spacing w:after="0" w:line="108" w:lineRule="exact"/>
              <w:rPr>
                <w:sz w:val="20"/>
                <w:szCs w:val="20"/>
                <w:color w:val="auto"/>
              </w:rPr>
            </w:pPr>
            <w:r>
              <w:rPr>
                <w:rFonts w:ascii="Arial" w:cs="Arial" w:eastAsia="Arial" w:hAnsi="Arial"/>
                <w:sz w:val="11"/>
                <w:szCs w:val="11"/>
                <w:b w:val="1"/>
                <w:bCs w:val="1"/>
                <w:color w:val="auto"/>
              </w:rPr>
              <w:t>Real</w:t>
            </w:r>
          </w:p>
        </w:tc>
        <w:tc>
          <w:tcPr>
            <w:tcW w:w="640" w:type="dxa"/>
            <w:vAlign w:val="bottom"/>
          </w:tcPr>
          <w:p>
            <w:pPr>
              <w:ind w:left="200"/>
              <w:spacing w:after="0" w:line="108" w:lineRule="exact"/>
              <w:rPr>
                <w:sz w:val="20"/>
                <w:szCs w:val="20"/>
                <w:color w:val="auto"/>
              </w:rPr>
            </w:pPr>
            <w:r>
              <w:rPr>
                <w:rFonts w:ascii="Arial" w:cs="Arial" w:eastAsia="Arial" w:hAnsi="Arial"/>
                <w:sz w:val="11"/>
                <w:szCs w:val="11"/>
                <w:b w:val="1"/>
                <w:bCs w:val="1"/>
                <w:color w:val="auto"/>
                <w:w w:val="96"/>
              </w:rPr>
              <w:t>Nominal</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jc w:val="right"/>
              <w:ind w:right="46"/>
              <w:spacing w:after="0" w:line="108" w:lineRule="exact"/>
              <w:rPr>
                <w:sz w:val="20"/>
                <w:szCs w:val="20"/>
                <w:color w:val="auto"/>
              </w:rPr>
            </w:pPr>
            <w:r>
              <w:rPr>
                <w:rFonts w:ascii="Arial" w:cs="Arial" w:eastAsia="Arial" w:hAnsi="Arial"/>
                <w:sz w:val="11"/>
                <w:szCs w:val="11"/>
                <w:b w:val="1"/>
                <w:bCs w:val="1"/>
                <w:color w:val="auto"/>
                <w:w w:val="87"/>
              </w:rPr>
              <w:t>Average</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gridSpan w:val="3"/>
          </w:tcPr>
          <w:p>
            <w:pPr>
              <w:jc w:val="center"/>
              <w:ind w:right="300"/>
              <w:spacing w:after="0" w:line="108" w:lineRule="exact"/>
              <w:rPr>
                <w:sz w:val="20"/>
                <w:szCs w:val="20"/>
                <w:color w:val="auto"/>
              </w:rPr>
            </w:pPr>
            <w:r>
              <w:rPr>
                <w:rFonts w:ascii="Arial" w:cs="Arial" w:eastAsia="Arial" w:hAnsi="Arial"/>
                <w:sz w:val="11"/>
                <w:szCs w:val="11"/>
                <w:b w:val="1"/>
                <w:bCs w:val="1"/>
                <w:color w:val="auto"/>
                <w:w w:val="90"/>
              </w:rPr>
              <w:t>Interest</w:t>
            </w:r>
          </w:p>
        </w:tc>
        <w:tc>
          <w:tcPr>
            <w:tcW w:w="620" w:type="dxa"/>
            <w:vAlign w:val="bottom"/>
            <w:gridSpan w:val="2"/>
          </w:tcPr>
          <w:p>
            <w:pPr>
              <w:ind w:left="40"/>
              <w:spacing w:after="0" w:line="108" w:lineRule="exact"/>
              <w:rPr>
                <w:sz w:val="20"/>
                <w:szCs w:val="20"/>
                <w:color w:val="auto"/>
              </w:rPr>
            </w:pPr>
            <w:r>
              <w:rPr>
                <w:rFonts w:ascii="Arial" w:cs="Arial" w:eastAsia="Arial" w:hAnsi="Arial"/>
                <w:sz w:val="11"/>
                <w:szCs w:val="11"/>
                <w:b w:val="1"/>
                <w:bCs w:val="1"/>
                <w:color w:val="auto"/>
              </w:rPr>
              <w:t>Real Avg.</w:t>
            </w:r>
          </w:p>
        </w:tc>
        <w:tc>
          <w:tcPr>
            <w:tcW w:w="660" w:type="dxa"/>
            <w:vAlign w:val="bottom"/>
          </w:tcPr>
          <w:p>
            <w:pPr>
              <w:ind w:left="220"/>
              <w:spacing w:after="0" w:line="108" w:lineRule="exact"/>
              <w:rPr>
                <w:sz w:val="20"/>
                <w:szCs w:val="20"/>
                <w:color w:val="auto"/>
              </w:rPr>
            </w:pPr>
            <w:r>
              <w:rPr>
                <w:rFonts w:ascii="Arial" w:cs="Arial" w:eastAsia="Arial" w:hAnsi="Arial"/>
                <w:sz w:val="11"/>
                <w:szCs w:val="11"/>
                <w:b w:val="1"/>
                <w:bCs w:val="1"/>
                <w:color w:val="auto"/>
                <w:w w:val="96"/>
              </w:rPr>
              <w:t>Nominal</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gridSpan w:val="2"/>
          </w:tcPr>
          <w:p>
            <w:pPr>
              <w:jc w:val="right"/>
              <w:ind w:right="220"/>
              <w:spacing w:after="0" w:line="108" w:lineRule="exact"/>
              <w:rPr>
                <w:sz w:val="20"/>
                <w:szCs w:val="20"/>
                <w:color w:val="auto"/>
              </w:rPr>
            </w:pPr>
            <w:r>
              <w:rPr>
                <w:rFonts w:ascii="Arial" w:cs="Arial" w:eastAsia="Arial" w:hAnsi="Arial"/>
                <w:sz w:val="11"/>
                <w:szCs w:val="11"/>
                <w:b w:val="1"/>
                <w:bCs w:val="1"/>
                <w:color w:val="auto"/>
                <w:w w:val="87"/>
              </w:rPr>
              <w:t>Average</w:t>
            </w:r>
          </w:p>
        </w:tc>
        <w:tc>
          <w:tcPr>
            <w:tcW w:w="200" w:type="dxa"/>
            <w:vAlign w:val="bottom"/>
          </w:tcPr>
          <w:p>
            <w:pPr>
              <w:spacing w:after="0"/>
              <w:rPr>
                <w:sz w:val="9"/>
                <w:szCs w:val="9"/>
                <w:color w:val="auto"/>
              </w:rPr>
            </w:pPr>
          </w:p>
        </w:tc>
        <w:tc>
          <w:tcPr>
            <w:tcW w:w="760" w:type="dxa"/>
            <w:vAlign w:val="bottom"/>
            <w:gridSpan w:val="3"/>
          </w:tcPr>
          <w:p>
            <w:pPr>
              <w:jc w:val="center"/>
              <w:ind w:right="320"/>
              <w:spacing w:after="0" w:line="108" w:lineRule="exact"/>
              <w:rPr>
                <w:sz w:val="20"/>
                <w:szCs w:val="20"/>
                <w:color w:val="auto"/>
              </w:rPr>
            </w:pPr>
            <w:r>
              <w:rPr>
                <w:rFonts w:ascii="Arial" w:cs="Arial" w:eastAsia="Arial" w:hAnsi="Arial"/>
                <w:sz w:val="11"/>
                <w:szCs w:val="11"/>
                <w:b w:val="1"/>
                <w:bCs w:val="1"/>
                <w:color w:val="auto"/>
                <w:w w:val="90"/>
              </w:rPr>
              <w:t>Interest</w:t>
            </w:r>
          </w:p>
        </w:tc>
        <w:tc>
          <w:tcPr>
            <w:tcW w:w="600" w:type="dxa"/>
            <w:vAlign w:val="bottom"/>
            <w:gridSpan w:val="2"/>
          </w:tcPr>
          <w:p>
            <w:pPr>
              <w:jc w:val="right"/>
              <w:ind w:right="260"/>
              <w:spacing w:after="0" w:line="108" w:lineRule="exact"/>
              <w:rPr>
                <w:sz w:val="20"/>
                <w:szCs w:val="20"/>
                <w:color w:val="auto"/>
              </w:rPr>
            </w:pPr>
            <w:r>
              <w:rPr>
                <w:rFonts w:ascii="Arial" w:cs="Arial" w:eastAsia="Arial" w:hAnsi="Arial"/>
                <w:sz w:val="11"/>
                <w:szCs w:val="11"/>
                <w:b w:val="1"/>
                <w:bCs w:val="1"/>
                <w:color w:val="auto"/>
              </w:rPr>
              <w:t>Real</w:t>
            </w:r>
          </w:p>
        </w:tc>
        <w:tc>
          <w:tcPr>
            <w:tcW w:w="620" w:type="dxa"/>
            <w:vAlign w:val="bottom"/>
          </w:tcPr>
          <w:p>
            <w:pPr>
              <w:ind w:left="200"/>
              <w:spacing w:after="0" w:line="108" w:lineRule="exact"/>
              <w:rPr>
                <w:sz w:val="20"/>
                <w:szCs w:val="20"/>
                <w:color w:val="auto"/>
              </w:rPr>
            </w:pPr>
            <w:r>
              <w:rPr>
                <w:rFonts w:ascii="Arial" w:cs="Arial" w:eastAsia="Arial" w:hAnsi="Arial"/>
                <w:sz w:val="11"/>
                <w:szCs w:val="11"/>
                <w:b w:val="1"/>
                <w:bCs w:val="1"/>
                <w:color w:val="auto"/>
                <w:w w:val="92"/>
              </w:rPr>
              <w:t>Nominal</w:t>
            </w:r>
          </w:p>
        </w:tc>
        <w:tc>
          <w:tcPr>
            <w:tcW w:w="120" w:type="dxa"/>
            <w:vAlign w:val="bottom"/>
          </w:tcPr>
          <w:p>
            <w:pPr>
              <w:spacing w:after="0"/>
              <w:rPr>
                <w:sz w:val="9"/>
                <w:szCs w:val="9"/>
                <w:color w:val="auto"/>
              </w:rPr>
            </w:pPr>
          </w:p>
        </w:tc>
      </w:tr>
      <w:tr>
        <w:trPr>
          <w:trHeight w:val="122"/>
        </w:trPr>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Balance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5"/>
              </w:rPr>
              <w:t>Paid</w:t>
            </w:r>
          </w:p>
        </w:tc>
        <w:tc>
          <w:tcPr>
            <w:tcW w:w="620" w:type="dxa"/>
            <w:vAlign w:val="bottom"/>
            <w:gridSpan w:val="2"/>
          </w:tcPr>
          <w:p>
            <w:pPr>
              <w:ind w:left="40"/>
              <w:spacing w:after="0" w:line="122" w:lineRule="exact"/>
              <w:rPr>
                <w:sz w:val="20"/>
                <w:szCs w:val="20"/>
                <w:color w:val="auto"/>
              </w:rPr>
            </w:pPr>
            <w:r>
              <w:rPr>
                <w:rFonts w:ascii="Arial" w:cs="Arial" w:eastAsia="Arial" w:hAnsi="Arial"/>
                <w:sz w:val="11"/>
                <w:szCs w:val="11"/>
                <w:b w:val="1"/>
                <w:bCs w:val="1"/>
                <w:color w:val="auto"/>
              </w:rPr>
              <w:t>Avg. Rate</w:t>
            </w:r>
          </w:p>
        </w:tc>
        <w:tc>
          <w:tcPr>
            <w:tcW w:w="98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Avg. Rate</w:t>
            </w:r>
          </w:p>
        </w:tc>
        <w:tc>
          <w:tcPr>
            <w:tcW w:w="5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w w:val="89"/>
              </w:rPr>
              <w:t>Balance</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3"/>
          </w:tcPr>
          <w:p>
            <w:pPr>
              <w:jc w:val="center"/>
              <w:ind w:right="300"/>
              <w:spacing w:after="0" w:line="122" w:lineRule="exact"/>
              <w:rPr>
                <w:sz w:val="20"/>
                <w:szCs w:val="20"/>
                <w:color w:val="auto"/>
              </w:rPr>
            </w:pPr>
            <w:r>
              <w:rPr>
                <w:rFonts w:ascii="Arial" w:cs="Arial" w:eastAsia="Arial" w:hAnsi="Arial"/>
                <w:sz w:val="11"/>
                <w:szCs w:val="11"/>
                <w:b w:val="1"/>
                <w:bCs w:val="1"/>
                <w:color w:val="auto"/>
                <w:w w:val="85"/>
              </w:rPr>
              <w:t>Paid</w:t>
            </w:r>
          </w:p>
        </w:tc>
        <w:tc>
          <w:tcPr>
            <w:tcW w:w="62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rPr>
              <w:t>Rate</w:t>
            </w:r>
          </w:p>
        </w:tc>
        <w:tc>
          <w:tcPr>
            <w:tcW w:w="1000" w:type="dxa"/>
            <w:vAlign w:val="bottom"/>
            <w:gridSpan w:val="3"/>
          </w:tcPr>
          <w:p>
            <w:pPr>
              <w:ind w:left="180"/>
              <w:spacing w:after="0" w:line="122" w:lineRule="exact"/>
              <w:rPr>
                <w:sz w:val="20"/>
                <w:szCs w:val="20"/>
                <w:color w:val="auto"/>
              </w:rPr>
            </w:pPr>
            <w:r>
              <w:rPr>
                <w:rFonts w:ascii="Arial" w:cs="Arial" w:eastAsia="Arial" w:hAnsi="Arial"/>
                <w:sz w:val="11"/>
                <w:szCs w:val="11"/>
                <w:b w:val="1"/>
                <w:bCs w:val="1"/>
                <w:color w:val="auto"/>
              </w:rPr>
              <w:t>Avg. Rate</w:t>
            </w:r>
          </w:p>
        </w:tc>
        <w:tc>
          <w:tcPr>
            <w:tcW w:w="62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89"/>
              </w:rPr>
              <w:t>Balance</w:t>
            </w:r>
          </w:p>
        </w:tc>
        <w:tc>
          <w:tcPr>
            <w:tcW w:w="200" w:type="dxa"/>
            <w:vAlign w:val="bottom"/>
          </w:tcPr>
          <w:p>
            <w:pPr>
              <w:spacing w:after="0"/>
              <w:rPr>
                <w:sz w:val="10"/>
                <w:szCs w:val="10"/>
                <w:color w:val="auto"/>
              </w:rPr>
            </w:pPr>
          </w:p>
        </w:tc>
        <w:tc>
          <w:tcPr>
            <w:tcW w:w="760" w:type="dxa"/>
            <w:vAlign w:val="bottom"/>
            <w:gridSpan w:val="3"/>
          </w:tcPr>
          <w:p>
            <w:pPr>
              <w:jc w:val="center"/>
              <w:ind w:right="320"/>
              <w:spacing w:after="0" w:line="122" w:lineRule="exact"/>
              <w:rPr>
                <w:sz w:val="20"/>
                <w:szCs w:val="20"/>
                <w:color w:val="auto"/>
              </w:rPr>
            </w:pPr>
            <w:r>
              <w:rPr>
                <w:rFonts w:ascii="Arial" w:cs="Arial" w:eastAsia="Arial" w:hAnsi="Arial"/>
                <w:sz w:val="11"/>
                <w:szCs w:val="11"/>
                <w:b w:val="1"/>
                <w:bCs w:val="1"/>
                <w:color w:val="auto"/>
                <w:w w:val="85"/>
              </w:rPr>
              <w:t>Paid</w:t>
            </w:r>
          </w:p>
        </w:tc>
        <w:tc>
          <w:tcPr>
            <w:tcW w:w="60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Avg.</w:t>
            </w:r>
          </w:p>
        </w:tc>
        <w:tc>
          <w:tcPr>
            <w:tcW w:w="740" w:type="dxa"/>
            <w:vAlign w:val="bottom"/>
            <w:gridSpan w:val="2"/>
          </w:tcPr>
          <w:p>
            <w:pPr>
              <w:ind w:left="280"/>
              <w:spacing w:after="0" w:line="122" w:lineRule="exact"/>
              <w:rPr>
                <w:sz w:val="20"/>
                <w:szCs w:val="20"/>
                <w:color w:val="auto"/>
              </w:rPr>
            </w:pPr>
            <w:r>
              <w:rPr>
                <w:rFonts w:ascii="Arial" w:cs="Arial" w:eastAsia="Arial" w:hAnsi="Arial"/>
                <w:sz w:val="11"/>
                <w:szCs w:val="11"/>
                <w:b w:val="1"/>
                <w:bCs w:val="1"/>
                <w:color w:val="auto"/>
              </w:rPr>
              <w:t>Avg.</w:t>
            </w:r>
          </w:p>
        </w:tc>
      </w:tr>
      <w:tr>
        <w:trPr>
          <w:trHeight w:val="142"/>
        </w:trPr>
        <w:tc>
          <w:tcPr>
            <w:tcW w:w="1920" w:type="dxa"/>
            <w:vAlign w:val="bottom"/>
          </w:tcPr>
          <w:p>
            <w:pPr>
              <w:spacing w:after="0"/>
              <w:rPr>
                <w:sz w:val="20"/>
                <w:szCs w:val="20"/>
                <w:color w:val="auto"/>
              </w:rPr>
            </w:pPr>
            <w:r>
              <w:rPr>
                <w:rFonts w:ascii="Arial" w:cs="Arial" w:eastAsia="Arial" w:hAnsi="Arial"/>
                <w:sz w:val="11"/>
                <w:szCs w:val="11"/>
                <w:b w:val="1"/>
                <w:bCs w:val="1"/>
                <w:color w:val="auto"/>
              </w:rPr>
              <w:t>LIABILITIES</w:t>
            </w:r>
          </w:p>
        </w:tc>
        <w:tc>
          <w:tcPr>
            <w:tcW w:w="12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Rate</w:t>
            </w:r>
          </w:p>
        </w:tc>
        <w:tc>
          <w:tcPr>
            <w:tcW w:w="140" w:type="dxa"/>
            <w:vAlign w:val="bottom"/>
          </w:tcPr>
          <w:p>
            <w:pPr>
              <w:spacing w:after="0"/>
              <w:rPr>
                <w:sz w:val="12"/>
                <w:szCs w:val="12"/>
                <w:color w:val="auto"/>
              </w:rPr>
            </w:pPr>
          </w:p>
        </w:tc>
        <w:tc>
          <w:tcPr>
            <w:tcW w:w="620" w:type="dxa"/>
            <w:vAlign w:val="bottom"/>
            <w:tcBorders>
              <w:bottom w:val="single" w:sz="8" w:color="auto"/>
            </w:tcBorders>
          </w:tcPr>
          <w:p>
            <w:pPr>
              <w:ind w:left="280"/>
              <w:spacing w:after="0"/>
              <w:rPr>
                <w:sz w:val="20"/>
                <w:szCs w:val="20"/>
                <w:color w:val="auto"/>
              </w:rPr>
            </w:pPr>
            <w:r>
              <w:rPr>
                <w:rFonts w:ascii="Arial" w:cs="Arial" w:eastAsia="Arial" w:hAnsi="Arial"/>
                <w:sz w:val="11"/>
                <w:szCs w:val="11"/>
                <w:b w:val="1"/>
                <w:bCs w:val="1"/>
                <w:color w:val="auto"/>
              </w:rPr>
              <w:t>Rate</w:t>
            </w:r>
          </w:p>
        </w:tc>
        <w:tc>
          <w:tcPr>
            <w:tcW w:w="120" w:type="dxa"/>
            <w:vAlign w:val="bottom"/>
          </w:tcPr>
          <w:p>
            <w:pPr>
              <w:spacing w:after="0"/>
              <w:rPr>
                <w:sz w:val="12"/>
                <w:szCs w:val="12"/>
                <w:color w:val="auto"/>
              </w:rPr>
            </w:pPr>
          </w:p>
        </w:tc>
      </w:tr>
      <w:tr>
        <w:trPr>
          <w:trHeight w:val="122"/>
        </w:trPr>
        <w:tc>
          <w:tcPr>
            <w:tcW w:w="1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i w:val="1"/>
                <w:iCs w:val="1"/>
                <w:color w:val="auto"/>
              </w:rPr>
              <w:t>(U.S.</w:t>
            </w:r>
          </w:p>
        </w:tc>
        <w:tc>
          <w:tcPr>
            <w:tcW w:w="100" w:type="dxa"/>
            <w:vAlign w:val="bottom"/>
          </w:tcPr>
          <w:p>
            <w:pPr>
              <w:spacing w:after="0"/>
              <w:rPr>
                <w:sz w:val="10"/>
                <w:szCs w:val="10"/>
                <w:color w:val="auto"/>
              </w:rPr>
            </w:pPr>
          </w:p>
        </w:tc>
        <w:tc>
          <w:tcPr>
            <w:tcW w:w="2540" w:type="dxa"/>
            <w:vAlign w:val="bottom"/>
            <w:gridSpan w:val="9"/>
          </w:tcPr>
          <w:p>
            <w:pPr>
              <w:spacing w:after="0" w:line="122" w:lineRule="exact"/>
              <w:rPr>
                <w:sz w:val="20"/>
                <w:szCs w:val="20"/>
                <w:color w:val="auto"/>
              </w:rPr>
            </w:pPr>
            <w:r>
              <w:rPr>
                <w:rFonts w:ascii="Arial" w:cs="Arial" w:eastAsia="Arial" w:hAnsi="Arial"/>
                <w:sz w:val="11"/>
                <w:szCs w:val="11"/>
                <w:i w:val="1"/>
                <w:iCs w:val="1"/>
                <w:color w:val="auto"/>
              </w:rPr>
              <w:t>Dollars in thousands, except percentages)</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spacing w:after="0" w:line="122" w:lineRule="exact"/>
              <w:rPr>
                <w:sz w:val="20"/>
                <w:szCs w:val="20"/>
                <w:color w:val="auto"/>
              </w:rPr>
            </w:pPr>
            <w:r>
              <w:rPr>
                <w:rFonts w:ascii="Arial" w:cs="Arial" w:eastAsia="Arial" w:hAnsi="Arial"/>
                <w:sz w:val="11"/>
                <w:szCs w:val="11"/>
                <w:i w:val="1"/>
                <w:iCs w:val="1"/>
                <w:color w:val="auto"/>
              </w:rPr>
              <w:t>Interest-bearing liabilities:</w:t>
            </w: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Demand deposits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 (1)</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US$  1,120,416</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3"/>
              </w:rPr>
              <w:t>US$</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12,761</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w w:val="89"/>
              </w:rPr>
              <w:t>0.10%</w:t>
            </w:r>
          </w:p>
        </w:tc>
        <w:tc>
          <w:tcPr>
            <w:tcW w:w="980" w:type="dxa"/>
            <w:vAlign w:val="bottom"/>
            <w:gridSpan w:val="3"/>
            <w:shd w:val="clear" w:color="auto" w:fill="CCFFCC"/>
          </w:tcPr>
          <w:p>
            <w:pPr>
              <w:ind w:left="440"/>
              <w:spacing w:after="0" w:line="122" w:lineRule="exact"/>
              <w:rPr>
                <w:sz w:val="20"/>
                <w:szCs w:val="20"/>
                <w:color w:val="auto"/>
              </w:rPr>
            </w:pPr>
            <w:r>
              <w:rPr>
                <w:rFonts w:ascii="Arial" w:cs="Arial" w:eastAsia="Arial" w:hAnsi="Arial"/>
                <w:sz w:val="11"/>
                <w:szCs w:val="11"/>
                <w:color w:val="auto"/>
                <w:w w:val="93"/>
              </w:rPr>
              <w:t>1.14% US$</w:t>
            </w: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1,685,905</w:t>
            </w:r>
          </w:p>
        </w:tc>
        <w:tc>
          <w:tcPr>
            <w:tcW w:w="320" w:type="dxa"/>
            <w:vAlign w:val="bottom"/>
            <w:gridSpan w:val="2"/>
            <w:shd w:val="clear" w:color="auto" w:fill="CCFFCC"/>
          </w:tcPr>
          <w:p>
            <w:pPr>
              <w:ind w:left="100"/>
              <w:spacing w:after="0" w:line="122" w:lineRule="exact"/>
              <w:rPr>
                <w:sz w:val="20"/>
                <w:szCs w:val="20"/>
                <w:color w:val="auto"/>
              </w:rPr>
            </w:pPr>
            <w:r>
              <w:rPr>
                <w:rFonts w:ascii="Arial" w:cs="Arial" w:eastAsia="Arial" w:hAnsi="Arial"/>
                <w:sz w:val="11"/>
                <w:szCs w:val="11"/>
                <w:color w:val="auto"/>
                <w:w w:val="93"/>
              </w:rPr>
              <w:t>US$</w:t>
            </w: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22,986</w:t>
            </w: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w w:val="89"/>
              </w:rPr>
              <w:t>0.29%</w:t>
            </w:r>
          </w:p>
        </w:tc>
        <w:tc>
          <w:tcPr>
            <w:tcW w:w="1000" w:type="dxa"/>
            <w:vAlign w:val="bottom"/>
            <w:gridSpan w:val="3"/>
            <w:shd w:val="clear" w:color="auto" w:fill="CCFFCC"/>
          </w:tcPr>
          <w:p>
            <w:pPr>
              <w:ind w:left="460"/>
              <w:spacing w:after="0" w:line="122" w:lineRule="exact"/>
              <w:rPr>
                <w:sz w:val="20"/>
                <w:szCs w:val="20"/>
                <w:color w:val="auto"/>
              </w:rPr>
            </w:pPr>
            <w:r>
              <w:rPr>
                <w:rFonts w:ascii="Arial" w:cs="Arial" w:eastAsia="Arial" w:hAnsi="Arial"/>
                <w:sz w:val="11"/>
                <w:szCs w:val="11"/>
                <w:color w:val="auto"/>
                <w:w w:val="93"/>
              </w:rPr>
              <w:t>1.36% US$</w:t>
            </w: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1,723,108</w:t>
            </w:r>
          </w:p>
        </w:tc>
        <w:tc>
          <w:tcPr>
            <w:tcW w:w="2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83"/>
              </w:rPr>
              <w:t>US$</w:t>
            </w: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15,378</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-0.17%</w:t>
            </w:r>
          </w:p>
        </w:tc>
        <w:tc>
          <w:tcPr>
            <w:tcW w:w="740" w:type="dxa"/>
            <w:vAlign w:val="bottom"/>
            <w:gridSpan w:val="2"/>
            <w:shd w:val="clear" w:color="auto" w:fill="CCFFCC"/>
          </w:tcPr>
          <w:p>
            <w:pPr>
              <w:ind w:left="420"/>
              <w:spacing w:after="0" w:line="122" w:lineRule="exact"/>
              <w:rPr>
                <w:sz w:val="20"/>
                <w:szCs w:val="20"/>
                <w:color w:val="auto"/>
              </w:rPr>
            </w:pPr>
            <w:r>
              <w:rPr>
                <w:rFonts w:ascii="Arial" w:cs="Arial" w:eastAsia="Arial" w:hAnsi="Arial"/>
                <w:sz w:val="11"/>
                <w:szCs w:val="11"/>
                <w:color w:val="auto"/>
                <w:w w:val="96"/>
              </w:rPr>
              <w:t>0.89%</w:t>
            </w: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 (1)</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2,206,983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12,362</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0.56</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0.56</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2,603,193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15,099</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0.58</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0.58</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2,685,555</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6,036</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0.22</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0.22</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3,327,399</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25,123</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0.40</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0.76</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4,289,098</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38,085</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0.47</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0.89</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4,408,663</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21,414</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0.07</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0.49</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Savings deposits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 (1)</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711,641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8,550</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0.16</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1.20</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1,143,032</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13,511</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0.11</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1.18</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1,283,529</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8,610</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-0.39</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0.67</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 (1)</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1,396,318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11,319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0.81</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0.81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1,560,084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13,654</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0.88</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0.88</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1,952,183</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9,899</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0.51</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0.51</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2,107,959</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19,869</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0.59</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0.94</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2,703,116</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27,165</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0.55</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1.00</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3,235,712</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18,509</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0.15</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0.57</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Time deposits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 (1)</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1,440,081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82,746</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4.66</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5.75</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2,659,712</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156,137</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4.75</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5.87</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1,988,784</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86,312</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3.24</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4.34</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 (1)</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3,613,304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180,741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5.00</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5.00</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3,640,246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154,719</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4.25</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4.25</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4,191,628</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119,806</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2.86</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2.86</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5,053,385</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263,487</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4.90</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5.21</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6,299,958</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310,856</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4.46</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4.93</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6,180,412</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206,118</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2.98</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3.34</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Due to banks and correspondents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153,258</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6,033</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2.87</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3.94</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190,227</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8,763</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3.50</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4.61</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201,718</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4,851</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1.32</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2.40</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1,411,710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77,037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5.46</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5.46</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2,341,164</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96,055</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4.10</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4.10</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1,969,158</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46,803</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2.38</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2.38</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1,564,968</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83,070</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5.20</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5.31</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2,531,391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104,818</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4.06</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4.14</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2,170,876</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51,654</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2.28</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2.38</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Bonds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201,787</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12,954</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5.33</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6.42</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468,265</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30,864</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5.47</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6.59</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528,565</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35,133</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5.52</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6.65</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341,643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20,638</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6.04</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6.04</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294,716</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20,892</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7.09</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7.09</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452,412</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31,860</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7.04</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7.04</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543,430</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33,592</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5.78</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6.18</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762,981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51,756</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6.09</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6.78</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980,977</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66,993</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6.22</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6.83</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spacing w:after="0" w:line="122" w:lineRule="exact"/>
              <w:rPr>
                <w:sz w:val="20"/>
                <w:szCs w:val="20"/>
                <w:color w:val="auto"/>
              </w:rPr>
            </w:pPr>
            <w:r>
              <w:rPr>
                <w:rFonts w:ascii="Arial" w:cs="Arial" w:eastAsia="Arial" w:hAnsi="Arial"/>
                <w:sz w:val="11"/>
                <w:szCs w:val="11"/>
                <w:color w:val="auto"/>
              </w:rPr>
              <w:t>Total interest-bearing liabilities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3,627,183</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123,044</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2.33</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3.39</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6,147,141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232,261</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2.68</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3.78</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5,725,704</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150,284</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1.54</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2.62</w:t>
            </w: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8,969,958</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302,097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3.37</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3.37</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87"/>
              </w:rPr>
              <w:t>10,439,403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300,419</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2.88</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2.88</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87"/>
              </w:rPr>
              <w:t>11,250,936</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214,404</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1.91</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1.91</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12,597,141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425,141</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3.07</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3.37</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87"/>
              </w:rPr>
              <w:t>16,586,544</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532,680</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2.81</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3.21</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7"/>
              </w:rPr>
              <w:t>16,976,640</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364,688</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1.78</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2.15</w:t>
            </w:r>
          </w:p>
        </w:tc>
        <w:tc>
          <w:tcPr>
            <w:tcW w:w="120" w:type="dxa"/>
            <w:vAlign w:val="bottom"/>
            <w:shd w:val="clear" w:color="auto" w:fill="CCFFCC"/>
          </w:tcPr>
          <w:p>
            <w:pPr>
              <w:spacing w:after="0"/>
              <w:rPr>
                <w:sz w:val="10"/>
                <w:szCs w:val="10"/>
                <w:color w:val="auto"/>
              </w:rPr>
            </w:pPr>
          </w:p>
        </w:tc>
      </w:tr>
      <w:tr>
        <w:trPr>
          <w:trHeight w:val="112"/>
        </w:trPr>
        <w:tc>
          <w:tcPr>
            <w:tcW w:w="1920" w:type="dxa"/>
            <w:vAlign w:val="bottom"/>
          </w:tcPr>
          <w:p>
            <w:pPr>
              <w:spacing w:after="0" w:line="112" w:lineRule="exact"/>
              <w:rPr>
                <w:sz w:val="20"/>
                <w:szCs w:val="20"/>
                <w:color w:val="auto"/>
              </w:rPr>
            </w:pPr>
            <w:r>
              <w:rPr>
                <w:rFonts w:ascii="Arial" w:cs="Arial" w:eastAsia="Arial" w:hAnsi="Arial"/>
                <w:sz w:val="11"/>
                <w:szCs w:val="11"/>
                <w:i w:val="1"/>
                <w:iCs w:val="1"/>
                <w:color w:val="auto"/>
              </w:rPr>
              <w:t>Non-interest-bearing liabilities and net</w:t>
            </w: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1"/>
        </w:trPr>
        <w:tc>
          <w:tcPr>
            <w:tcW w:w="1920" w:type="dxa"/>
            <w:vAlign w:val="bottom"/>
          </w:tcPr>
          <w:p>
            <w:pPr>
              <w:spacing w:after="0"/>
              <w:rPr>
                <w:sz w:val="20"/>
                <w:szCs w:val="20"/>
                <w:color w:val="auto"/>
              </w:rPr>
            </w:pPr>
            <w:r>
              <w:rPr>
                <w:rFonts w:ascii="Arial" w:cs="Arial" w:eastAsia="Arial" w:hAnsi="Arial"/>
                <w:sz w:val="11"/>
                <w:szCs w:val="11"/>
                <w:i w:val="1"/>
                <w:iCs w:val="1"/>
                <w:color w:val="auto"/>
              </w:rPr>
              <w:t>equity:</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12"/>
        </w:trPr>
        <w:tc>
          <w:tcPr>
            <w:tcW w:w="19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6"/>
              </w:rPr>
              <w:t>Other liabilities and loss from derivatives</w:t>
            </w: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1"/>
        </w:trPr>
        <w:tc>
          <w:tcPr>
            <w:tcW w:w="1920" w:type="dxa"/>
            <w:vAlign w:val="bottom"/>
            <w:shd w:val="clear" w:color="auto" w:fill="CCFFCC"/>
          </w:tcPr>
          <w:p>
            <w:pPr>
              <w:spacing w:after="0"/>
              <w:rPr>
                <w:sz w:val="20"/>
                <w:szCs w:val="20"/>
                <w:color w:val="auto"/>
              </w:rPr>
            </w:pPr>
            <w:r>
              <w:rPr>
                <w:rFonts w:ascii="Arial" w:cs="Arial" w:eastAsia="Arial" w:hAnsi="Arial"/>
                <w:sz w:val="11"/>
                <w:szCs w:val="11"/>
                <w:color w:val="auto"/>
                <w:w w:val="97"/>
              </w:rPr>
              <w:t>instruments and other interest expenses</w:t>
            </w: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157,062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2,687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489,502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20,850</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676,295</w:t>
            </w:r>
          </w:p>
        </w:tc>
        <w:tc>
          <w:tcPr>
            <w:tcW w:w="200" w:type="dxa"/>
            <w:vAlign w:val="bottom"/>
          </w:tcPr>
          <w:p>
            <w:pPr>
              <w:spacing w:after="0"/>
              <w:rPr>
                <w:sz w:val="10"/>
                <w:szCs w:val="10"/>
                <w:color w:val="auto"/>
              </w:rPr>
            </w:pP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(11,177)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1,123,751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3,537</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1,363,623</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8,087</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1,489,528</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67,053</w:t>
            </w: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1,280,813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6,224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1,853,125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28,937</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2,165,823</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55,876</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19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Equity attributable to Credicorp equity</w:t>
            </w: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1"/>
        </w:trPr>
        <w:tc>
          <w:tcPr>
            <w:tcW w:w="1920" w:type="dxa"/>
            <w:vAlign w:val="bottom"/>
            <w:shd w:val="clear" w:color="auto" w:fill="CCFFCC"/>
          </w:tcPr>
          <w:p>
            <w:pPr>
              <w:spacing w:after="0"/>
              <w:rPr>
                <w:sz w:val="20"/>
                <w:szCs w:val="20"/>
                <w:color w:val="auto"/>
              </w:rPr>
            </w:pPr>
            <w:r>
              <w:rPr>
                <w:rFonts w:ascii="Arial" w:cs="Arial" w:eastAsia="Arial" w:hAnsi="Arial"/>
                <w:sz w:val="11"/>
                <w:szCs w:val="11"/>
                <w:color w:val="auto"/>
              </w:rPr>
              <w:t>holders</w:t>
            </w: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1,547,283</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1,770,400</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1,980,856</w:t>
            </w: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1,547,283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1,770,400</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1,980,856</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Minority Interest</w:t>
            </w: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132,329</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124,212</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145,252</w:t>
            </w: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132,329</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124,212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145,252</w:t>
            </w:r>
          </w:p>
        </w:tc>
        <w:tc>
          <w:tcPr>
            <w:tcW w:w="2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12"/>
        </w:trPr>
        <w:tc>
          <w:tcPr>
            <w:tcW w:w="19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Total non-interest-bearing liabilities and</w:t>
            </w:r>
          </w:p>
        </w:tc>
        <w:tc>
          <w:tcPr>
            <w:tcW w:w="12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6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1"/>
        </w:trPr>
        <w:tc>
          <w:tcPr>
            <w:tcW w:w="1920" w:type="dxa"/>
            <w:vAlign w:val="bottom"/>
            <w:shd w:val="clear" w:color="auto" w:fill="CCFFCC"/>
          </w:tcPr>
          <w:p>
            <w:pPr>
              <w:spacing w:after="0"/>
              <w:rPr>
                <w:sz w:val="20"/>
                <w:szCs w:val="20"/>
                <w:color w:val="auto"/>
              </w:rPr>
            </w:pPr>
            <w:r>
              <w:rPr>
                <w:rFonts w:ascii="Arial" w:cs="Arial" w:eastAsia="Arial" w:hAnsi="Arial"/>
                <w:sz w:val="11"/>
                <w:szCs w:val="11"/>
                <w:color w:val="auto"/>
              </w:rPr>
              <w:t>equity</w:t>
            </w:r>
          </w:p>
        </w:tc>
        <w:tc>
          <w:tcPr>
            <w:tcW w:w="120" w:type="dxa"/>
            <w:vAlign w:val="bottom"/>
            <w:shd w:val="clear" w:color="auto" w:fill="CCFFCC"/>
          </w:tcPr>
          <w:p>
            <w:pPr>
              <w:spacing w:after="0"/>
              <w:rPr>
                <w:sz w:val="11"/>
                <w:szCs w:val="11"/>
                <w:color w:val="auto"/>
              </w:rPr>
            </w:pPr>
          </w:p>
        </w:tc>
        <w:tc>
          <w:tcPr>
            <w:tcW w:w="7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157,062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2,687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489,502</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20,850</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676,295</w:t>
            </w:r>
          </w:p>
        </w:tc>
        <w:tc>
          <w:tcPr>
            <w:tcW w:w="200" w:type="dxa"/>
            <w:vAlign w:val="bottom"/>
          </w:tcPr>
          <w:p>
            <w:pPr>
              <w:spacing w:after="0"/>
              <w:rPr>
                <w:sz w:val="10"/>
                <w:szCs w:val="10"/>
                <w:color w:val="auto"/>
              </w:rPr>
            </w:pP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(11,177)</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2,803,363</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3,537</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97"/>
              </w:rPr>
              <w:t>3,258,235</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8,087</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7"/>
              </w:rPr>
              <w:t>3,615,636</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67,053</w:t>
            </w: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Total</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2,960,425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6,224</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3,747,737</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28,937</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4,291,931</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55,876</w:t>
            </w: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Total average liabilities and equity</w:t>
            </w:r>
          </w:p>
        </w:tc>
        <w:tc>
          <w:tcPr>
            <w:tcW w:w="12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r>
      <w:tr>
        <w:trPr>
          <w:trHeight w:val="122"/>
        </w:trPr>
        <w:tc>
          <w:tcPr>
            <w:tcW w:w="1920" w:type="dxa"/>
            <w:vAlign w:val="bottom"/>
          </w:tcPr>
          <w:p>
            <w:pPr>
              <w:ind w:left="180"/>
              <w:spacing w:after="0" w:line="122" w:lineRule="exact"/>
              <w:rPr>
                <w:sz w:val="20"/>
                <w:szCs w:val="20"/>
                <w:color w:val="auto"/>
              </w:rPr>
            </w:pPr>
            <w:r>
              <w:rPr>
                <w:rFonts w:ascii="Arial" w:cs="Arial" w:eastAsia="Arial" w:hAnsi="Arial"/>
                <w:sz w:val="11"/>
                <w:szCs w:val="11"/>
                <w:color w:val="auto"/>
              </w:rPr>
              <w:t>Nuevos Soles</w:t>
            </w:r>
          </w:p>
        </w:tc>
        <w:tc>
          <w:tcPr>
            <w:tcW w:w="8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3,784,245</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125,731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gridSpan w:val="2"/>
          </w:tcPr>
          <w:p>
            <w:pPr>
              <w:ind w:left="320"/>
              <w:spacing w:after="0" w:line="122" w:lineRule="exact"/>
              <w:rPr>
                <w:sz w:val="20"/>
                <w:szCs w:val="20"/>
                <w:color w:val="auto"/>
              </w:rPr>
            </w:pPr>
            <w:r>
              <w:rPr>
                <w:rFonts w:ascii="Arial" w:cs="Arial" w:eastAsia="Arial" w:hAnsi="Arial"/>
                <w:sz w:val="11"/>
                <w:szCs w:val="11"/>
                <w:color w:val="auto"/>
              </w:rPr>
              <w:t>2.26</w:t>
            </w:r>
          </w:p>
        </w:tc>
        <w:tc>
          <w:tcPr>
            <w:tcW w:w="640" w:type="dxa"/>
            <w:vAlign w:val="bottom"/>
          </w:tcPr>
          <w:p>
            <w:pPr>
              <w:ind w:left="440"/>
              <w:spacing w:after="0" w:line="122" w:lineRule="exact"/>
              <w:rPr>
                <w:sz w:val="20"/>
                <w:szCs w:val="20"/>
                <w:color w:val="auto"/>
              </w:rPr>
            </w:pPr>
            <w:r>
              <w:rPr>
                <w:rFonts w:ascii="Arial" w:cs="Arial" w:eastAsia="Arial" w:hAnsi="Arial"/>
                <w:sz w:val="11"/>
                <w:szCs w:val="11"/>
                <w:color w:val="auto"/>
                <w:w w:val="83"/>
              </w:rPr>
              <w:t>3.32</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w w:val="97"/>
              </w:rPr>
              <w:t>6,636,643</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253,111</w:t>
            </w:r>
          </w:p>
        </w:tc>
        <w:tc>
          <w:tcPr>
            <w:tcW w:w="140" w:type="dxa"/>
            <w:vAlign w:val="bottom"/>
          </w:tcPr>
          <w:p>
            <w:pPr>
              <w:spacing w:after="0"/>
              <w:rPr>
                <w:sz w:val="10"/>
                <w:szCs w:val="10"/>
                <w:color w:val="auto"/>
              </w:rPr>
            </w:pPr>
          </w:p>
        </w:tc>
        <w:tc>
          <w:tcPr>
            <w:tcW w:w="500" w:type="dxa"/>
            <w:vAlign w:val="bottom"/>
          </w:tcPr>
          <w:p>
            <w:pPr>
              <w:ind w:left="320"/>
              <w:spacing w:after="0" w:line="122" w:lineRule="exact"/>
              <w:rPr>
                <w:sz w:val="20"/>
                <w:szCs w:val="20"/>
                <w:color w:val="auto"/>
              </w:rPr>
            </w:pPr>
            <w:r>
              <w:rPr>
                <w:rFonts w:ascii="Arial" w:cs="Arial" w:eastAsia="Arial" w:hAnsi="Arial"/>
                <w:sz w:val="11"/>
                <w:szCs w:val="11"/>
                <w:color w:val="auto"/>
                <w:w w:val="74"/>
              </w:rPr>
              <w:t>2.72</w:t>
            </w:r>
          </w:p>
        </w:tc>
        <w:tc>
          <w:tcPr>
            <w:tcW w:w="120" w:type="dxa"/>
            <w:vAlign w:val="bottom"/>
          </w:tcPr>
          <w:p>
            <w:pPr>
              <w:spacing w:after="0"/>
              <w:rPr>
                <w:sz w:val="10"/>
                <w:szCs w:val="10"/>
                <w:color w:val="auto"/>
              </w:rPr>
            </w:pPr>
          </w:p>
        </w:tc>
        <w:tc>
          <w:tcPr>
            <w:tcW w:w="660" w:type="dxa"/>
            <w:vAlign w:val="bottom"/>
          </w:tcPr>
          <w:p>
            <w:pPr>
              <w:ind w:left="460"/>
              <w:spacing w:after="0" w:line="122" w:lineRule="exact"/>
              <w:rPr>
                <w:sz w:val="20"/>
                <w:szCs w:val="20"/>
                <w:color w:val="auto"/>
              </w:rPr>
            </w:pPr>
            <w:r>
              <w:rPr>
                <w:rFonts w:ascii="Arial" w:cs="Arial" w:eastAsia="Arial" w:hAnsi="Arial"/>
                <w:sz w:val="11"/>
                <w:szCs w:val="11"/>
                <w:color w:val="auto"/>
                <w:w w:val="83"/>
              </w:rPr>
              <w:t>3.81</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7"/>
              </w:rPr>
              <w:t>6,401,999</w:t>
            </w:r>
          </w:p>
        </w:tc>
        <w:tc>
          <w:tcPr>
            <w:tcW w:w="200" w:type="dxa"/>
            <w:vAlign w:val="bottom"/>
          </w:tcPr>
          <w:p>
            <w:pPr>
              <w:spacing w:after="0"/>
              <w:rPr>
                <w:sz w:val="10"/>
                <w:szCs w:val="10"/>
                <w:color w:val="auto"/>
              </w:rPr>
            </w:pPr>
          </w:p>
        </w:tc>
        <w:tc>
          <w:tcPr>
            <w:tcW w:w="6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139,107</w:t>
            </w:r>
          </w:p>
        </w:tc>
        <w:tc>
          <w:tcPr>
            <w:tcW w:w="160" w:type="dxa"/>
            <w:vAlign w:val="bottom"/>
          </w:tcPr>
          <w:p>
            <w:pPr>
              <w:spacing w:after="0"/>
              <w:rPr>
                <w:sz w:val="10"/>
                <w:szCs w:val="10"/>
                <w:color w:val="auto"/>
              </w:rPr>
            </w:pPr>
          </w:p>
        </w:tc>
        <w:tc>
          <w:tcPr>
            <w:tcW w:w="6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1.09</w:t>
            </w:r>
          </w:p>
        </w:tc>
        <w:tc>
          <w:tcPr>
            <w:tcW w:w="620" w:type="dxa"/>
            <w:vAlign w:val="bottom"/>
          </w:tcPr>
          <w:p>
            <w:pPr>
              <w:ind w:left="420"/>
              <w:spacing w:after="0" w:line="122" w:lineRule="exact"/>
              <w:rPr>
                <w:sz w:val="20"/>
                <w:szCs w:val="20"/>
                <w:color w:val="auto"/>
              </w:rPr>
            </w:pPr>
            <w:r>
              <w:rPr>
                <w:rFonts w:ascii="Arial" w:cs="Arial" w:eastAsia="Arial" w:hAnsi="Arial"/>
                <w:sz w:val="11"/>
                <w:szCs w:val="11"/>
                <w:color w:val="auto"/>
                <w:w w:val="83"/>
              </w:rPr>
              <w:t>2.17</w:t>
            </w:r>
          </w:p>
        </w:tc>
        <w:tc>
          <w:tcPr>
            <w:tcW w:w="120" w:type="dxa"/>
            <w:vAlign w:val="bottom"/>
          </w:tcPr>
          <w:p>
            <w:pPr>
              <w:spacing w:after="0"/>
              <w:rPr>
                <w:sz w:val="10"/>
                <w:szCs w:val="10"/>
                <w:color w:val="auto"/>
              </w:rPr>
            </w:pPr>
          </w:p>
        </w:tc>
      </w:tr>
      <w:tr>
        <w:trPr>
          <w:trHeight w:val="122"/>
        </w:trPr>
        <w:tc>
          <w:tcPr>
            <w:tcW w:w="1920" w:type="dxa"/>
            <w:vAlign w:val="bottom"/>
            <w:shd w:val="clear" w:color="auto" w:fill="CCFFCC"/>
          </w:tcPr>
          <w:p>
            <w:pPr>
              <w:ind w:left="180"/>
              <w:spacing w:after="0" w:line="122" w:lineRule="exact"/>
              <w:rPr>
                <w:sz w:val="20"/>
                <w:szCs w:val="20"/>
                <w:color w:val="auto"/>
              </w:rPr>
            </w:pPr>
            <w:r>
              <w:rPr>
                <w:rFonts w:ascii="Arial" w:cs="Arial" w:eastAsia="Arial" w:hAnsi="Arial"/>
                <w:sz w:val="11"/>
                <w:szCs w:val="11"/>
                <w:color w:val="auto"/>
              </w:rPr>
              <w:t>Foreign Currency</w:t>
            </w:r>
          </w:p>
        </w:tc>
        <w:tc>
          <w:tcPr>
            <w:tcW w:w="8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11,773,321</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305,634</w:t>
            </w:r>
          </w:p>
        </w:tc>
        <w:tc>
          <w:tcPr>
            <w:tcW w:w="1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gridSpan w:val="2"/>
            <w:shd w:val="clear" w:color="auto" w:fill="CCFFCC"/>
          </w:tcPr>
          <w:p>
            <w:pPr>
              <w:ind w:left="320"/>
              <w:spacing w:after="0" w:line="122" w:lineRule="exact"/>
              <w:rPr>
                <w:sz w:val="20"/>
                <w:szCs w:val="20"/>
                <w:color w:val="auto"/>
              </w:rPr>
            </w:pPr>
            <w:r>
              <w:rPr>
                <w:rFonts w:ascii="Arial" w:cs="Arial" w:eastAsia="Arial" w:hAnsi="Arial"/>
                <w:sz w:val="11"/>
                <w:szCs w:val="11"/>
                <w:color w:val="auto"/>
              </w:rPr>
              <w:t>2.60</w:t>
            </w:r>
          </w:p>
        </w:tc>
        <w:tc>
          <w:tcPr>
            <w:tcW w:w="640" w:type="dxa"/>
            <w:vAlign w:val="bottom"/>
            <w:shd w:val="clear" w:color="auto" w:fill="CCFFCC"/>
          </w:tcPr>
          <w:p>
            <w:pPr>
              <w:ind w:left="440"/>
              <w:spacing w:after="0" w:line="122" w:lineRule="exact"/>
              <w:rPr>
                <w:sz w:val="20"/>
                <w:szCs w:val="20"/>
                <w:color w:val="auto"/>
              </w:rPr>
            </w:pPr>
            <w:r>
              <w:rPr>
                <w:rFonts w:ascii="Arial" w:cs="Arial" w:eastAsia="Arial" w:hAnsi="Arial"/>
                <w:sz w:val="11"/>
                <w:szCs w:val="11"/>
                <w:color w:val="auto"/>
                <w:w w:val="83"/>
              </w:rPr>
              <w:t>2.60</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w w:val="87"/>
              </w:rPr>
              <w:t>13,697,638</w:t>
            </w:r>
          </w:p>
        </w:tc>
        <w:tc>
          <w:tcPr>
            <w:tcW w:w="1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308,506</w:t>
            </w:r>
          </w:p>
        </w:tc>
        <w:tc>
          <w:tcPr>
            <w:tcW w:w="140" w:type="dxa"/>
            <w:vAlign w:val="bottom"/>
            <w:shd w:val="clear" w:color="auto" w:fill="CCFFCC"/>
          </w:tcPr>
          <w:p>
            <w:pPr>
              <w:spacing w:after="0"/>
              <w:rPr>
                <w:sz w:val="10"/>
                <w:szCs w:val="10"/>
                <w:color w:val="auto"/>
              </w:rPr>
            </w:pPr>
          </w:p>
        </w:tc>
        <w:tc>
          <w:tcPr>
            <w:tcW w:w="500" w:type="dxa"/>
            <w:vAlign w:val="bottom"/>
            <w:shd w:val="clear" w:color="auto" w:fill="CCFFCC"/>
          </w:tcPr>
          <w:p>
            <w:pPr>
              <w:ind w:left="320"/>
              <w:spacing w:after="0" w:line="122" w:lineRule="exact"/>
              <w:rPr>
                <w:sz w:val="20"/>
                <w:szCs w:val="20"/>
                <w:color w:val="auto"/>
              </w:rPr>
            </w:pPr>
            <w:r>
              <w:rPr>
                <w:rFonts w:ascii="Arial" w:cs="Arial" w:eastAsia="Arial" w:hAnsi="Arial"/>
                <w:sz w:val="11"/>
                <w:szCs w:val="11"/>
                <w:color w:val="auto"/>
                <w:w w:val="74"/>
              </w:rPr>
              <w:t>2.25</w:t>
            </w: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ind w:left="460"/>
              <w:spacing w:after="0" w:line="122" w:lineRule="exact"/>
              <w:rPr>
                <w:sz w:val="20"/>
                <w:szCs w:val="20"/>
                <w:color w:val="auto"/>
              </w:rPr>
            </w:pPr>
            <w:r>
              <w:rPr>
                <w:rFonts w:ascii="Arial" w:cs="Arial" w:eastAsia="Arial" w:hAnsi="Arial"/>
                <w:sz w:val="11"/>
                <w:szCs w:val="11"/>
                <w:color w:val="auto"/>
                <w:w w:val="83"/>
              </w:rPr>
              <w:t>2.25</w:t>
            </w:r>
          </w:p>
        </w:tc>
        <w:tc>
          <w:tcPr>
            <w:tcW w:w="1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7"/>
              </w:rPr>
              <w:t>14,866,572</w:t>
            </w:r>
          </w:p>
        </w:tc>
        <w:tc>
          <w:tcPr>
            <w:tcW w:w="20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281,457</w:t>
            </w:r>
          </w:p>
        </w:tc>
        <w:tc>
          <w:tcPr>
            <w:tcW w:w="1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1.89</w:t>
            </w:r>
          </w:p>
        </w:tc>
        <w:tc>
          <w:tcPr>
            <w:tcW w:w="620" w:type="dxa"/>
            <w:vAlign w:val="bottom"/>
            <w:shd w:val="clear" w:color="auto" w:fill="CCFFCC"/>
          </w:tcPr>
          <w:p>
            <w:pPr>
              <w:ind w:left="420"/>
              <w:spacing w:after="0" w:line="122" w:lineRule="exact"/>
              <w:rPr>
                <w:sz w:val="20"/>
                <w:szCs w:val="20"/>
                <w:color w:val="auto"/>
              </w:rPr>
            </w:pPr>
            <w:r>
              <w:rPr>
                <w:rFonts w:ascii="Arial" w:cs="Arial" w:eastAsia="Arial" w:hAnsi="Arial"/>
                <w:sz w:val="11"/>
                <w:szCs w:val="11"/>
                <w:color w:val="auto"/>
                <w:w w:val="83"/>
              </w:rPr>
              <w:t>1.89</w:t>
            </w:r>
          </w:p>
        </w:tc>
        <w:tc>
          <w:tcPr>
            <w:tcW w:w="120" w:type="dxa"/>
            <w:vAlign w:val="bottom"/>
            <w:shd w:val="clear" w:color="auto" w:fill="CCFFCC"/>
          </w:tcPr>
          <w:p>
            <w:pPr>
              <w:spacing w:after="0"/>
              <w:rPr>
                <w:sz w:val="10"/>
                <w:szCs w:val="10"/>
                <w:color w:val="auto"/>
              </w:rPr>
            </w:pPr>
          </w:p>
        </w:tc>
      </w:tr>
      <w:tr>
        <w:trPr>
          <w:trHeight w:val="136"/>
        </w:trPr>
        <w:tc>
          <w:tcPr>
            <w:tcW w:w="1920" w:type="dxa"/>
            <w:vAlign w:val="bottom"/>
          </w:tcPr>
          <w:p>
            <w:pPr>
              <w:ind w:left="180"/>
              <w:spacing w:after="0"/>
              <w:rPr>
                <w:sz w:val="20"/>
                <w:szCs w:val="20"/>
                <w:color w:val="auto"/>
              </w:rPr>
            </w:pPr>
            <w:r>
              <w:rPr>
                <w:rFonts w:ascii="Arial" w:cs="Arial" w:eastAsia="Arial" w:hAnsi="Arial"/>
                <w:sz w:val="11"/>
                <w:szCs w:val="11"/>
                <w:color w:val="auto"/>
              </w:rPr>
              <w:t>Total</w:t>
            </w:r>
          </w:p>
        </w:tc>
        <w:tc>
          <w:tcPr>
            <w:tcW w:w="820" w:type="dxa"/>
            <w:vAlign w:val="bottom"/>
            <w:gridSpan w:val="2"/>
          </w:tcPr>
          <w:p>
            <w:pPr>
              <w:jc w:val="right"/>
              <w:spacing w:after="0"/>
              <w:rPr>
                <w:sz w:val="20"/>
                <w:szCs w:val="20"/>
                <w:color w:val="auto"/>
              </w:rPr>
            </w:pPr>
            <w:r>
              <w:rPr>
                <w:rFonts w:ascii="Arial" w:cs="Arial" w:eastAsia="Arial" w:hAnsi="Arial"/>
                <w:sz w:val="11"/>
                <w:szCs w:val="11"/>
                <w:color w:val="auto"/>
              </w:rPr>
              <w:t>15,557,566</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jc w:val="right"/>
              <w:spacing w:after="0"/>
              <w:rPr>
                <w:sz w:val="20"/>
                <w:szCs w:val="20"/>
                <w:color w:val="auto"/>
              </w:rPr>
            </w:pPr>
            <w:r>
              <w:rPr>
                <w:rFonts w:ascii="Arial" w:cs="Arial" w:eastAsia="Arial" w:hAnsi="Arial"/>
                <w:sz w:val="11"/>
                <w:szCs w:val="11"/>
                <w:color w:val="auto"/>
              </w:rPr>
              <w:t>431,365</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2"/>
          </w:tcPr>
          <w:p>
            <w:pPr>
              <w:ind w:left="320"/>
              <w:spacing w:after="0"/>
              <w:rPr>
                <w:sz w:val="20"/>
                <w:szCs w:val="20"/>
                <w:color w:val="auto"/>
              </w:rPr>
            </w:pPr>
            <w:r>
              <w:rPr>
                <w:rFonts w:ascii="Arial" w:cs="Arial" w:eastAsia="Arial" w:hAnsi="Arial"/>
                <w:sz w:val="11"/>
                <w:szCs w:val="11"/>
                <w:color w:val="auto"/>
              </w:rPr>
              <w:t>2.51</w:t>
            </w:r>
          </w:p>
        </w:tc>
        <w:tc>
          <w:tcPr>
            <w:tcW w:w="640" w:type="dxa"/>
            <w:vAlign w:val="bottom"/>
          </w:tcPr>
          <w:p>
            <w:pPr>
              <w:ind w:left="440"/>
              <w:spacing w:after="0"/>
              <w:rPr>
                <w:sz w:val="20"/>
                <w:szCs w:val="20"/>
                <w:color w:val="auto"/>
              </w:rPr>
            </w:pPr>
            <w:r>
              <w:rPr>
                <w:rFonts w:ascii="Arial" w:cs="Arial" w:eastAsia="Arial" w:hAnsi="Arial"/>
                <w:sz w:val="11"/>
                <w:szCs w:val="11"/>
                <w:color w:val="auto"/>
                <w:w w:val="83"/>
              </w:rPr>
              <w:t>2.77</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w w:val="87"/>
              </w:rPr>
              <w:t>20,334,281</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1"/>
                <w:szCs w:val="11"/>
                <w:color w:val="auto"/>
              </w:rPr>
              <w:t>561,617</w:t>
            </w:r>
          </w:p>
        </w:tc>
        <w:tc>
          <w:tcPr>
            <w:tcW w:w="140" w:type="dxa"/>
            <w:vAlign w:val="bottom"/>
          </w:tcPr>
          <w:p>
            <w:pPr>
              <w:spacing w:after="0"/>
              <w:rPr>
                <w:sz w:val="11"/>
                <w:szCs w:val="11"/>
                <w:color w:val="auto"/>
              </w:rPr>
            </w:pPr>
          </w:p>
        </w:tc>
        <w:tc>
          <w:tcPr>
            <w:tcW w:w="500" w:type="dxa"/>
            <w:vAlign w:val="bottom"/>
          </w:tcPr>
          <w:p>
            <w:pPr>
              <w:ind w:left="320"/>
              <w:spacing w:after="0"/>
              <w:rPr>
                <w:sz w:val="20"/>
                <w:szCs w:val="20"/>
                <w:color w:val="auto"/>
              </w:rPr>
            </w:pPr>
            <w:r>
              <w:rPr>
                <w:rFonts w:ascii="Arial" w:cs="Arial" w:eastAsia="Arial" w:hAnsi="Arial"/>
                <w:sz w:val="11"/>
                <w:szCs w:val="11"/>
                <w:color w:val="auto"/>
                <w:w w:val="74"/>
              </w:rPr>
              <w:t>2.40</w:t>
            </w:r>
          </w:p>
        </w:tc>
        <w:tc>
          <w:tcPr>
            <w:tcW w:w="120" w:type="dxa"/>
            <w:vAlign w:val="bottom"/>
          </w:tcPr>
          <w:p>
            <w:pPr>
              <w:spacing w:after="0"/>
              <w:rPr>
                <w:sz w:val="11"/>
                <w:szCs w:val="11"/>
                <w:color w:val="auto"/>
              </w:rPr>
            </w:pPr>
          </w:p>
        </w:tc>
        <w:tc>
          <w:tcPr>
            <w:tcW w:w="660" w:type="dxa"/>
            <w:vAlign w:val="bottom"/>
          </w:tcPr>
          <w:p>
            <w:pPr>
              <w:ind w:left="460"/>
              <w:spacing w:after="0"/>
              <w:rPr>
                <w:sz w:val="20"/>
                <w:szCs w:val="20"/>
                <w:color w:val="auto"/>
              </w:rPr>
            </w:pPr>
            <w:r>
              <w:rPr>
                <w:rFonts w:ascii="Arial" w:cs="Arial" w:eastAsia="Arial" w:hAnsi="Arial"/>
                <w:sz w:val="11"/>
                <w:szCs w:val="11"/>
                <w:color w:val="auto"/>
                <w:w w:val="83"/>
              </w:rPr>
              <w:t>2.76</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w w:val="87"/>
              </w:rPr>
              <w:t>21,268,571</w:t>
            </w:r>
          </w:p>
        </w:tc>
        <w:tc>
          <w:tcPr>
            <w:tcW w:w="200" w:type="dxa"/>
            <w:vAlign w:val="bottom"/>
          </w:tcPr>
          <w:p>
            <w:pPr>
              <w:spacing w:after="0"/>
              <w:rPr>
                <w:sz w:val="11"/>
                <w:szCs w:val="11"/>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1"/>
                <w:szCs w:val="11"/>
                <w:color w:val="auto"/>
              </w:rPr>
              <w:t>420,564</w:t>
            </w:r>
          </w:p>
        </w:tc>
        <w:tc>
          <w:tcPr>
            <w:tcW w:w="160" w:type="dxa"/>
            <w:vAlign w:val="bottom"/>
          </w:tcPr>
          <w:p>
            <w:pPr>
              <w:spacing w:after="0"/>
              <w:rPr>
                <w:sz w:val="11"/>
                <w:szCs w:val="1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1"/>
                <w:szCs w:val="11"/>
                <w:color w:val="auto"/>
              </w:rPr>
              <w:t>1.65</w:t>
            </w:r>
          </w:p>
        </w:tc>
        <w:tc>
          <w:tcPr>
            <w:tcW w:w="620" w:type="dxa"/>
            <w:vAlign w:val="bottom"/>
          </w:tcPr>
          <w:p>
            <w:pPr>
              <w:ind w:left="420"/>
              <w:spacing w:after="0"/>
              <w:rPr>
                <w:sz w:val="20"/>
                <w:szCs w:val="20"/>
                <w:color w:val="auto"/>
              </w:rPr>
            </w:pPr>
            <w:r>
              <w:rPr>
                <w:rFonts w:ascii="Arial" w:cs="Arial" w:eastAsia="Arial" w:hAnsi="Arial"/>
                <w:sz w:val="11"/>
                <w:szCs w:val="11"/>
                <w:color w:val="auto"/>
                <w:w w:val="83"/>
              </w:rPr>
              <w:t>1.98</w:t>
            </w:r>
          </w:p>
        </w:tc>
        <w:tc>
          <w:tcPr>
            <w:tcW w:w="1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11061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81" w:lineRule="exact"/>
        <w:rPr>
          <w:sz w:val="20"/>
          <w:szCs w:val="20"/>
          <w:color w:val="auto"/>
        </w:rPr>
      </w:pPr>
    </w:p>
    <w:p>
      <w:pPr>
        <w:ind w:left="5620" w:right="5620" w:hanging="5612"/>
        <w:spacing w:after="0" w:line="853" w:lineRule="auto"/>
        <w:tabs>
          <w:tab w:leader="none" w:pos="49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Includes the amount paid to Central Bank for the deposit insurance fund.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-231140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i w:val="1"/>
          <w:iCs w:val="1"/>
          <w:color w:val="auto"/>
        </w:rPr>
        <w:t>Changes in Net Interest Income and Expense: Volume and Rate Analysis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2"/>
          </w:tcPr>
          <w:p>
            <w:pPr>
              <w:jc w:val="center"/>
              <w:ind w:left="48"/>
              <w:spacing w:after="0"/>
              <w:rPr>
                <w:sz w:val="20"/>
                <w:szCs w:val="20"/>
                <w:color w:val="auto"/>
              </w:rPr>
            </w:pPr>
            <w:r>
              <w:rPr>
                <w:rFonts w:ascii="Arial" w:cs="Arial" w:eastAsia="Arial" w:hAnsi="Arial"/>
                <w:sz w:val="14"/>
                <w:szCs w:val="14"/>
                <w:b w:val="1"/>
                <w:bCs w:val="1"/>
                <w:color w:val="auto"/>
                <w:w w:val="93"/>
              </w:rPr>
              <w:t>2008/2007</w:t>
            </w:r>
          </w:p>
        </w:tc>
        <w:tc>
          <w:tcPr>
            <w:tcW w:w="1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2009/2008</w:t>
            </w:r>
          </w:p>
        </w:tc>
        <w:tc>
          <w:tcPr>
            <w:tcW w:w="1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378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 due to changes in:</w:t>
            </w:r>
          </w:p>
        </w:tc>
        <w:tc>
          <w:tcPr>
            <w:tcW w:w="100" w:type="dxa"/>
            <w:vAlign w:val="bottom"/>
          </w:tcPr>
          <w:p>
            <w:pPr>
              <w:spacing w:after="0"/>
              <w:rPr>
                <w:sz w:val="13"/>
                <w:szCs w:val="13"/>
                <w:color w:val="auto"/>
              </w:rPr>
            </w:pPr>
          </w:p>
        </w:tc>
        <w:tc>
          <w:tcPr>
            <w:tcW w:w="3840" w:type="dxa"/>
            <w:vAlign w:val="bottom"/>
            <w:tcBorders>
              <w:bottom w:val="single" w:sz="8" w:color="auto"/>
            </w:tcBorders>
            <w:gridSpan w:val="5"/>
          </w:tcPr>
          <w:p>
            <w:pPr>
              <w:jc w:val="center"/>
              <w:spacing w:after="0" w:line="149" w:lineRule="exact"/>
              <w:rPr>
                <w:sz w:val="20"/>
                <w:szCs w:val="20"/>
                <w:color w:val="auto"/>
              </w:rPr>
            </w:pPr>
            <w:r>
              <w:rPr>
                <w:rFonts w:ascii="Arial" w:cs="Arial" w:eastAsia="Arial" w:hAnsi="Arial"/>
                <w:sz w:val="14"/>
                <w:szCs w:val="14"/>
                <w:b w:val="1"/>
                <w:bCs w:val="1"/>
                <w:color w:val="auto"/>
                <w:w w:val="90"/>
              </w:rPr>
              <w:t>Increase/(Decrease) due to changes in:</w:t>
            </w: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180" w:type="dxa"/>
            <w:vAlign w:val="bottom"/>
            <w:tcBorders>
              <w:bottom w:val="single" w:sz="8" w:color="auto"/>
            </w:tcBorders>
          </w:tcPr>
          <w:p>
            <w:pPr>
              <w:ind w:left="360"/>
              <w:spacing w:after="0" w:line="149" w:lineRule="exact"/>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3"/>
                <w:szCs w:val="13"/>
                <w:color w:val="auto"/>
              </w:rPr>
            </w:pPr>
          </w:p>
        </w:tc>
        <w:tc>
          <w:tcPr>
            <w:tcW w:w="11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3"/>
                <w:szCs w:val="13"/>
                <w:color w:val="auto"/>
              </w:rPr>
            </w:pPr>
          </w:p>
        </w:tc>
        <w:tc>
          <w:tcPr>
            <w:tcW w:w="120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b w:val="1"/>
                <w:bCs w:val="1"/>
                <w:color w:val="auto"/>
              </w:rPr>
              <w:t>Net Change</w:t>
            </w:r>
          </w:p>
        </w:tc>
        <w:tc>
          <w:tcPr>
            <w:tcW w:w="100" w:type="dxa"/>
            <w:vAlign w:val="bottom"/>
          </w:tcPr>
          <w:p>
            <w:pPr>
              <w:spacing w:after="0"/>
              <w:rPr>
                <w:sz w:val="13"/>
                <w:szCs w:val="13"/>
                <w:color w:val="auto"/>
              </w:rPr>
            </w:pPr>
          </w:p>
        </w:tc>
        <w:tc>
          <w:tcPr>
            <w:tcW w:w="1200" w:type="dxa"/>
            <w:vAlign w:val="bottom"/>
            <w:tcBorders>
              <w:bottom w:val="single" w:sz="8" w:color="auto"/>
            </w:tcBorders>
          </w:tcPr>
          <w:p>
            <w:pPr>
              <w:ind w:left="380"/>
              <w:spacing w:after="0" w:line="149" w:lineRule="exact"/>
              <w:rPr>
                <w:sz w:val="20"/>
                <w:szCs w:val="20"/>
                <w:color w:val="auto"/>
              </w:rPr>
            </w:pPr>
            <w:r>
              <w:rPr>
                <w:rFonts w:ascii="Arial" w:cs="Arial" w:eastAsia="Arial" w:hAnsi="Arial"/>
                <w:sz w:val="14"/>
                <w:szCs w:val="14"/>
                <w:b w:val="1"/>
                <w:bCs w:val="1"/>
                <w:color w:val="auto"/>
              </w:rPr>
              <w:t>Volume</w:t>
            </w:r>
          </w:p>
        </w:tc>
        <w:tc>
          <w:tcPr>
            <w:tcW w:w="120" w:type="dxa"/>
            <w:vAlign w:val="bottom"/>
          </w:tcPr>
          <w:p>
            <w:pPr>
              <w:spacing w:after="0"/>
              <w:rPr>
                <w:sz w:val="13"/>
                <w:szCs w:val="13"/>
                <w:color w:val="auto"/>
              </w:rPr>
            </w:pPr>
          </w:p>
        </w:tc>
        <w:tc>
          <w:tcPr>
            <w:tcW w:w="120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Rate</w:t>
            </w:r>
          </w:p>
        </w:tc>
        <w:tc>
          <w:tcPr>
            <w:tcW w:w="100" w:type="dxa"/>
            <w:vAlign w:val="bottom"/>
          </w:tcPr>
          <w:p>
            <w:pPr>
              <w:spacing w:after="0"/>
              <w:rPr>
                <w:sz w:val="13"/>
                <w:szCs w:val="13"/>
                <w:color w:val="auto"/>
              </w:rPr>
            </w:pPr>
          </w:p>
        </w:tc>
        <w:tc>
          <w:tcPr>
            <w:tcW w:w="1220" w:type="dxa"/>
            <w:vAlign w:val="bottom"/>
            <w:tcBorders>
              <w:bottom w:val="single" w:sz="8" w:color="auto"/>
            </w:tcBorders>
          </w:tcPr>
          <w:p>
            <w:pPr>
              <w:ind w:left="260"/>
              <w:spacing w:after="0" w:line="149" w:lineRule="exact"/>
              <w:rPr>
                <w:sz w:val="20"/>
                <w:szCs w:val="20"/>
                <w:color w:val="auto"/>
              </w:rPr>
            </w:pPr>
            <w:r>
              <w:rPr>
                <w:rFonts w:ascii="Arial" w:cs="Arial" w:eastAsia="Arial" w:hAnsi="Arial"/>
                <w:sz w:val="14"/>
                <w:szCs w:val="14"/>
                <w:b w:val="1"/>
                <w:bCs w:val="1"/>
                <w:color w:val="auto"/>
              </w:rPr>
              <w:t>Net Change</w:t>
            </w:r>
          </w:p>
        </w:tc>
      </w:tr>
      <w:tr>
        <w:trPr>
          <w:trHeight w:val="156"/>
        </w:trPr>
        <w:tc>
          <w:tcPr>
            <w:tcW w:w="2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ind w:left="480"/>
              <w:spacing w:after="0" w:line="149" w:lineRule="exact"/>
              <w:rPr>
                <w:sz w:val="20"/>
                <w:szCs w:val="20"/>
                <w:color w:val="auto"/>
              </w:rPr>
            </w:pPr>
            <w:r>
              <w:rPr>
                <w:rFonts w:ascii="Arial" w:cs="Arial" w:eastAsia="Arial" w:hAnsi="Arial"/>
                <w:sz w:val="14"/>
                <w:szCs w:val="14"/>
                <w:i w:val="1"/>
                <w:iCs w:val="1"/>
                <w:color w:val="auto"/>
                <w:w w:val="88"/>
              </w:rPr>
              <w:t>(U.S. Dollars</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i w:val="1"/>
                <w:iCs w:val="1"/>
                <w:color w:val="auto"/>
              </w:rPr>
              <w:t>in thousands)</w:t>
            </w:r>
          </w:p>
        </w:tc>
        <w:tc>
          <w:tcPr>
            <w:tcW w:w="1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Interest Income:</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Interest-earning deposits in Central Bank</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4,194</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5,522</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9,716</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(7,110)</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(1,520)</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(8,630)</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10,329</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(29,052)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(18,723)</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5,797</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(30,210)</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(24,413)</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14,523</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(23,530)</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(9,007)</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(1,313)</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(31,730)</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(33,043)</w:t>
            </w: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Deposits in other banks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1,560</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89"/>
              </w:rPr>
              <w:t>37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1,597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1,718</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1,194</w:t>
            </w:r>
          </w:p>
        </w:tc>
        <w:tc>
          <w:tcPr>
            <w:tcW w:w="132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1"/>
              </w:rPr>
              <w:t>2,912</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5"/>
              </w:rPr>
              <w:t>(12,873)</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(10,268)</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(23,141)</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6,261</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(35,478)</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(29,217)</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(11,313)</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(10,231)</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(21,544)</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7,979</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(34,284)</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(26,305)</w:t>
            </w: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Investment securities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22,418</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26,710</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49,128</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(69,951)</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(78,892)</w:t>
            </w:r>
          </w:p>
        </w:tc>
        <w:tc>
          <w:tcPr>
            <w:tcW w:w="132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3"/>
              </w:rPr>
              <w:t>(148,843)</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53,786</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(36,655)</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17,131</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(2,198)</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3"/>
              </w:rPr>
              <w:t>39,649</w:t>
            </w:r>
          </w:p>
        </w:tc>
        <w:tc>
          <w:tcPr>
            <w:tcW w:w="13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37,451</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76,204</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(9,945)</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66,259</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(72,149)</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(39,243)</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0"/>
              </w:rPr>
              <w:t>(111,392)</w:t>
            </w: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Total loans</w:t>
            </w:r>
            <w:r>
              <w:rPr>
                <w:rFonts w:ascii="Arial" w:cs="Arial" w:eastAsia="Arial" w:hAnsi="Arial"/>
                <w:sz w:val="10"/>
                <w:szCs w:val="10"/>
                <w:color w:val="auto"/>
              </w:rPr>
              <w:t>(1)</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141,242</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(3,249)</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137,993</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0"/>
              </w:rPr>
              <w:t>121,383</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15,580</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0"/>
              </w:rPr>
              <w:t>136,963</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123,302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1,174</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124,476</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23,812</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(62,669)</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(38,857)</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264,544</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(2,075)</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262,469</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0"/>
              </w:rPr>
              <w:t>145,195</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(47,089)</w:t>
            </w:r>
          </w:p>
        </w:tc>
        <w:tc>
          <w:tcPr>
            <w:tcW w:w="132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3"/>
              </w:rPr>
              <w:t>98,106</w:t>
            </w: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Total dividend-earning assets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(1,097)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1,978</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881</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7"/>
              </w:rPr>
              <w:t>(542)</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(4,073)</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(4,615)</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(280)</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2,718</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2,438</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334</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1"/>
              </w:rPr>
              <w:t>1,807</w:t>
            </w:r>
          </w:p>
        </w:tc>
        <w:tc>
          <w:tcPr>
            <w:tcW w:w="13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1"/>
              </w:rPr>
              <w:t>2,141</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(1,377)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4,696</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3,319</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7"/>
              </w:rPr>
              <w:t>(208)</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(2,266)</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(2,474)</w:t>
            </w: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color w:val="auto"/>
              </w:rPr>
              <w:t>Total interest-earning assets</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150,362</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48,953</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199,315</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(14,404)</w:t>
            </w:r>
          </w:p>
        </w:tc>
        <w:tc>
          <w:tcPr>
            <w:tcW w:w="1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(7,809)</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(22,213)</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0"/>
              </w:rPr>
              <w:t>179,191</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(77,010)</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102,181</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42,646</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(95,541)</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(52,895)</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329,553</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(28,057)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301,496</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28,242</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(103,350)</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(75,108)</w:t>
            </w:r>
          </w:p>
        </w:tc>
      </w:tr>
      <w:tr>
        <w:trPr>
          <w:trHeight w:val="149"/>
        </w:trPr>
        <w:tc>
          <w:tcPr>
            <w:tcW w:w="20" w:type="dxa"/>
            <w:vAlign w:val="bottom"/>
          </w:tcPr>
          <w:p>
            <w:pPr>
              <w:spacing w:after="0"/>
              <w:rPr>
                <w:sz w:val="12"/>
                <w:szCs w:val="12"/>
                <w:color w:val="auto"/>
              </w:rPr>
            </w:pPr>
          </w:p>
        </w:tc>
        <w:tc>
          <w:tcPr>
            <w:tcW w:w="3680" w:type="dxa"/>
            <w:vAlign w:val="bottom"/>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Demand deposits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6,441</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3,784</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10,225</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508</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4"/>
              </w:rPr>
              <w:t>(8,116)</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(7,608)</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2,219</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518</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2,737</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477</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(9,540)</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(9,063)</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8,660</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4,302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12,962</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985</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(17,656)</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(16,671)</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Savings deposits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5,183</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7"/>
              </w:rPr>
              <w:t>(222)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4,961</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1,660</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4"/>
              </w:rPr>
              <w:t>(6,561)</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(4,901)</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1,328</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1,007</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2,335</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3,432</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(7,187)</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(3,755)</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1"/>
              </w:rPr>
              <w:t>6,511</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785</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7,296</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5,092</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(13,748)</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(8,656)</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Time deposits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70,079</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3,312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73,391</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(39,387)</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(30,438)</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(69,825)</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6"/>
              </w:rPr>
              <w:t>1,348</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(27,370)</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(26,022)</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23,435</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(58,349)</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(34,914)</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71,427</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(24,058)</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47,369</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(15,952)</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(88,787)</w:t>
            </w:r>
          </w:p>
        </w:tc>
        <w:tc>
          <w:tcPr>
            <w:tcW w:w="13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(104,739)</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Due to banks and correspondents and issued bonds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96"/>
              </w:rPr>
              <w:t>1,455</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1,275</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2,730</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529</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4"/>
              </w:rPr>
              <w:t>(4,441)</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(3,912)</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50,720</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(31,702)</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19,018</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(15,263)</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5"/>
              </w:rPr>
              <w:t>(33,989)</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(49,252)</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52,175</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(30,427)</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21,748</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(14,734)</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(38,430)</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(53,164)</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17,107</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4"/>
              </w:rPr>
              <w:t>803</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17,910</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3,974</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4"/>
              </w:rPr>
              <w:t>295</w:t>
            </w:r>
          </w:p>
        </w:tc>
        <w:tc>
          <w:tcPr>
            <w:tcW w:w="13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1"/>
              </w:rPr>
              <w:t>4,269</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(2,835)</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3,089</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254</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88"/>
              </w:rPr>
              <w:t>11,179</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(211)</w:t>
            </w:r>
          </w:p>
        </w:tc>
        <w:tc>
          <w:tcPr>
            <w:tcW w:w="132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3"/>
              </w:rPr>
              <w:t>10,968</w:t>
            </w: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14,272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1"/>
              </w:rPr>
              <w:t>3,892</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18,164</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15,153</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89"/>
              </w:rPr>
              <w:t>84</w:t>
            </w:r>
          </w:p>
        </w:tc>
        <w:tc>
          <w:tcPr>
            <w:tcW w:w="132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3"/>
              </w:rPr>
              <w:t>15,237</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interest-bearing liabilities</w:t>
            </w:r>
          </w:p>
        </w:tc>
        <w:tc>
          <w:tcPr>
            <w:tcW w:w="11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1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2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Nuevos Soles</w:t>
            </w:r>
          </w:p>
        </w:tc>
        <w:tc>
          <w:tcPr>
            <w:tcW w:w="1180" w:type="dxa"/>
            <w:vAlign w:val="bottom"/>
          </w:tcPr>
          <w:p>
            <w:pPr>
              <w:jc w:val="center"/>
              <w:spacing w:after="0" w:line="149" w:lineRule="exact"/>
              <w:rPr>
                <w:sz w:val="20"/>
                <w:szCs w:val="20"/>
                <w:color w:val="auto"/>
              </w:rPr>
            </w:pPr>
            <w:r>
              <w:rPr>
                <w:rFonts w:ascii="Arial" w:cs="Arial" w:eastAsia="Arial" w:hAnsi="Arial"/>
                <w:sz w:val="14"/>
                <w:szCs w:val="14"/>
                <w:color w:val="auto"/>
                <w:w w:val="88"/>
              </w:rPr>
              <w:t>85,484</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3"/>
              </w:rPr>
              <w:t>23,733</w:t>
            </w:r>
          </w:p>
        </w:tc>
        <w:tc>
          <w:tcPr>
            <w:tcW w:w="130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4"/>
              </w:rPr>
              <w:t>109,217</w:t>
            </w:r>
          </w:p>
        </w:tc>
        <w:tc>
          <w:tcPr>
            <w:tcW w:w="1300" w:type="dxa"/>
            <w:vAlign w:val="bottom"/>
            <w:gridSpan w:val="2"/>
          </w:tcPr>
          <w:p>
            <w:pPr>
              <w:jc w:val="center"/>
              <w:ind w:left="48"/>
              <w:spacing w:after="0" w:line="149" w:lineRule="exact"/>
              <w:rPr>
                <w:sz w:val="20"/>
                <w:szCs w:val="20"/>
                <w:color w:val="auto"/>
              </w:rPr>
            </w:pPr>
            <w:r>
              <w:rPr>
                <w:rFonts w:ascii="Arial" w:cs="Arial" w:eastAsia="Arial" w:hAnsi="Arial"/>
                <w:sz w:val="14"/>
                <w:szCs w:val="14"/>
                <w:color w:val="auto"/>
                <w:w w:val="95"/>
              </w:rPr>
              <w:t>(15,924)</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color w:val="auto"/>
                <w:w w:val="95"/>
              </w:rPr>
              <w:t>(66,053)</w:t>
            </w:r>
          </w:p>
        </w:tc>
        <w:tc>
          <w:tcPr>
            <w:tcW w:w="1320" w:type="dxa"/>
            <w:vAlign w:val="bottom"/>
            <w:gridSpan w:val="2"/>
          </w:tcPr>
          <w:p>
            <w:pPr>
              <w:jc w:val="center"/>
              <w:ind w:left="28"/>
              <w:spacing w:after="0" w:line="149" w:lineRule="exact"/>
              <w:rPr>
                <w:sz w:val="20"/>
                <w:szCs w:val="20"/>
                <w:color w:val="auto"/>
              </w:rPr>
            </w:pPr>
            <w:r>
              <w:rPr>
                <w:rFonts w:ascii="Arial" w:cs="Arial" w:eastAsia="Arial" w:hAnsi="Arial"/>
                <w:sz w:val="14"/>
                <w:szCs w:val="14"/>
                <w:color w:val="auto"/>
                <w:w w:val="95"/>
              </w:rPr>
              <w:t>(81,977)</w:t>
            </w:r>
          </w:p>
        </w:tc>
      </w:tr>
      <w:tr>
        <w:trPr>
          <w:trHeight w:val="149"/>
        </w:trPr>
        <w:tc>
          <w:tcPr>
            <w:tcW w:w="20" w:type="dxa"/>
            <w:vAlign w:val="bottom"/>
          </w:tcPr>
          <w:p>
            <w:pPr>
              <w:spacing w:after="0"/>
              <w:rPr>
                <w:sz w:val="12"/>
                <w:szCs w:val="12"/>
                <w:color w:val="auto"/>
              </w:rPr>
            </w:pPr>
          </w:p>
        </w:tc>
        <w:tc>
          <w:tcPr>
            <w:tcW w:w="36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Foreign Currency</w:t>
            </w:r>
          </w:p>
        </w:tc>
        <w:tc>
          <w:tcPr>
            <w:tcW w:w="11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49,489</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5"/>
              </w:rPr>
              <w:t>(51,167)</w:t>
            </w:r>
          </w:p>
        </w:tc>
        <w:tc>
          <w:tcPr>
            <w:tcW w:w="1300" w:type="dxa"/>
            <w:vAlign w:val="bottom"/>
            <w:gridSpan w:val="2"/>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4"/>
              </w:rPr>
              <w:t>(1,678)</w:t>
            </w:r>
          </w:p>
        </w:tc>
        <w:tc>
          <w:tcPr>
            <w:tcW w:w="130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3"/>
              </w:rPr>
              <w:t>23,354</w:t>
            </w:r>
          </w:p>
        </w:tc>
        <w:tc>
          <w:tcPr>
            <w:tcW w:w="120" w:type="dxa"/>
            <w:vAlign w:val="bottom"/>
            <w:shd w:val="clear" w:color="auto" w:fill="CCFFCC"/>
          </w:tcPr>
          <w:p>
            <w:pPr>
              <w:spacing w:after="0"/>
              <w:rPr>
                <w:sz w:val="12"/>
                <w:szCs w:val="12"/>
                <w:color w:val="auto"/>
              </w:rPr>
            </w:pPr>
          </w:p>
        </w:tc>
        <w:tc>
          <w:tcPr>
            <w:tcW w:w="12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(109,369)</w:t>
            </w:r>
          </w:p>
        </w:tc>
        <w:tc>
          <w:tcPr>
            <w:tcW w:w="1320" w:type="dxa"/>
            <w:vAlign w:val="bottom"/>
            <w:gridSpan w:val="2"/>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5"/>
              </w:rPr>
              <w:t>(86,015)</w:t>
            </w:r>
          </w:p>
        </w:tc>
      </w:tr>
      <w:tr>
        <w:trPr>
          <w:trHeight w:val="182"/>
        </w:trPr>
        <w:tc>
          <w:tcPr>
            <w:tcW w:w="20" w:type="dxa"/>
            <w:vAlign w:val="bottom"/>
          </w:tcPr>
          <w:p>
            <w:pPr>
              <w:spacing w:after="0"/>
              <w:rPr>
                <w:sz w:val="15"/>
                <w:szCs w:val="15"/>
                <w:color w:val="auto"/>
              </w:rPr>
            </w:pPr>
          </w:p>
        </w:tc>
        <w:tc>
          <w:tcPr>
            <w:tcW w:w="3680" w:type="dxa"/>
            <w:vAlign w:val="bottom"/>
          </w:tcPr>
          <w:p>
            <w:pPr>
              <w:ind w:left="160"/>
              <w:spacing w:after="0"/>
              <w:rPr>
                <w:sz w:val="20"/>
                <w:szCs w:val="20"/>
                <w:color w:val="auto"/>
              </w:rPr>
            </w:pPr>
            <w:r>
              <w:rPr>
                <w:rFonts w:ascii="Arial" w:cs="Arial" w:eastAsia="Arial" w:hAnsi="Arial"/>
                <w:sz w:val="14"/>
                <w:szCs w:val="14"/>
                <w:color w:val="auto"/>
              </w:rPr>
              <w:t>Total</w:t>
            </w:r>
          </w:p>
        </w:tc>
        <w:tc>
          <w:tcPr>
            <w:tcW w:w="1180" w:type="dxa"/>
            <w:vAlign w:val="bottom"/>
          </w:tcPr>
          <w:p>
            <w:pPr>
              <w:jc w:val="center"/>
              <w:spacing w:after="0"/>
              <w:rPr>
                <w:sz w:val="20"/>
                <w:szCs w:val="20"/>
                <w:color w:val="auto"/>
              </w:rPr>
            </w:pPr>
            <w:r>
              <w:rPr>
                <w:rFonts w:ascii="Arial" w:cs="Arial" w:eastAsia="Arial" w:hAnsi="Arial"/>
                <w:sz w:val="14"/>
                <w:szCs w:val="14"/>
                <w:color w:val="auto"/>
                <w:w w:val="90"/>
              </w:rPr>
              <w:t>134,973</w:t>
            </w:r>
          </w:p>
        </w:tc>
        <w:tc>
          <w:tcPr>
            <w:tcW w:w="130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(27,434)</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107,539</w:t>
            </w:r>
          </w:p>
        </w:tc>
        <w:tc>
          <w:tcPr>
            <w:tcW w:w="1300" w:type="dxa"/>
            <w:vAlign w:val="bottom"/>
            <w:gridSpan w:val="2"/>
          </w:tcPr>
          <w:p>
            <w:pPr>
              <w:jc w:val="center"/>
              <w:ind w:left="28"/>
              <w:spacing w:after="0"/>
              <w:rPr>
                <w:sz w:val="20"/>
                <w:szCs w:val="20"/>
                <w:color w:val="auto"/>
              </w:rPr>
            </w:pPr>
            <w:r>
              <w:rPr>
                <w:rFonts w:ascii="Arial" w:cs="Arial" w:eastAsia="Arial" w:hAnsi="Arial"/>
                <w:sz w:val="14"/>
                <w:szCs w:val="14"/>
                <w:color w:val="auto"/>
                <w:w w:val="91"/>
              </w:rPr>
              <w:t>7,430</w:t>
            </w:r>
          </w:p>
        </w:tc>
        <w:tc>
          <w:tcPr>
            <w:tcW w:w="12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4"/>
                <w:szCs w:val="14"/>
                <w:color w:val="auto"/>
                <w:w w:val="93"/>
              </w:rPr>
              <w:t>(175,422)</w:t>
            </w:r>
          </w:p>
        </w:tc>
        <w:tc>
          <w:tcPr>
            <w:tcW w:w="1320" w:type="dxa"/>
            <w:vAlign w:val="bottom"/>
            <w:gridSpan w:val="2"/>
          </w:tcPr>
          <w:p>
            <w:pPr>
              <w:jc w:val="center"/>
              <w:ind w:left="48"/>
              <w:spacing w:after="0"/>
              <w:rPr>
                <w:sz w:val="20"/>
                <w:szCs w:val="20"/>
                <w:color w:val="auto"/>
              </w:rPr>
            </w:pPr>
            <w:r>
              <w:rPr>
                <w:rFonts w:ascii="Arial" w:cs="Arial" w:eastAsia="Arial" w:hAnsi="Arial"/>
                <w:sz w:val="14"/>
                <w:szCs w:val="14"/>
                <w:color w:val="auto"/>
                <w:w w:val="93"/>
              </w:rPr>
              <w:t>(167,992)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1061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162" w:lineRule="exact"/>
        <w:rPr>
          <w:sz w:val="20"/>
          <w:szCs w:val="20"/>
          <w:color w:val="auto"/>
        </w:rPr>
      </w:pPr>
    </w:p>
    <w:p>
      <w:pPr>
        <w:ind w:left="500" w:right="20" w:hanging="492"/>
        <w:spacing w:after="0" w:line="277"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2" w:name="page73"/>
    <w:bookmarkEnd w:id="72"/>
    <w:p>
      <w:pPr>
        <w:ind w:left="660"/>
        <w:spacing w:after="0"/>
        <w:rPr>
          <w:sz w:val="20"/>
          <w:szCs w:val="20"/>
          <w:color w:val="auto"/>
        </w:rPr>
      </w:pPr>
      <w:r>
        <w:rPr>
          <w:rFonts w:ascii="Arial" w:cs="Arial" w:eastAsia="Arial" w:hAnsi="Arial"/>
          <w:sz w:val="18"/>
          <w:szCs w:val="18"/>
          <w:i w:val="1"/>
          <w:iCs w:val="1"/>
          <w:color w:val="auto"/>
        </w:rPr>
        <w:t>Interest-Earning Assets, Net Interest Margin and Yield Spread</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193" w:lineRule="exact"/>
        <w:rPr>
          <w:sz w:val="20"/>
          <w:szCs w:val="20"/>
          <w:color w:val="auto"/>
        </w:rPr>
      </w:pPr>
    </w:p>
    <w:tbl>
      <w:tblPr>
        <w:tblLayout w:type="fixed"/>
        <w:tblInd w:w="1960" w:type="dxa"/>
        <w:tblCellMar>
          <w:top w:w="0" w:type="dxa"/>
          <w:left w:w="0" w:type="dxa"/>
          <w:bottom w:w="0" w:type="dxa"/>
          <w:right w:w="0" w:type="dxa"/>
        </w:tblCellMar>
      </w:tblPr>
      <w:tr>
        <w:trPr>
          <w:trHeight w:val="241"/>
        </w:trPr>
        <w:tc>
          <w:tcPr>
            <w:tcW w:w="3020" w:type="dxa"/>
            <w:vAlign w:val="bottom"/>
          </w:tcPr>
          <w:p>
            <w:pPr>
              <w:spacing w:after="0"/>
              <w:rPr>
                <w:sz w:val="20"/>
                <w:szCs w:val="20"/>
                <w:color w:val="auto"/>
              </w:rPr>
            </w:pPr>
          </w:p>
        </w:tc>
        <w:tc>
          <w:tcPr>
            <w:tcW w:w="3320" w:type="dxa"/>
            <w:vAlign w:val="bottom"/>
            <w:tcBorders>
              <w:bottom w:val="single" w:sz="8" w:color="auto"/>
            </w:tcBorders>
            <w:gridSpan w:val="5"/>
          </w:tcPr>
          <w:p>
            <w:pPr>
              <w:ind w:left="1180"/>
              <w:spacing w:after="0"/>
              <w:rPr>
                <w:sz w:val="20"/>
                <w:szCs w:val="20"/>
                <w:color w:val="auto"/>
              </w:rPr>
            </w:pPr>
            <w:r>
              <w:rPr>
                <w:rFonts w:ascii="Arial" w:cs="Arial" w:eastAsia="Arial" w:hAnsi="Arial"/>
                <w:sz w:val="18"/>
                <w:szCs w:val="18"/>
                <w:b w:val="1"/>
                <w:bCs w:val="1"/>
                <w:color w:val="auto"/>
                <w:w w:val="96"/>
              </w:rPr>
              <w:t>Year ended December 31,</w:t>
            </w:r>
          </w:p>
        </w:tc>
        <w:tc>
          <w:tcPr>
            <w:tcW w:w="9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r>
      <w:tr>
        <w:trPr>
          <w:trHeight w:val="223"/>
        </w:trPr>
        <w:tc>
          <w:tcPr>
            <w:tcW w:w="3020" w:type="dxa"/>
            <w:vAlign w:val="bottom"/>
          </w:tcPr>
          <w:p>
            <w:pPr>
              <w:spacing w:after="0"/>
              <w:rPr>
                <w:sz w:val="19"/>
                <w:szCs w:val="19"/>
                <w:color w:val="auto"/>
              </w:rPr>
            </w:pPr>
          </w:p>
        </w:tc>
        <w:tc>
          <w:tcPr>
            <w:tcW w:w="122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3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r>
      <w:tr>
        <w:trPr>
          <w:trHeight w:val="223"/>
        </w:trPr>
        <w:tc>
          <w:tcPr>
            <w:tcW w:w="3020" w:type="dxa"/>
            <w:vAlign w:val="bottom"/>
          </w:tcPr>
          <w:p>
            <w:pPr>
              <w:spacing w:after="0"/>
              <w:rPr>
                <w:sz w:val="19"/>
                <w:szCs w:val="19"/>
                <w:color w:val="auto"/>
              </w:rPr>
            </w:pPr>
          </w:p>
        </w:tc>
        <w:tc>
          <w:tcPr>
            <w:tcW w:w="4500" w:type="dxa"/>
            <w:vAlign w:val="bottom"/>
            <w:gridSpan w:val="7"/>
          </w:tcPr>
          <w:p>
            <w:pPr>
              <w:ind w:left="440"/>
              <w:spacing w:after="0"/>
              <w:rPr>
                <w:sz w:val="20"/>
                <w:szCs w:val="20"/>
                <w:color w:val="auto"/>
              </w:rPr>
            </w:pPr>
            <w:r>
              <w:rPr>
                <w:rFonts w:ascii="Arial" w:cs="Arial" w:eastAsia="Arial" w:hAnsi="Arial"/>
                <w:sz w:val="18"/>
                <w:szCs w:val="18"/>
                <w:i w:val="1"/>
                <w:iCs w:val="1"/>
                <w:color w:val="auto"/>
              </w:rPr>
              <w:t>(U.S. Dollars in thousands, except percentages)</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interest-earning assets</w:t>
            </w:r>
          </w:p>
        </w:tc>
        <w:tc>
          <w:tcPr>
            <w:tcW w:w="122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302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220" w:type="dxa"/>
            <w:vAlign w:val="bottom"/>
          </w:tcPr>
          <w:p>
            <w:pPr>
              <w:jc w:val="right"/>
              <w:spacing w:after="0"/>
              <w:rPr>
                <w:sz w:val="20"/>
                <w:szCs w:val="20"/>
                <w:color w:val="auto"/>
              </w:rPr>
            </w:pPr>
            <w:r>
              <w:rPr>
                <w:rFonts w:ascii="Arial" w:cs="Arial" w:eastAsia="Arial" w:hAnsi="Arial"/>
                <w:sz w:val="18"/>
                <w:szCs w:val="18"/>
                <w:color w:val="auto"/>
              </w:rPr>
              <w:t>4,315,200</w:t>
            </w:r>
          </w:p>
        </w:tc>
        <w:tc>
          <w:tcPr>
            <w:tcW w:w="2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5,906,348</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5,766,213</w:t>
            </w:r>
          </w:p>
        </w:tc>
      </w:tr>
      <w:tr>
        <w:trPr>
          <w:trHeight w:val="216"/>
        </w:trPr>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9,776,665</w:t>
            </w:r>
          </w:p>
        </w:tc>
        <w:tc>
          <w:tcPr>
            <w:tcW w:w="28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12,513,405</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13,232,295</w:t>
            </w:r>
          </w:p>
        </w:tc>
      </w:tr>
      <w:tr>
        <w:trPr>
          <w:trHeight w:val="216"/>
        </w:trPr>
        <w:tc>
          <w:tcPr>
            <w:tcW w:w="3020" w:type="dxa"/>
            <w:vAlign w:val="bottom"/>
          </w:tcPr>
          <w:p>
            <w:pPr>
              <w:ind w:left="160"/>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14,091,865</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18,419,753</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18,998,508</w:t>
            </w:r>
          </w:p>
        </w:tc>
      </w:tr>
      <w:tr>
        <w:trPr>
          <w:trHeight w:val="216"/>
        </w:trPr>
        <w:tc>
          <w:tcPr>
            <w:tcW w:w="302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1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r>
      <w:tr>
        <w:trPr>
          <w:trHeight w:val="216"/>
        </w:trPr>
        <w:tc>
          <w:tcPr>
            <w:tcW w:w="302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284,739</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374,837</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434,601</w:t>
            </w:r>
          </w:p>
        </w:tc>
      </w:tr>
      <w:tr>
        <w:trPr>
          <w:trHeight w:val="216"/>
        </w:trPr>
        <w:tc>
          <w:tcPr>
            <w:tcW w:w="30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50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338,040</w:t>
            </w:r>
          </w:p>
        </w:tc>
        <w:tc>
          <w:tcPr>
            <w:tcW w:w="15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441,899</w:t>
            </w:r>
          </w:p>
        </w:tc>
        <w:tc>
          <w:tcPr>
            <w:tcW w:w="2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475,019</w:t>
            </w:r>
          </w:p>
        </w:tc>
      </w:tr>
      <w:tr>
        <w:trPr>
          <w:trHeight w:val="216"/>
        </w:trPr>
        <w:tc>
          <w:tcPr>
            <w:tcW w:w="3020" w:type="dxa"/>
            <w:vAlign w:val="bottom"/>
          </w:tcPr>
          <w:p>
            <w:pPr>
              <w:ind w:left="160"/>
              <w:spacing w:after="0"/>
              <w:rPr>
                <w:sz w:val="20"/>
                <w:szCs w:val="20"/>
                <w:color w:val="auto"/>
              </w:rPr>
            </w:pPr>
            <w:r>
              <w:rPr>
                <w:rFonts w:ascii="Arial" w:cs="Arial" w:eastAsia="Arial" w:hAnsi="Arial"/>
                <w:sz w:val="18"/>
                <w:szCs w:val="18"/>
                <w:color w:val="auto"/>
              </w:rPr>
              <w:t>Total</w:t>
            </w: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622,779</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816,736</w:t>
            </w:r>
          </w:p>
        </w:tc>
        <w:tc>
          <w:tcPr>
            <w:tcW w:w="28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909,620</w:t>
            </w:r>
          </w:p>
        </w:tc>
      </w:tr>
    </w:tbl>
    <w:p>
      <w:pPr>
        <w:spacing w:after="0" w:line="9" w:lineRule="exact"/>
        <w:rPr>
          <w:sz w:val="20"/>
          <w:szCs w:val="20"/>
          <w:color w:val="auto"/>
        </w:rPr>
      </w:pPr>
    </w:p>
    <w:tbl>
      <w:tblPr>
        <w:tblLayout w:type="fixed"/>
        <w:tblInd w:w="1960" w:type="dxa"/>
        <w:tblCellMar>
          <w:top w:w="0" w:type="dxa"/>
          <w:left w:w="0" w:type="dxa"/>
          <w:bottom w:w="0" w:type="dxa"/>
          <w:right w:w="0" w:type="dxa"/>
        </w:tblCellMar>
      </w:tblPr>
      <w:tr>
        <w:trPr>
          <w:trHeight w:val="207"/>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Gross yield (1)</w:t>
            </w:r>
          </w:p>
        </w:tc>
        <w:tc>
          <w:tcPr>
            <w:tcW w:w="2020" w:type="dxa"/>
            <w:vAlign w:val="bottom"/>
            <w:shd w:val="clear" w:color="auto" w:fill="CCFFCC"/>
          </w:tcPr>
          <w:p>
            <w:pPr>
              <w:spacing w:after="0"/>
              <w:rPr>
                <w:sz w:val="17"/>
                <w:szCs w:val="17"/>
                <w:color w:val="auto"/>
              </w:rPr>
            </w:pPr>
          </w:p>
        </w:tc>
        <w:tc>
          <w:tcPr>
            <w:tcW w:w="1560" w:type="dxa"/>
            <w:vAlign w:val="bottom"/>
            <w:shd w:val="clear" w:color="auto" w:fill="CCFFCC"/>
          </w:tcPr>
          <w:p>
            <w:pPr>
              <w:spacing w:after="0"/>
              <w:rPr>
                <w:sz w:val="17"/>
                <w:szCs w:val="17"/>
                <w:color w:val="auto"/>
              </w:rPr>
            </w:pPr>
          </w:p>
        </w:tc>
        <w:tc>
          <w:tcPr>
            <w:tcW w:w="1100" w:type="dxa"/>
            <w:vAlign w:val="bottom"/>
            <w:shd w:val="clear" w:color="auto" w:fill="CCFFCC"/>
          </w:tcPr>
          <w:p>
            <w:pPr>
              <w:spacing w:after="0"/>
              <w:rPr>
                <w:sz w:val="17"/>
                <w:szCs w:val="17"/>
                <w:color w:val="auto"/>
              </w:rPr>
            </w:pPr>
          </w:p>
        </w:tc>
      </w:tr>
      <w:tr>
        <w:trPr>
          <w:trHeight w:val="216"/>
        </w:trPr>
        <w:tc>
          <w:tcPr>
            <w:tcW w:w="28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9.45%</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10.28%</w:t>
            </w:r>
          </w:p>
        </w:tc>
        <w:tc>
          <w:tcPr>
            <w:tcW w:w="1100" w:type="dxa"/>
            <w:vAlign w:val="bottom"/>
          </w:tcPr>
          <w:p>
            <w:pPr>
              <w:jc w:val="right"/>
              <w:spacing w:after="0"/>
              <w:rPr>
                <w:sz w:val="20"/>
                <w:szCs w:val="20"/>
                <w:color w:val="auto"/>
              </w:rPr>
            </w:pPr>
            <w:r>
              <w:rPr>
                <w:rFonts w:ascii="Arial" w:cs="Arial" w:eastAsia="Arial" w:hAnsi="Arial"/>
                <w:sz w:val="18"/>
                <w:szCs w:val="18"/>
                <w:color w:val="auto"/>
              </w:rPr>
              <w:t>10.14%</w:t>
            </w:r>
          </w:p>
        </w:tc>
      </w:tr>
      <w:tr>
        <w:trPr>
          <w:trHeight w:val="216"/>
        </w:trPr>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02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6.55%</w:t>
            </w:r>
          </w:p>
        </w:tc>
        <w:tc>
          <w:tcPr>
            <w:tcW w:w="156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5.93%</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5.21%</w:t>
            </w:r>
          </w:p>
        </w:tc>
      </w:tr>
      <w:tr>
        <w:trPr>
          <w:trHeight w:val="216"/>
        </w:trPr>
        <w:tc>
          <w:tcPr>
            <w:tcW w:w="28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7.44%</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7.33%</w:t>
            </w:r>
          </w:p>
        </w:tc>
        <w:tc>
          <w:tcPr>
            <w:tcW w:w="1100" w:type="dxa"/>
            <w:vAlign w:val="bottom"/>
          </w:tcPr>
          <w:p>
            <w:pPr>
              <w:jc w:val="right"/>
              <w:spacing w:after="0"/>
              <w:rPr>
                <w:sz w:val="20"/>
                <w:szCs w:val="20"/>
                <w:color w:val="auto"/>
              </w:rPr>
            </w:pPr>
            <w:r>
              <w:rPr>
                <w:rFonts w:ascii="Arial" w:cs="Arial" w:eastAsia="Arial" w:hAnsi="Arial"/>
                <w:sz w:val="18"/>
                <w:szCs w:val="18"/>
                <w:color w:val="auto"/>
              </w:rPr>
              <w:t>6.71%</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(2)</w:t>
            </w:r>
          </w:p>
        </w:tc>
        <w:tc>
          <w:tcPr>
            <w:tcW w:w="20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r>
      <w:tr>
        <w:trPr>
          <w:trHeight w:val="216"/>
        </w:trPr>
        <w:tc>
          <w:tcPr>
            <w:tcW w:w="28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6.60%</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6.35%</w:t>
            </w:r>
          </w:p>
        </w:tc>
        <w:tc>
          <w:tcPr>
            <w:tcW w:w="1100" w:type="dxa"/>
            <w:vAlign w:val="bottom"/>
          </w:tcPr>
          <w:p>
            <w:pPr>
              <w:jc w:val="right"/>
              <w:spacing w:after="0"/>
              <w:rPr>
                <w:sz w:val="20"/>
                <w:szCs w:val="20"/>
                <w:color w:val="auto"/>
              </w:rPr>
            </w:pPr>
            <w:r>
              <w:rPr>
                <w:rFonts w:ascii="Arial" w:cs="Arial" w:eastAsia="Arial" w:hAnsi="Arial"/>
                <w:sz w:val="18"/>
                <w:szCs w:val="18"/>
                <w:color w:val="auto"/>
              </w:rPr>
              <w:t>7.54%</w:t>
            </w:r>
          </w:p>
        </w:tc>
      </w:tr>
      <w:tr>
        <w:trPr>
          <w:trHeight w:val="216"/>
        </w:trPr>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02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3.46%</w:t>
            </w:r>
          </w:p>
        </w:tc>
        <w:tc>
          <w:tcPr>
            <w:tcW w:w="156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3.53%</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3.59%</w:t>
            </w:r>
          </w:p>
        </w:tc>
      </w:tr>
      <w:tr>
        <w:trPr>
          <w:trHeight w:val="216"/>
        </w:trPr>
        <w:tc>
          <w:tcPr>
            <w:tcW w:w="28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4.42%</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4.43%</w:t>
            </w:r>
          </w:p>
        </w:tc>
        <w:tc>
          <w:tcPr>
            <w:tcW w:w="110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16"/>
        </w:trPr>
        <w:tc>
          <w:tcPr>
            <w:tcW w:w="2840" w:type="dxa"/>
            <w:vAlign w:val="bottom"/>
            <w:shd w:val="clear" w:color="auto" w:fill="CCFFCC"/>
          </w:tcPr>
          <w:p>
            <w:pPr>
              <w:spacing w:after="0"/>
              <w:rPr>
                <w:sz w:val="20"/>
                <w:szCs w:val="20"/>
                <w:color w:val="auto"/>
              </w:rPr>
            </w:pPr>
            <w:r>
              <w:rPr>
                <w:rFonts w:ascii="Arial" w:cs="Arial" w:eastAsia="Arial" w:hAnsi="Arial"/>
                <w:sz w:val="18"/>
                <w:szCs w:val="18"/>
                <w:color w:val="auto"/>
              </w:rPr>
              <w:t>Yield spread (3)</w:t>
            </w:r>
          </w:p>
        </w:tc>
        <w:tc>
          <w:tcPr>
            <w:tcW w:w="20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r>
      <w:tr>
        <w:trPr>
          <w:trHeight w:val="216"/>
        </w:trPr>
        <w:tc>
          <w:tcPr>
            <w:tcW w:w="28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6.06%</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6.50%</w:t>
            </w:r>
          </w:p>
        </w:tc>
        <w:tc>
          <w:tcPr>
            <w:tcW w:w="1100" w:type="dxa"/>
            <w:vAlign w:val="bottom"/>
          </w:tcPr>
          <w:p>
            <w:pPr>
              <w:jc w:val="right"/>
              <w:spacing w:after="0"/>
              <w:rPr>
                <w:sz w:val="20"/>
                <w:szCs w:val="20"/>
                <w:color w:val="auto"/>
              </w:rPr>
            </w:pPr>
            <w:r>
              <w:rPr>
                <w:rFonts w:ascii="Arial" w:cs="Arial" w:eastAsia="Arial" w:hAnsi="Arial"/>
                <w:sz w:val="18"/>
                <w:szCs w:val="18"/>
                <w:color w:val="auto"/>
              </w:rPr>
              <w:t>7.52%</w:t>
            </w:r>
          </w:p>
        </w:tc>
      </w:tr>
      <w:tr>
        <w:trPr>
          <w:trHeight w:val="216"/>
        </w:trPr>
        <w:tc>
          <w:tcPr>
            <w:tcW w:w="28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02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3.18%</w:t>
            </w:r>
          </w:p>
        </w:tc>
        <w:tc>
          <w:tcPr>
            <w:tcW w:w="156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3.05%</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3.30%</w:t>
            </w:r>
          </w:p>
        </w:tc>
      </w:tr>
      <w:tr>
        <w:trPr>
          <w:trHeight w:val="230"/>
        </w:trPr>
        <w:tc>
          <w:tcPr>
            <w:tcW w:w="28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020" w:type="dxa"/>
            <w:vAlign w:val="bottom"/>
          </w:tcPr>
          <w:p>
            <w:pPr>
              <w:jc w:val="right"/>
              <w:ind w:right="390"/>
              <w:spacing w:after="0"/>
              <w:rPr>
                <w:sz w:val="20"/>
                <w:szCs w:val="20"/>
                <w:color w:val="auto"/>
              </w:rPr>
            </w:pPr>
            <w:r>
              <w:rPr>
                <w:rFonts w:ascii="Arial" w:cs="Arial" w:eastAsia="Arial" w:hAnsi="Arial"/>
                <w:sz w:val="18"/>
                <w:szCs w:val="18"/>
                <w:color w:val="auto"/>
              </w:rPr>
              <w:t>4.06%</w:t>
            </w:r>
          </w:p>
        </w:tc>
        <w:tc>
          <w:tcPr>
            <w:tcW w:w="1560" w:type="dxa"/>
            <w:vAlign w:val="bottom"/>
          </w:tcPr>
          <w:p>
            <w:pPr>
              <w:jc w:val="right"/>
              <w:ind w:right="430"/>
              <w:spacing w:after="0"/>
              <w:rPr>
                <w:sz w:val="20"/>
                <w:szCs w:val="20"/>
                <w:color w:val="auto"/>
              </w:rPr>
            </w:pPr>
            <w:r>
              <w:rPr>
                <w:rFonts w:ascii="Arial" w:cs="Arial" w:eastAsia="Arial" w:hAnsi="Arial"/>
                <w:sz w:val="18"/>
                <w:szCs w:val="18"/>
                <w:color w:val="auto"/>
              </w:rPr>
              <w:t>4.11%</w:t>
            </w:r>
          </w:p>
        </w:tc>
        <w:tc>
          <w:tcPr>
            <w:tcW w:w="1100" w:type="dxa"/>
            <w:vAlign w:val="bottom"/>
          </w:tcPr>
          <w:p>
            <w:pPr>
              <w:jc w:val="right"/>
              <w:spacing w:after="0"/>
              <w:rPr>
                <w:sz w:val="20"/>
                <w:szCs w:val="20"/>
                <w:color w:val="auto"/>
              </w:rPr>
            </w:pPr>
            <w:r>
              <w:rPr>
                <w:rFonts w:ascii="Arial" w:cs="Arial" w:eastAsia="Arial" w:hAnsi="Arial"/>
                <w:sz w:val="18"/>
                <w:szCs w:val="18"/>
                <w:color w:val="auto"/>
              </w:rPr>
              <w:t>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46621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81"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Gross yield is interest income divided by average interest-earning assets.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Net interest margin represents net interest income divided by average interest-earning assets.</w:t>
      </w:r>
    </w:p>
    <w:p>
      <w:pPr>
        <w:spacing w:after="0" w:line="9" w:lineRule="exact"/>
        <w:rPr>
          <w:rFonts w:ascii="Arial" w:cs="Arial" w:eastAsia="Arial" w:hAnsi="Arial"/>
          <w:sz w:val="18"/>
          <w:szCs w:val="18"/>
          <w:color w:val="auto"/>
        </w:rPr>
      </w:pPr>
    </w:p>
    <w:p>
      <w:pPr>
        <w:ind w:left="500" w:hanging="492"/>
        <w:spacing w:after="0" w:line="261" w:lineRule="auto"/>
        <w:tabs>
          <w:tab w:leader="none" w:pos="5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Yield spread, on a nominal basis, represents the difference between gross yield on average interest-earning assets and average cost of interest-bearing liabilities.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73" w:name="page74"/>
    <w:bookmarkEnd w:id="73"/>
    <w:p>
      <w:pPr>
        <w:ind w:left="66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short-term funds deposited with other banks. These deposits are denominated by currency as of the dates indicated.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Deposits held in countries other than Peru are denominated in several currencies; however, the majority of these deposits are denominated in U.S. Dollars.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currencies were converted to U.S. Dollars using the applicable SBS exchange rate as of the dates indicated.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500" w:type="dxa"/>
            <w:vAlign w:val="bottom"/>
            <w:tcBorders>
              <w:bottom w:val="single" w:sz="8" w:color="auto"/>
            </w:tcBorders>
            <w:gridSpan w:val="6"/>
          </w:tcPr>
          <w:p>
            <w:pPr>
              <w:ind w:left="1380"/>
              <w:spacing w:after="0"/>
              <w:rPr>
                <w:sz w:val="20"/>
                <w:szCs w:val="20"/>
                <w:color w:val="auto"/>
              </w:rPr>
            </w:pPr>
            <w:r>
              <w:rPr>
                <w:rFonts w:ascii="Arial" w:cs="Arial" w:eastAsia="Arial" w:hAnsi="Arial"/>
                <w:sz w:val="18"/>
                <w:szCs w:val="18"/>
                <w:b w:val="1"/>
                <w:bCs w:val="1"/>
                <w:color w:val="auto"/>
                <w:w w:val="95"/>
              </w:rPr>
              <w:t>Year ended December 31,</w:t>
            </w: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4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44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5"/>
          </w:tcPr>
          <w:p>
            <w:pPr>
              <w:spacing w:after="0"/>
              <w:rPr>
                <w:sz w:val="20"/>
                <w:szCs w:val="20"/>
                <w:color w:val="auto"/>
              </w:rPr>
            </w:pPr>
            <w:r>
              <w:rPr>
                <w:rFonts w:ascii="Arial" w:cs="Arial" w:eastAsia="Arial" w:hAnsi="Arial"/>
                <w:sz w:val="18"/>
                <w:szCs w:val="18"/>
                <w:i w:val="1"/>
                <w:iCs w:val="1"/>
                <w:color w:val="auto"/>
                <w:w w:val="95"/>
              </w:rPr>
              <w:t>(U.S. Dollars in thousands)</w:t>
            </w:r>
          </w:p>
        </w:tc>
        <w:tc>
          <w:tcPr>
            <w:tcW w:w="1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1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Peruvian Central Bank</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US$ -</w:t>
            </w:r>
          </w:p>
        </w:tc>
        <w:tc>
          <w:tcPr>
            <w:tcW w:w="700" w:type="dxa"/>
            <w:vAlign w:val="bottom"/>
          </w:tcPr>
          <w:p>
            <w:pPr>
              <w:ind w:left="360"/>
              <w:spacing w:after="0"/>
              <w:rPr>
                <w:sz w:val="20"/>
                <w:szCs w:val="20"/>
                <w:color w:val="auto"/>
              </w:rPr>
            </w:pPr>
            <w:r>
              <w:rPr>
                <w:rFonts w:ascii="Arial" w:cs="Arial" w:eastAsia="Arial" w:hAnsi="Arial"/>
                <w:sz w:val="18"/>
                <w:szCs w:val="18"/>
                <w:color w:val="auto"/>
                <w:w w:val="91"/>
              </w:rPr>
              <w:t>US$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1,601,574</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US$ 56,753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Commercial banks</w:t>
            </w:r>
          </w:p>
        </w:tc>
        <w:tc>
          <w:tcPr>
            <w:tcW w:w="164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41,826</w:t>
            </w:r>
          </w:p>
        </w:tc>
        <w:tc>
          <w:tcPr>
            <w:tcW w:w="7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36,184</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43,982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shd w:val="clear" w:color="auto" w:fill="CCFFCC"/>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Total Nuevo Sol-denominated</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US$ 41,826</w:t>
            </w:r>
          </w:p>
        </w:tc>
        <w:tc>
          <w:tcPr>
            <w:tcW w:w="700" w:type="dxa"/>
            <w:vAlign w:val="bottom"/>
          </w:tcPr>
          <w:p>
            <w:pPr>
              <w:ind w:left="360"/>
              <w:spacing w:after="0"/>
              <w:rPr>
                <w:sz w:val="20"/>
                <w:szCs w:val="20"/>
                <w:color w:val="auto"/>
              </w:rPr>
            </w:pPr>
            <w:r>
              <w:rPr>
                <w:rFonts w:ascii="Arial" w:cs="Arial" w:eastAsia="Arial" w:hAnsi="Arial"/>
                <w:sz w:val="18"/>
                <w:szCs w:val="18"/>
                <w:color w:val="auto"/>
                <w:w w:val="91"/>
              </w:rPr>
              <w:t>US$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1,637,758</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US$ 100,735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14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Peruvian Central Bank (U.S. Dollars)</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US$ 1,000,000</w:t>
            </w:r>
          </w:p>
        </w:tc>
        <w:tc>
          <w:tcPr>
            <w:tcW w:w="700" w:type="dxa"/>
            <w:vAlign w:val="bottom"/>
          </w:tcPr>
          <w:p>
            <w:pPr>
              <w:ind w:left="340"/>
              <w:spacing w:after="0"/>
              <w:rPr>
                <w:sz w:val="20"/>
                <w:szCs w:val="20"/>
                <w:color w:val="auto"/>
              </w:rPr>
            </w:pPr>
            <w:r>
              <w:rPr>
                <w:rFonts w:ascii="Arial" w:cs="Arial" w:eastAsia="Arial" w:hAnsi="Arial"/>
                <w:sz w:val="18"/>
                <w:szCs w:val="18"/>
                <w:color w:val="auto"/>
                <w:w w:val="96"/>
              </w:rPr>
              <w:t>US$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US$ 2,033,290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U.S. Dollars, other</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1,360,649</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1,030,665</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Other</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50,472</w:t>
            </w:r>
          </w:p>
        </w:tc>
        <w:tc>
          <w:tcPr>
            <w:tcW w:w="7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40,332</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Foreign Currency-denominated</w:t>
            </w:r>
          </w:p>
        </w:tc>
        <w:tc>
          <w:tcPr>
            <w:tcW w:w="164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US$ 2,411,121</w:t>
            </w:r>
          </w:p>
        </w:tc>
        <w:tc>
          <w:tcPr>
            <w:tcW w:w="700" w:type="dxa"/>
            <w:vAlign w:val="bottom"/>
            <w:shd w:val="clear" w:color="auto" w:fill="CCFFCC"/>
          </w:tcPr>
          <w:p>
            <w:pPr>
              <w:ind w:left="360"/>
              <w:spacing w:after="0"/>
              <w:rPr>
                <w:sz w:val="20"/>
                <w:szCs w:val="20"/>
                <w:color w:val="auto"/>
              </w:rPr>
            </w:pPr>
            <w:r>
              <w:rPr>
                <w:rFonts w:ascii="Arial" w:cs="Arial" w:eastAsia="Arial" w:hAnsi="Arial"/>
                <w:sz w:val="18"/>
                <w:szCs w:val="18"/>
                <w:color w:val="auto"/>
                <w:w w:val="91"/>
              </w:rPr>
              <w:t>US$</w:t>
            </w:r>
          </w:p>
        </w:tc>
        <w:tc>
          <w:tcPr>
            <w:tcW w:w="9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89"/>
              </w:rPr>
              <w:t>1,070,997</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US$ 2,797,437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Total</w:t>
            </w:r>
          </w:p>
        </w:tc>
        <w:tc>
          <w:tcPr>
            <w:tcW w:w="1640" w:type="dxa"/>
            <w:vAlign w:val="bottom"/>
            <w:gridSpan w:val="2"/>
          </w:tcPr>
          <w:p>
            <w:pPr>
              <w:jc w:val="right"/>
              <w:ind w:right="130"/>
              <w:spacing w:after="0"/>
              <w:rPr>
                <w:sz w:val="20"/>
                <w:szCs w:val="20"/>
                <w:color w:val="auto"/>
              </w:rPr>
            </w:pPr>
            <w:r>
              <w:rPr>
                <w:rFonts w:ascii="Arial" w:cs="Arial" w:eastAsia="Arial" w:hAnsi="Arial"/>
                <w:sz w:val="18"/>
                <w:szCs w:val="18"/>
                <w:color w:val="auto"/>
              </w:rPr>
              <w:t>US$ 2,452,947</w:t>
            </w:r>
          </w:p>
        </w:tc>
        <w:tc>
          <w:tcPr>
            <w:tcW w:w="700" w:type="dxa"/>
            <w:vAlign w:val="bottom"/>
          </w:tcPr>
          <w:p>
            <w:pPr>
              <w:ind w:left="360"/>
              <w:spacing w:after="0"/>
              <w:rPr>
                <w:sz w:val="20"/>
                <w:szCs w:val="20"/>
                <w:color w:val="auto"/>
              </w:rPr>
            </w:pPr>
            <w:r>
              <w:rPr>
                <w:rFonts w:ascii="Arial" w:cs="Arial" w:eastAsia="Arial" w:hAnsi="Arial"/>
                <w:sz w:val="18"/>
                <w:szCs w:val="18"/>
                <w:color w:val="auto"/>
                <w:w w:val="91"/>
              </w:rPr>
              <w:t>US$</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2,708,755</w:t>
            </w:r>
          </w:p>
        </w:tc>
        <w:tc>
          <w:tcPr>
            <w:tcW w:w="2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US$ 2,898,172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56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1300" w:hanging="644"/>
        <w:spacing w:after="0"/>
        <w:tabs>
          <w:tab w:leader="none" w:pos="13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shows the fair value of our trading and available-for-sale investment securities designated by type of security at the dates indicated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5 to the Credicorp Consolidated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91"/>
              </w:rPr>
              <w:t>On December 31,</w:t>
            </w: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3380" w:type="dxa"/>
            <w:vAlign w:val="bottom"/>
            <w:tcBorders>
              <w:bottom w:val="single" w:sz="8" w:color="auto"/>
            </w:tcBorders>
            <w:gridSpan w:val="5"/>
          </w:tcPr>
          <w:p>
            <w:pPr>
              <w:jc w:val="center"/>
              <w:ind w:left="1070"/>
              <w:spacing w:after="0"/>
              <w:rPr>
                <w:sz w:val="20"/>
                <w:szCs w:val="20"/>
                <w:color w:val="auto"/>
              </w:rPr>
            </w:pPr>
            <w:r>
              <w:rPr>
                <w:rFonts w:ascii="Arial" w:cs="Arial" w:eastAsia="Arial" w:hAnsi="Arial"/>
                <w:sz w:val="18"/>
                <w:szCs w:val="18"/>
                <w:color w:val="auto"/>
                <w:w w:val="91"/>
              </w:rPr>
              <w:t>(U.S. Dollars in Thousands)</w:t>
            </w:r>
          </w:p>
        </w:tc>
        <w:tc>
          <w:tcPr>
            <w:tcW w:w="1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Peruvian government bonds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US$ 274,391</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US$ 244,037</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US$ 170,811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Equity securities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227,751</w:t>
            </w:r>
          </w:p>
        </w:tc>
        <w:tc>
          <w:tcPr>
            <w:tcW w:w="15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119,481</w:t>
            </w:r>
          </w:p>
        </w:tc>
        <w:tc>
          <w:tcPr>
            <w:tcW w:w="2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Bonds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110,916</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115,232</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150,917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Peruvian Central Bank certif. notes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2,407,005</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1,138,214</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1,548,715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Other investments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132,788</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117,766</w:t>
            </w: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149,591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Total Nuevo Sol-denominated</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3,152,851</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1,734,730</w:t>
            </w:r>
          </w:p>
        </w:tc>
        <w:tc>
          <w:tcPr>
            <w:tcW w:w="200" w:type="dxa"/>
            <w:vAlign w:val="bottom"/>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2,219,444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top w:val="single" w:sz="8" w:color="CCFFCC"/>
            </w:tcBorders>
            <w:gridSpan w:val="2"/>
          </w:tcPr>
          <w:p>
            <w:pPr>
              <w:spacing w:after="0"/>
              <w:rPr>
                <w:sz w:val="20"/>
                <w:szCs w:val="20"/>
                <w:color w:val="auto"/>
              </w:rPr>
            </w:pPr>
            <w:r>
              <w:rPr>
                <w:rFonts w:ascii="Arial" w:cs="Arial" w:eastAsia="Arial" w:hAnsi="Arial"/>
                <w:sz w:val="18"/>
                <w:szCs w:val="18"/>
                <w:b w:val="1"/>
                <w:bCs w:val="1"/>
                <w:color w:val="auto"/>
              </w:rPr>
              <w:t>Foreign Currency-denominated:</w:t>
            </w:r>
          </w:p>
        </w:tc>
        <w:tc>
          <w:tcPr>
            <w:tcW w:w="13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Equity securities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US$ 118,313</w:t>
            </w:r>
          </w:p>
        </w:tc>
        <w:tc>
          <w:tcPr>
            <w:tcW w:w="178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color w:val="auto"/>
              </w:rPr>
              <w:t>US$ 93,208</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US$ 131,327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Bonds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1,198,073</w:t>
            </w:r>
          </w:p>
        </w:tc>
        <w:tc>
          <w:tcPr>
            <w:tcW w:w="1380" w:type="dxa"/>
            <w:vAlign w:val="bottom"/>
          </w:tcPr>
          <w:p>
            <w:pPr>
              <w:jc w:val="right"/>
              <w:spacing w:after="0"/>
              <w:rPr>
                <w:sz w:val="20"/>
                <w:szCs w:val="20"/>
                <w:color w:val="auto"/>
              </w:rPr>
            </w:pPr>
            <w:r>
              <w:rPr>
                <w:rFonts w:ascii="Arial" w:cs="Arial" w:eastAsia="Arial" w:hAnsi="Arial"/>
                <w:sz w:val="18"/>
                <w:szCs w:val="18"/>
                <w:color w:val="auto"/>
              </w:rPr>
              <w:t>1,030,151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1,634,708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Investment in Peruvian Government Bonds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362,603</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562,438</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669,056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Peruvian Central Bank certif. notes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1,070,728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Other investment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406,262</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452,347</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Total Foreign Currency-denominated</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US$ 2,085,251</w:t>
            </w:r>
          </w:p>
        </w:tc>
        <w:tc>
          <w:tcPr>
            <w:tcW w:w="1780" w:type="dxa"/>
            <w:vAlign w:val="bottom"/>
            <w:gridSpan w:val="3"/>
          </w:tcPr>
          <w:p>
            <w:pPr>
              <w:jc w:val="right"/>
              <w:ind w:right="400"/>
              <w:spacing w:after="0"/>
              <w:rPr>
                <w:sz w:val="20"/>
                <w:szCs w:val="20"/>
                <w:color w:val="auto"/>
              </w:rPr>
            </w:pPr>
            <w:r>
              <w:rPr>
                <w:rFonts w:ascii="Arial" w:cs="Arial" w:eastAsia="Arial" w:hAnsi="Arial"/>
                <w:sz w:val="18"/>
                <w:szCs w:val="18"/>
                <w:color w:val="auto"/>
              </w:rPr>
              <w:t>US$ 3,208,872</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US$ 2,878,584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securities holdings: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US$ 5,238,102</w:t>
            </w:r>
          </w:p>
        </w:tc>
        <w:tc>
          <w:tcPr>
            <w:tcW w:w="1780" w:type="dxa"/>
            <w:vAlign w:val="bottom"/>
            <w:gridSpan w:val="3"/>
            <w:shd w:val="clear" w:color="auto" w:fill="CCFFCC"/>
          </w:tcPr>
          <w:p>
            <w:pPr>
              <w:jc w:val="right"/>
              <w:ind w:right="400"/>
              <w:spacing w:after="0"/>
              <w:rPr>
                <w:sz w:val="20"/>
                <w:szCs w:val="20"/>
                <w:color w:val="auto"/>
              </w:rPr>
            </w:pPr>
            <w:r>
              <w:rPr>
                <w:rFonts w:ascii="Arial" w:cs="Arial" w:eastAsia="Arial" w:hAnsi="Arial"/>
                <w:sz w:val="18"/>
                <w:szCs w:val="18"/>
                <w:color w:val="auto"/>
              </w:rPr>
              <w:t>US$ 4,943,602</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6"/>
              </w:rPr>
              <w:t>US$ 5,098,028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top w:val="single" w:sz="8" w:color="CCFFCC"/>
              <w:bottom w:val="single" w:sz="8" w:color="808080"/>
            </w:tcBorders>
          </w:tcPr>
          <w:p>
            <w:pPr>
              <w:spacing w:after="0"/>
              <w:rPr>
                <w:sz w:val="9"/>
                <w:szCs w:val="9"/>
                <w:color w:val="auto"/>
              </w:rPr>
            </w:pPr>
          </w:p>
        </w:tc>
        <w:tc>
          <w:tcPr>
            <w:tcW w:w="5580" w:type="dxa"/>
            <w:vAlign w:val="bottom"/>
            <w:tcBorders>
              <w:top w:val="single" w:sz="8" w:color="CCFFCC"/>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1380" w:type="dxa"/>
            <w:vAlign w:val="bottom"/>
            <w:tcBorders>
              <w:top w:val="single" w:sz="8" w:color="auto"/>
            </w:tcBorders>
          </w:tcPr>
          <w:p>
            <w:pPr>
              <w:spacing w:after="0"/>
              <w:rPr>
                <w:sz w:val="9"/>
                <w:szCs w:val="9"/>
                <w:color w:val="auto"/>
              </w:rPr>
            </w:pPr>
          </w:p>
        </w:tc>
        <w:tc>
          <w:tcPr>
            <w:tcW w:w="200" w:type="dxa"/>
            <w:vAlign w:val="bottom"/>
            <w:tcBorders>
              <w:top w:val="single" w:sz="8" w:color="CCFFCC"/>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180" w:type="dxa"/>
            <w:vAlign w:val="bottom"/>
            <w:tcBorders>
              <w:top w:val="single" w:sz="8" w:color="auto"/>
            </w:tcBorders>
          </w:tcPr>
          <w:p>
            <w:pPr>
              <w:spacing w:after="0"/>
              <w:rPr>
                <w:sz w:val="9"/>
                <w:szCs w:val="9"/>
                <w:color w:val="auto"/>
              </w:rPr>
            </w:pPr>
          </w:p>
        </w:tc>
        <w:tc>
          <w:tcPr>
            <w:tcW w:w="100" w:type="dxa"/>
            <w:vAlign w:val="bottom"/>
            <w:tcBorders>
              <w:top w:val="single" w:sz="8" w:color="CCFFCC"/>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allowance for decline in value of marketable securities is debited from the value of each individual security.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4" w:name="page75"/>
    <w:bookmarkEnd w:id="74"/>
    <w:p>
      <w:pPr>
        <w:jc w:val="both"/>
        <w:ind w:firstLine="648"/>
        <w:spacing w:after="0" w:line="264" w:lineRule="auto"/>
        <w:rPr>
          <w:sz w:val="20"/>
          <w:szCs w:val="20"/>
          <w:color w:val="auto"/>
        </w:rPr>
      </w:pPr>
      <w:r>
        <w:rPr>
          <w:rFonts w:ascii="Arial" w:cs="Arial" w:eastAsia="Arial" w:hAnsi="Arial"/>
          <w:sz w:val="18"/>
          <w:szCs w:val="18"/>
          <w:color w:val="auto"/>
        </w:rPr>
        <w:t>The weighted-average yield on our Nuevo Sol-denominated interest-earning investment securities was 6.5% in 2007, 7.6% in 2008 and 2.5% in 2009. The weighted-average yield on our foreign currency-denominated portfolio was 4.4% in 2007, 3.3% in 2008 and 4.5% in 2009. The total weighted-average yield of our investment securities was 5.4% in 2007, 5.1% in 2008 and 3.5% in 2009.</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weighted-average yield on our Nuevo Sol-denominated dividend-earning assets was 2.7% in 2007, 3.8% in 2008 and 1.2% in 2009. The weighted-average yield on our foreign currency-denominated portfolio was 2.6% in 2007, 5.1% in 2008 and 6.7% in 2009. The total weighted-average yield of our dividend-earning assets was 2.7% in 2007, 4.3% in 2008 and 3.5% in 2009.</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maturities of our trading and available-for-sale investment securities designated by type of security on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After 1 year</w:t>
            </w:r>
          </w:p>
        </w:tc>
        <w:tc>
          <w:tcPr>
            <w:tcW w:w="15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rPr>
              <w:t>Maturing</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Maturing</w:t>
            </w: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48"/>
              <w:spacing w:after="0" w:line="149" w:lineRule="exact"/>
              <w:rPr>
                <w:sz w:val="20"/>
                <w:szCs w:val="20"/>
                <w:color w:val="auto"/>
              </w:rPr>
            </w:pPr>
            <w:r>
              <w:rPr>
                <w:rFonts w:ascii="Arial" w:cs="Arial" w:eastAsia="Arial" w:hAnsi="Arial"/>
                <w:sz w:val="14"/>
                <w:szCs w:val="14"/>
                <w:b w:val="1"/>
                <w:bCs w:val="1"/>
                <w:color w:val="auto"/>
                <w:w w:val="94"/>
              </w:rPr>
              <w:t>After 3 years</w:t>
            </w:r>
          </w:p>
        </w:tc>
        <w:tc>
          <w:tcPr>
            <w:tcW w:w="15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After 5 years</w:t>
            </w:r>
          </w:p>
        </w:tc>
        <w:tc>
          <w:tcPr>
            <w:tcW w:w="15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After 10</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Within 1 year</w:t>
            </w:r>
          </w:p>
        </w:tc>
        <w:tc>
          <w:tcPr>
            <w:tcW w:w="16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but within 3</w:t>
            </w:r>
          </w:p>
        </w:tc>
        <w:tc>
          <w:tcPr>
            <w:tcW w:w="1580" w:type="dxa"/>
            <w:vAlign w:val="bottom"/>
            <w:gridSpan w:val="2"/>
          </w:tcPr>
          <w:p>
            <w:pPr>
              <w:jc w:val="center"/>
              <w:ind w:right="168"/>
              <w:spacing w:after="0" w:line="149" w:lineRule="exact"/>
              <w:rPr>
                <w:sz w:val="20"/>
                <w:szCs w:val="20"/>
                <w:color w:val="auto"/>
              </w:rPr>
            </w:pPr>
            <w:r>
              <w:rPr>
                <w:rFonts w:ascii="Arial" w:cs="Arial" w:eastAsia="Arial" w:hAnsi="Arial"/>
                <w:sz w:val="14"/>
                <w:szCs w:val="14"/>
                <w:b w:val="1"/>
                <w:bCs w:val="1"/>
                <w:color w:val="auto"/>
                <w:w w:val="95"/>
              </w:rPr>
              <w:t>but within 5</w:t>
            </w:r>
          </w:p>
        </w:tc>
        <w:tc>
          <w:tcPr>
            <w:tcW w:w="15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but within 10</w:t>
            </w:r>
          </w:p>
        </w:tc>
        <w:tc>
          <w:tcPr>
            <w:tcW w:w="1580" w:type="dxa"/>
            <w:vAlign w:val="bottom"/>
            <w:gridSpan w:val="2"/>
            <w:vMerge w:val="continue"/>
          </w:tcPr>
          <w:p>
            <w:pPr>
              <w:spacing w:after="0"/>
              <w:rPr>
                <w:sz w:val="12"/>
                <w:szCs w:val="12"/>
                <w:color w:val="auto"/>
              </w:rPr>
            </w:pPr>
          </w:p>
        </w:tc>
        <w:tc>
          <w:tcPr>
            <w:tcW w:w="148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gridSpan w:val="2"/>
            <w:vMerge w:val="continue"/>
          </w:tcPr>
          <w:p>
            <w:pPr>
              <w:spacing w:after="0"/>
              <w:rPr>
                <w:sz w:val="15"/>
                <w:szCs w:val="15"/>
                <w:color w:val="auto"/>
              </w:rPr>
            </w:pP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years</w:t>
            </w:r>
          </w:p>
        </w:tc>
        <w:tc>
          <w:tcPr>
            <w:tcW w:w="1580" w:type="dxa"/>
            <w:vAlign w:val="bottom"/>
            <w:gridSpan w:val="2"/>
          </w:tcPr>
          <w:p>
            <w:pPr>
              <w:jc w:val="center"/>
              <w:ind w:right="148"/>
              <w:spacing w:after="0"/>
              <w:rPr>
                <w:sz w:val="20"/>
                <w:szCs w:val="20"/>
                <w:color w:val="auto"/>
              </w:rPr>
            </w:pPr>
            <w:r>
              <w:rPr>
                <w:rFonts w:ascii="Arial" w:cs="Arial" w:eastAsia="Arial" w:hAnsi="Arial"/>
                <w:sz w:val="14"/>
                <w:szCs w:val="14"/>
                <w:b w:val="1"/>
                <w:bCs w:val="1"/>
                <w:color w:val="auto"/>
                <w:w w:val="87"/>
              </w:rPr>
              <w:t>years</w:t>
            </w:r>
          </w:p>
        </w:tc>
        <w:tc>
          <w:tcPr>
            <w:tcW w:w="15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years</w:t>
            </w:r>
          </w:p>
        </w:tc>
        <w:tc>
          <w:tcPr>
            <w:tcW w:w="1580" w:type="dxa"/>
            <w:vAlign w:val="bottom"/>
            <w:gridSpan w:val="2"/>
          </w:tcPr>
          <w:p>
            <w:pPr>
              <w:ind w:left="520"/>
              <w:spacing w:after="0"/>
              <w:rPr>
                <w:sz w:val="20"/>
                <w:szCs w:val="20"/>
                <w:color w:val="auto"/>
              </w:rPr>
            </w:pPr>
            <w:r>
              <w:rPr>
                <w:rFonts w:ascii="Arial" w:cs="Arial" w:eastAsia="Arial" w:hAnsi="Arial"/>
                <w:sz w:val="14"/>
                <w:szCs w:val="14"/>
                <w:b w:val="1"/>
                <w:bCs w:val="1"/>
                <w:color w:val="auto"/>
              </w:rPr>
              <w:t>years</w:t>
            </w:r>
          </w:p>
        </w:tc>
        <w:tc>
          <w:tcPr>
            <w:tcW w:w="14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38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i w:val="1"/>
                <w:iCs w:val="1"/>
                <w:color w:val="auto"/>
              </w:rPr>
              <w:t>(U.S. Dollars</w:t>
            </w:r>
          </w:p>
        </w:tc>
        <w:tc>
          <w:tcPr>
            <w:tcW w:w="220" w:type="dxa"/>
            <w:vAlign w:val="bottom"/>
            <w:tcBorders>
              <w:bottom w:val="single" w:sz="8" w:color="auto"/>
            </w:tcBorders>
          </w:tcPr>
          <w:p>
            <w:pPr>
              <w:ind w:left="80"/>
              <w:spacing w:after="0" w:line="149" w:lineRule="exact"/>
              <w:rPr>
                <w:sz w:val="20"/>
                <w:szCs w:val="20"/>
                <w:color w:val="auto"/>
              </w:rPr>
            </w:pPr>
            <w:r>
              <w:rPr>
                <w:rFonts w:ascii="Arial" w:cs="Arial" w:eastAsia="Arial" w:hAnsi="Arial"/>
                <w:sz w:val="14"/>
                <w:szCs w:val="14"/>
                <w:i w:val="1"/>
                <w:iCs w:val="1"/>
                <w:color w:val="auto"/>
              </w:rPr>
              <w:t>in</w:t>
            </w:r>
          </w:p>
        </w:tc>
        <w:tc>
          <w:tcPr>
            <w:tcW w:w="1360" w:type="dxa"/>
            <w:vAlign w:val="bottom"/>
            <w:tcBorders>
              <w:top w:val="single" w:sz="8" w:color="auto"/>
              <w:bottom w:val="single" w:sz="8" w:color="auto"/>
            </w:tcBorders>
          </w:tcPr>
          <w:p>
            <w:pPr>
              <w:jc w:val="right"/>
              <w:ind w:right="648"/>
              <w:spacing w:after="0" w:line="149" w:lineRule="exact"/>
              <w:rPr>
                <w:sz w:val="20"/>
                <w:szCs w:val="20"/>
                <w:color w:val="auto"/>
              </w:rPr>
            </w:pPr>
            <w:r>
              <w:rPr>
                <w:rFonts w:ascii="Arial" w:cs="Arial" w:eastAsia="Arial" w:hAnsi="Arial"/>
                <w:sz w:val="14"/>
                <w:szCs w:val="14"/>
                <w:i w:val="1"/>
                <w:iCs w:val="1"/>
                <w:color w:val="auto"/>
                <w:w w:val="89"/>
              </w:rPr>
              <w:t>thousands)</w:t>
            </w:r>
          </w:p>
        </w:tc>
        <w:tc>
          <w:tcPr>
            <w:tcW w:w="220" w:type="dxa"/>
            <w:vAlign w:val="bottom"/>
            <w:tcBorders>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60" w:type="dxa"/>
            <w:vAlign w:val="bottom"/>
            <w:tcBorders>
              <w:top w:val="single" w:sz="8" w:color="auto"/>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 xml:space="preserve">Nuevo Sol-denominated: </w:t>
            </w:r>
            <w:r>
              <w:rPr>
                <w:rFonts w:ascii="Arial" w:cs="Arial" w:eastAsia="Arial" w:hAnsi="Arial"/>
                <w:sz w:val="14"/>
                <w:szCs w:val="14"/>
                <w:color w:val="auto"/>
              </w:rPr>
              <w:t>(1)</w:t>
            </w:r>
          </w:p>
        </w:tc>
        <w:tc>
          <w:tcPr>
            <w:tcW w:w="13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3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3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Peruvian government bonds</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US$ 10,782</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US$ 19,810</w:t>
            </w:r>
          </w:p>
        </w:tc>
        <w:tc>
          <w:tcPr>
            <w:tcW w:w="15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US$ 18,843</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US$ 4,961</w:t>
            </w:r>
          </w:p>
        </w:tc>
        <w:tc>
          <w:tcPr>
            <w:tcW w:w="1580" w:type="dxa"/>
            <w:vAlign w:val="bottom"/>
            <w:gridSpan w:val="2"/>
          </w:tcPr>
          <w:p>
            <w:pPr>
              <w:ind w:left="600"/>
              <w:spacing w:after="0" w:line="149" w:lineRule="exact"/>
              <w:rPr>
                <w:sz w:val="20"/>
                <w:szCs w:val="20"/>
                <w:color w:val="auto"/>
              </w:rPr>
            </w:pPr>
            <w:r>
              <w:rPr>
                <w:rFonts w:ascii="Arial" w:cs="Arial" w:eastAsia="Arial" w:hAnsi="Arial"/>
                <w:sz w:val="14"/>
                <w:szCs w:val="14"/>
                <w:color w:val="auto"/>
              </w:rPr>
              <w:t>US$ 116,415</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US$ 170,811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Equity securities (1)</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199,410</w:t>
            </w:r>
          </w:p>
        </w:tc>
        <w:tc>
          <w:tcPr>
            <w:tcW w:w="13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58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199,410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Bonds and debentures</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16,699</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17,735</w:t>
            </w:r>
          </w:p>
        </w:tc>
        <w:tc>
          <w:tcPr>
            <w:tcW w:w="15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21,722</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29,729</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65,032</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150,917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shd w:val="clear" w:color="auto" w:fill="CCFFCC"/>
          </w:tcPr>
          <w:p>
            <w:pPr>
              <w:spacing w:after="0" w:line="130" w:lineRule="exact"/>
              <w:rPr>
                <w:sz w:val="20"/>
                <w:szCs w:val="20"/>
                <w:color w:val="auto"/>
              </w:rPr>
            </w:pPr>
            <w:r>
              <w:rPr>
                <w:rFonts w:ascii="Arial" w:cs="Arial" w:eastAsia="Arial" w:hAnsi="Arial"/>
                <w:sz w:val="14"/>
                <w:szCs w:val="14"/>
                <w:color w:val="auto"/>
              </w:rPr>
              <w:t>Peruvian Central Bank certif.</w:t>
            </w: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gridSpan w:val="2"/>
            <w:shd w:val="clear" w:color="auto" w:fill="CCFFCC"/>
          </w:tcPr>
          <w:p>
            <w:pPr>
              <w:ind w:left="160"/>
              <w:spacing w:after="0"/>
              <w:rPr>
                <w:sz w:val="20"/>
                <w:szCs w:val="20"/>
                <w:color w:val="auto"/>
              </w:rPr>
            </w:pPr>
            <w:r>
              <w:rPr>
                <w:rFonts w:ascii="Arial" w:cs="Arial" w:eastAsia="Arial" w:hAnsi="Arial"/>
                <w:sz w:val="14"/>
                <w:szCs w:val="14"/>
                <w:color w:val="auto"/>
              </w:rPr>
              <w:t>notes</w:t>
            </w: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1,548,715</w:t>
            </w:r>
          </w:p>
        </w:tc>
        <w:tc>
          <w:tcPr>
            <w:tcW w:w="240" w:type="dxa"/>
            <w:vAlign w:val="bottom"/>
            <w:shd w:val="clear" w:color="auto" w:fill="CCFFCC"/>
          </w:tcPr>
          <w:p>
            <w:pPr>
              <w:spacing w:after="0"/>
              <w:rPr>
                <w:sz w:val="14"/>
                <w:szCs w:val="14"/>
                <w:color w:val="auto"/>
              </w:rPr>
            </w:pPr>
          </w:p>
        </w:tc>
        <w:tc>
          <w:tcPr>
            <w:tcW w:w="13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4"/>
                <w:szCs w:val="14"/>
                <w:color w:val="auto"/>
              </w:rPr>
            </w:pPr>
          </w:p>
        </w:tc>
        <w:tc>
          <w:tcPr>
            <w:tcW w:w="158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1,548,715</w:t>
            </w: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Other investments</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126,322</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5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9,661</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2,486</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11,122</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149,591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shd w:val="clear" w:color="auto" w:fill="CCFFCC"/>
          </w:tcPr>
          <w:p>
            <w:pPr>
              <w:ind w:left="160"/>
              <w:spacing w:after="0" w:line="130" w:lineRule="exact"/>
              <w:rPr>
                <w:sz w:val="20"/>
                <w:szCs w:val="20"/>
                <w:color w:val="auto"/>
              </w:rPr>
            </w:pPr>
            <w:r>
              <w:rPr>
                <w:rFonts w:ascii="Arial" w:cs="Arial" w:eastAsia="Arial" w:hAnsi="Arial"/>
                <w:sz w:val="14"/>
                <w:szCs w:val="14"/>
                <w:color w:val="auto"/>
              </w:rPr>
              <w:t>Total Nuevo Sol-</w:t>
            </w: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3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940" w:type="dxa"/>
            <w:vAlign w:val="bottom"/>
            <w:gridSpan w:val="2"/>
            <w:shd w:val="clear" w:color="auto" w:fill="CCFFCC"/>
          </w:tcPr>
          <w:p>
            <w:pPr>
              <w:ind w:left="320"/>
              <w:spacing w:after="0"/>
              <w:rPr>
                <w:sz w:val="20"/>
                <w:szCs w:val="20"/>
                <w:color w:val="auto"/>
              </w:rPr>
            </w:pPr>
            <w:r>
              <w:rPr>
                <w:rFonts w:ascii="Arial" w:cs="Arial" w:eastAsia="Arial" w:hAnsi="Arial"/>
                <w:sz w:val="14"/>
                <w:szCs w:val="14"/>
                <w:color w:val="auto"/>
              </w:rPr>
              <w:t>denominated</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US$ 1,901,928</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US$ 37,545</w:t>
            </w:r>
          </w:p>
        </w:tc>
        <w:tc>
          <w:tcPr>
            <w:tcW w:w="1580" w:type="dxa"/>
            <w:vAlign w:val="bottom"/>
            <w:gridSpan w:val="2"/>
            <w:shd w:val="clear" w:color="auto" w:fill="CCFFCC"/>
          </w:tcPr>
          <w:p>
            <w:pPr>
              <w:jc w:val="right"/>
              <w:ind w:right="148"/>
              <w:spacing w:after="0"/>
              <w:rPr>
                <w:sz w:val="20"/>
                <w:szCs w:val="20"/>
                <w:color w:val="auto"/>
              </w:rPr>
            </w:pPr>
            <w:r>
              <w:rPr>
                <w:rFonts w:ascii="Arial" w:cs="Arial" w:eastAsia="Arial" w:hAnsi="Arial"/>
                <w:sz w:val="14"/>
                <w:szCs w:val="14"/>
                <w:color w:val="auto"/>
              </w:rPr>
              <w:t>US$ 50,226</w:t>
            </w:r>
          </w:p>
        </w:tc>
        <w:tc>
          <w:tcPr>
            <w:tcW w:w="15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US$ 37,176</w:t>
            </w:r>
          </w:p>
        </w:tc>
        <w:tc>
          <w:tcPr>
            <w:tcW w:w="1580" w:type="dxa"/>
            <w:vAlign w:val="bottom"/>
            <w:gridSpan w:val="2"/>
            <w:shd w:val="clear" w:color="auto" w:fill="CCFFCC"/>
          </w:tcPr>
          <w:p>
            <w:pPr>
              <w:ind w:left="600"/>
              <w:spacing w:after="0"/>
              <w:rPr>
                <w:sz w:val="20"/>
                <w:szCs w:val="20"/>
                <w:color w:val="auto"/>
              </w:rPr>
            </w:pPr>
            <w:r>
              <w:rPr>
                <w:rFonts w:ascii="Arial" w:cs="Arial" w:eastAsia="Arial" w:hAnsi="Arial"/>
                <w:sz w:val="14"/>
                <w:szCs w:val="14"/>
                <w:color w:val="auto"/>
              </w:rPr>
              <w:t>US$ 192,569</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4"/>
                <w:szCs w:val="14"/>
                <w:color w:val="auto"/>
              </w:rPr>
              <w:t>US$ 2,219,444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940" w:type="dxa"/>
            <w:vAlign w:val="bottom"/>
            <w:tcBorders>
              <w:top w:val="single" w:sz="8" w:color="CCFFCC"/>
            </w:tcBorders>
            <w:gridSpan w:val="2"/>
          </w:tcPr>
          <w:p>
            <w:pPr>
              <w:spacing w:after="0" w:line="126" w:lineRule="exact"/>
              <w:rPr>
                <w:sz w:val="20"/>
                <w:szCs w:val="20"/>
                <w:color w:val="auto"/>
              </w:rPr>
            </w:pPr>
            <w:r>
              <w:rPr>
                <w:rFonts w:ascii="Arial" w:cs="Arial" w:eastAsia="Arial" w:hAnsi="Arial"/>
                <w:sz w:val="14"/>
                <w:szCs w:val="14"/>
                <w:b w:val="1"/>
                <w:bCs w:val="1"/>
                <w:color w:val="auto"/>
              </w:rPr>
              <w:t>Foreign Currency-</w:t>
            </w:r>
          </w:p>
        </w:tc>
        <w:tc>
          <w:tcPr>
            <w:tcW w:w="138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1380" w:type="dxa"/>
            <w:vAlign w:val="bottom"/>
            <w:tcBorders>
              <w:top w:val="single" w:sz="8" w:color="auto"/>
            </w:tcBorders>
          </w:tcPr>
          <w:p>
            <w:pPr>
              <w:spacing w:after="0"/>
              <w:rPr>
                <w:sz w:val="10"/>
                <w:szCs w:val="10"/>
                <w:color w:val="auto"/>
              </w:rPr>
            </w:pPr>
          </w:p>
        </w:tc>
        <w:tc>
          <w:tcPr>
            <w:tcW w:w="240" w:type="dxa"/>
            <w:vAlign w:val="bottom"/>
            <w:tcBorders>
              <w:top w:val="single" w:sz="8" w:color="CCFFCC"/>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b w:val="1"/>
                <w:bCs w:val="1"/>
                <w:color w:val="auto"/>
              </w:rPr>
              <w:t xml:space="preserve">denominated: </w:t>
            </w:r>
            <w:r>
              <w:rPr>
                <w:rFonts w:ascii="Arial" w:cs="Arial" w:eastAsia="Arial" w:hAnsi="Arial"/>
                <w:sz w:val="14"/>
                <w:szCs w:val="14"/>
                <w:color w:val="auto"/>
              </w:rPr>
              <w:t>(1)</w:t>
            </w: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Peruvian government bonds</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47,612</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24,990</w:t>
            </w:r>
          </w:p>
        </w:tc>
        <w:tc>
          <w:tcPr>
            <w:tcW w:w="158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364,413</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57,954</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174,087</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669,056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Equity securities</w:t>
            </w:r>
          </w:p>
        </w:tc>
        <w:tc>
          <w:tcPr>
            <w:tcW w:w="16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131,327</w:t>
            </w:r>
          </w:p>
        </w:tc>
        <w:tc>
          <w:tcPr>
            <w:tcW w:w="1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58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131,327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Bonds</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336,380</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457,315</w:t>
            </w:r>
          </w:p>
        </w:tc>
        <w:tc>
          <w:tcPr>
            <w:tcW w:w="158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298,994</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224,011</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318,008</w:t>
            </w:r>
          </w:p>
        </w:tc>
        <w:tc>
          <w:tcPr>
            <w:tcW w:w="13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1,634,708</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Peruvian Central Bank certif.</w:t>
            </w: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color w:val="auto"/>
              </w:rPr>
              <w:t>notes</w:t>
            </w: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58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Other investments</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357,284</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4,288</w:t>
            </w:r>
          </w:p>
        </w:tc>
        <w:tc>
          <w:tcPr>
            <w:tcW w:w="158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8,915</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3,255</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69,751</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443,493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40" w:type="dxa"/>
            <w:vAlign w:val="bottom"/>
            <w:gridSpan w:val="2"/>
          </w:tcPr>
          <w:p>
            <w:pPr>
              <w:spacing w:after="0" w:line="130" w:lineRule="exact"/>
              <w:rPr>
                <w:sz w:val="20"/>
                <w:szCs w:val="20"/>
                <w:color w:val="auto"/>
              </w:rPr>
            </w:pPr>
            <w:r>
              <w:rPr>
                <w:rFonts w:ascii="Arial" w:cs="Arial" w:eastAsia="Arial" w:hAnsi="Arial"/>
                <w:sz w:val="14"/>
                <w:szCs w:val="14"/>
                <w:color w:val="auto"/>
              </w:rPr>
              <w:t>Total Foreign Currency-</w:t>
            </w: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40" w:type="dxa"/>
            <w:vAlign w:val="bottom"/>
            <w:gridSpan w:val="2"/>
          </w:tcPr>
          <w:p>
            <w:pPr>
              <w:ind w:left="160"/>
              <w:spacing w:after="0"/>
              <w:rPr>
                <w:sz w:val="20"/>
                <w:szCs w:val="20"/>
                <w:color w:val="auto"/>
              </w:rPr>
            </w:pPr>
            <w:r>
              <w:rPr>
                <w:rFonts w:ascii="Arial" w:cs="Arial" w:eastAsia="Arial" w:hAnsi="Arial"/>
                <w:sz w:val="14"/>
                <w:szCs w:val="14"/>
                <w:color w:val="auto"/>
              </w:rPr>
              <w:t>denominated</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US$ 872,603</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US$ 486,593</w:t>
            </w:r>
          </w:p>
        </w:tc>
        <w:tc>
          <w:tcPr>
            <w:tcW w:w="1580" w:type="dxa"/>
            <w:vAlign w:val="bottom"/>
            <w:gridSpan w:val="2"/>
          </w:tcPr>
          <w:p>
            <w:pPr>
              <w:jc w:val="right"/>
              <w:ind w:right="148"/>
              <w:spacing w:after="0"/>
              <w:rPr>
                <w:sz w:val="20"/>
                <w:szCs w:val="20"/>
                <w:color w:val="auto"/>
              </w:rPr>
            </w:pPr>
            <w:r>
              <w:rPr>
                <w:rFonts w:ascii="Arial" w:cs="Arial" w:eastAsia="Arial" w:hAnsi="Arial"/>
                <w:sz w:val="14"/>
                <w:szCs w:val="14"/>
                <w:color w:val="auto"/>
              </w:rPr>
              <w:t>US$ 672,322</w:t>
            </w:r>
          </w:p>
        </w:tc>
        <w:tc>
          <w:tcPr>
            <w:tcW w:w="1580" w:type="dxa"/>
            <w:vAlign w:val="bottom"/>
            <w:gridSpan w:val="2"/>
          </w:tcPr>
          <w:p>
            <w:pPr>
              <w:jc w:val="right"/>
              <w:ind w:right="220"/>
              <w:spacing w:after="0"/>
              <w:rPr>
                <w:sz w:val="20"/>
                <w:szCs w:val="20"/>
                <w:color w:val="auto"/>
              </w:rPr>
            </w:pPr>
            <w:r>
              <w:rPr>
                <w:rFonts w:ascii="Arial" w:cs="Arial" w:eastAsia="Arial" w:hAnsi="Arial"/>
                <w:sz w:val="14"/>
                <w:szCs w:val="14"/>
                <w:color w:val="auto"/>
              </w:rPr>
              <w:t>US$ 285,220</w:t>
            </w:r>
          </w:p>
        </w:tc>
        <w:tc>
          <w:tcPr>
            <w:tcW w:w="1580" w:type="dxa"/>
            <w:vAlign w:val="bottom"/>
            <w:gridSpan w:val="2"/>
          </w:tcPr>
          <w:p>
            <w:pPr>
              <w:ind w:left="600"/>
              <w:spacing w:after="0"/>
              <w:rPr>
                <w:sz w:val="20"/>
                <w:szCs w:val="20"/>
                <w:color w:val="auto"/>
              </w:rPr>
            </w:pPr>
            <w:r>
              <w:rPr>
                <w:rFonts w:ascii="Arial" w:cs="Arial" w:eastAsia="Arial" w:hAnsi="Arial"/>
                <w:sz w:val="14"/>
                <w:szCs w:val="14"/>
                <w:color w:val="auto"/>
              </w:rPr>
              <w:t>US$ 561,846</w:t>
            </w:r>
          </w:p>
        </w:tc>
        <w:tc>
          <w:tcPr>
            <w:tcW w:w="1480" w:type="dxa"/>
            <w:vAlign w:val="bottom"/>
            <w:gridSpan w:val="2"/>
          </w:tcPr>
          <w:p>
            <w:pPr>
              <w:jc w:val="right"/>
              <w:ind w:right="120"/>
              <w:spacing w:after="0"/>
              <w:rPr>
                <w:sz w:val="20"/>
                <w:szCs w:val="20"/>
                <w:color w:val="auto"/>
              </w:rPr>
            </w:pPr>
            <w:r>
              <w:rPr>
                <w:rFonts w:ascii="Arial" w:cs="Arial" w:eastAsia="Arial" w:hAnsi="Arial"/>
                <w:sz w:val="14"/>
                <w:szCs w:val="14"/>
                <w:color w:val="auto"/>
              </w:rPr>
              <w:t>US$ 2,878,584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194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securities holdings:</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US$ 2,774,531</w:t>
            </w:r>
          </w:p>
        </w:tc>
        <w:tc>
          <w:tcPr>
            <w:tcW w:w="16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US$ 524,138</w:t>
            </w:r>
          </w:p>
        </w:tc>
        <w:tc>
          <w:tcPr>
            <w:tcW w:w="158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US$ 722,548</w:t>
            </w:r>
          </w:p>
        </w:tc>
        <w:tc>
          <w:tcPr>
            <w:tcW w:w="15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US$ 322,396</w:t>
            </w:r>
          </w:p>
        </w:tc>
        <w:tc>
          <w:tcPr>
            <w:tcW w:w="1580" w:type="dxa"/>
            <w:vAlign w:val="bottom"/>
            <w:gridSpan w:val="2"/>
            <w:shd w:val="clear" w:color="auto" w:fill="CCFFCC"/>
          </w:tcPr>
          <w:p>
            <w:pPr>
              <w:ind w:left="600"/>
              <w:spacing w:after="0" w:line="149" w:lineRule="exact"/>
              <w:rPr>
                <w:sz w:val="20"/>
                <w:szCs w:val="20"/>
                <w:color w:val="auto"/>
              </w:rPr>
            </w:pPr>
            <w:r>
              <w:rPr>
                <w:rFonts w:ascii="Arial" w:cs="Arial" w:eastAsia="Arial" w:hAnsi="Arial"/>
                <w:sz w:val="14"/>
                <w:szCs w:val="14"/>
                <w:color w:val="auto"/>
              </w:rPr>
              <w:t>US$ 754,415</w:t>
            </w:r>
          </w:p>
        </w:tc>
        <w:tc>
          <w:tcPr>
            <w:tcW w:w="14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US$ 5,098,028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shd w:val="clear" w:color="auto" w:fill="CCFFCC"/>
          </w:tcPr>
          <w:p>
            <w:pPr>
              <w:spacing w:after="0"/>
              <w:rPr>
                <w:sz w:val="2"/>
                <w:szCs w:val="2"/>
                <w:color w:val="auto"/>
              </w:rPr>
            </w:pPr>
          </w:p>
        </w:tc>
        <w:tc>
          <w:tcPr>
            <w:tcW w:w="780" w:type="dxa"/>
            <w:vAlign w:val="bottom"/>
            <w:shd w:val="clear" w:color="auto" w:fill="CCFFCC"/>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1940" w:type="dxa"/>
            <w:vAlign w:val="bottom"/>
            <w:gridSpan w:val="2"/>
          </w:tcPr>
          <w:p>
            <w:pPr>
              <w:spacing w:after="0" w:line="149" w:lineRule="exact"/>
              <w:rPr>
                <w:sz w:val="20"/>
                <w:szCs w:val="20"/>
                <w:color w:val="auto"/>
              </w:rPr>
            </w:pPr>
            <w:r>
              <w:rPr>
                <w:rFonts w:ascii="Arial" w:cs="Arial" w:eastAsia="Arial" w:hAnsi="Arial"/>
                <w:sz w:val="14"/>
                <w:szCs w:val="14"/>
                <w:color w:val="auto"/>
              </w:rPr>
              <w:t>Weighted-average yield</w:t>
            </w: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Equity securities in our account are categorized as maturing within one year.</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maturities of our investment securities classified by trading and available-for-sale, as of December 31, 2009, are described in “Item 11.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Quantitative and Qualitative Disclosures about Market Risk.”.</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criteria described below, our management has determined that the unrealized losses as of December 31, 2009 and 2008 were temporary and intends to hold each investment for a sufficient period of time to allow for a potential recovery in fair value. This holding period will last until the earlier of the investment’s recovery or maturity.</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equity investments (shares), management considers the following criteria to determine whether a loss is temporary:</w:t>
      </w:r>
    </w:p>
    <w:p>
      <w:pPr>
        <w:spacing w:after="0" w:line="252"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length of time and the extent to which fair value has been below cost;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severity of the impairment;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cause of the impairment and the financial condition and near-term prospects of the issuer; and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5" w:name="page76"/>
    <w:bookmarkEnd w:id="75"/>
    <w:p>
      <w:pPr>
        <w:ind w:left="980" w:hanging="324"/>
        <w:spacing w:after="0"/>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Activity in the market of the issuer which may indicate adverse credit conditions.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debt investments (fixed maturity), management considers the following criteria to determine whether a loss is temporary:</w:t>
      </w:r>
    </w:p>
    <w:p>
      <w:pPr>
        <w:spacing w:after="0" w:line="252" w:lineRule="exact"/>
        <w:rPr>
          <w:sz w:val="20"/>
          <w:szCs w:val="20"/>
          <w:color w:val="auto"/>
        </w:rPr>
      </w:pPr>
    </w:p>
    <w:p>
      <w:pPr>
        <w:jc w:val="both"/>
        <w:ind w:left="980" w:hanging="324"/>
        <w:spacing w:after="0" w:line="273" w:lineRule="auto"/>
        <w:tabs>
          <w:tab w:leader="none" w:pos="9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Management assesses the probability that the company will receive all amounts due (principal and interest) under the contract of the security. It considers a number of factors in identifying a credit-impaired security, including: (i) the nature of the security and the underlying collateral, (ii) the amount of subordination or credit enhancement supporting the security, (iii) the published credit rating and (iv) other analyses of the probable cash flows from the security. If recovery of all amounts due is not likely, management may determine that credit impairment exists and record unrealized losses in our consolidated income statement. The unrealized loss recorded in income represents the security’s decline in fair value, which includes the decline due to forecasted cash flow shortfalls as well as widening market spread.</w:t>
      </w:r>
    </w:p>
    <w:p>
      <w:pPr>
        <w:spacing w:after="0" w:line="205"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securities with unrealized losses not identified as a credit impairment, management determines whether it is desirable to hold the security for a period of time to allow for a potential recovery in the security’s amortized cost. Management estimates a security’s forecasted recovery period using current estimates of volatility in market interest rates (including liquidity and risk premiums). Management considers a number of factors to determine whether to hold an investment, including (i) a quantitative estimate of the expected recovery period (which may extend to maturity), (ii) the severity of the impairment and (iii) its strategy with respect to the security or portfolio. If management determines it is not desirable to hold the security for a sufficient period of time to allow for a potential recovery in the security’s amortized cost, we record the unrealized loss in our consolidated income statement.</w:t>
      </w:r>
    </w:p>
    <w:p>
      <w:pPr>
        <w:spacing w:after="0" w:line="200" w:lineRule="exact"/>
        <w:rPr>
          <w:rFonts w:ascii="Arial" w:cs="Arial" w:eastAsia="Arial" w:hAnsi="Arial"/>
          <w:sz w:val="18"/>
          <w:szCs w:val="18"/>
          <w:color w:val="auto"/>
        </w:rPr>
      </w:pPr>
    </w:p>
    <w:p>
      <w:pPr>
        <w:spacing w:after="0" w:line="255" w:lineRule="exact"/>
        <w:rPr>
          <w:rFonts w:ascii="Arial" w:cs="Arial" w:eastAsia="Arial" w:hAnsi="Arial"/>
          <w:sz w:val="18"/>
          <w:szCs w:val="18"/>
          <w:color w:val="auto"/>
        </w:rPr>
      </w:pPr>
    </w:p>
    <w:p>
      <w:pPr>
        <w:ind w:left="1320" w:hanging="650"/>
        <w:spacing w:after="0"/>
        <w:tabs>
          <w:tab w:leader="none" w:pos="1320" w:val="left"/>
        </w:tabs>
        <w:numPr>
          <w:ilvl w:val="1"/>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Loan Portfolio</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Type of Loan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loans by type of loan, at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On December 31,</w:t>
            </w:r>
          </w:p>
        </w:tc>
        <w:tc>
          <w:tcPr>
            <w:tcW w:w="6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i w:val="1"/>
                <w:iCs w:val="1"/>
                <w:color w:val="auto"/>
                <w:w w:val="90"/>
              </w:rPr>
              <w:t>(U.S. Dollars in thousands)</w:t>
            </w: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w:t>
            </w: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3,865,643</w:t>
            </w:r>
          </w:p>
        </w:tc>
        <w:tc>
          <w:tcPr>
            <w:tcW w:w="240" w:type="dxa"/>
            <w:vAlign w:val="bottom"/>
            <w:shd w:val="clear" w:color="auto" w:fill="CCFFCC"/>
          </w:tcPr>
          <w:p>
            <w:pPr>
              <w:spacing w:after="0"/>
              <w:rPr>
                <w:sz w:val="12"/>
                <w:szCs w:val="12"/>
                <w:color w:val="auto"/>
              </w:rPr>
            </w:pP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w w:val="99"/>
              </w:rPr>
              <w:t>4,662,730</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9"/>
              </w:rPr>
              <w:t>6,520,116</w:t>
            </w:r>
          </w:p>
        </w:tc>
        <w:tc>
          <w:tcPr>
            <w:tcW w:w="64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8,179,453</w:t>
            </w: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8,986,884</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7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564,575</w:t>
            </w:r>
          </w:p>
        </w:tc>
        <w:tc>
          <w:tcPr>
            <w:tcW w:w="7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675,804</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1,118,301</w:t>
            </w:r>
          </w:p>
        </w:tc>
        <w:tc>
          <w:tcPr>
            <w:tcW w:w="6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1,792,827</w:t>
            </w: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1,997,562</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Discounted notes</w:t>
            </w:r>
          </w:p>
        </w:tc>
        <w:tc>
          <w:tcPr>
            <w:tcW w:w="7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213,232</w:t>
            </w:r>
          </w:p>
        </w:tc>
        <w:tc>
          <w:tcPr>
            <w:tcW w:w="7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256,534</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325,047</w:t>
            </w:r>
          </w:p>
        </w:tc>
        <w:tc>
          <w:tcPr>
            <w:tcW w:w="64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368,648</w:t>
            </w:r>
          </w:p>
        </w:tc>
        <w:tc>
          <w:tcPr>
            <w:tcW w:w="66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349,126</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Factoring</w:t>
            </w:r>
          </w:p>
        </w:tc>
        <w:tc>
          <w:tcPr>
            <w:tcW w:w="7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87,757</w:t>
            </w:r>
          </w:p>
        </w:tc>
        <w:tc>
          <w:tcPr>
            <w:tcW w:w="7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89,171</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109,928</w:t>
            </w:r>
          </w:p>
        </w:tc>
        <w:tc>
          <w:tcPr>
            <w:tcW w:w="6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124,537</w:t>
            </w:r>
          </w:p>
        </w:tc>
        <w:tc>
          <w:tcPr>
            <w:tcW w:w="6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163,443</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Advances and overdrafts</w:t>
            </w:r>
          </w:p>
        </w:tc>
        <w:tc>
          <w:tcPr>
            <w:tcW w:w="7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49,283</w:t>
            </w:r>
          </w:p>
        </w:tc>
        <w:tc>
          <w:tcPr>
            <w:tcW w:w="7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84,262</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127,486</w:t>
            </w:r>
          </w:p>
        </w:tc>
        <w:tc>
          <w:tcPr>
            <w:tcW w:w="64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102,687</w:t>
            </w:r>
          </w:p>
        </w:tc>
        <w:tc>
          <w:tcPr>
            <w:tcW w:w="66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47,147</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Refinanced loans</w:t>
            </w:r>
          </w:p>
        </w:tc>
        <w:tc>
          <w:tcPr>
            <w:tcW w:w="7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175,211</w:t>
            </w:r>
          </w:p>
        </w:tc>
        <w:tc>
          <w:tcPr>
            <w:tcW w:w="74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126,006</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88,451</w:t>
            </w:r>
          </w:p>
        </w:tc>
        <w:tc>
          <w:tcPr>
            <w:tcW w:w="64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55,179</w:t>
            </w:r>
          </w:p>
        </w:tc>
        <w:tc>
          <w:tcPr>
            <w:tcW w:w="66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59,459</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Past-due loans</w:t>
            </w:r>
          </w:p>
        </w:tc>
        <w:tc>
          <w:tcPr>
            <w:tcW w:w="7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95,769</w:t>
            </w:r>
          </w:p>
        </w:tc>
        <w:tc>
          <w:tcPr>
            <w:tcW w:w="740" w:type="dxa"/>
            <w:vAlign w:val="bottom"/>
            <w:shd w:val="clear" w:color="auto" w:fill="CCFFCC"/>
          </w:tcPr>
          <w:p>
            <w:pPr>
              <w:spacing w:after="0"/>
              <w:rPr>
                <w:sz w:val="12"/>
                <w:szCs w:val="12"/>
                <w:color w:val="auto"/>
              </w:rPr>
            </w:pP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76,770</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61,488</w:t>
            </w:r>
          </w:p>
        </w:tc>
        <w:tc>
          <w:tcPr>
            <w:tcW w:w="64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82,867</w:t>
            </w:r>
          </w:p>
        </w:tc>
        <w:tc>
          <w:tcPr>
            <w:tcW w:w="66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184,567</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Unearned interest</w:t>
            </w:r>
          </w:p>
        </w:tc>
        <w:tc>
          <w:tcPr>
            <w:tcW w:w="7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(78,495)</w:t>
            </w:r>
          </w:p>
        </w:tc>
        <w:tc>
          <w:tcPr>
            <w:tcW w:w="7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(93,916)</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(166,972)</w:t>
            </w:r>
          </w:p>
        </w:tc>
        <w:tc>
          <w:tcPr>
            <w:tcW w:w="6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(249,914)</w:t>
            </w:r>
          </w:p>
        </w:tc>
        <w:tc>
          <w:tcPr>
            <w:tcW w:w="6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(282,869)</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loans:</w:t>
            </w: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4,972,975</w:t>
            </w:r>
          </w:p>
        </w:tc>
        <w:tc>
          <w:tcPr>
            <w:tcW w:w="240" w:type="dxa"/>
            <w:vAlign w:val="bottom"/>
            <w:shd w:val="clear" w:color="auto" w:fill="CCFFCC"/>
          </w:tcPr>
          <w:p>
            <w:pPr>
              <w:spacing w:after="0"/>
              <w:rPr>
                <w:sz w:val="12"/>
                <w:szCs w:val="12"/>
                <w:color w:val="auto"/>
              </w:rPr>
            </w:pP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7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w w:val="99"/>
              </w:rPr>
              <w:t>5,877,361</w:t>
            </w:r>
          </w:p>
        </w:tc>
        <w:tc>
          <w:tcPr>
            <w:tcW w:w="180" w:type="dxa"/>
            <w:vAlign w:val="bottom"/>
            <w:shd w:val="clear" w:color="auto" w:fill="CCFFCC"/>
          </w:tcPr>
          <w:p>
            <w:pPr>
              <w:spacing w:after="0"/>
              <w:rPr>
                <w:sz w:val="12"/>
                <w:szCs w:val="12"/>
                <w:color w:val="auto"/>
              </w:rPr>
            </w:pP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8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9"/>
              </w:rPr>
              <w:t>8,183,845</w:t>
            </w:r>
          </w:p>
        </w:tc>
        <w:tc>
          <w:tcPr>
            <w:tcW w:w="64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7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10,456,284</w:t>
            </w: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w w:val="99"/>
              </w:rPr>
              <w:t>11,505,319</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Total past-due loans amounts</w:t>
            </w:r>
          </w:p>
        </w:tc>
        <w:tc>
          <w:tcPr>
            <w:tcW w:w="7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(95,769)</w:t>
            </w:r>
          </w:p>
        </w:tc>
        <w:tc>
          <w:tcPr>
            <w:tcW w:w="74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(76,770)</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(61,488)</w:t>
            </w:r>
          </w:p>
        </w:tc>
        <w:tc>
          <w:tcPr>
            <w:tcW w:w="6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(82,867)</w:t>
            </w:r>
          </w:p>
        </w:tc>
        <w:tc>
          <w:tcPr>
            <w:tcW w:w="66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(184,567)</w:t>
            </w:r>
          </w:p>
        </w:tc>
      </w:tr>
      <w:tr>
        <w:trPr>
          <w:trHeight w:val="156"/>
        </w:trPr>
        <w:tc>
          <w:tcPr>
            <w:tcW w:w="20" w:type="dxa"/>
            <w:vAlign w:val="bottom"/>
          </w:tcPr>
          <w:p>
            <w:pPr>
              <w:spacing w:after="0"/>
              <w:rPr>
                <w:sz w:val="13"/>
                <w:szCs w:val="13"/>
                <w:color w:val="auto"/>
              </w:rPr>
            </w:pPr>
          </w:p>
        </w:tc>
        <w:tc>
          <w:tcPr>
            <w:tcW w:w="3540" w:type="dxa"/>
            <w:vAlign w:val="bottom"/>
            <w:tcBorders>
              <w:bottom w:val="single" w:sz="8" w:color="CCFFCC"/>
            </w:tcBorders>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performing loans</w:t>
            </w:r>
          </w:p>
        </w:tc>
        <w:tc>
          <w:tcPr>
            <w:tcW w:w="740" w:type="dxa"/>
            <w:vAlign w:val="bottom"/>
            <w:tcBorders>
              <w:bottom w:val="single" w:sz="8" w:color="auto"/>
            </w:tcBorders>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4,877,206</w:t>
            </w:r>
          </w:p>
        </w:tc>
        <w:tc>
          <w:tcPr>
            <w:tcW w:w="240" w:type="dxa"/>
            <w:vAlign w:val="bottom"/>
            <w:tcBorders>
              <w:bottom w:val="single" w:sz="8" w:color="CCFFCC"/>
            </w:tcBorders>
            <w:shd w:val="clear" w:color="auto" w:fill="CCFFCC"/>
          </w:tcPr>
          <w:p>
            <w:pPr>
              <w:spacing w:after="0"/>
              <w:rPr>
                <w:sz w:val="13"/>
                <w:szCs w:val="13"/>
                <w:color w:val="auto"/>
              </w:rPr>
            </w:pPr>
          </w:p>
        </w:tc>
        <w:tc>
          <w:tcPr>
            <w:tcW w:w="740" w:type="dxa"/>
            <w:vAlign w:val="bottom"/>
            <w:tcBorders>
              <w:bottom w:val="single" w:sz="8" w:color="auto"/>
            </w:tcBorders>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5,800,591</w:t>
            </w:r>
          </w:p>
        </w:tc>
        <w:tc>
          <w:tcPr>
            <w:tcW w:w="60" w:type="dxa"/>
            <w:vAlign w:val="bottom"/>
            <w:tcBorders>
              <w:bottom w:val="single" w:sz="8" w:color="CCFFCC"/>
            </w:tcBorders>
            <w:shd w:val="clear" w:color="auto" w:fill="CCFFCC"/>
          </w:tcPr>
          <w:p>
            <w:pPr>
              <w:spacing w:after="0"/>
              <w:rPr>
                <w:sz w:val="13"/>
                <w:szCs w:val="13"/>
                <w:color w:val="auto"/>
              </w:rPr>
            </w:pPr>
          </w:p>
        </w:tc>
        <w:tc>
          <w:tcPr>
            <w:tcW w:w="180" w:type="dxa"/>
            <w:vAlign w:val="bottom"/>
            <w:tcBorders>
              <w:bottom w:val="single" w:sz="8" w:color="CCFFCC"/>
            </w:tcBorders>
            <w:shd w:val="clear" w:color="auto" w:fill="CCFFCC"/>
          </w:tcPr>
          <w:p>
            <w:pPr>
              <w:spacing w:after="0"/>
              <w:rPr>
                <w:sz w:val="13"/>
                <w:szCs w:val="13"/>
                <w:color w:val="auto"/>
              </w:rPr>
            </w:pPr>
          </w:p>
        </w:tc>
        <w:tc>
          <w:tcPr>
            <w:tcW w:w="720" w:type="dxa"/>
            <w:vAlign w:val="bottom"/>
            <w:tcBorders>
              <w:bottom w:val="single" w:sz="8" w:color="auto"/>
            </w:tcBorders>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8,122,357</w:t>
            </w:r>
          </w:p>
        </w:tc>
        <w:tc>
          <w:tcPr>
            <w:tcW w:w="200" w:type="dxa"/>
            <w:vAlign w:val="bottom"/>
            <w:tcBorders>
              <w:bottom w:val="single" w:sz="8" w:color="CCFFCC"/>
            </w:tcBorders>
            <w:shd w:val="clear" w:color="auto" w:fill="CCFFCC"/>
          </w:tcPr>
          <w:p>
            <w:pPr>
              <w:spacing w:after="0"/>
              <w:rPr>
                <w:sz w:val="13"/>
                <w:szCs w:val="13"/>
                <w:color w:val="auto"/>
              </w:rPr>
            </w:pPr>
          </w:p>
        </w:tc>
        <w:tc>
          <w:tcPr>
            <w:tcW w:w="640" w:type="dxa"/>
            <w:vAlign w:val="bottom"/>
            <w:tcBorders>
              <w:bottom w:val="single" w:sz="8" w:color="auto"/>
            </w:tcBorders>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74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10,373,417</w:t>
            </w:r>
          </w:p>
        </w:tc>
        <w:tc>
          <w:tcPr>
            <w:tcW w:w="200" w:type="dxa"/>
            <w:vAlign w:val="bottom"/>
            <w:tcBorders>
              <w:bottom w:val="single" w:sz="8" w:color="CCFFCC"/>
            </w:tcBorders>
            <w:shd w:val="clear" w:color="auto" w:fill="CCFFCC"/>
          </w:tcPr>
          <w:p>
            <w:pPr>
              <w:spacing w:after="0"/>
              <w:rPr>
                <w:sz w:val="13"/>
                <w:szCs w:val="13"/>
                <w:color w:val="auto"/>
              </w:rPr>
            </w:pPr>
          </w:p>
        </w:tc>
        <w:tc>
          <w:tcPr>
            <w:tcW w:w="660" w:type="dxa"/>
            <w:vAlign w:val="bottom"/>
            <w:tcBorders>
              <w:bottom w:val="single" w:sz="8" w:color="auto"/>
            </w:tcBorders>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72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11,320,752</w:t>
            </w:r>
          </w:p>
        </w:tc>
        <w:tc>
          <w:tcPr>
            <w:tcW w:w="100" w:type="dxa"/>
            <w:vAlign w:val="bottom"/>
            <w:tcBorders>
              <w:bottom w:val="single" w:sz="8" w:color="CCFFCC"/>
            </w:tcBorders>
            <w:shd w:val="clear" w:color="auto" w:fill="CCFFCC"/>
          </w:tcPr>
          <w:p>
            <w:pPr>
              <w:spacing w:after="0"/>
              <w:rPr>
                <w:sz w:val="13"/>
                <w:szCs w:val="13"/>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6" w:name="page77"/>
    <w:bookmarkEnd w:id="76"/>
    <w:p>
      <w:pPr>
        <w:ind w:firstLine="648"/>
        <w:spacing w:after="0" w:line="277" w:lineRule="auto"/>
        <w:rPr>
          <w:sz w:val="20"/>
          <w:szCs w:val="20"/>
          <w:color w:val="auto"/>
        </w:rPr>
      </w:pPr>
      <w:r>
        <w:rPr>
          <w:rFonts w:ascii="Arial" w:cs="Arial" w:eastAsia="Arial" w:hAnsi="Arial"/>
          <w:sz w:val="18"/>
          <w:szCs w:val="18"/>
          <w:color w:val="auto"/>
        </w:rPr>
        <w:t>The loan portfolio categories set forth in the table above are based on SBS regulations, which apply to loans generated by BCP and ASHC. Pursuant to SBS guidelines, we categorize loans as follows:</w:t>
      </w:r>
    </w:p>
    <w:p>
      <w:pPr>
        <w:spacing w:after="0" w:line="197" w:lineRule="exact"/>
        <w:rPr>
          <w:sz w:val="20"/>
          <w:szCs w:val="20"/>
          <w:color w:val="auto"/>
        </w:rPr>
      </w:pPr>
    </w:p>
    <w:p>
      <w:pPr>
        <w:jc w:val="both"/>
        <w:ind w:left="980" w:hanging="324"/>
        <w:spacing w:after="0" w:line="264"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Loans: </w:t>
      </w:r>
      <w:r>
        <w:rPr>
          <w:rFonts w:ascii="Arial" w:cs="Arial" w:eastAsia="Arial" w:hAnsi="Arial"/>
          <w:sz w:val="18"/>
          <w:szCs w:val="18"/>
          <w:color w:val="auto"/>
        </w:rPr>
        <w:t>Basic term loans documented by promissory notes and other extensions of credit, such as mortgage loans, credit cards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loans in various forms, including trade finance loans to importers and exporters on specialized terms adapted to the needs of the international trade transaction.</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Leasing Transactions: </w:t>
      </w:r>
      <w:r>
        <w:rPr>
          <w:rFonts w:ascii="Arial" w:cs="Arial" w:eastAsia="Arial" w:hAnsi="Arial"/>
          <w:sz w:val="18"/>
          <w:szCs w:val="18"/>
          <w:color w:val="auto"/>
        </w:rPr>
        <w:t>Transactions that involve our acquisition of an asset and the leasing of that asset to a client.</w:t>
      </w:r>
    </w:p>
    <w:p>
      <w:pPr>
        <w:spacing w:after="0" w:line="25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Discounted Notes: </w:t>
      </w:r>
      <w:r>
        <w:rPr>
          <w:rFonts w:ascii="Arial" w:cs="Arial" w:eastAsia="Arial" w:hAnsi="Arial"/>
          <w:sz w:val="18"/>
          <w:szCs w:val="18"/>
          <w:color w:val="auto"/>
        </w:rPr>
        <w:t>Loans discounted at the outset (the client signs a promissory note or other evidence of indebtedness for the principal amount</w:t>
      </w:r>
      <w:r>
        <w:rPr>
          <w:rFonts w:ascii="Arial" w:cs="Arial" w:eastAsia="Arial" w:hAnsi="Arial"/>
          <w:sz w:val="18"/>
          <w:szCs w:val="18"/>
          <w:i w:val="1"/>
          <w:iCs w:val="1"/>
          <w:color w:val="auto"/>
        </w:rPr>
        <w:t xml:space="preserve"> </w:t>
      </w:r>
      <w:r>
        <w:rPr>
          <w:rFonts w:ascii="Arial" w:cs="Arial" w:eastAsia="Arial" w:hAnsi="Arial"/>
          <w:sz w:val="18"/>
          <w:szCs w:val="18"/>
          <w:color w:val="auto"/>
        </w:rPr>
        <w:t>payable at a future date). Discounted loans also include discounting of drafts, where we make a loan supported by a draft signed by one party and discounted by another party, with recourse to both parties.</w:t>
      </w:r>
    </w:p>
    <w:p>
      <w:pPr>
        <w:spacing w:after="0" w:line="208"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Factoring: </w:t>
      </w:r>
      <w:r>
        <w:rPr>
          <w:rFonts w:ascii="Arial" w:cs="Arial" w:eastAsia="Arial" w:hAnsi="Arial"/>
          <w:sz w:val="18"/>
          <w:szCs w:val="18"/>
          <w:color w:val="auto"/>
        </w:rPr>
        <w:t>The sale of title to a company’s accounts receivables to a bank (or financial company). The receivables are sold without recourse,</w:t>
      </w:r>
      <w:r>
        <w:rPr>
          <w:rFonts w:ascii="Arial" w:cs="Arial" w:eastAsia="Arial" w:hAnsi="Arial"/>
          <w:sz w:val="18"/>
          <w:szCs w:val="18"/>
          <w:i w:val="1"/>
          <w:iCs w:val="1"/>
          <w:color w:val="auto"/>
        </w:rPr>
        <w:t xml:space="preserve"> </w:t>
      </w:r>
      <w:r>
        <w:rPr>
          <w:rFonts w:ascii="Arial" w:cs="Arial" w:eastAsia="Arial" w:hAnsi="Arial"/>
          <w:sz w:val="18"/>
          <w:szCs w:val="18"/>
          <w:color w:val="auto"/>
        </w:rPr>
        <w:t>and the bank cannot recover from the seller in the event that the accounts are uncollectible. Under factoring loans, the seller receives funds from the bank prior to the average maturity date based on the invoice amount of the receivable, less cash discounts and allowances for estimated claims and returns, among other items.</w:t>
      </w:r>
    </w:p>
    <w:p>
      <w:pPr>
        <w:spacing w:after="0" w:line="21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Advances and Overdrafts: </w:t>
      </w:r>
      <w:r>
        <w:rPr>
          <w:rFonts w:ascii="Arial" w:cs="Arial" w:eastAsia="Arial" w:hAnsi="Arial"/>
          <w:sz w:val="18"/>
          <w:szCs w:val="18"/>
          <w:color w:val="auto"/>
        </w:rPr>
        <w:t>Extensions of credit to clients by way of an overdraft facility in the client’s checking account. This category also</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secured short-term advances.</w:t>
      </w:r>
    </w:p>
    <w:p>
      <w:pPr>
        <w:spacing w:after="0" w:line="19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Refinanced Loans: </w:t>
      </w:r>
      <w:r>
        <w:rPr>
          <w:rFonts w:ascii="Arial" w:cs="Arial" w:eastAsia="Arial" w:hAnsi="Arial"/>
          <w:sz w:val="18"/>
          <w:szCs w:val="18"/>
          <w:color w:val="auto"/>
        </w:rPr>
        <w:t>Loans that were refinanced because the client was unable to pay at maturity. A loan is categorized as a refinanced loan when</w:t>
      </w:r>
      <w:r>
        <w:rPr>
          <w:rFonts w:ascii="Arial" w:cs="Arial" w:eastAsia="Arial" w:hAnsi="Arial"/>
          <w:sz w:val="18"/>
          <w:szCs w:val="18"/>
          <w:i w:val="1"/>
          <w:iCs w:val="1"/>
          <w:color w:val="auto"/>
        </w:rPr>
        <w:t xml:space="preserve"> </w:t>
      </w:r>
      <w:r>
        <w:rPr>
          <w:rFonts w:ascii="Arial" w:cs="Arial" w:eastAsia="Arial" w:hAnsi="Arial"/>
          <w:sz w:val="18"/>
          <w:szCs w:val="18"/>
          <w:color w:val="auto"/>
        </w:rPr>
        <w:t>a debtor is experiencing payment problems, unless the debtor is current on all interest payments and pays down at least 20% of the principal amount of the original loan. We have distinguished a sub-group titled “Restructured Loans,” which is defined as loans extended under the bankruptcy protection procedures established in the Equity Restructuring Law.</w:t>
      </w:r>
    </w:p>
    <w:p>
      <w:pPr>
        <w:spacing w:after="0" w:line="213" w:lineRule="exact"/>
        <w:rPr>
          <w:rFonts w:ascii="Arial" w:cs="Arial" w:eastAsia="Arial" w:hAnsi="Arial"/>
          <w:sz w:val="18"/>
          <w:szCs w:val="18"/>
          <w:color w:val="auto"/>
        </w:rPr>
      </w:pPr>
    </w:p>
    <w:p>
      <w:pPr>
        <w:ind w:left="980" w:hanging="324"/>
        <w:spacing w:after="0"/>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i w:val="1"/>
          <w:iCs w:val="1"/>
          <w:color w:val="auto"/>
        </w:rPr>
        <w:t xml:space="preserve">Past-Due Loans: </w:t>
      </w:r>
      <w:r>
        <w:rPr>
          <w:rFonts w:ascii="Arial" w:cs="Arial" w:eastAsia="Arial" w:hAnsi="Arial"/>
          <w:sz w:val="18"/>
          <w:szCs w:val="18"/>
          <w:color w:val="auto"/>
        </w:rPr>
        <w:t>Includes overdue loans.</w:t>
      </w:r>
      <w:r>
        <w:rPr>
          <w:rFonts w:ascii="Arial" w:cs="Arial" w:eastAsia="Arial" w:hAnsi="Arial"/>
          <w:sz w:val="18"/>
          <w:szCs w:val="18"/>
          <w:i w:val="1"/>
          <w:iCs w:val="1"/>
          <w:color w:val="auto"/>
        </w:rPr>
        <w:t xml:space="preserve"> See </w:t>
      </w:r>
      <w:r>
        <w:rPr>
          <w:rFonts w:ascii="Arial" w:cs="Arial" w:eastAsia="Arial" w:hAnsi="Arial"/>
          <w:sz w:val="18"/>
          <w:szCs w:val="18"/>
          <w:color w:val="auto"/>
        </w:rPr>
        <w:t>“—Past-Due Loan Portfolio” for further detail.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Economic Activity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our total loan portfolio composition, net of unearned interest, based on the borrower’s principal economic activity:</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jc w:val="center"/>
              <w:ind w:left="828"/>
              <w:spacing w:after="0"/>
              <w:rPr>
                <w:sz w:val="20"/>
                <w:szCs w:val="20"/>
                <w:color w:val="auto"/>
              </w:rPr>
            </w:pPr>
            <w:r>
              <w:rPr>
                <w:rFonts w:ascii="Arial" w:cs="Arial" w:eastAsia="Arial" w:hAnsi="Arial"/>
                <w:sz w:val="14"/>
                <w:szCs w:val="14"/>
                <w:b w:val="1"/>
                <w:bCs w:val="1"/>
                <w:color w:val="auto"/>
                <w:w w:val="94"/>
              </w:rPr>
              <w:t>At December 31,</w:t>
            </w:r>
          </w:p>
        </w:tc>
        <w:tc>
          <w:tcPr>
            <w:tcW w:w="9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40" w:type="dxa"/>
            <w:vAlign w:val="bottom"/>
            <w:gridSpan w:val="3"/>
          </w:tcPr>
          <w:p>
            <w:pPr>
              <w:jc w:val="right"/>
              <w:ind w:right="1288"/>
              <w:spacing w:after="0" w:line="149" w:lineRule="exact"/>
              <w:rPr>
                <w:sz w:val="20"/>
                <w:szCs w:val="20"/>
                <w:color w:val="auto"/>
              </w:rPr>
            </w:pPr>
            <w:r>
              <w:rPr>
                <w:rFonts w:ascii="Arial" w:cs="Arial" w:eastAsia="Arial" w:hAnsi="Arial"/>
                <w:sz w:val="14"/>
                <w:szCs w:val="14"/>
                <w:b w:val="1"/>
                <w:bCs w:val="1"/>
                <w:color w:val="auto"/>
              </w:rPr>
              <w:t>2005</w:t>
            </w:r>
          </w:p>
        </w:tc>
        <w:tc>
          <w:tcPr>
            <w:tcW w:w="2220" w:type="dxa"/>
            <w:vAlign w:val="bottom"/>
            <w:gridSpan w:val="4"/>
          </w:tcPr>
          <w:p>
            <w:pPr>
              <w:jc w:val="right"/>
              <w:ind w:right="360"/>
              <w:spacing w:after="0" w:line="149" w:lineRule="exact"/>
              <w:rPr>
                <w:sz w:val="20"/>
                <w:szCs w:val="20"/>
                <w:color w:val="auto"/>
              </w:rPr>
            </w:pPr>
            <w:r>
              <w:rPr>
                <w:rFonts w:ascii="Arial" w:cs="Arial" w:eastAsia="Arial" w:hAnsi="Arial"/>
                <w:sz w:val="14"/>
                <w:szCs w:val="14"/>
                <w:b w:val="1"/>
                <w:bCs w:val="1"/>
                <w:color w:val="auto"/>
              </w:rPr>
              <w:t>2006</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40" w:type="dxa"/>
            <w:vAlign w:val="bottom"/>
            <w:gridSpan w:val="3"/>
          </w:tcPr>
          <w:p>
            <w:pPr>
              <w:jc w:val="right"/>
              <w:ind w:right="1268"/>
              <w:spacing w:after="0" w:line="14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960" w:type="dxa"/>
            <w:vAlign w:val="bottom"/>
            <w:tcBorders>
              <w:top w:val="single" w:sz="8" w:color="auto"/>
              <w:bottom w:val="single" w:sz="8" w:color="auto"/>
            </w:tcBorders>
            <w:gridSpan w:val="4"/>
          </w:tcPr>
          <w:p>
            <w:pPr>
              <w:jc w:val="center"/>
              <w:ind w:right="8"/>
              <w:spacing w:after="0" w:line="149" w:lineRule="exact"/>
              <w:rPr>
                <w:sz w:val="20"/>
                <w:szCs w:val="20"/>
                <w:color w:val="auto"/>
              </w:rPr>
            </w:pPr>
            <w:r>
              <w:rPr>
                <w:rFonts w:ascii="Arial" w:cs="Arial" w:eastAsia="Arial" w:hAnsi="Arial"/>
                <w:sz w:val="14"/>
                <w:szCs w:val="14"/>
                <w:i w:val="1"/>
                <w:iCs w:val="1"/>
                <w:color w:val="auto"/>
                <w:w w:val="92"/>
              </w:rPr>
              <w:t>(U.S. Dollars in thousands, except percentages)</w:t>
            </w:r>
          </w:p>
        </w:tc>
        <w:tc>
          <w:tcPr>
            <w:tcW w:w="200" w:type="dxa"/>
            <w:vAlign w:val="bottom"/>
            <w:tcBorders>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38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60" w:type="dxa"/>
            <w:vAlign w:val="bottom"/>
          </w:tcPr>
          <w:p>
            <w:pPr>
              <w:jc w:val="center"/>
              <w:ind w:left="68"/>
              <w:spacing w:after="0" w:line="149" w:lineRule="exact"/>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 Total</w:t>
            </w:r>
          </w:p>
        </w:tc>
        <w:tc>
          <w:tcPr>
            <w:tcW w:w="240" w:type="dxa"/>
            <w:vAlign w:val="bottom"/>
          </w:tcPr>
          <w:p>
            <w:pPr>
              <w:spacing w:after="0"/>
              <w:rPr>
                <w:sz w:val="13"/>
                <w:szCs w:val="13"/>
                <w:color w:val="auto"/>
              </w:rPr>
            </w:pPr>
          </w:p>
        </w:tc>
        <w:tc>
          <w:tcPr>
            <w:tcW w:w="1980" w:type="dxa"/>
            <w:vAlign w:val="bottom"/>
            <w:gridSpan w:val="3"/>
          </w:tcPr>
          <w:p>
            <w:pPr>
              <w:jc w:val="center"/>
              <w:ind w:right="600"/>
              <w:spacing w:after="0" w:line="149" w:lineRule="exact"/>
              <w:rPr>
                <w:sz w:val="20"/>
                <w:szCs w:val="20"/>
                <w:color w:val="auto"/>
              </w:rPr>
            </w:pPr>
            <w:r>
              <w:rPr>
                <w:rFonts w:ascii="Arial" w:cs="Arial" w:eastAsia="Arial" w:hAnsi="Arial"/>
                <w:sz w:val="14"/>
                <w:szCs w:val="14"/>
                <w:color w:val="auto"/>
                <w:w w:val="95"/>
              </w:rPr>
              <w:t>Amount</w:t>
            </w:r>
          </w:p>
        </w:tc>
        <w:tc>
          <w:tcPr>
            <w:tcW w:w="980" w:type="dxa"/>
            <w:vAlign w:val="bottom"/>
          </w:tcPr>
          <w:p>
            <w:pPr>
              <w:ind w:left="60"/>
              <w:spacing w:after="0" w:line="149" w:lineRule="exact"/>
              <w:rPr>
                <w:sz w:val="20"/>
                <w:szCs w:val="20"/>
                <w:color w:val="auto"/>
              </w:rPr>
            </w:pPr>
            <w:r>
              <w:rPr>
                <w:rFonts w:ascii="Arial" w:cs="Arial" w:eastAsia="Arial" w:hAnsi="Arial"/>
                <w:sz w:val="14"/>
                <w:szCs w:val="14"/>
                <w:color w:val="auto"/>
              </w:rPr>
              <w:t>% Total</w:t>
            </w:r>
          </w:p>
        </w:tc>
        <w:tc>
          <w:tcPr>
            <w:tcW w:w="200" w:type="dxa"/>
            <w:vAlign w:val="bottom"/>
          </w:tcPr>
          <w:p>
            <w:pPr>
              <w:spacing w:after="0"/>
              <w:rPr>
                <w:sz w:val="13"/>
                <w:szCs w:val="13"/>
                <w:color w:val="auto"/>
              </w:rPr>
            </w:pPr>
          </w:p>
        </w:tc>
        <w:tc>
          <w:tcPr>
            <w:tcW w:w="1220" w:type="dxa"/>
            <w:vAlign w:val="bottom"/>
          </w:tcPr>
          <w:p>
            <w:pPr>
              <w:jc w:val="center"/>
              <w:ind w:left="88"/>
              <w:spacing w:after="0" w:line="149" w:lineRule="exact"/>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 Total</w:t>
            </w:r>
          </w:p>
        </w:tc>
        <w:tc>
          <w:tcPr>
            <w:tcW w:w="10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1080" w:type="dxa"/>
            <w:vAlign w:val="bottom"/>
            <w:tcBorders>
              <w:bottom w:val="single" w:sz="8" w:color="auto"/>
            </w:tcBorders>
            <w:shd w:val="clear" w:color="auto" w:fill="CCFFCC"/>
          </w:tcPr>
          <w:p>
            <w:pPr>
              <w:spacing w:after="0" w:line="135" w:lineRule="exact"/>
              <w:rPr>
                <w:sz w:val="20"/>
                <w:szCs w:val="20"/>
                <w:color w:val="auto"/>
              </w:rPr>
            </w:pPr>
            <w:r>
              <w:rPr>
                <w:rFonts w:ascii="Arial" w:cs="Arial" w:eastAsia="Arial" w:hAnsi="Arial"/>
                <w:sz w:val="14"/>
                <w:szCs w:val="14"/>
                <w:color w:val="auto"/>
                <w:w w:val="96"/>
              </w:rPr>
              <w:t>Economic Activity</w:t>
            </w:r>
          </w:p>
        </w:tc>
        <w:tc>
          <w:tcPr>
            <w:tcW w:w="860" w:type="dxa"/>
            <w:vAlign w:val="bottom"/>
            <w:tcBorders>
              <w:bottom w:val="single" w:sz="8" w:color="CCFFCC"/>
            </w:tcBorders>
            <w:gridSpan w:val="2"/>
            <w:shd w:val="clear" w:color="auto" w:fill="CCFFCC"/>
          </w:tcPr>
          <w:p>
            <w:pPr>
              <w:spacing w:after="0"/>
              <w:rPr>
                <w:sz w:val="11"/>
                <w:szCs w:val="11"/>
                <w:color w:val="auto"/>
              </w:rPr>
            </w:pPr>
          </w:p>
        </w:tc>
        <w:tc>
          <w:tcPr>
            <w:tcW w:w="1260" w:type="dxa"/>
            <w:vAlign w:val="bottom"/>
            <w:tcBorders>
              <w:top w:val="single" w:sz="8" w:color="auto"/>
              <w:bottom w:val="single" w:sz="8" w:color="CCFFCC"/>
            </w:tcBorders>
            <w:shd w:val="clear" w:color="auto" w:fill="CCFFCC"/>
          </w:tcPr>
          <w:p>
            <w:pPr>
              <w:spacing w:after="0"/>
              <w:rPr>
                <w:sz w:val="11"/>
                <w:szCs w:val="11"/>
                <w:color w:val="auto"/>
              </w:rPr>
            </w:pPr>
          </w:p>
        </w:tc>
        <w:tc>
          <w:tcPr>
            <w:tcW w:w="120" w:type="dxa"/>
            <w:vAlign w:val="bottom"/>
            <w:tcBorders>
              <w:top w:val="single" w:sz="8" w:color="auto"/>
              <w:bottom w:val="single" w:sz="8" w:color="CCFFCC"/>
            </w:tcBorders>
            <w:shd w:val="clear" w:color="auto" w:fill="CCFFCC"/>
          </w:tcPr>
          <w:p>
            <w:pPr>
              <w:spacing w:after="0"/>
              <w:rPr>
                <w:sz w:val="11"/>
                <w:szCs w:val="11"/>
                <w:color w:val="auto"/>
              </w:rPr>
            </w:pPr>
          </w:p>
        </w:tc>
        <w:tc>
          <w:tcPr>
            <w:tcW w:w="240" w:type="dxa"/>
            <w:vAlign w:val="bottom"/>
            <w:tcBorders>
              <w:bottom w:val="single" w:sz="8" w:color="CCFFCC"/>
            </w:tcBorders>
            <w:shd w:val="clear" w:color="auto" w:fill="CCFFCC"/>
          </w:tcPr>
          <w:p>
            <w:pPr>
              <w:spacing w:after="0"/>
              <w:rPr>
                <w:sz w:val="11"/>
                <w:szCs w:val="11"/>
                <w:color w:val="auto"/>
              </w:rPr>
            </w:pPr>
          </w:p>
        </w:tc>
        <w:tc>
          <w:tcPr>
            <w:tcW w:w="1380" w:type="dxa"/>
            <w:vAlign w:val="bottom"/>
            <w:tcBorders>
              <w:top w:val="single" w:sz="8" w:color="auto"/>
              <w:bottom w:val="single" w:sz="8" w:color="CCFFCC"/>
            </w:tcBorders>
            <w:shd w:val="clear" w:color="auto" w:fill="CCFFCC"/>
          </w:tcPr>
          <w:p>
            <w:pPr>
              <w:spacing w:after="0"/>
              <w:rPr>
                <w:sz w:val="11"/>
                <w:szCs w:val="11"/>
                <w:color w:val="auto"/>
              </w:rPr>
            </w:pPr>
          </w:p>
        </w:tc>
        <w:tc>
          <w:tcPr>
            <w:tcW w:w="240" w:type="dxa"/>
            <w:vAlign w:val="bottom"/>
            <w:tcBorders>
              <w:bottom w:val="single" w:sz="8" w:color="CCFFCC"/>
            </w:tcBorders>
            <w:shd w:val="clear" w:color="auto" w:fill="CCFFCC"/>
          </w:tcPr>
          <w:p>
            <w:pPr>
              <w:spacing w:after="0"/>
              <w:rPr>
                <w:sz w:val="11"/>
                <w:szCs w:val="11"/>
                <w:color w:val="auto"/>
              </w:rPr>
            </w:pPr>
          </w:p>
        </w:tc>
        <w:tc>
          <w:tcPr>
            <w:tcW w:w="1380" w:type="dxa"/>
            <w:vAlign w:val="bottom"/>
            <w:tcBorders>
              <w:top w:val="single" w:sz="8" w:color="auto"/>
              <w:bottom w:val="single" w:sz="8" w:color="CCFFCC"/>
            </w:tcBorders>
            <w:shd w:val="clear" w:color="auto" w:fill="CCFFCC"/>
          </w:tcPr>
          <w:p>
            <w:pPr>
              <w:spacing w:after="0"/>
              <w:rPr>
                <w:sz w:val="11"/>
                <w:szCs w:val="11"/>
                <w:color w:val="auto"/>
              </w:rPr>
            </w:pPr>
          </w:p>
        </w:tc>
        <w:tc>
          <w:tcPr>
            <w:tcW w:w="200" w:type="dxa"/>
            <w:vAlign w:val="bottom"/>
            <w:tcBorders>
              <w:bottom w:val="single" w:sz="8" w:color="CCFFCC"/>
            </w:tcBorders>
            <w:shd w:val="clear" w:color="auto" w:fill="CCFFCC"/>
          </w:tcPr>
          <w:p>
            <w:pPr>
              <w:spacing w:after="0"/>
              <w:rPr>
                <w:sz w:val="11"/>
                <w:szCs w:val="11"/>
                <w:color w:val="auto"/>
              </w:rPr>
            </w:pPr>
          </w:p>
        </w:tc>
        <w:tc>
          <w:tcPr>
            <w:tcW w:w="400" w:type="dxa"/>
            <w:vAlign w:val="bottom"/>
            <w:tcBorders>
              <w:top w:val="single" w:sz="8" w:color="auto"/>
              <w:bottom w:val="single" w:sz="8" w:color="CCFFCC"/>
            </w:tcBorders>
            <w:shd w:val="clear" w:color="auto" w:fill="CCFFCC"/>
          </w:tcPr>
          <w:p>
            <w:pPr>
              <w:spacing w:after="0"/>
              <w:rPr>
                <w:sz w:val="11"/>
                <w:szCs w:val="11"/>
                <w:color w:val="auto"/>
              </w:rPr>
            </w:pPr>
          </w:p>
        </w:tc>
        <w:tc>
          <w:tcPr>
            <w:tcW w:w="980" w:type="dxa"/>
            <w:vAlign w:val="bottom"/>
            <w:tcBorders>
              <w:top w:val="single" w:sz="8" w:color="auto"/>
              <w:bottom w:val="single" w:sz="8" w:color="CCFFCC"/>
            </w:tcBorders>
            <w:shd w:val="clear" w:color="auto" w:fill="CCFFCC"/>
          </w:tcPr>
          <w:p>
            <w:pPr>
              <w:spacing w:after="0"/>
              <w:rPr>
                <w:sz w:val="11"/>
                <w:szCs w:val="11"/>
                <w:color w:val="auto"/>
              </w:rPr>
            </w:pPr>
          </w:p>
        </w:tc>
        <w:tc>
          <w:tcPr>
            <w:tcW w:w="200" w:type="dxa"/>
            <w:vAlign w:val="bottom"/>
            <w:tcBorders>
              <w:bottom w:val="single" w:sz="8" w:color="CCFFCC"/>
            </w:tcBorders>
            <w:shd w:val="clear" w:color="auto" w:fill="CCFFCC"/>
          </w:tcPr>
          <w:p>
            <w:pPr>
              <w:spacing w:after="0"/>
              <w:rPr>
                <w:sz w:val="11"/>
                <w:szCs w:val="11"/>
                <w:color w:val="auto"/>
              </w:rPr>
            </w:pPr>
          </w:p>
        </w:tc>
        <w:tc>
          <w:tcPr>
            <w:tcW w:w="1220" w:type="dxa"/>
            <w:vAlign w:val="bottom"/>
            <w:tcBorders>
              <w:top w:val="single" w:sz="8" w:color="auto"/>
              <w:bottom w:val="single" w:sz="8" w:color="CCFFCC"/>
            </w:tcBorders>
            <w:shd w:val="clear" w:color="auto" w:fill="CCFFCC"/>
          </w:tcPr>
          <w:p>
            <w:pPr>
              <w:spacing w:after="0"/>
              <w:rPr>
                <w:sz w:val="11"/>
                <w:szCs w:val="11"/>
                <w:color w:val="auto"/>
              </w:rPr>
            </w:pPr>
          </w:p>
        </w:tc>
        <w:tc>
          <w:tcPr>
            <w:tcW w:w="160" w:type="dxa"/>
            <w:vAlign w:val="bottom"/>
            <w:tcBorders>
              <w:top w:val="single" w:sz="8" w:color="auto"/>
              <w:bottom w:val="single" w:sz="8" w:color="CCFFCC"/>
            </w:tcBorders>
            <w:shd w:val="clear" w:color="auto" w:fill="CCFFCC"/>
          </w:tcPr>
          <w:p>
            <w:pPr>
              <w:spacing w:after="0"/>
              <w:rPr>
                <w:sz w:val="11"/>
                <w:szCs w:val="11"/>
                <w:color w:val="auto"/>
              </w:rPr>
            </w:pPr>
          </w:p>
        </w:tc>
        <w:tc>
          <w:tcPr>
            <w:tcW w:w="200" w:type="dxa"/>
            <w:vAlign w:val="bottom"/>
            <w:tcBorders>
              <w:bottom w:val="single" w:sz="8" w:color="CCFFCC"/>
            </w:tcBorders>
            <w:shd w:val="clear" w:color="auto" w:fill="CCFFCC"/>
          </w:tcPr>
          <w:p>
            <w:pPr>
              <w:spacing w:after="0"/>
              <w:rPr>
                <w:sz w:val="11"/>
                <w:szCs w:val="11"/>
                <w:color w:val="auto"/>
              </w:rPr>
            </w:pPr>
          </w:p>
        </w:tc>
        <w:tc>
          <w:tcPr>
            <w:tcW w:w="1380" w:type="dxa"/>
            <w:vAlign w:val="bottom"/>
            <w:tcBorders>
              <w:top w:val="single" w:sz="8" w:color="auto"/>
              <w:bottom w:val="single" w:sz="8" w:color="CCFFCC"/>
            </w:tcBorders>
            <w:shd w:val="clear" w:color="auto" w:fill="CCFFCC"/>
          </w:tcPr>
          <w:p>
            <w:pPr>
              <w:spacing w:after="0"/>
              <w:rPr>
                <w:sz w:val="11"/>
                <w:szCs w:val="11"/>
                <w:color w:val="auto"/>
              </w:rPr>
            </w:pPr>
          </w:p>
        </w:tc>
        <w:tc>
          <w:tcPr>
            <w:tcW w:w="100" w:type="dxa"/>
            <w:vAlign w:val="bottom"/>
            <w:tcBorders>
              <w:bottom w:val="single" w:sz="8" w:color="CCFFCC"/>
            </w:tcBorders>
            <w:shd w:val="clear" w:color="auto" w:fill="CCFFCC"/>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1940" w:type="dxa"/>
            <w:vAlign w:val="bottom"/>
            <w:gridSpan w:val="3"/>
          </w:tcPr>
          <w:p>
            <w:pPr>
              <w:spacing w:after="0" w:line="142" w:lineRule="exact"/>
              <w:rPr>
                <w:sz w:val="20"/>
                <w:szCs w:val="20"/>
                <w:color w:val="auto"/>
              </w:rPr>
            </w:pPr>
            <w:r>
              <w:rPr>
                <w:rFonts w:ascii="Arial" w:cs="Arial" w:eastAsia="Arial" w:hAnsi="Arial"/>
                <w:sz w:val="14"/>
                <w:szCs w:val="14"/>
                <w:color w:val="auto"/>
              </w:rPr>
              <w:t>Manufacturing</w:t>
            </w:r>
          </w:p>
        </w:tc>
        <w:tc>
          <w:tcPr>
            <w:tcW w:w="1260" w:type="dxa"/>
            <w:vAlign w:val="bottom"/>
          </w:tcPr>
          <w:p>
            <w:pPr>
              <w:ind w:left="300"/>
              <w:spacing w:after="0" w:line="142" w:lineRule="exact"/>
              <w:rPr>
                <w:sz w:val="20"/>
                <w:szCs w:val="20"/>
                <w:color w:val="auto"/>
              </w:rPr>
            </w:pPr>
            <w:r>
              <w:rPr>
                <w:rFonts w:ascii="Arial" w:cs="Arial" w:eastAsia="Arial" w:hAnsi="Arial"/>
                <w:sz w:val="14"/>
                <w:szCs w:val="14"/>
                <w:color w:val="auto"/>
              </w:rPr>
              <w:t>US$ 1,430,559</w:t>
            </w:r>
          </w:p>
        </w:tc>
        <w:tc>
          <w:tcPr>
            <w:tcW w:w="1740" w:type="dxa"/>
            <w:vAlign w:val="bottom"/>
            <w:gridSpan w:val="3"/>
          </w:tcPr>
          <w:p>
            <w:pPr>
              <w:jc w:val="center"/>
              <w:ind w:left="308"/>
              <w:spacing w:after="0" w:line="142" w:lineRule="exact"/>
              <w:rPr>
                <w:sz w:val="20"/>
                <w:szCs w:val="20"/>
                <w:color w:val="auto"/>
              </w:rPr>
            </w:pPr>
            <w:r>
              <w:rPr>
                <w:rFonts w:ascii="Arial" w:cs="Arial" w:eastAsia="Arial" w:hAnsi="Arial"/>
                <w:sz w:val="14"/>
                <w:szCs w:val="14"/>
                <w:color w:val="auto"/>
                <w:w w:val="92"/>
              </w:rPr>
              <w:t>28.77%</w:t>
            </w:r>
          </w:p>
        </w:tc>
        <w:tc>
          <w:tcPr>
            <w:tcW w:w="240" w:type="dxa"/>
            <w:vAlign w:val="bottom"/>
          </w:tcPr>
          <w:p>
            <w:pPr>
              <w:spacing w:after="0"/>
              <w:rPr>
                <w:sz w:val="12"/>
                <w:szCs w:val="12"/>
                <w:color w:val="auto"/>
              </w:rPr>
            </w:pPr>
          </w:p>
        </w:tc>
        <w:tc>
          <w:tcPr>
            <w:tcW w:w="1980" w:type="dxa"/>
            <w:vAlign w:val="bottom"/>
            <w:gridSpan w:val="3"/>
          </w:tcPr>
          <w:p>
            <w:pPr>
              <w:jc w:val="center"/>
              <w:ind w:right="600"/>
              <w:spacing w:after="0" w:line="142" w:lineRule="exact"/>
              <w:rPr>
                <w:sz w:val="20"/>
                <w:szCs w:val="20"/>
                <w:color w:val="auto"/>
              </w:rPr>
            </w:pPr>
            <w:r>
              <w:rPr>
                <w:rFonts w:ascii="Arial" w:cs="Arial" w:eastAsia="Arial" w:hAnsi="Arial"/>
                <w:sz w:val="14"/>
                <w:szCs w:val="14"/>
                <w:color w:val="auto"/>
                <w:w w:val="92"/>
              </w:rPr>
              <w:t>US$ 1,624,765</w:t>
            </w:r>
          </w:p>
        </w:tc>
        <w:tc>
          <w:tcPr>
            <w:tcW w:w="980" w:type="dxa"/>
            <w:vAlign w:val="bottom"/>
          </w:tcPr>
          <w:p>
            <w:pPr>
              <w:jc w:val="center"/>
              <w:ind w:right="328"/>
              <w:spacing w:after="0" w:line="142" w:lineRule="exact"/>
              <w:rPr>
                <w:sz w:val="20"/>
                <w:szCs w:val="20"/>
                <w:color w:val="auto"/>
              </w:rPr>
            </w:pPr>
            <w:r>
              <w:rPr>
                <w:rFonts w:ascii="Arial" w:cs="Arial" w:eastAsia="Arial" w:hAnsi="Arial"/>
                <w:sz w:val="14"/>
                <w:szCs w:val="14"/>
                <w:color w:val="auto"/>
                <w:w w:val="96"/>
              </w:rPr>
              <w:t>27.64%</w:t>
            </w:r>
          </w:p>
        </w:tc>
        <w:tc>
          <w:tcPr>
            <w:tcW w:w="200" w:type="dxa"/>
            <w:vAlign w:val="bottom"/>
          </w:tcPr>
          <w:p>
            <w:pPr>
              <w:spacing w:after="0"/>
              <w:rPr>
                <w:sz w:val="12"/>
                <w:szCs w:val="12"/>
                <w:color w:val="auto"/>
              </w:rPr>
            </w:pPr>
          </w:p>
        </w:tc>
        <w:tc>
          <w:tcPr>
            <w:tcW w:w="1220" w:type="dxa"/>
            <w:vAlign w:val="bottom"/>
          </w:tcPr>
          <w:p>
            <w:pPr>
              <w:jc w:val="center"/>
              <w:ind w:left="88"/>
              <w:spacing w:after="0" w:line="142" w:lineRule="exact"/>
              <w:rPr>
                <w:sz w:val="20"/>
                <w:szCs w:val="20"/>
                <w:color w:val="auto"/>
              </w:rPr>
            </w:pPr>
            <w:r>
              <w:rPr>
                <w:rFonts w:ascii="Arial" w:cs="Arial" w:eastAsia="Arial" w:hAnsi="Arial"/>
                <w:sz w:val="14"/>
                <w:szCs w:val="14"/>
                <w:color w:val="auto"/>
                <w:w w:val="92"/>
              </w:rPr>
              <w:t>US$ 2,204,481</w:t>
            </w:r>
          </w:p>
        </w:tc>
        <w:tc>
          <w:tcPr>
            <w:tcW w:w="1740" w:type="dxa"/>
            <w:vAlign w:val="bottom"/>
            <w:gridSpan w:val="3"/>
          </w:tcPr>
          <w:p>
            <w:pPr>
              <w:jc w:val="center"/>
              <w:ind w:left="288"/>
              <w:spacing w:after="0" w:line="142" w:lineRule="exact"/>
              <w:rPr>
                <w:sz w:val="20"/>
                <w:szCs w:val="20"/>
                <w:color w:val="auto"/>
              </w:rPr>
            </w:pPr>
            <w:r>
              <w:rPr>
                <w:rFonts w:ascii="Arial" w:cs="Arial" w:eastAsia="Arial" w:hAnsi="Arial"/>
                <w:sz w:val="14"/>
                <w:szCs w:val="14"/>
                <w:color w:val="auto"/>
                <w:w w:val="96"/>
              </w:rPr>
              <w:t>26.94%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Consumer Loans (1)</w:t>
            </w:r>
          </w:p>
        </w:tc>
        <w:tc>
          <w:tcPr>
            <w:tcW w:w="12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3"/>
              </w:rPr>
              <w:t>1,364,910</w:t>
            </w:r>
          </w:p>
        </w:tc>
        <w:tc>
          <w:tcPr>
            <w:tcW w:w="1740" w:type="dxa"/>
            <w:vAlign w:val="bottom"/>
            <w:gridSpan w:val="3"/>
            <w:shd w:val="clear" w:color="auto" w:fill="CCFFCC"/>
          </w:tcPr>
          <w:p>
            <w:pPr>
              <w:jc w:val="center"/>
              <w:ind w:left="308"/>
              <w:spacing w:after="0" w:line="149" w:lineRule="exact"/>
              <w:rPr>
                <w:sz w:val="20"/>
                <w:szCs w:val="20"/>
                <w:color w:val="auto"/>
              </w:rPr>
            </w:pPr>
            <w:r>
              <w:rPr>
                <w:rFonts w:ascii="Arial" w:cs="Arial" w:eastAsia="Arial" w:hAnsi="Arial"/>
                <w:sz w:val="14"/>
                <w:szCs w:val="14"/>
                <w:color w:val="auto"/>
                <w:w w:val="91"/>
              </w:rPr>
              <w:t>27.45</w:t>
            </w:r>
          </w:p>
        </w:tc>
        <w:tc>
          <w:tcPr>
            <w:tcW w:w="162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3"/>
              </w:rPr>
              <w:t>1,729,682</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980" w:type="dxa"/>
            <w:vAlign w:val="bottom"/>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96"/>
              </w:rPr>
              <w:t>29.43</w:t>
            </w:r>
          </w:p>
        </w:tc>
        <w:tc>
          <w:tcPr>
            <w:tcW w:w="1420" w:type="dxa"/>
            <w:vAlign w:val="bottom"/>
            <w:gridSpan w:val="2"/>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3"/>
              </w:rPr>
              <w:t>2,480,916</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6"/>
              </w:rPr>
              <w:t>30.31</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Commerce</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625,908</w:t>
            </w:r>
          </w:p>
        </w:tc>
        <w:tc>
          <w:tcPr>
            <w:tcW w:w="1740" w:type="dxa"/>
            <w:vAlign w:val="bottom"/>
            <w:gridSpan w:val="3"/>
          </w:tcPr>
          <w:p>
            <w:pPr>
              <w:jc w:val="center"/>
              <w:ind w:left="308"/>
              <w:spacing w:after="0" w:line="149" w:lineRule="exact"/>
              <w:rPr>
                <w:sz w:val="20"/>
                <w:szCs w:val="20"/>
                <w:color w:val="auto"/>
              </w:rPr>
            </w:pPr>
            <w:r>
              <w:rPr>
                <w:rFonts w:ascii="Arial" w:cs="Arial" w:eastAsia="Arial" w:hAnsi="Arial"/>
                <w:sz w:val="14"/>
                <w:szCs w:val="14"/>
                <w:color w:val="auto"/>
                <w:w w:val="91"/>
              </w:rPr>
              <w:t>12.59</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0"/>
              </w:rPr>
              <w:t>686,291</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85"/>
              </w:rPr>
              <w:t>11.68</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884,253</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6"/>
              </w:rPr>
              <w:t>10.80</w:t>
            </w: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940" w:type="dxa"/>
            <w:vAlign w:val="bottom"/>
            <w:gridSpan w:val="3"/>
            <w:shd w:val="clear" w:color="auto" w:fill="CCFFCC"/>
          </w:tcPr>
          <w:p>
            <w:pPr>
              <w:spacing w:after="0" w:line="130" w:lineRule="exact"/>
              <w:rPr>
                <w:sz w:val="20"/>
                <w:szCs w:val="20"/>
                <w:color w:val="auto"/>
              </w:rPr>
            </w:pPr>
            <w:r>
              <w:rPr>
                <w:rFonts w:ascii="Arial" w:cs="Arial" w:eastAsia="Arial" w:hAnsi="Arial"/>
                <w:sz w:val="14"/>
                <w:szCs w:val="14"/>
                <w:color w:val="auto"/>
              </w:rPr>
              <w:t>Realty Business and Leasing</w:t>
            </w:r>
          </w:p>
        </w:tc>
        <w:tc>
          <w:tcPr>
            <w:tcW w:w="12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2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94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Services</w:t>
            </w:r>
          </w:p>
        </w:tc>
        <w:tc>
          <w:tcPr>
            <w:tcW w:w="1260" w:type="dxa"/>
            <w:vAlign w:val="bottom"/>
            <w:shd w:val="clear" w:color="auto" w:fill="CCFFCC"/>
          </w:tcPr>
          <w:p>
            <w:pPr>
              <w:jc w:val="center"/>
              <w:ind w:left="48"/>
              <w:spacing w:after="0"/>
              <w:rPr>
                <w:sz w:val="20"/>
                <w:szCs w:val="20"/>
                <w:color w:val="auto"/>
              </w:rPr>
            </w:pPr>
            <w:r>
              <w:rPr>
                <w:rFonts w:ascii="Arial" w:cs="Arial" w:eastAsia="Arial" w:hAnsi="Arial"/>
                <w:sz w:val="14"/>
                <w:szCs w:val="14"/>
                <w:color w:val="auto"/>
                <w:w w:val="90"/>
              </w:rPr>
              <w:t>216,095</w:t>
            </w:r>
          </w:p>
        </w:tc>
        <w:tc>
          <w:tcPr>
            <w:tcW w:w="1740" w:type="dxa"/>
            <w:vAlign w:val="bottom"/>
            <w:gridSpan w:val="3"/>
            <w:shd w:val="clear" w:color="auto" w:fill="CCFFCC"/>
          </w:tcPr>
          <w:p>
            <w:pPr>
              <w:jc w:val="center"/>
              <w:ind w:left="288"/>
              <w:spacing w:after="0"/>
              <w:rPr>
                <w:sz w:val="20"/>
                <w:szCs w:val="20"/>
                <w:color w:val="auto"/>
              </w:rPr>
            </w:pPr>
            <w:r>
              <w:rPr>
                <w:rFonts w:ascii="Arial" w:cs="Arial" w:eastAsia="Arial" w:hAnsi="Arial"/>
                <w:sz w:val="14"/>
                <w:szCs w:val="14"/>
                <w:color w:val="auto"/>
                <w:w w:val="95"/>
              </w:rPr>
              <w:t>4.35</w:t>
            </w:r>
          </w:p>
        </w:tc>
        <w:tc>
          <w:tcPr>
            <w:tcW w:w="1620" w:type="dxa"/>
            <w:vAlign w:val="bottom"/>
            <w:gridSpan w:val="2"/>
            <w:shd w:val="clear" w:color="auto" w:fill="CCFFCC"/>
          </w:tcPr>
          <w:p>
            <w:pPr>
              <w:jc w:val="center"/>
              <w:ind w:left="168"/>
              <w:spacing w:after="0"/>
              <w:rPr>
                <w:sz w:val="20"/>
                <w:szCs w:val="20"/>
                <w:color w:val="auto"/>
              </w:rPr>
            </w:pPr>
            <w:r>
              <w:rPr>
                <w:rFonts w:ascii="Arial" w:cs="Arial" w:eastAsia="Arial" w:hAnsi="Arial"/>
                <w:sz w:val="14"/>
                <w:szCs w:val="14"/>
                <w:color w:val="auto"/>
                <w:w w:val="90"/>
              </w:rPr>
              <w:t>236,445</w:t>
            </w:r>
          </w:p>
        </w:tc>
        <w:tc>
          <w:tcPr>
            <w:tcW w:w="20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980" w:type="dxa"/>
            <w:vAlign w:val="bottom"/>
            <w:shd w:val="clear" w:color="auto" w:fill="CCFFCC"/>
          </w:tcPr>
          <w:p>
            <w:pPr>
              <w:jc w:val="center"/>
              <w:ind w:right="328"/>
              <w:spacing w:after="0"/>
              <w:rPr>
                <w:sz w:val="20"/>
                <w:szCs w:val="20"/>
                <w:color w:val="auto"/>
              </w:rPr>
            </w:pPr>
            <w:r>
              <w:rPr>
                <w:rFonts w:ascii="Arial" w:cs="Arial" w:eastAsia="Arial" w:hAnsi="Arial"/>
                <w:sz w:val="14"/>
                <w:szCs w:val="14"/>
                <w:color w:val="auto"/>
                <w:w w:val="95"/>
              </w:rPr>
              <w:t>4.02</w:t>
            </w:r>
          </w:p>
        </w:tc>
        <w:tc>
          <w:tcPr>
            <w:tcW w:w="1420" w:type="dxa"/>
            <w:vAlign w:val="bottom"/>
            <w:gridSpan w:val="2"/>
            <w:shd w:val="clear" w:color="auto" w:fill="CCFFCC"/>
          </w:tcPr>
          <w:p>
            <w:pPr>
              <w:jc w:val="center"/>
              <w:ind w:left="288"/>
              <w:spacing w:after="0"/>
              <w:rPr>
                <w:sz w:val="20"/>
                <w:szCs w:val="20"/>
                <w:color w:val="auto"/>
              </w:rPr>
            </w:pPr>
            <w:r>
              <w:rPr>
                <w:rFonts w:ascii="Arial" w:cs="Arial" w:eastAsia="Arial" w:hAnsi="Arial"/>
                <w:sz w:val="14"/>
                <w:szCs w:val="14"/>
                <w:color w:val="auto"/>
                <w:w w:val="90"/>
              </w:rPr>
              <w:t>387,180</w:t>
            </w:r>
          </w:p>
        </w:tc>
        <w:tc>
          <w:tcPr>
            <w:tcW w:w="1740" w:type="dxa"/>
            <w:vAlign w:val="bottom"/>
            <w:gridSpan w:val="3"/>
            <w:shd w:val="clear" w:color="auto" w:fill="CCFFCC"/>
          </w:tcPr>
          <w:p>
            <w:pPr>
              <w:jc w:val="center"/>
              <w:ind w:left="288"/>
              <w:spacing w:after="0"/>
              <w:rPr>
                <w:sz w:val="20"/>
                <w:szCs w:val="20"/>
                <w:color w:val="auto"/>
              </w:rPr>
            </w:pPr>
            <w:r>
              <w:rPr>
                <w:rFonts w:ascii="Arial" w:cs="Arial" w:eastAsia="Arial" w:hAnsi="Arial"/>
                <w:sz w:val="14"/>
                <w:szCs w:val="14"/>
                <w:color w:val="auto"/>
                <w:w w:val="95"/>
              </w:rPr>
              <w:t>4.73</w:t>
            </w:r>
          </w:p>
        </w:tc>
        <w:tc>
          <w:tcPr>
            <w:tcW w:w="100" w:type="dxa"/>
            <w:vAlign w:val="bottom"/>
            <w:shd w:val="clear" w:color="auto" w:fill="CCFFCC"/>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Mining</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223,156</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4.49</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0"/>
              </w:rPr>
              <w:t>303,238</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5"/>
              </w:rPr>
              <w:t>5.16</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463,577</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5.66</w:t>
            </w:r>
          </w:p>
        </w:tc>
        <w:tc>
          <w:tcPr>
            <w:tcW w:w="100" w:type="dxa"/>
            <w:vAlign w:val="bottom"/>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940" w:type="dxa"/>
            <w:vAlign w:val="bottom"/>
            <w:gridSpan w:val="3"/>
            <w:shd w:val="clear" w:color="auto" w:fill="CCFFCC"/>
          </w:tcPr>
          <w:p>
            <w:pPr>
              <w:spacing w:after="0" w:line="130" w:lineRule="exact"/>
              <w:rPr>
                <w:sz w:val="20"/>
                <w:szCs w:val="20"/>
                <w:color w:val="auto"/>
              </w:rPr>
            </w:pPr>
            <w:r>
              <w:rPr>
                <w:rFonts w:ascii="Arial" w:cs="Arial" w:eastAsia="Arial" w:hAnsi="Arial"/>
                <w:sz w:val="14"/>
                <w:szCs w:val="14"/>
                <w:color w:val="auto"/>
              </w:rPr>
              <w:t>Communication, Storage and</w:t>
            </w:r>
          </w:p>
        </w:tc>
        <w:tc>
          <w:tcPr>
            <w:tcW w:w="12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40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2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38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1940" w:type="dxa"/>
            <w:vAlign w:val="bottom"/>
            <w:gridSpan w:val="3"/>
            <w:shd w:val="clear" w:color="auto" w:fill="CCFFCC"/>
          </w:tcPr>
          <w:p>
            <w:pPr>
              <w:spacing w:after="0"/>
              <w:rPr>
                <w:sz w:val="20"/>
                <w:szCs w:val="20"/>
                <w:color w:val="auto"/>
              </w:rPr>
            </w:pPr>
            <w:r>
              <w:rPr>
                <w:rFonts w:ascii="Arial" w:cs="Arial" w:eastAsia="Arial" w:hAnsi="Arial"/>
                <w:sz w:val="14"/>
                <w:szCs w:val="14"/>
                <w:color w:val="auto"/>
              </w:rPr>
              <w:t>Transportation</w:t>
            </w:r>
          </w:p>
        </w:tc>
        <w:tc>
          <w:tcPr>
            <w:tcW w:w="1260" w:type="dxa"/>
            <w:vAlign w:val="bottom"/>
            <w:shd w:val="clear" w:color="auto" w:fill="CCFFCC"/>
          </w:tcPr>
          <w:p>
            <w:pPr>
              <w:jc w:val="center"/>
              <w:ind w:left="48"/>
              <w:spacing w:after="0"/>
              <w:rPr>
                <w:sz w:val="20"/>
                <w:szCs w:val="20"/>
                <w:color w:val="auto"/>
              </w:rPr>
            </w:pPr>
            <w:r>
              <w:rPr>
                <w:rFonts w:ascii="Arial" w:cs="Arial" w:eastAsia="Arial" w:hAnsi="Arial"/>
                <w:sz w:val="14"/>
                <w:szCs w:val="14"/>
                <w:color w:val="auto"/>
                <w:w w:val="90"/>
              </w:rPr>
              <w:t>210,002</w:t>
            </w:r>
          </w:p>
        </w:tc>
        <w:tc>
          <w:tcPr>
            <w:tcW w:w="1740" w:type="dxa"/>
            <w:vAlign w:val="bottom"/>
            <w:gridSpan w:val="3"/>
            <w:shd w:val="clear" w:color="auto" w:fill="CCFFCC"/>
          </w:tcPr>
          <w:p>
            <w:pPr>
              <w:jc w:val="center"/>
              <w:ind w:left="288"/>
              <w:spacing w:after="0"/>
              <w:rPr>
                <w:sz w:val="20"/>
                <w:szCs w:val="20"/>
                <w:color w:val="auto"/>
              </w:rPr>
            </w:pPr>
            <w:r>
              <w:rPr>
                <w:rFonts w:ascii="Arial" w:cs="Arial" w:eastAsia="Arial" w:hAnsi="Arial"/>
                <w:sz w:val="14"/>
                <w:szCs w:val="14"/>
                <w:color w:val="auto"/>
                <w:w w:val="95"/>
              </w:rPr>
              <w:t>4.22</w:t>
            </w:r>
          </w:p>
        </w:tc>
        <w:tc>
          <w:tcPr>
            <w:tcW w:w="1620" w:type="dxa"/>
            <w:vAlign w:val="bottom"/>
            <w:gridSpan w:val="2"/>
            <w:shd w:val="clear" w:color="auto" w:fill="CCFFCC"/>
          </w:tcPr>
          <w:p>
            <w:pPr>
              <w:jc w:val="center"/>
              <w:ind w:left="168"/>
              <w:spacing w:after="0"/>
              <w:rPr>
                <w:sz w:val="20"/>
                <w:szCs w:val="20"/>
                <w:color w:val="auto"/>
              </w:rPr>
            </w:pPr>
            <w:r>
              <w:rPr>
                <w:rFonts w:ascii="Arial" w:cs="Arial" w:eastAsia="Arial" w:hAnsi="Arial"/>
                <w:sz w:val="14"/>
                <w:szCs w:val="14"/>
                <w:color w:val="auto"/>
                <w:w w:val="90"/>
              </w:rPr>
              <w:t>255,730</w:t>
            </w:r>
          </w:p>
        </w:tc>
        <w:tc>
          <w:tcPr>
            <w:tcW w:w="200" w:type="dxa"/>
            <w:vAlign w:val="bottom"/>
            <w:shd w:val="clear" w:color="auto" w:fill="CCFFCC"/>
          </w:tcPr>
          <w:p>
            <w:pPr>
              <w:spacing w:after="0"/>
              <w:rPr>
                <w:sz w:val="14"/>
                <w:szCs w:val="14"/>
                <w:color w:val="auto"/>
              </w:rPr>
            </w:pPr>
          </w:p>
        </w:tc>
        <w:tc>
          <w:tcPr>
            <w:tcW w:w="400" w:type="dxa"/>
            <w:vAlign w:val="bottom"/>
            <w:shd w:val="clear" w:color="auto" w:fill="CCFFCC"/>
          </w:tcPr>
          <w:p>
            <w:pPr>
              <w:spacing w:after="0"/>
              <w:rPr>
                <w:sz w:val="14"/>
                <w:szCs w:val="14"/>
                <w:color w:val="auto"/>
              </w:rPr>
            </w:pPr>
          </w:p>
        </w:tc>
        <w:tc>
          <w:tcPr>
            <w:tcW w:w="980" w:type="dxa"/>
            <w:vAlign w:val="bottom"/>
            <w:shd w:val="clear" w:color="auto" w:fill="CCFFCC"/>
          </w:tcPr>
          <w:p>
            <w:pPr>
              <w:jc w:val="center"/>
              <w:ind w:right="328"/>
              <w:spacing w:after="0"/>
              <w:rPr>
                <w:sz w:val="20"/>
                <w:szCs w:val="20"/>
                <w:color w:val="auto"/>
              </w:rPr>
            </w:pPr>
            <w:r>
              <w:rPr>
                <w:rFonts w:ascii="Arial" w:cs="Arial" w:eastAsia="Arial" w:hAnsi="Arial"/>
                <w:sz w:val="14"/>
                <w:szCs w:val="14"/>
                <w:color w:val="auto"/>
                <w:w w:val="95"/>
              </w:rPr>
              <w:t>4.35</w:t>
            </w:r>
          </w:p>
        </w:tc>
        <w:tc>
          <w:tcPr>
            <w:tcW w:w="1420" w:type="dxa"/>
            <w:vAlign w:val="bottom"/>
            <w:gridSpan w:val="2"/>
            <w:shd w:val="clear" w:color="auto" w:fill="CCFFCC"/>
          </w:tcPr>
          <w:p>
            <w:pPr>
              <w:jc w:val="center"/>
              <w:ind w:left="288"/>
              <w:spacing w:after="0"/>
              <w:rPr>
                <w:sz w:val="20"/>
                <w:szCs w:val="20"/>
                <w:color w:val="auto"/>
              </w:rPr>
            </w:pPr>
            <w:r>
              <w:rPr>
                <w:rFonts w:ascii="Arial" w:cs="Arial" w:eastAsia="Arial" w:hAnsi="Arial"/>
                <w:sz w:val="14"/>
                <w:szCs w:val="14"/>
                <w:color w:val="auto"/>
                <w:w w:val="90"/>
              </w:rPr>
              <w:t>394,986</w:t>
            </w:r>
          </w:p>
        </w:tc>
        <w:tc>
          <w:tcPr>
            <w:tcW w:w="1740" w:type="dxa"/>
            <w:vAlign w:val="bottom"/>
            <w:gridSpan w:val="3"/>
            <w:shd w:val="clear" w:color="auto" w:fill="CCFFCC"/>
          </w:tcPr>
          <w:p>
            <w:pPr>
              <w:jc w:val="center"/>
              <w:ind w:left="288"/>
              <w:spacing w:after="0"/>
              <w:rPr>
                <w:sz w:val="20"/>
                <w:szCs w:val="20"/>
                <w:color w:val="auto"/>
              </w:rPr>
            </w:pPr>
            <w:r>
              <w:rPr>
                <w:rFonts w:ascii="Arial" w:cs="Arial" w:eastAsia="Arial" w:hAnsi="Arial"/>
                <w:sz w:val="14"/>
                <w:szCs w:val="14"/>
                <w:color w:val="auto"/>
                <w:w w:val="95"/>
              </w:rPr>
              <w:t>4.83</w:t>
            </w:r>
          </w:p>
        </w:tc>
        <w:tc>
          <w:tcPr>
            <w:tcW w:w="100" w:type="dxa"/>
            <w:vAlign w:val="bottom"/>
            <w:shd w:val="clear" w:color="auto" w:fill="CCFFCC"/>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Electricity, Gas and Water</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192,096</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3.86</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0"/>
              </w:rPr>
              <w:t>256,541</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5"/>
              </w:rPr>
              <w:t>4.36</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341,718</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4.18</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Agriculture</w:t>
            </w:r>
          </w:p>
        </w:tc>
        <w:tc>
          <w:tcPr>
            <w:tcW w:w="12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0"/>
              </w:rPr>
              <w:t>153,410</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3.08</w:t>
            </w:r>
          </w:p>
        </w:tc>
        <w:tc>
          <w:tcPr>
            <w:tcW w:w="162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0"/>
              </w:rPr>
              <w:t>150,020</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980" w:type="dxa"/>
            <w:vAlign w:val="bottom"/>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95"/>
              </w:rPr>
              <w:t>2.55</w:t>
            </w:r>
          </w:p>
        </w:tc>
        <w:tc>
          <w:tcPr>
            <w:tcW w:w="1420" w:type="dxa"/>
            <w:vAlign w:val="bottom"/>
            <w:gridSpan w:val="2"/>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0"/>
              </w:rPr>
              <w:t>179,509</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2.19</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Fishing</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117,104</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2.35</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0"/>
              </w:rPr>
              <w:t>152,538</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5"/>
              </w:rPr>
              <w:t>2.60</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134,235</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1.64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Financial Services</w:t>
            </w:r>
          </w:p>
        </w:tc>
        <w:tc>
          <w:tcPr>
            <w:tcW w:w="12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0"/>
              </w:rPr>
              <w:t>105,484</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2.12</w:t>
            </w:r>
          </w:p>
        </w:tc>
        <w:tc>
          <w:tcPr>
            <w:tcW w:w="162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0"/>
              </w:rPr>
              <w:t>163,946</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980" w:type="dxa"/>
            <w:vAlign w:val="bottom"/>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95"/>
              </w:rPr>
              <w:t>2.79</w:t>
            </w:r>
          </w:p>
        </w:tc>
        <w:tc>
          <w:tcPr>
            <w:tcW w:w="1420" w:type="dxa"/>
            <w:vAlign w:val="bottom"/>
            <w:gridSpan w:val="2"/>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0"/>
              </w:rPr>
              <w:t>219,850</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2.69</w:t>
            </w:r>
          </w:p>
        </w:tc>
        <w:tc>
          <w:tcPr>
            <w:tcW w:w="100" w:type="dxa"/>
            <w:vAlign w:val="bottom"/>
            <w:shd w:val="clear" w:color="auto" w:fill="CCFFCC"/>
          </w:tcPr>
          <w:p>
            <w:pPr>
              <w:spacing w:after="0"/>
              <w:rPr>
                <w:sz w:val="12"/>
                <w:szCs w:val="12"/>
                <w:color w:val="auto"/>
              </w:rPr>
            </w:pPr>
          </w:p>
        </w:tc>
      </w:tr>
      <w:tr>
        <w:trPr>
          <w:trHeight w:val="130"/>
        </w:trPr>
        <w:tc>
          <w:tcPr>
            <w:tcW w:w="20" w:type="dxa"/>
            <w:vAlign w:val="bottom"/>
          </w:tcPr>
          <w:p>
            <w:pPr>
              <w:spacing w:after="0"/>
              <w:rPr>
                <w:sz w:val="11"/>
                <w:szCs w:val="11"/>
                <w:color w:val="auto"/>
              </w:rPr>
            </w:pPr>
          </w:p>
        </w:tc>
        <w:tc>
          <w:tcPr>
            <w:tcW w:w="1940" w:type="dxa"/>
            <w:vAlign w:val="bottom"/>
            <w:gridSpan w:val="3"/>
          </w:tcPr>
          <w:p>
            <w:pPr>
              <w:spacing w:after="0" w:line="130" w:lineRule="exact"/>
              <w:rPr>
                <w:sz w:val="20"/>
                <w:szCs w:val="20"/>
                <w:color w:val="auto"/>
              </w:rPr>
            </w:pPr>
            <w:r>
              <w:rPr>
                <w:rFonts w:ascii="Arial" w:cs="Arial" w:eastAsia="Arial" w:hAnsi="Arial"/>
                <w:sz w:val="14"/>
                <w:szCs w:val="14"/>
                <w:color w:val="auto"/>
              </w:rPr>
              <w:t>Education, Health and Other</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1960" w:type="dxa"/>
            <w:vAlign w:val="bottom"/>
            <w:gridSpan w:val="4"/>
          </w:tcPr>
          <w:p>
            <w:pPr>
              <w:spacing w:after="0"/>
              <w:rPr>
                <w:sz w:val="20"/>
                <w:szCs w:val="20"/>
                <w:color w:val="auto"/>
              </w:rPr>
            </w:pPr>
            <w:r>
              <w:rPr>
                <w:rFonts w:ascii="Arial" w:cs="Arial" w:eastAsia="Arial" w:hAnsi="Arial"/>
                <w:sz w:val="14"/>
                <w:szCs w:val="14"/>
                <w:color w:val="auto"/>
              </w:rPr>
              <w:t>Services</w:t>
            </w:r>
          </w:p>
        </w:tc>
        <w:tc>
          <w:tcPr>
            <w:tcW w:w="1260" w:type="dxa"/>
            <w:vAlign w:val="bottom"/>
          </w:tcPr>
          <w:p>
            <w:pPr>
              <w:jc w:val="center"/>
              <w:ind w:left="68"/>
              <w:spacing w:after="0"/>
              <w:rPr>
                <w:sz w:val="20"/>
                <w:szCs w:val="20"/>
                <w:color w:val="auto"/>
              </w:rPr>
            </w:pPr>
            <w:r>
              <w:rPr>
                <w:rFonts w:ascii="Arial" w:cs="Arial" w:eastAsia="Arial" w:hAnsi="Arial"/>
                <w:sz w:val="14"/>
                <w:szCs w:val="14"/>
                <w:color w:val="auto"/>
                <w:w w:val="93"/>
              </w:rPr>
              <w:t>69,468</w:t>
            </w:r>
          </w:p>
        </w:tc>
        <w:tc>
          <w:tcPr>
            <w:tcW w:w="1740" w:type="dxa"/>
            <w:vAlign w:val="bottom"/>
            <w:gridSpan w:val="3"/>
          </w:tcPr>
          <w:p>
            <w:pPr>
              <w:jc w:val="center"/>
              <w:ind w:left="288"/>
              <w:spacing w:after="0"/>
              <w:rPr>
                <w:sz w:val="20"/>
                <w:szCs w:val="20"/>
                <w:color w:val="auto"/>
              </w:rPr>
            </w:pPr>
            <w:r>
              <w:rPr>
                <w:rFonts w:ascii="Arial" w:cs="Arial" w:eastAsia="Arial" w:hAnsi="Arial"/>
                <w:sz w:val="14"/>
                <w:szCs w:val="14"/>
                <w:color w:val="auto"/>
                <w:w w:val="95"/>
              </w:rPr>
              <w:t>1.40</w:t>
            </w:r>
          </w:p>
        </w:tc>
        <w:tc>
          <w:tcPr>
            <w:tcW w:w="1620" w:type="dxa"/>
            <w:vAlign w:val="bottom"/>
            <w:gridSpan w:val="2"/>
          </w:tcPr>
          <w:p>
            <w:pPr>
              <w:jc w:val="center"/>
              <w:ind w:left="168"/>
              <w:spacing w:after="0"/>
              <w:rPr>
                <w:sz w:val="20"/>
                <w:szCs w:val="20"/>
                <w:color w:val="auto"/>
              </w:rPr>
            </w:pPr>
            <w:r>
              <w:rPr>
                <w:rFonts w:ascii="Arial" w:cs="Arial" w:eastAsia="Arial" w:hAnsi="Arial"/>
                <w:sz w:val="14"/>
                <w:szCs w:val="14"/>
                <w:color w:val="auto"/>
                <w:w w:val="88"/>
              </w:rPr>
              <w:t>75,376</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center"/>
              <w:ind w:right="328"/>
              <w:spacing w:after="0"/>
              <w:rPr>
                <w:sz w:val="20"/>
                <w:szCs w:val="20"/>
                <w:color w:val="auto"/>
              </w:rPr>
            </w:pPr>
            <w:r>
              <w:rPr>
                <w:rFonts w:ascii="Arial" w:cs="Arial" w:eastAsia="Arial" w:hAnsi="Arial"/>
                <w:sz w:val="14"/>
                <w:szCs w:val="14"/>
                <w:color w:val="auto"/>
                <w:w w:val="95"/>
              </w:rPr>
              <w:t>1.28</w:t>
            </w:r>
          </w:p>
        </w:tc>
        <w:tc>
          <w:tcPr>
            <w:tcW w:w="1420" w:type="dxa"/>
            <w:vAlign w:val="bottom"/>
            <w:gridSpan w:val="2"/>
          </w:tcPr>
          <w:p>
            <w:pPr>
              <w:jc w:val="center"/>
              <w:ind w:left="288"/>
              <w:spacing w:after="0"/>
              <w:rPr>
                <w:sz w:val="20"/>
                <w:szCs w:val="20"/>
                <w:color w:val="auto"/>
              </w:rPr>
            </w:pPr>
            <w:r>
              <w:rPr>
                <w:rFonts w:ascii="Arial" w:cs="Arial" w:eastAsia="Arial" w:hAnsi="Arial"/>
                <w:sz w:val="14"/>
                <w:szCs w:val="14"/>
                <w:color w:val="auto"/>
                <w:w w:val="90"/>
              </w:rPr>
              <w:t>106,423</w:t>
            </w:r>
          </w:p>
        </w:tc>
        <w:tc>
          <w:tcPr>
            <w:tcW w:w="1740" w:type="dxa"/>
            <w:vAlign w:val="bottom"/>
            <w:gridSpan w:val="3"/>
          </w:tcPr>
          <w:p>
            <w:pPr>
              <w:jc w:val="center"/>
              <w:ind w:left="288"/>
              <w:spacing w:after="0"/>
              <w:rPr>
                <w:sz w:val="20"/>
                <w:szCs w:val="20"/>
                <w:color w:val="auto"/>
              </w:rPr>
            </w:pPr>
            <w:r>
              <w:rPr>
                <w:rFonts w:ascii="Arial" w:cs="Arial" w:eastAsia="Arial" w:hAnsi="Arial"/>
                <w:sz w:val="14"/>
                <w:szCs w:val="14"/>
                <w:color w:val="auto"/>
                <w:w w:val="95"/>
              </w:rPr>
              <w:t>1.30</w:t>
            </w: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FFCC"/>
          </w:tcPr>
          <w:p>
            <w:pPr>
              <w:spacing w:after="0" w:line="149" w:lineRule="exact"/>
              <w:rPr>
                <w:sz w:val="20"/>
                <w:szCs w:val="20"/>
                <w:color w:val="auto"/>
              </w:rPr>
            </w:pPr>
            <w:r>
              <w:rPr>
                <w:rFonts w:ascii="Arial" w:cs="Arial" w:eastAsia="Arial" w:hAnsi="Arial"/>
                <w:sz w:val="14"/>
                <w:szCs w:val="14"/>
                <w:color w:val="auto"/>
              </w:rPr>
              <w:t>Construction</w:t>
            </w:r>
          </w:p>
        </w:tc>
        <w:tc>
          <w:tcPr>
            <w:tcW w:w="1260" w:type="dxa"/>
            <w:vAlign w:val="bottom"/>
            <w:shd w:val="clear" w:color="auto" w:fill="CCFFCC"/>
          </w:tcPr>
          <w:p>
            <w:pPr>
              <w:jc w:val="center"/>
              <w:ind w:left="68"/>
              <w:spacing w:after="0" w:line="149" w:lineRule="exact"/>
              <w:rPr>
                <w:sz w:val="20"/>
                <w:szCs w:val="20"/>
                <w:color w:val="auto"/>
              </w:rPr>
            </w:pPr>
            <w:r>
              <w:rPr>
                <w:rFonts w:ascii="Arial" w:cs="Arial" w:eastAsia="Arial" w:hAnsi="Arial"/>
                <w:sz w:val="14"/>
                <w:szCs w:val="14"/>
                <w:color w:val="auto"/>
                <w:w w:val="93"/>
              </w:rPr>
              <w:t>68,217</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1.37</w:t>
            </w:r>
          </w:p>
        </w:tc>
        <w:tc>
          <w:tcPr>
            <w:tcW w:w="1620" w:type="dxa"/>
            <w:vAlign w:val="bottom"/>
            <w:gridSpan w:val="2"/>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88"/>
              </w:rPr>
              <w:t>74,482</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980" w:type="dxa"/>
            <w:vAlign w:val="bottom"/>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95"/>
              </w:rPr>
              <w:t>1.27</w:t>
            </w:r>
          </w:p>
        </w:tc>
        <w:tc>
          <w:tcPr>
            <w:tcW w:w="1420" w:type="dxa"/>
            <w:vAlign w:val="bottom"/>
            <w:gridSpan w:val="2"/>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0"/>
              </w:rPr>
              <w:t>201,298</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5"/>
              </w:rPr>
              <w:t>2.46</w:t>
            </w: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Others (2)</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0"/>
              </w:rPr>
              <w:t>275,061</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5.53</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0"/>
              </w:rPr>
              <w:t>262,223</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5"/>
              </w:rPr>
              <w:t>4.46</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0"/>
              </w:rPr>
              <w:t>352,391</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5"/>
              </w:rPr>
              <w:t>4.31</w:t>
            </w:r>
          </w:p>
        </w:tc>
        <w:tc>
          <w:tcPr>
            <w:tcW w:w="10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940" w:type="dxa"/>
            <w:vAlign w:val="bottom"/>
            <w:tcBorders>
              <w:bottom w:val="single" w:sz="8" w:color="CCFFCC"/>
            </w:tcBorders>
            <w:gridSpan w:val="3"/>
            <w:shd w:val="clear" w:color="auto" w:fill="CCFFCC"/>
          </w:tcPr>
          <w:p>
            <w:pPr>
              <w:ind w:left="160"/>
              <w:spacing w:after="0" w:line="149" w:lineRule="exact"/>
              <w:rPr>
                <w:sz w:val="20"/>
                <w:szCs w:val="20"/>
                <w:color w:val="auto"/>
              </w:rPr>
            </w:pPr>
            <w:r>
              <w:rPr>
                <w:rFonts w:ascii="Arial" w:cs="Arial" w:eastAsia="Arial" w:hAnsi="Arial"/>
                <w:sz w:val="14"/>
                <w:szCs w:val="14"/>
                <w:color w:val="auto"/>
              </w:rPr>
              <w:t>Sub total</w:t>
            </w:r>
          </w:p>
        </w:tc>
        <w:tc>
          <w:tcPr>
            <w:tcW w:w="1260" w:type="dxa"/>
            <w:vAlign w:val="bottom"/>
            <w:tcBorders>
              <w:bottom w:val="single" w:sz="8" w:color="auto"/>
            </w:tcBorders>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3"/>
              </w:rPr>
              <w:t>5,051,470</w:t>
            </w:r>
          </w:p>
        </w:tc>
        <w:tc>
          <w:tcPr>
            <w:tcW w:w="120" w:type="dxa"/>
            <w:vAlign w:val="bottom"/>
            <w:tcBorders>
              <w:bottom w:val="single" w:sz="8" w:color="auto"/>
            </w:tcBorders>
            <w:shd w:val="clear" w:color="auto" w:fill="CCFFCC"/>
          </w:tcPr>
          <w:p>
            <w:pPr>
              <w:spacing w:after="0"/>
              <w:rPr>
                <w:sz w:val="13"/>
                <w:szCs w:val="13"/>
                <w:color w:val="auto"/>
              </w:rPr>
            </w:pPr>
          </w:p>
        </w:tc>
        <w:tc>
          <w:tcPr>
            <w:tcW w:w="240" w:type="dxa"/>
            <w:vAlign w:val="bottom"/>
            <w:tcBorders>
              <w:bottom w:val="single" w:sz="8" w:color="CCFFCC"/>
            </w:tcBorders>
            <w:shd w:val="clear" w:color="auto" w:fill="CCFFCC"/>
          </w:tcPr>
          <w:p>
            <w:pPr>
              <w:spacing w:after="0"/>
              <w:rPr>
                <w:sz w:val="13"/>
                <w:szCs w:val="13"/>
                <w:color w:val="auto"/>
              </w:rPr>
            </w:pPr>
          </w:p>
        </w:tc>
        <w:tc>
          <w:tcPr>
            <w:tcW w:w="1380" w:type="dxa"/>
            <w:vAlign w:val="bottom"/>
            <w:tcBorders>
              <w:bottom w:val="single" w:sz="8" w:color="auto"/>
            </w:tcBorders>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101.58</w:t>
            </w:r>
          </w:p>
        </w:tc>
        <w:tc>
          <w:tcPr>
            <w:tcW w:w="240" w:type="dxa"/>
            <w:vAlign w:val="bottom"/>
            <w:tcBorders>
              <w:bottom w:val="single" w:sz="8" w:color="CCFFCC"/>
            </w:tcBorders>
            <w:shd w:val="clear" w:color="auto" w:fill="CCFFCC"/>
          </w:tcPr>
          <w:p>
            <w:pPr>
              <w:spacing w:after="0"/>
              <w:rPr>
                <w:sz w:val="13"/>
                <w:szCs w:val="13"/>
                <w:color w:val="auto"/>
              </w:rPr>
            </w:pPr>
          </w:p>
        </w:tc>
        <w:tc>
          <w:tcPr>
            <w:tcW w:w="1380" w:type="dxa"/>
            <w:vAlign w:val="bottom"/>
            <w:tcBorders>
              <w:bottom w:val="single" w:sz="8" w:color="auto"/>
            </w:tcBorders>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5,971,277</w:t>
            </w:r>
          </w:p>
        </w:tc>
        <w:tc>
          <w:tcPr>
            <w:tcW w:w="200" w:type="dxa"/>
            <w:vAlign w:val="bottom"/>
            <w:tcBorders>
              <w:bottom w:val="single" w:sz="8" w:color="CCFFCC"/>
            </w:tcBorders>
            <w:shd w:val="clear" w:color="auto" w:fill="CCFFCC"/>
          </w:tcPr>
          <w:p>
            <w:pPr>
              <w:spacing w:after="0"/>
              <w:rPr>
                <w:sz w:val="13"/>
                <w:szCs w:val="13"/>
                <w:color w:val="auto"/>
              </w:rPr>
            </w:pPr>
          </w:p>
        </w:tc>
        <w:tc>
          <w:tcPr>
            <w:tcW w:w="400" w:type="dxa"/>
            <w:vAlign w:val="bottom"/>
            <w:tcBorders>
              <w:bottom w:val="single" w:sz="8" w:color="auto"/>
            </w:tcBorders>
            <w:shd w:val="clear" w:color="auto" w:fill="CCFFCC"/>
          </w:tcPr>
          <w:p>
            <w:pPr>
              <w:spacing w:after="0"/>
              <w:rPr>
                <w:sz w:val="13"/>
                <w:szCs w:val="13"/>
                <w:color w:val="auto"/>
              </w:rPr>
            </w:pPr>
          </w:p>
        </w:tc>
        <w:tc>
          <w:tcPr>
            <w:tcW w:w="980" w:type="dxa"/>
            <w:vAlign w:val="bottom"/>
            <w:tcBorders>
              <w:bottom w:val="single" w:sz="8" w:color="auto"/>
            </w:tcBorders>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88"/>
              </w:rPr>
              <w:t>101.59</w:t>
            </w:r>
          </w:p>
        </w:tc>
        <w:tc>
          <w:tcPr>
            <w:tcW w:w="200" w:type="dxa"/>
            <w:vAlign w:val="bottom"/>
            <w:tcBorders>
              <w:bottom w:val="single" w:sz="8" w:color="CCFFCC"/>
            </w:tcBorders>
            <w:shd w:val="clear" w:color="auto" w:fill="CCFFCC"/>
          </w:tcPr>
          <w:p>
            <w:pPr>
              <w:spacing w:after="0"/>
              <w:rPr>
                <w:sz w:val="13"/>
                <w:szCs w:val="13"/>
                <w:color w:val="auto"/>
              </w:rPr>
            </w:pPr>
          </w:p>
        </w:tc>
        <w:tc>
          <w:tcPr>
            <w:tcW w:w="1220" w:type="dxa"/>
            <w:vAlign w:val="bottom"/>
            <w:tcBorders>
              <w:bottom w:val="single" w:sz="8" w:color="auto"/>
            </w:tcBorders>
            <w:shd w:val="clear" w:color="auto" w:fill="CCFFCC"/>
          </w:tcPr>
          <w:p>
            <w:pPr>
              <w:jc w:val="center"/>
              <w:ind w:left="88"/>
              <w:spacing w:after="0" w:line="149" w:lineRule="exact"/>
              <w:rPr>
                <w:sz w:val="20"/>
                <w:szCs w:val="20"/>
                <w:color w:val="auto"/>
              </w:rPr>
            </w:pPr>
            <w:r>
              <w:rPr>
                <w:rFonts w:ascii="Arial" w:cs="Arial" w:eastAsia="Arial" w:hAnsi="Arial"/>
                <w:sz w:val="14"/>
                <w:szCs w:val="14"/>
                <w:color w:val="auto"/>
                <w:w w:val="93"/>
              </w:rPr>
              <w:t>8,350,817</w:t>
            </w:r>
          </w:p>
        </w:tc>
        <w:tc>
          <w:tcPr>
            <w:tcW w:w="160" w:type="dxa"/>
            <w:vAlign w:val="bottom"/>
            <w:tcBorders>
              <w:bottom w:val="single" w:sz="8" w:color="auto"/>
            </w:tcBorders>
            <w:shd w:val="clear" w:color="auto" w:fill="CCFFCC"/>
          </w:tcPr>
          <w:p>
            <w:pPr>
              <w:spacing w:after="0"/>
              <w:rPr>
                <w:sz w:val="13"/>
                <w:szCs w:val="13"/>
                <w:color w:val="auto"/>
              </w:rPr>
            </w:pPr>
          </w:p>
        </w:tc>
        <w:tc>
          <w:tcPr>
            <w:tcW w:w="200" w:type="dxa"/>
            <w:vAlign w:val="bottom"/>
            <w:tcBorders>
              <w:bottom w:val="single" w:sz="8" w:color="CCFFCC"/>
            </w:tcBorders>
            <w:shd w:val="clear" w:color="auto" w:fill="CCFFCC"/>
          </w:tcPr>
          <w:p>
            <w:pPr>
              <w:spacing w:after="0"/>
              <w:rPr>
                <w:sz w:val="13"/>
                <w:szCs w:val="13"/>
                <w:color w:val="auto"/>
              </w:rPr>
            </w:pPr>
          </w:p>
        </w:tc>
        <w:tc>
          <w:tcPr>
            <w:tcW w:w="1380" w:type="dxa"/>
            <w:vAlign w:val="bottom"/>
            <w:tcBorders>
              <w:bottom w:val="single" w:sz="8" w:color="auto"/>
            </w:tcBorders>
            <w:shd w:val="clear" w:color="auto" w:fill="CCFFCC"/>
          </w:tcPr>
          <w:p>
            <w:pPr>
              <w:jc w:val="center"/>
              <w:spacing w:after="0" w:line="149" w:lineRule="exact"/>
              <w:rPr>
                <w:sz w:val="20"/>
                <w:szCs w:val="20"/>
                <w:color w:val="auto"/>
              </w:rPr>
            </w:pPr>
            <w:r>
              <w:rPr>
                <w:rFonts w:ascii="Arial" w:cs="Arial" w:eastAsia="Arial" w:hAnsi="Arial"/>
                <w:sz w:val="14"/>
                <w:szCs w:val="14"/>
                <w:color w:val="auto"/>
                <w:w w:val="88"/>
              </w:rPr>
              <w:t>102.04</w:t>
            </w:r>
          </w:p>
        </w:tc>
        <w:tc>
          <w:tcPr>
            <w:tcW w:w="100" w:type="dxa"/>
            <w:vAlign w:val="bottom"/>
            <w:tcBorders>
              <w:bottom w:val="single" w:sz="8" w:color="CCFFCC"/>
            </w:tcBorders>
            <w:shd w:val="clear" w:color="auto" w:fill="CCFFCC"/>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tcPr>
          <w:p>
            <w:pPr>
              <w:spacing w:after="0" w:line="149" w:lineRule="exact"/>
              <w:rPr>
                <w:sz w:val="20"/>
                <w:szCs w:val="20"/>
                <w:color w:val="auto"/>
              </w:rPr>
            </w:pPr>
            <w:r>
              <w:rPr>
                <w:rFonts w:ascii="Arial" w:cs="Arial" w:eastAsia="Arial" w:hAnsi="Arial"/>
                <w:sz w:val="14"/>
                <w:szCs w:val="14"/>
                <w:color w:val="auto"/>
              </w:rPr>
              <w:t>Unearned interest</w:t>
            </w:r>
          </w:p>
        </w:tc>
        <w:tc>
          <w:tcPr>
            <w:tcW w:w="1260" w:type="dxa"/>
            <w:vAlign w:val="bottom"/>
          </w:tcPr>
          <w:p>
            <w:pPr>
              <w:jc w:val="center"/>
              <w:ind w:left="48"/>
              <w:spacing w:after="0" w:line="149" w:lineRule="exact"/>
              <w:rPr>
                <w:sz w:val="20"/>
                <w:szCs w:val="20"/>
                <w:color w:val="auto"/>
              </w:rPr>
            </w:pPr>
            <w:r>
              <w:rPr>
                <w:rFonts w:ascii="Arial" w:cs="Arial" w:eastAsia="Arial" w:hAnsi="Arial"/>
                <w:sz w:val="14"/>
                <w:szCs w:val="14"/>
                <w:color w:val="auto"/>
                <w:w w:val="95"/>
              </w:rPr>
              <w:t>(78,495)</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2"/>
              </w:rPr>
              <w:t>(1.58)</w:t>
            </w:r>
          </w:p>
        </w:tc>
        <w:tc>
          <w:tcPr>
            <w:tcW w:w="162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5"/>
              </w:rPr>
              <w:t>(93,916)</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jc w:val="center"/>
              <w:ind w:right="328"/>
              <w:spacing w:after="0" w:line="149" w:lineRule="exact"/>
              <w:rPr>
                <w:sz w:val="20"/>
                <w:szCs w:val="20"/>
                <w:color w:val="auto"/>
              </w:rPr>
            </w:pPr>
            <w:r>
              <w:rPr>
                <w:rFonts w:ascii="Arial" w:cs="Arial" w:eastAsia="Arial" w:hAnsi="Arial"/>
                <w:sz w:val="14"/>
                <w:szCs w:val="14"/>
                <w:color w:val="auto"/>
                <w:w w:val="92"/>
              </w:rPr>
              <w:t>(1.59)</w:t>
            </w:r>
          </w:p>
        </w:tc>
        <w:tc>
          <w:tcPr>
            <w:tcW w:w="1420" w:type="dxa"/>
            <w:vAlign w:val="bottom"/>
            <w:gridSpan w:val="2"/>
          </w:tcPr>
          <w:p>
            <w:pPr>
              <w:jc w:val="center"/>
              <w:ind w:left="288"/>
              <w:spacing w:after="0" w:line="149" w:lineRule="exact"/>
              <w:rPr>
                <w:sz w:val="20"/>
                <w:szCs w:val="20"/>
                <w:color w:val="auto"/>
              </w:rPr>
            </w:pPr>
            <w:r>
              <w:rPr>
                <w:rFonts w:ascii="Arial" w:cs="Arial" w:eastAsia="Arial" w:hAnsi="Arial"/>
                <w:sz w:val="14"/>
                <w:szCs w:val="14"/>
                <w:color w:val="auto"/>
                <w:w w:val="96"/>
              </w:rPr>
              <w:t>(166,972)</w:t>
            </w:r>
          </w:p>
        </w:tc>
        <w:tc>
          <w:tcPr>
            <w:tcW w:w="1740" w:type="dxa"/>
            <w:vAlign w:val="bottom"/>
            <w:gridSpan w:val="3"/>
          </w:tcPr>
          <w:p>
            <w:pPr>
              <w:jc w:val="center"/>
              <w:ind w:left="288"/>
              <w:spacing w:after="0" w:line="149" w:lineRule="exact"/>
              <w:rPr>
                <w:sz w:val="20"/>
                <w:szCs w:val="20"/>
                <w:color w:val="auto"/>
              </w:rPr>
            </w:pPr>
            <w:r>
              <w:rPr>
                <w:rFonts w:ascii="Arial" w:cs="Arial" w:eastAsia="Arial" w:hAnsi="Arial"/>
                <w:sz w:val="14"/>
                <w:szCs w:val="14"/>
                <w:color w:val="auto"/>
                <w:w w:val="92"/>
              </w:rPr>
              <w:t>(2.04)</w:t>
            </w: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40" w:type="dxa"/>
            <w:vAlign w:val="bottom"/>
            <w:gridSpan w:val="3"/>
            <w:shd w:val="clear" w:color="auto" w:fill="CCFFCC"/>
          </w:tcPr>
          <w:p>
            <w:pPr>
              <w:ind w:left="920"/>
              <w:spacing w:after="0" w:line="149" w:lineRule="exact"/>
              <w:rPr>
                <w:sz w:val="20"/>
                <w:szCs w:val="20"/>
                <w:color w:val="auto"/>
              </w:rPr>
            </w:pPr>
            <w:r>
              <w:rPr>
                <w:rFonts w:ascii="Arial" w:cs="Arial" w:eastAsia="Arial" w:hAnsi="Arial"/>
                <w:sz w:val="14"/>
                <w:szCs w:val="14"/>
                <w:color w:val="auto"/>
              </w:rPr>
              <w:t>Total</w:t>
            </w:r>
          </w:p>
        </w:tc>
        <w:tc>
          <w:tcPr>
            <w:tcW w:w="1260" w:type="dxa"/>
            <w:vAlign w:val="bottom"/>
            <w:shd w:val="clear" w:color="auto" w:fill="CCFFCC"/>
          </w:tcPr>
          <w:p>
            <w:pPr>
              <w:jc w:val="center"/>
              <w:ind w:left="48"/>
              <w:spacing w:after="0" w:line="149" w:lineRule="exact"/>
              <w:rPr>
                <w:sz w:val="20"/>
                <w:szCs w:val="20"/>
                <w:color w:val="auto"/>
              </w:rPr>
            </w:pPr>
            <w:r>
              <w:rPr>
                <w:rFonts w:ascii="Arial" w:cs="Arial" w:eastAsia="Arial" w:hAnsi="Arial"/>
                <w:sz w:val="14"/>
                <w:szCs w:val="14"/>
                <w:color w:val="auto"/>
                <w:w w:val="92"/>
              </w:rPr>
              <w:t>US$ 4,972,975</w:t>
            </w:r>
          </w:p>
        </w:tc>
        <w:tc>
          <w:tcPr>
            <w:tcW w:w="1740" w:type="dxa"/>
            <w:vAlign w:val="bottom"/>
            <w:gridSpan w:val="3"/>
            <w:shd w:val="clear" w:color="auto" w:fill="CCFFCC"/>
          </w:tcPr>
          <w:p>
            <w:pPr>
              <w:jc w:val="center"/>
              <w:ind w:left="308"/>
              <w:spacing w:after="0" w:line="149" w:lineRule="exact"/>
              <w:rPr>
                <w:sz w:val="20"/>
                <w:szCs w:val="20"/>
                <w:color w:val="auto"/>
              </w:rPr>
            </w:pPr>
            <w:r>
              <w:rPr>
                <w:rFonts w:ascii="Arial" w:cs="Arial" w:eastAsia="Arial" w:hAnsi="Arial"/>
                <w:sz w:val="14"/>
                <w:szCs w:val="14"/>
                <w:color w:val="auto"/>
                <w:w w:val="94"/>
              </w:rPr>
              <w:t>100.00%</w:t>
            </w:r>
          </w:p>
        </w:tc>
        <w:tc>
          <w:tcPr>
            <w:tcW w:w="240" w:type="dxa"/>
            <w:vAlign w:val="bottom"/>
            <w:shd w:val="clear" w:color="auto" w:fill="CCFFCC"/>
          </w:tcPr>
          <w:p>
            <w:pPr>
              <w:spacing w:after="0"/>
              <w:rPr>
                <w:sz w:val="12"/>
                <w:szCs w:val="12"/>
                <w:color w:val="auto"/>
              </w:rPr>
            </w:pPr>
          </w:p>
        </w:tc>
        <w:tc>
          <w:tcPr>
            <w:tcW w:w="1980" w:type="dxa"/>
            <w:vAlign w:val="bottom"/>
            <w:gridSpan w:val="3"/>
            <w:shd w:val="clear" w:color="auto" w:fill="CCFFCC"/>
          </w:tcPr>
          <w:p>
            <w:pPr>
              <w:jc w:val="center"/>
              <w:ind w:right="600"/>
              <w:spacing w:after="0" w:line="149" w:lineRule="exact"/>
              <w:rPr>
                <w:sz w:val="20"/>
                <w:szCs w:val="20"/>
                <w:color w:val="auto"/>
              </w:rPr>
            </w:pPr>
            <w:r>
              <w:rPr>
                <w:rFonts w:ascii="Arial" w:cs="Arial" w:eastAsia="Arial" w:hAnsi="Arial"/>
                <w:sz w:val="14"/>
                <w:szCs w:val="14"/>
                <w:color w:val="auto"/>
                <w:w w:val="92"/>
              </w:rPr>
              <w:t>US$ 5,877,361</w:t>
            </w:r>
          </w:p>
        </w:tc>
        <w:tc>
          <w:tcPr>
            <w:tcW w:w="980" w:type="dxa"/>
            <w:vAlign w:val="bottom"/>
            <w:shd w:val="clear" w:color="auto" w:fill="CCFFCC"/>
          </w:tcPr>
          <w:p>
            <w:pPr>
              <w:jc w:val="center"/>
              <w:ind w:right="328"/>
              <w:spacing w:after="0" w:line="149" w:lineRule="exact"/>
              <w:rPr>
                <w:sz w:val="20"/>
                <w:szCs w:val="20"/>
                <w:color w:val="auto"/>
              </w:rPr>
            </w:pPr>
            <w:r>
              <w:rPr>
                <w:rFonts w:ascii="Arial" w:cs="Arial" w:eastAsia="Arial" w:hAnsi="Arial"/>
                <w:sz w:val="14"/>
                <w:szCs w:val="14"/>
                <w:color w:val="auto"/>
                <w:w w:val="90"/>
              </w:rPr>
              <w:t>100.00%</w:t>
            </w:r>
          </w:p>
        </w:tc>
        <w:tc>
          <w:tcPr>
            <w:tcW w:w="200" w:type="dxa"/>
            <w:vAlign w:val="bottom"/>
            <w:shd w:val="clear" w:color="auto" w:fill="CCFFCC"/>
          </w:tcPr>
          <w:p>
            <w:pPr>
              <w:spacing w:after="0"/>
              <w:rPr>
                <w:sz w:val="12"/>
                <w:szCs w:val="12"/>
                <w:color w:val="auto"/>
              </w:rPr>
            </w:pPr>
          </w:p>
        </w:tc>
        <w:tc>
          <w:tcPr>
            <w:tcW w:w="1220" w:type="dxa"/>
            <w:vAlign w:val="bottom"/>
            <w:shd w:val="clear" w:color="auto" w:fill="CCFFCC"/>
          </w:tcPr>
          <w:p>
            <w:pPr>
              <w:jc w:val="center"/>
              <w:ind w:left="88"/>
              <w:spacing w:after="0" w:line="149" w:lineRule="exact"/>
              <w:rPr>
                <w:sz w:val="20"/>
                <w:szCs w:val="20"/>
                <w:color w:val="auto"/>
              </w:rPr>
            </w:pPr>
            <w:r>
              <w:rPr>
                <w:rFonts w:ascii="Arial" w:cs="Arial" w:eastAsia="Arial" w:hAnsi="Arial"/>
                <w:sz w:val="14"/>
                <w:szCs w:val="14"/>
                <w:color w:val="auto"/>
                <w:w w:val="92"/>
              </w:rPr>
              <w:t>US$ 8,183,845</w:t>
            </w:r>
          </w:p>
        </w:tc>
        <w:tc>
          <w:tcPr>
            <w:tcW w:w="1740" w:type="dxa"/>
            <w:vAlign w:val="bottom"/>
            <w:gridSpan w:val="3"/>
            <w:shd w:val="clear" w:color="auto" w:fill="CCFFCC"/>
          </w:tcPr>
          <w:p>
            <w:pPr>
              <w:jc w:val="center"/>
              <w:ind w:left="288"/>
              <w:spacing w:after="0" w:line="149" w:lineRule="exact"/>
              <w:rPr>
                <w:sz w:val="20"/>
                <w:szCs w:val="20"/>
                <w:color w:val="auto"/>
              </w:rPr>
            </w:pPr>
            <w:r>
              <w:rPr>
                <w:rFonts w:ascii="Arial" w:cs="Arial" w:eastAsia="Arial" w:hAnsi="Arial"/>
                <w:sz w:val="14"/>
                <w:szCs w:val="14"/>
                <w:color w:val="auto"/>
                <w:w w:val="90"/>
              </w:rPr>
              <w:t>100.00%</w:t>
            </w:r>
          </w:p>
        </w:tc>
        <w:tc>
          <w:tcPr>
            <w:tcW w:w="100" w:type="dxa"/>
            <w:vAlign w:val="bottom"/>
            <w:shd w:val="clear" w:color="auto" w:fill="CCFFCC"/>
          </w:tcPr>
          <w:p>
            <w:pPr>
              <w:spacing w:after="0"/>
              <w:rPr>
                <w:sz w:val="12"/>
                <w:szCs w:val="12"/>
                <w:color w:val="auto"/>
              </w:rPr>
            </w:pPr>
          </w:p>
        </w:tc>
      </w:tr>
      <w:tr>
        <w:trPr>
          <w:trHeight w:val="108"/>
        </w:trPr>
        <w:tc>
          <w:tcPr>
            <w:tcW w:w="20" w:type="dxa"/>
            <w:vAlign w:val="bottom"/>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7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94"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5"/>
          </w:tcPr>
          <w:p>
            <w:pPr>
              <w:jc w:val="center"/>
              <w:ind w:right="660"/>
              <w:spacing w:after="0"/>
              <w:rPr>
                <w:sz w:val="20"/>
                <w:szCs w:val="20"/>
                <w:color w:val="auto"/>
              </w:rPr>
            </w:pPr>
            <w:r>
              <w:rPr>
                <w:rFonts w:ascii="Arial" w:cs="Arial" w:eastAsia="Arial" w:hAnsi="Arial"/>
                <w:sz w:val="18"/>
                <w:szCs w:val="18"/>
                <w:b w:val="1"/>
                <w:bCs w:val="1"/>
                <w:color w:val="auto"/>
                <w:w w:val="90"/>
              </w:rPr>
              <w:t>At 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2008</w:t>
            </w:r>
          </w:p>
        </w:tc>
        <w:tc>
          <w:tcPr>
            <w:tcW w:w="11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2009</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5000" w:type="dxa"/>
            <w:vAlign w:val="bottom"/>
            <w:tcBorders>
              <w:bottom w:val="single" w:sz="8" w:color="auto"/>
            </w:tcBorders>
            <w:gridSpan w:val="8"/>
          </w:tcPr>
          <w:p>
            <w:pPr>
              <w:jc w:val="center"/>
              <w:ind w:left="107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1820" w:type="dxa"/>
            <w:vAlign w:val="bottom"/>
            <w:gridSpan w:val="3"/>
          </w:tcPr>
          <w:p>
            <w:pPr>
              <w:jc w:val="right"/>
              <w:ind w:right="840"/>
              <w:spacing w:after="0"/>
              <w:rPr>
                <w:sz w:val="20"/>
                <w:szCs w:val="20"/>
                <w:color w:val="auto"/>
              </w:rPr>
            </w:pPr>
            <w:r>
              <w:rPr>
                <w:rFonts w:ascii="Arial" w:cs="Arial" w:eastAsia="Arial" w:hAnsi="Arial"/>
                <w:sz w:val="18"/>
                <w:szCs w:val="18"/>
                <w:color w:val="auto"/>
              </w:rPr>
              <w:t>Amount</w:t>
            </w:r>
          </w:p>
        </w:tc>
        <w:tc>
          <w:tcPr>
            <w:tcW w:w="1180" w:type="dxa"/>
            <w:vAlign w:val="bottom"/>
          </w:tcPr>
          <w:p>
            <w:pPr>
              <w:ind w:left="200"/>
              <w:spacing w:after="0"/>
              <w:rPr>
                <w:sz w:val="20"/>
                <w:szCs w:val="20"/>
                <w:color w:val="auto"/>
              </w:rPr>
            </w:pPr>
            <w:r>
              <w:rPr>
                <w:rFonts w:ascii="Arial" w:cs="Arial" w:eastAsia="Arial" w:hAnsi="Arial"/>
                <w:sz w:val="18"/>
                <w:szCs w:val="18"/>
                <w:color w:val="auto"/>
              </w:rPr>
              <w:t>% Total</w:t>
            </w:r>
          </w:p>
        </w:tc>
        <w:tc>
          <w:tcPr>
            <w:tcW w:w="200" w:type="dxa"/>
            <w:vAlign w:val="bottom"/>
          </w:tcPr>
          <w:p>
            <w:pPr>
              <w:spacing w:after="0"/>
              <w:rPr>
                <w:sz w:val="19"/>
                <w:szCs w:val="19"/>
                <w:color w:val="auto"/>
              </w:rPr>
            </w:pPr>
          </w:p>
        </w:tc>
        <w:tc>
          <w:tcPr>
            <w:tcW w:w="1800" w:type="dxa"/>
            <w:vAlign w:val="bottom"/>
            <w:gridSpan w:val="3"/>
          </w:tcPr>
          <w:p>
            <w:pPr>
              <w:jc w:val="right"/>
              <w:ind w:right="820"/>
              <w:spacing w:after="0"/>
              <w:rPr>
                <w:sz w:val="20"/>
                <w:szCs w:val="20"/>
                <w:color w:val="auto"/>
              </w:rPr>
            </w:pPr>
            <w:r>
              <w:rPr>
                <w:rFonts w:ascii="Arial" w:cs="Arial" w:eastAsia="Arial" w:hAnsi="Arial"/>
                <w:sz w:val="18"/>
                <w:szCs w:val="18"/>
                <w:color w:val="auto"/>
              </w:rPr>
              <w:t>Amount</w:t>
            </w:r>
          </w:p>
        </w:tc>
        <w:tc>
          <w:tcPr>
            <w:tcW w:w="1160" w:type="dxa"/>
            <w:vAlign w:val="bottom"/>
          </w:tcPr>
          <w:p>
            <w:pPr>
              <w:ind w:left="200"/>
              <w:spacing w:after="0"/>
              <w:rPr>
                <w:sz w:val="20"/>
                <w:szCs w:val="20"/>
                <w:color w:val="auto"/>
              </w:rPr>
            </w:pPr>
            <w:r>
              <w:rPr>
                <w:rFonts w:ascii="Arial" w:cs="Arial" w:eastAsia="Arial" w:hAnsi="Arial"/>
                <w:sz w:val="18"/>
                <w:szCs w:val="18"/>
                <w:color w:val="auto"/>
              </w:rPr>
              <w:t>% Total</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360" w:type="dxa"/>
            <w:vAlign w:val="bottom"/>
            <w:tcBorders>
              <w:bottom w:val="single" w:sz="8" w:color="auto"/>
            </w:tcBorders>
            <w:gridSpan w:val="2"/>
            <w:shd w:val="clear" w:color="auto" w:fill="CCFFCC"/>
          </w:tcPr>
          <w:p>
            <w:pPr>
              <w:spacing w:after="0" w:line="176" w:lineRule="exact"/>
              <w:rPr>
                <w:sz w:val="20"/>
                <w:szCs w:val="20"/>
                <w:color w:val="auto"/>
              </w:rPr>
            </w:pPr>
            <w:r>
              <w:rPr>
                <w:rFonts w:ascii="Arial" w:cs="Arial" w:eastAsia="Arial" w:hAnsi="Arial"/>
                <w:sz w:val="18"/>
                <w:szCs w:val="18"/>
                <w:color w:val="auto"/>
                <w:w w:val="94"/>
              </w:rPr>
              <w:t>Economic Activity</w:t>
            </w:r>
          </w:p>
        </w:tc>
        <w:tc>
          <w:tcPr>
            <w:tcW w:w="3780" w:type="dxa"/>
            <w:vAlign w:val="bottom"/>
            <w:tcBorders>
              <w:bottom w:val="single" w:sz="8" w:color="CCFFCC"/>
            </w:tcBorders>
            <w:shd w:val="clear" w:color="auto" w:fill="CCFFCC"/>
          </w:tcPr>
          <w:p>
            <w:pPr>
              <w:spacing w:after="0"/>
              <w:rPr>
                <w:sz w:val="17"/>
                <w:szCs w:val="17"/>
                <w:color w:val="auto"/>
              </w:rPr>
            </w:pPr>
          </w:p>
        </w:tc>
        <w:tc>
          <w:tcPr>
            <w:tcW w:w="1380" w:type="dxa"/>
            <w:vAlign w:val="bottom"/>
            <w:tcBorders>
              <w:top w:val="single" w:sz="8" w:color="auto"/>
              <w:bottom w:val="single" w:sz="8" w:color="CCFFCC"/>
            </w:tcBorders>
            <w:shd w:val="clear" w:color="auto" w:fill="CCFFCC"/>
          </w:tcPr>
          <w:p>
            <w:pPr>
              <w:spacing w:after="0"/>
              <w:rPr>
                <w:sz w:val="17"/>
                <w:szCs w:val="17"/>
                <w:color w:val="auto"/>
              </w:rPr>
            </w:pPr>
          </w:p>
        </w:tc>
        <w:tc>
          <w:tcPr>
            <w:tcW w:w="240" w:type="dxa"/>
            <w:vAlign w:val="bottom"/>
            <w:tcBorders>
              <w:bottom w:val="single" w:sz="8" w:color="CCFFCC"/>
            </w:tcBorders>
            <w:shd w:val="clear" w:color="auto" w:fill="CCFFCC"/>
          </w:tcPr>
          <w:p>
            <w:pPr>
              <w:spacing w:after="0"/>
              <w:rPr>
                <w:sz w:val="17"/>
                <w:szCs w:val="17"/>
                <w:color w:val="auto"/>
              </w:rPr>
            </w:pPr>
          </w:p>
        </w:tc>
        <w:tc>
          <w:tcPr>
            <w:tcW w:w="200" w:type="dxa"/>
            <w:vAlign w:val="bottom"/>
            <w:tcBorders>
              <w:top w:val="single" w:sz="8" w:color="auto"/>
              <w:bottom w:val="single" w:sz="8" w:color="CCFFCC"/>
            </w:tcBorders>
            <w:shd w:val="clear" w:color="auto" w:fill="CCFFCC"/>
          </w:tcPr>
          <w:p>
            <w:pPr>
              <w:spacing w:after="0"/>
              <w:rPr>
                <w:sz w:val="17"/>
                <w:szCs w:val="17"/>
                <w:color w:val="auto"/>
              </w:rPr>
            </w:pPr>
          </w:p>
        </w:tc>
        <w:tc>
          <w:tcPr>
            <w:tcW w:w="1180" w:type="dxa"/>
            <w:vAlign w:val="bottom"/>
            <w:tcBorders>
              <w:top w:val="single" w:sz="8" w:color="auto"/>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1380" w:type="dxa"/>
            <w:vAlign w:val="bottom"/>
            <w:tcBorders>
              <w:top w:val="single" w:sz="8" w:color="auto"/>
              <w:bottom w:val="single" w:sz="8" w:color="CCFFCC"/>
            </w:tcBorders>
            <w:shd w:val="clear" w:color="auto" w:fill="CCFFCC"/>
          </w:tcPr>
          <w:p>
            <w:pPr>
              <w:spacing w:after="0"/>
              <w:rPr>
                <w:sz w:val="17"/>
                <w:szCs w:val="17"/>
                <w:color w:val="auto"/>
              </w:rPr>
            </w:pPr>
          </w:p>
        </w:tc>
        <w:tc>
          <w:tcPr>
            <w:tcW w:w="20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top w:val="single" w:sz="8" w:color="auto"/>
              <w:bottom w:val="single" w:sz="8" w:color="CCFFCC"/>
            </w:tcBorders>
            <w:shd w:val="clear" w:color="auto" w:fill="CCFFCC"/>
          </w:tcPr>
          <w:p>
            <w:pPr>
              <w:spacing w:after="0"/>
              <w:rPr>
                <w:sz w:val="17"/>
                <w:szCs w:val="17"/>
                <w:color w:val="auto"/>
              </w:rPr>
            </w:pPr>
          </w:p>
        </w:tc>
        <w:tc>
          <w:tcPr>
            <w:tcW w:w="1160" w:type="dxa"/>
            <w:vAlign w:val="bottom"/>
            <w:tcBorders>
              <w:top w:val="single" w:sz="8" w:color="auto"/>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Manufacturing</w:t>
            </w:r>
          </w:p>
        </w:tc>
        <w:tc>
          <w:tcPr>
            <w:tcW w:w="1820" w:type="dxa"/>
            <w:vAlign w:val="bottom"/>
            <w:gridSpan w:val="3"/>
          </w:tcPr>
          <w:p>
            <w:pPr>
              <w:jc w:val="right"/>
              <w:ind w:right="440"/>
              <w:spacing w:after="0"/>
              <w:rPr>
                <w:sz w:val="20"/>
                <w:szCs w:val="20"/>
                <w:color w:val="auto"/>
              </w:rPr>
            </w:pPr>
            <w:r>
              <w:rPr>
                <w:rFonts w:ascii="Arial" w:cs="Arial" w:eastAsia="Arial" w:hAnsi="Arial"/>
                <w:sz w:val="18"/>
                <w:szCs w:val="18"/>
                <w:color w:val="auto"/>
              </w:rPr>
              <w:t>US$ 2,535,326</w:t>
            </w: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24.25%</w:t>
            </w:r>
          </w:p>
        </w:tc>
        <w:tc>
          <w:tcPr>
            <w:tcW w:w="200" w:type="dxa"/>
            <w:vAlign w:val="bottom"/>
          </w:tcPr>
          <w:p>
            <w:pPr>
              <w:spacing w:after="0"/>
              <w:rPr>
                <w:sz w:val="18"/>
                <w:szCs w:val="18"/>
                <w:color w:val="auto"/>
              </w:rPr>
            </w:pPr>
          </w:p>
        </w:tc>
        <w:tc>
          <w:tcPr>
            <w:tcW w:w="1800" w:type="dxa"/>
            <w:vAlign w:val="bottom"/>
            <w:gridSpan w:val="3"/>
          </w:tcPr>
          <w:p>
            <w:pPr>
              <w:jc w:val="right"/>
              <w:ind w:right="420"/>
              <w:spacing w:after="0"/>
              <w:rPr>
                <w:sz w:val="20"/>
                <w:szCs w:val="20"/>
                <w:color w:val="auto"/>
              </w:rPr>
            </w:pPr>
            <w:r>
              <w:rPr>
                <w:rFonts w:ascii="Arial" w:cs="Arial" w:eastAsia="Arial" w:hAnsi="Arial"/>
                <w:sz w:val="18"/>
                <w:szCs w:val="18"/>
                <w:color w:val="auto"/>
              </w:rPr>
              <w:t>US$ 2,557,847</w:t>
            </w: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8"/>
              </w:rPr>
              <w:t>22.23%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Consumer Loans (1)</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3,146,698</w:t>
            </w:r>
          </w:p>
        </w:tc>
        <w:tc>
          <w:tcPr>
            <w:tcW w:w="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8"/>
              </w:rPr>
              <w:t>30.09</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3,963,449</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3"/>
              </w:rPr>
              <w:t>34.45</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Commerce</w:t>
            </w:r>
          </w:p>
        </w:tc>
        <w:tc>
          <w:tcPr>
            <w:tcW w:w="1380" w:type="dxa"/>
            <w:vAlign w:val="bottom"/>
          </w:tcPr>
          <w:p>
            <w:pPr>
              <w:jc w:val="right"/>
              <w:spacing w:after="0"/>
              <w:rPr>
                <w:sz w:val="20"/>
                <w:szCs w:val="20"/>
                <w:color w:val="auto"/>
              </w:rPr>
            </w:pPr>
            <w:r>
              <w:rPr>
                <w:rFonts w:ascii="Arial" w:cs="Arial" w:eastAsia="Arial" w:hAnsi="Arial"/>
                <w:sz w:val="18"/>
                <w:szCs w:val="18"/>
                <w:color w:val="auto"/>
              </w:rPr>
              <w:t>1,344,921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88"/>
              </w:rPr>
              <w:t>12.86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1,330,023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4"/>
              </w:rPr>
              <w:t>11.56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Realty Business and Leasing Services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488,202</w:t>
            </w: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1"/>
              </w:rPr>
              <w:t>4.67</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489,614</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5"/>
              </w:rPr>
              <w:t>4.26</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Mining</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675,460</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6.46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692,579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5"/>
              </w:rPr>
              <w:t>6.02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Communication, Storage and Transportation</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515,412</w:t>
            </w: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1"/>
              </w:rPr>
              <w:t>4.93</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559,025</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5"/>
              </w:rPr>
              <w:t>4.86</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Electricity, Gas and Water</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546,014</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5.22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782,289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5"/>
              </w:rPr>
              <w:t>6.80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Agriculture</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228,623</w:t>
            </w: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1"/>
              </w:rPr>
              <w:t>2.19</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271,912</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5"/>
              </w:rPr>
              <w:t>2.36</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Fishing</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77,060</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0.74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121,162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5"/>
              </w:rPr>
              <w:t>1.05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Financial Services</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439,234</w:t>
            </w: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1"/>
              </w:rPr>
              <w:t>4.20</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175,071</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5"/>
              </w:rPr>
              <w:t>1.52</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Education, Health and Other Services</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128,527</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1.23</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156,496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5"/>
              </w:rPr>
              <w:t>1.36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Construction</w:t>
            </w:r>
          </w:p>
        </w:tc>
        <w:tc>
          <w:tcPr>
            <w:tcW w:w="16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229,667</w:t>
            </w:r>
          </w:p>
        </w:tc>
        <w:tc>
          <w:tcPr>
            <w:tcW w:w="200" w:type="dxa"/>
            <w:vAlign w:val="bottom"/>
            <w:shd w:val="clear" w:color="auto" w:fill="CCFFCC"/>
          </w:tcPr>
          <w:p>
            <w:pPr>
              <w:spacing w:after="0"/>
              <w:rPr>
                <w:sz w:val="18"/>
                <w:szCs w:val="18"/>
                <w:color w:val="auto"/>
              </w:rPr>
            </w:pP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1"/>
              </w:rPr>
              <w:t>2.20</w:t>
            </w:r>
          </w:p>
        </w:tc>
        <w:tc>
          <w:tcPr>
            <w:tcW w:w="15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175,508</w:t>
            </w:r>
          </w:p>
        </w:tc>
        <w:tc>
          <w:tcPr>
            <w:tcW w:w="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85"/>
              </w:rPr>
              <w:t>1.53</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Others (2)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351,054</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1"/>
              </w:rPr>
              <w:t>3.36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513,213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5"/>
              </w:rPr>
              <w:t>4.46</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40" w:type="dxa"/>
            <w:vAlign w:val="bottom"/>
            <w:tcBorders>
              <w:bottom w:val="single" w:sz="8" w:color="CCFFCC"/>
            </w:tcBorders>
            <w:gridSpan w:val="3"/>
            <w:shd w:val="clear" w:color="auto" w:fill="CCFFCC"/>
          </w:tcPr>
          <w:p>
            <w:pPr>
              <w:ind w:left="160"/>
              <w:spacing w:after="0"/>
              <w:rPr>
                <w:sz w:val="20"/>
                <w:szCs w:val="20"/>
                <w:color w:val="auto"/>
              </w:rPr>
            </w:pPr>
            <w:r>
              <w:rPr>
                <w:rFonts w:ascii="Arial" w:cs="Arial" w:eastAsia="Arial" w:hAnsi="Arial"/>
                <w:sz w:val="18"/>
                <w:szCs w:val="18"/>
                <w:color w:val="auto"/>
              </w:rPr>
              <w:t>Sub total</w:t>
            </w: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10,706,198</w:t>
            </w:r>
          </w:p>
        </w:tc>
        <w:tc>
          <w:tcPr>
            <w:tcW w:w="240" w:type="dxa"/>
            <w:vAlign w:val="bottom"/>
            <w:tcBorders>
              <w:bottom w:val="single" w:sz="8" w:color="CCFFCC"/>
            </w:tcBorders>
            <w:shd w:val="clear" w:color="auto" w:fill="CCFFCC"/>
          </w:tcPr>
          <w:p>
            <w:pPr>
              <w:spacing w:after="0"/>
              <w:rPr>
                <w:sz w:val="19"/>
                <w:szCs w:val="19"/>
                <w:color w:val="auto"/>
              </w:rPr>
            </w:pPr>
          </w:p>
        </w:tc>
        <w:tc>
          <w:tcPr>
            <w:tcW w:w="200" w:type="dxa"/>
            <w:vAlign w:val="bottom"/>
            <w:tcBorders>
              <w:bottom w:val="single" w:sz="8" w:color="auto"/>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center"/>
              <w:ind w:right="110"/>
              <w:spacing w:after="0"/>
              <w:rPr>
                <w:sz w:val="20"/>
                <w:szCs w:val="20"/>
                <w:color w:val="auto"/>
              </w:rPr>
            </w:pPr>
            <w:r>
              <w:rPr>
                <w:rFonts w:ascii="Arial" w:cs="Arial" w:eastAsia="Arial" w:hAnsi="Arial"/>
                <w:sz w:val="18"/>
                <w:szCs w:val="18"/>
                <w:color w:val="auto"/>
                <w:w w:val="90"/>
              </w:rPr>
              <w:t>102.40</w:t>
            </w:r>
          </w:p>
        </w:tc>
        <w:tc>
          <w:tcPr>
            <w:tcW w:w="200" w:type="dxa"/>
            <w:vAlign w:val="bottom"/>
            <w:tcBorders>
              <w:bottom w:val="single" w:sz="8" w:color="CCFFCC"/>
            </w:tcBorders>
            <w:shd w:val="clear" w:color="auto" w:fill="CCFFCC"/>
          </w:tcPr>
          <w:p>
            <w:pPr>
              <w:spacing w:after="0"/>
              <w:rPr>
                <w:sz w:val="19"/>
                <w:szCs w:val="19"/>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11,788,188</w:t>
            </w:r>
          </w:p>
        </w:tc>
        <w:tc>
          <w:tcPr>
            <w:tcW w:w="20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auto"/>
            </w:tcBorders>
            <w:shd w:val="clear" w:color="auto" w:fill="CCFFCC"/>
          </w:tcPr>
          <w:p>
            <w:pPr>
              <w:spacing w:after="0"/>
              <w:rPr>
                <w:sz w:val="19"/>
                <w:szCs w:val="19"/>
                <w:color w:val="auto"/>
              </w:rPr>
            </w:pPr>
          </w:p>
        </w:tc>
        <w:tc>
          <w:tcPr>
            <w:tcW w:w="1160" w:type="dxa"/>
            <w:vAlign w:val="bottom"/>
            <w:tcBorders>
              <w:bottom w:val="single" w:sz="8" w:color="auto"/>
            </w:tcBorders>
            <w:shd w:val="clear" w:color="auto" w:fill="CCFFCC"/>
          </w:tcPr>
          <w:p>
            <w:pPr>
              <w:jc w:val="center"/>
              <w:ind w:right="130"/>
              <w:spacing w:after="0"/>
              <w:rPr>
                <w:sz w:val="20"/>
                <w:szCs w:val="20"/>
                <w:color w:val="auto"/>
              </w:rPr>
            </w:pPr>
            <w:r>
              <w:rPr>
                <w:rFonts w:ascii="Arial" w:cs="Arial" w:eastAsia="Arial" w:hAnsi="Arial"/>
                <w:sz w:val="18"/>
                <w:szCs w:val="18"/>
                <w:color w:val="auto"/>
                <w:w w:val="90"/>
              </w:rPr>
              <w:t>102.46</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Unearned interest</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(249,914)</w:t>
            </w:r>
          </w:p>
        </w:tc>
        <w:tc>
          <w:tcPr>
            <w:tcW w:w="20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Arial" w:cs="Arial" w:eastAsia="Arial" w:hAnsi="Arial"/>
                <w:sz w:val="18"/>
                <w:szCs w:val="18"/>
                <w:color w:val="auto"/>
                <w:w w:val="93"/>
              </w:rPr>
              <w:t>(2.40)</w:t>
            </w:r>
          </w:p>
        </w:tc>
        <w:tc>
          <w:tcPr>
            <w:tcW w:w="1780" w:type="dxa"/>
            <w:vAlign w:val="bottom"/>
            <w:gridSpan w:val="3"/>
          </w:tcPr>
          <w:p>
            <w:pPr>
              <w:jc w:val="right"/>
              <w:ind w:right="140"/>
              <w:spacing w:after="0"/>
              <w:rPr>
                <w:sz w:val="20"/>
                <w:szCs w:val="20"/>
                <w:color w:val="auto"/>
              </w:rPr>
            </w:pPr>
            <w:r>
              <w:rPr>
                <w:rFonts w:ascii="Arial" w:cs="Arial" w:eastAsia="Arial" w:hAnsi="Arial"/>
                <w:sz w:val="18"/>
                <w:szCs w:val="18"/>
                <w:color w:val="auto"/>
              </w:rPr>
              <w:t>(282,869)</w:t>
            </w:r>
          </w:p>
        </w:tc>
        <w:tc>
          <w:tcPr>
            <w:tcW w:w="220" w:type="dxa"/>
            <w:vAlign w:val="bottom"/>
          </w:tcPr>
          <w:p>
            <w:pPr>
              <w:spacing w:after="0"/>
              <w:rPr>
                <w:sz w:val="18"/>
                <w:szCs w:val="18"/>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color w:val="auto"/>
                <w:w w:val="89"/>
              </w:rPr>
              <w:t>(2.46)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820" w:type="dxa"/>
            <w:vAlign w:val="bottom"/>
            <w:gridSpan w:val="3"/>
            <w:shd w:val="clear" w:color="auto" w:fill="CCFFCC"/>
          </w:tcPr>
          <w:p>
            <w:pPr>
              <w:jc w:val="right"/>
              <w:ind w:right="440"/>
              <w:spacing w:after="0"/>
              <w:rPr>
                <w:sz w:val="20"/>
                <w:szCs w:val="20"/>
                <w:color w:val="auto"/>
              </w:rPr>
            </w:pPr>
            <w:r>
              <w:rPr>
                <w:rFonts w:ascii="Arial" w:cs="Arial" w:eastAsia="Arial" w:hAnsi="Arial"/>
                <w:sz w:val="18"/>
                <w:szCs w:val="18"/>
                <w:color w:val="auto"/>
              </w:rPr>
              <w:t>US$ 10,456,284</w:t>
            </w:r>
          </w:p>
        </w:tc>
        <w:tc>
          <w:tcPr>
            <w:tcW w:w="118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0"/>
              </w:rPr>
              <w:t>100.00%</w:t>
            </w:r>
          </w:p>
        </w:tc>
        <w:tc>
          <w:tcPr>
            <w:tcW w:w="200" w:type="dxa"/>
            <w:vAlign w:val="bottom"/>
            <w:shd w:val="clear" w:color="auto" w:fill="CCFFCC"/>
          </w:tcPr>
          <w:p>
            <w:pPr>
              <w:spacing w:after="0"/>
              <w:rPr>
                <w:sz w:val="18"/>
                <w:szCs w:val="18"/>
                <w:color w:val="auto"/>
              </w:rPr>
            </w:pPr>
          </w:p>
        </w:tc>
        <w:tc>
          <w:tcPr>
            <w:tcW w:w="1800" w:type="dxa"/>
            <w:vAlign w:val="bottom"/>
            <w:gridSpan w:val="3"/>
            <w:shd w:val="clear" w:color="auto" w:fill="CCFFCC"/>
          </w:tcPr>
          <w:p>
            <w:pPr>
              <w:jc w:val="right"/>
              <w:ind w:right="420"/>
              <w:spacing w:after="0"/>
              <w:rPr>
                <w:sz w:val="20"/>
                <w:szCs w:val="20"/>
                <w:color w:val="auto"/>
              </w:rPr>
            </w:pPr>
            <w:r>
              <w:rPr>
                <w:rFonts w:ascii="Arial" w:cs="Arial" w:eastAsia="Arial" w:hAnsi="Arial"/>
                <w:sz w:val="18"/>
                <w:szCs w:val="18"/>
                <w:color w:val="auto"/>
              </w:rPr>
              <w:t>US$ 11,505,319</w:t>
            </w:r>
          </w:p>
        </w:tc>
        <w:tc>
          <w:tcPr>
            <w:tcW w:w="11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2"/>
              </w:rPr>
              <w:t>100.00%</w:t>
            </w:r>
          </w:p>
        </w:tc>
        <w:tc>
          <w:tcPr>
            <w:tcW w:w="100" w:type="dxa"/>
            <w:vAlign w:val="bottom"/>
            <w:shd w:val="clear" w:color="auto" w:fill="CCFFCC"/>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37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94" w:lineRule="exact"/>
        <w:rPr>
          <w:sz w:val="20"/>
          <w:szCs w:val="20"/>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credit card and mortgage loans, other consumer loans and small business.</w:t>
      </w:r>
    </w:p>
    <w:p>
      <w:pPr>
        <w:spacing w:after="0" w:line="23" w:lineRule="exact"/>
        <w:rPr>
          <w:rFonts w:ascii="Arial" w:cs="Arial" w:eastAsia="Arial" w:hAnsi="Arial"/>
          <w:sz w:val="18"/>
          <w:szCs w:val="18"/>
          <w:color w:val="auto"/>
        </w:rPr>
      </w:pPr>
    </w:p>
    <w:p>
      <w:pPr>
        <w:ind w:left="500" w:hanging="492"/>
        <w:spacing w:after="0"/>
        <w:tabs>
          <w:tab w:leader="none" w:pos="5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personal banking and small business loans and other sectors.</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2009, 71.6% of the loan portfolio was concentrated in Lima, 93.40% was concentrated in Peru, and 4.1% of the loan portfolio was concentrated in Bolivia.</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We have loans and other contingent credits with 20 customers (considered economic groups), which, as of December 31, 2009, was US$2,549.5 million. The amount of outstanding loans, US$2,549.5 million, represents 23.2% of the total loan portfolio. </w:t>
      </w:r>
      <w:r>
        <w:rPr>
          <w:rFonts w:ascii="Arial" w:cs="Arial" w:eastAsia="Arial" w:hAnsi="Arial"/>
          <w:sz w:val="17"/>
          <w:szCs w:val="17"/>
          <w:i w:val="1"/>
          <w:iCs w:val="1"/>
          <w:color w:val="auto"/>
        </w:rPr>
        <w:t>See</w:t>
      </w:r>
      <w:r>
        <w:rPr>
          <w:rFonts w:ascii="Arial" w:cs="Arial" w:eastAsia="Arial" w:hAnsi="Arial"/>
          <w:sz w:val="17"/>
          <w:szCs w:val="17"/>
          <w:color w:val="auto"/>
        </w:rPr>
        <w:t xml:space="preserve"> “—(11) Supervision and Regulation—(ii) BCP—Lending Activities” for the definition of “economic group.” Our total loans and other contingent credits outstanding to these customers ranged from US$260.9 million to US$85.1 million, including 18 customers with over US$90.2 million. Total loans and other contingent credits outstanding to our 20 largest customers were ranked in the following risk categories as of December 31, 2009: Class A (normal)—99.8%; Class B (potential problems)—0.2%; Class C (substandard)—0%; Class D (doubtful)—0%; and Class E (loss)—0%. </w:t>
      </w:r>
      <w:r>
        <w:rPr>
          <w:rFonts w:ascii="Arial" w:cs="Arial" w:eastAsia="Arial" w:hAnsi="Arial"/>
          <w:sz w:val="17"/>
          <w:szCs w:val="17"/>
          <w:i w:val="1"/>
          <w:iCs w:val="1"/>
          <w:color w:val="auto"/>
        </w:rPr>
        <w:t>See</w:t>
      </w:r>
      <w:r>
        <w:rPr>
          <w:rFonts w:ascii="Arial" w:cs="Arial" w:eastAsia="Arial" w:hAnsi="Arial"/>
          <w:sz w:val="17"/>
          <w:szCs w:val="17"/>
          <w:color w:val="auto"/>
        </w:rPr>
        <w:t xml:space="preserve"> “—Classification of the Loan Portfolio.”</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BCP’s loans to a single borrower are subject to lending limits imposed by Law 26702. </w:t>
      </w:r>
      <w:r>
        <w:rPr>
          <w:rFonts w:ascii="Arial" w:cs="Arial" w:eastAsia="Arial" w:hAnsi="Arial"/>
          <w:sz w:val="17"/>
          <w:szCs w:val="17"/>
          <w:i w:val="1"/>
          <w:iCs w:val="1"/>
          <w:color w:val="auto"/>
        </w:rPr>
        <w:t>See</w:t>
      </w:r>
      <w:r>
        <w:rPr>
          <w:rFonts w:ascii="Arial" w:cs="Arial" w:eastAsia="Arial" w:hAnsi="Arial"/>
          <w:sz w:val="17"/>
          <w:szCs w:val="17"/>
          <w:color w:val="auto"/>
        </w:rPr>
        <w:t xml:space="preserve"> “—(11) Supervision and Regulation—(ii) BCP—Lending Activities.” The lending limits depend on the nature of the borrower involved and the type of collateral received. The sum of BCP’s loans to and deposits in either another Peruvian universal bank or Peruvian financial institution, plus any guarantees of third party performance received by BCP from such institution, may not exceed 30% of BCP’s regulatory capital (as defined by the SBS). The sum of BCP’s loans to and deposits in non-Peruvian financial institutions, plus any guarantees of third party performance received by BCP from such institutions, are limited to 5%, 10% or 30% of BCP’s regulatory capital, depending upon the level of government supervision of the institution and whether the institution is recognized by the Central Bank as an international bank of prime credit quality. The limits on lending to non-Peruvian financial institutions increases to 50% of BCP’s regulatory capital if the amount by which such loans exceed the 5%, 10% or 30% limits is backed by certain letters of credit.</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9" w:name="page80"/>
    <w:bookmarkEnd w:id="79"/>
    <w:p>
      <w:pPr>
        <w:jc w:val="both"/>
        <w:ind w:right="20" w:firstLine="648"/>
        <w:spacing w:after="0" w:line="277" w:lineRule="auto"/>
        <w:rPr>
          <w:sz w:val="20"/>
          <w:szCs w:val="20"/>
          <w:color w:val="auto"/>
        </w:rPr>
      </w:pPr>
      <w:r>
        <w:rPr>
          <w:rFonts w:ascii="Arial" w:cs="Arial" w:eastAsia="Arial" w:hAnsi="Arial"/>
          <w:sz w:val="18"/>
          <w:szCs w:val="18"/>
          <w:color w:val="auto"/>
        </w:rPr>
        <w:t>BCP’s loans to directors and employees and their relatives have a global limit of 7% of capital stock and reserves and an individual limit of 5% of such global limit.</w:t>
      </w:r>
    </w:p>
    <w:p>
      <w:pPr>
        <w:spacing w:after="0" w:line="19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Loans to non-Peruvian individuals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residing in Peru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to be of prime credit quality, or by other highly liquid securities at market value. The single borrower lending limit for loans backed by a cash deposit at BCP or by debt obligations of the Central Bank is 30% of BCP’s regulatory capital.</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an unconsolidated regulatory capital of S/.5,457.1 million (US$1,888.3 million) on December 31, 2009, BCP’s legal lending limits varied from S/.545.7 million (US$188.8 million) to S/.2,728.6 million (US$944.1 million). Our consolidated lending limits, based on its regulatory capital on a consolidated basis of US$2,221.1 million on December 31, 2009, ranged from US$111.1 million to US$1,110.6 million. As of December 31, 2009, BCP was in compliance with Law 26702 lending limits.</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2009, we complied with the applicable legal lending limits in each of the jurisdictions in which we operate. These limits are calculated quarterly based upon our consolidated equity plus reserves for impaired loans not specifically identified at quarter-end. A limited number of exceptions to our internal limits have been authorized by our board of directors based on the credit quality of the borrower, the term of the loan, and the amount and quality of collateral provided. We may, in appropriate and limited circumstances, increase or choose to exceed this limit.</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experience an adverse impact on our financial condition and results of operations if (i) customers to which we have significant credit exposure are not able to satisfy their obligations to us, and any related collateral is not sufficient to cover these obligations, or (ii) a reclassification of one or more of these loans or other contingent credits results in an increase in provisions for loan losses.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Portfolio Denomination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Nuevo Sol and foreign currency-denominated loan portfolio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At December 31,</w:t>
            </w: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2005</w:t>
            </w: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2006</w:t>
            </w:r>
          </w:p>
        </w:tc>
        <w:tc>
          <w:tcPr>
            <w:tcW w:w="6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2007</w:t>
            </w:r>
          </w:p>
        </w:tc>
        <w:tc>
          <w:tcPr>
            <w:tcW w:w="96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9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i w:val="1"/>
                <w:iCs w:val="1"/>
                <w:color w:val="auto"/>
                <w:w w:val="70"/>
              </w:rPr>
              <w:t>(U.S.</w:t>
            </w:r>
          </w:p>
        </w:tc>
        <w:tc>
          <w:tcPr>
            <w:tcW w:w="31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i w:val="1"/>
                <w:iCs w:val="1"/>
                <w:color w:val="auto"/>
                <w:w w:val="89"/>
              </w:rPr>
              <w:t>Dollars in thousands, except percentages)</w:t>
            </w:r>
          </w:p>
        </w:tc>
        <w:tc>
          <w:tcPr>
            <w:tcW w:w="16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19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14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Nuevo Sol-denominated</w:t>
            </w:r>
          </w:p>
        </w:tc>
        <w:tc>
          <w:tcPr>
            <w:tcW w:w="1900" w:type="dxa"/>
            <w:vAlign w:val="bottom"/>
          </w:tcPr>
          <w:p>
            <w:pPr>
              <w:jc w:val="right"/>
              <w:ind w:right="430"/>
              <w:spacing w:after="0"/>
              <w:rPr>
                <w:sz w:val="20"/>
                <w:szCs w:val="20"/>
                <w:color w:val="auto"/>
              </w:rPr>
            </w:pPr>
            <w:r>
              <w:rPr>
                <w:rFonts w:ascii="Arial" w:cs="Arial" w:eastAsia="Arial" w:hAnsi="Arial"/>
                <w:sz w:val="18"/>
                <w:szCs w:val="18"/>
                <w:color w:val="auto"/>
              </w:rPr>
              <w:t>US$ 1,032,481</w:t>
            </w:r>
          </w:p>
        </w:tc>
        <w:tc>
          <w:tcPr>
            <w:tcW w:w="1100" w:type="dxa"/>
            <w:vAlign w:val="bottom"/>
            <w:gridSpan w:val="2"/>
          </w:tcPr>
          <w:p>
            <w:pPr>
              <w:jc w:val="right"/>
              <w:ind w:right="45"/>
              <w:spacing w:after="0"/>
              <w:rPr>
                <w:sz w:val="20"/>
                <w:szCs w:val="20"/>
                <w:color w:val="auto"/>
              </w:rPr>
            </w:pPr>
            <w:r>
              <w:rPr>
                <w:rFonts w:ascii="Arial" w:cs="Arial" w:eastAsia="Arial" w:hAnsi="Arial"/>
                <w:sz w:val="18"/>
                <w:szCs w:val="18"/>
                <w:color w:val="auto"/>
              </w:rPr>
              <w:t>20.76%</w:t>
            </w:r>
          </w:p>
        </w:tc>
        <w:tc>
          <w:tcPr>
            <w:tcW w:w="2140" w:type="dxa"/>
            <w:vAlign w:val="bottom"/>
          </w:tcPr>
          <w:p>
            <w:pPr>
              <w:jc w:val="right"/>
              <w:ind w:right="650"/>
              <w:spacing w:after="0"/>
              <w:rPr>
                <w:sz w:val="20"/>
                <w:szCs w:val="20"/>
                <w:color w:val="auto"/>
              </w:rPr>
            </w:pPr>
            <w:r>
              <w:rPr>
                <w:rFonts w:ascii="Arial" w:cs="Arial" w:eastAsia="Arial" w:hAnsi="Arial"/>
                <w:sz w:val="18"/>
                <w:szCs w:val="18"/>
                <w:color w:val="auto"/>
              </w:rPr>
              <w:t>US$ 1,503,306</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25.58%</w:t>
            </w:r>
          </w:p>
        </w:tc>
        <w:tc>
          <w:tcPr>
            <w:tcW w:w="180" w:type="dxa"/>
            <w:vAlign w:val="bottom"/>
          </w:tcPr>
          <w:p>
            <w:pPr>
              <w:spacing w:after="0"/>
              <w:rPr>
                <w:sz w:val="18"/>
                <w:szCs w:val="18"/>
                <w:color w:val="auto"/>
              </w:rPr>
            </w:pPr>
          </w:p>
        </w:tc>
        <w:tc>
          <w:tcPr>
            <w:tcW w:w="1680" w:type="dxa"/>
            <w:vAlign w:val="bottom"/>
          </w:tcPr>
          <w:p>
            <w:pPr>
              <w:jc w:val="right"/>
              <w:ind w:right="510"/>
              <w:spacing w:after="0"/>
              <w:rPr>
                <w:sz w:val="20"/>
                <w:szCs w:val="20"/>
                <w:color w:val="auto"/>
              </w:rPr>
            </w:pPr>
            <w:r>
              <w:rPr>
                <w:rFonts w:ascii="Arial" w:cs="Arial" w:eastAsia="Arial" w:hAnsi="Arial"/>
                <w:sz w:val="18"/>
                <w:szCs w:val="18"/>
                <w:color w:val="auto"/>
                <w:w w:val="88"/>
              </w:rPr>
              <w:t>US$ 2,461,787</w:t>
            </w:r>
          </w:p>
        </w:tc>
        <w:tc>
          <w:tcPr>
            <w:tcW w:w="960" w:type="dxa"/>
            <w:vAlign w:val="bottom"/>
          </w:tcPr>
          <w:p>
            <w:pPr>
              <w:jc w:val="right"/>
              <w:spacing w:after="0"/>
              <w:rPr>
                <w:sz w:val="20"/>
                <w:szCs w:val="20"/>
                <w:color w:val="auto"/>
              </w:rPr>
            </w:pPr>
            <w:r>
              <w:rPr>
                <w:rFonts w:ascii="Arial" w:cs="Arial" w:eastAsia="Arial" w:hAnsi="Arial"/>
                <w:sz w:val="18"/>
                <w:szCs w:val="18"/>
                <w:color w:val="auto"/>
              </w:rPr>
              <w:t>30.08%</w:t>
            </w: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90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3,940,494</w:t>
            </w:r>
          </w:p>
        </w:tc>
        <w:tc>
          <w:tcPr>
            <w:tcW w:w="1100" w:type="dxa"/>
            <w:vAlign w:val="bottom"/>
            <w:gridSpan w:val="2"/>
            <w:shd w:val="clear" w:color="auto" w:fill="CCFFCC"/>
          </w:tcPr>
          <w:p>
            <w:pPr>
              <w:jc w:val="right"/>
              <w:ind w:right="45"/>
              <w:spacing w:after="0"/>
              <w:rPr>
                <w:sz w:val="20"/>
                <w:szCs w:val="20"/>
                <w:color w:val="auto"/>
              </w:rPr>
            </w:pPr>
            <w:r>
              <w:rPr>
                <w:rFonts w:ascii="Arial" w:cs="Arial" w:eastAsia="Arial" w:hAnsi="Arial"/>
                <w:sz w:val="18"/>
                <w:szCs w:val="18"/>
                <w:color w:val="auto"/>
              </w:rPr>
              <w:t>79.24%</w:t>
            </w:r>
          </w:p>
        </w:tc>
        <w:tc>
          <w:tcPr>
            <w:tcW w:w="2140" w:type="dxa"/>
            <w:vAlign w:val="bottom"/>
            <w:shd w:val="clear" w:color="auto" w:fill="CCFFCC"/>
          </w:tcPr>
          <w:p>
            <w:pPr>
              <w:jc w:val="right"/>
              <w:ind w:right="650"/>
              <w:spacing w:after="0"/>
              <w:rPr>
                <w:sz w:val="20"/>
                <w:szCs w:val="20"/>
                <w:color w:val="auto"/>
              </w:rPr>
            </w:pPr>
            <w:r>
              <w:rPr>
                <w:rFonts w:ascii="Arial" w:cs="Arial" w:eastAsia="Arial" w:hAnsi="Arial"/>
                <w:sz w:val="18"/>
                <w:szCs w:val="18"/>
                <w:color w:val="auto"/>
              </w:rPr>
              <w:t>4,374,055</w:t>
            </w:r>
          </w:p>
        </w:tc>
        <w:tc>
          <w:tcPr>
            <w:tcW w:w="8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74.42%</w:t>
            </w:r>
          </w:p>
        </w:tc>
        <w:tc>
          <w:tcPr>
            <w:tcW w:w="180" w:type="dxa"/>
            <w:vAlign w:val="bottom"/>
            <w:shd w:val="clear" w:color="auto" w:fill="CCFFCC"/>
          </w:tcPr>
          <w:p>
            <w:pPr>
              <w:spacing w:after="0"/>
              <w:rPr>
                <w:sz w:val="18"/>
                <w:szCs w:val="18"/>
                <w:color w:val="auto"/>
              </w:rPr>
            </w:pPr>
          </w:p>
        </w:tc>
        <w:tc>
          <w:tcPr>
            <w:tcW w:w="1680" w:type="dxa"/>
            <w:vAlign w:val="bottom"/>
            <w:shd w:val="clear" w:color="auto" w:fill="CCFFCC"/>
          </w:tcPr>
          <w:p>
            <w:pPr>
              <w:jc w:val="right"/>
              <w:ind w:right="510"/>
              <w:spacing w:after="0"/>
              <w:rPr>
                <w:sz w:val="20"/>
                <w:szCs w:val="20"/>
                <w:color w:val="auto"/>
              </w:rPr>
            </w:pPr>
            <w:r>
              <w:rPr>
                <w:rFonts w:ascii="Arial" w:cs="Arial" w:eastAsia="Arial" w:hAnsi="Arial"/>
                <w:sz w:val="18"/>
                <w:szCs w:val="18"/>
                <w:color w:val="auto"/>
              </w:rPr>
              <w:t>5,722,058</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69.92%</w:t>
            </w: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Total loans (1)</w:t>
            </w:r>
          </w:p>
        </w:tc>
        <w:tc>
          <w:tcPr>
            <w:tcW w:w="1900" w:type="dxa"/>
            <w:vAlign w:val="bottom"/>
          </w:tcPr>
          <w:p>
            <w:pPr>
              <w:jc w:val="right"/>
              <w:ind w:right="430"/>
              <w:spacing w:after="0"/>
              <w:rPr>
                <w:sz w:val="20"/>
                <w:szCs w:val="20"/>
                <w:color w:val="auto"/>
              </w:rPr>
            </w:pPr>
            <w:r>
              <w:rPr>
                <w:rFonts w:ascii="Arial" w:cs="Arial" w:eastAsia="Arial" w:hAnsi="Arial"/>
                <w:sz w:val="18"/>
                <w:szCs w:val="18"/>
                <w:color w:val="auto"/>
              </w:rPr>
              <w:t>US$ 4,972,975</w:t>
            </w:r>
          </w:p>
        </w:tc>
        <w:tc>
          <w:tcPr>
            <w:tcW w:w="1100" w:type="dxa"/>
            <w:vAlign w:val="bottom"/>
            <w:gridSpan w:val="2"/>
          </w:tcPr>
          <w:p>
            <w:pPr>
              <w:jc w:val="right"/>
              <w:ind w:right="45"/>
              <w:spacing w:after="0"/>
              <w:rPr>
                <w:sz w:val="20"/>
                <w:szCs w:val="20"/>
                <w:color w:val="auto"/>
              </w:rPr>
            </w:pPr>
            <w:r>
              <w:rPr>
                <w:rFonts w:ascii="Arial" w:cs="Arial" w:eastAsia="Arial" w:hAnsi="Arial"/>
                <w:sz w:val="18"/>
                <w:szCs w:val="18"/>
                <w:color w:val="auto"/>
              </w:rPr>
              <w:t>100.00%</w:t>
            </w:r>
          </w:p>
        </w:tc>
        <w:tc>
          <w:tcPr>
            <w:tcW w:w="2140" w:type="dxa"/>
            <w:vAlign w:val="bottom"/>
          </w:tcPr>
          <w:p>
            <w:pPr>
              <w:jc w:val="right"/>
              <w:ind w:right="650"/>
              <w:spacing w:after="0"/>
              <w:rPr>
                <w:sz w:val="20"/>
                <w:szCs w:val="20"/>
                <w:color w:val="auto"/>
              </w:rPr>
            </w:pPr>
            <w:r>
              <w:rPr>
                <w:rFonts w:ascii="Arial" w:cs="Arial" w:eastAsia="Arial" w:hAnsi="Arial"/>
                <w:sz w:val="18"/>
                <w:szCs w:val="18"/>
                <w:color w:val="auto"/>
              </w:rPr>
              <w:t>US$ 5,877,361</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180" w:type="dxa"/>
            <w:vAlign w:val="bottom"/>
          </w:tcPr>
          <w:p>
            <w:pPr>
              <w:spacing w:after="0"/>
              <w:rPr>
                <w:sz w:val="20"/>
                <w:szCs w:val="20"/>
                <w:color w:val="auto"/>
              </w:rPr>
            </w:pPr>
          </w:p>
        </w:tc>
        <w:tc>
          <w:tcPr>
            <w:tcW w:w="1680" w:type="dxa"/>
            <w:vAlign w:val="bottom"/>
          </w:tcPr>
          <w:p>
            <w:pPr>
              <w:jc w:val="right"/>
              <w:ind w:right="510"/>
              <w:spacing w:after="0"/>
              <w:rPr>
                <w:sz w:val="20"/>
                <w:szCs w:val="20"/>
                <w:color w:val="auto"/>
              </w:rPr>
            </w:pPr>
            <w:r>
              <w:rPr>
                <w:rFonts w:ascii="Arial" w:cs="Arial" w:eastAsia="Arial" w:hAnsi="Arial"/>
                <w:sz w:val="18"/>
                <w:szCs w:val="18"/>
                <w:color w:val="auto"/>
                <w:w w:val="88"/>
              </w:rPr>
              <w:t>US$ 8,183,845</w:t>
            </w:r>
          </w:p>
        </w:tc>
        <w:tc>
          <w:tcPr>
            <w:tcW w:w="960" w:type="dxa"/>
            <w:vAlign w:val="bottom"/>
          </w:tcPr>
          <w:p>
            <w:pPr>
              <w:jc w:val="right"/>
              <w:spacing w:after="0"/>
              <w:rPr>
                <w:sz w:val="20"/>
                <w:szCs w:val="20"/>
                <w:color w:val="auto"/>
              </w:rPr>
            </w:pPr>
            <w:r>
              <w:rPr>
                <w:rFonts w:ascii="Arial" w:cs="Arial" w:eastAsia="Arial" w:hAnsi="Arial"/>
                <w:sz w:val="18"/>
                <w:szCs w:val="18"/>
                <w:color w:val="auto"/>
              </w:rPr>
              <w:t>100.00%</w:t>
            </w: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p>
        </w:tc>
        <w:tc>
          <w:tcPr>
            <w:tcW w:w="188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3"/>
          </w:tcPr>
          <w:p>
            <w:pPr>
              <w:jc w:val="right"/>
              <w:ind w:right="1310"/>
              <w:spacing w:after="0"/>
              <w:rPr>
                <w:sz w:val="20"/>
                <w:szCs w:val="20"/>
                <w:color w:val="auto"/>
              </w:rPr>
            </w:pPr>
            <w:r>
              <w:rPr>
                <w:rFonts w:ascii="Arial" w:cs="Arial" w:eastAsia="Arial" w:hAnsi="Arial"/>
                <w:sz w:val="18"/>
                <w:szCs w:val="18"/>
                <w:b w:val="1"/>
                <w:bCs w:val="1"/>
                <w:color w:val="auto"/>
              </w:rPr>
              <w:t>At December 31,</w:t>
            </w:r>
          </w:p>
        </w:tc>
        <w:tc>
          <w:tcPr>
            <w:tcW w:w="8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1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8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488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i w:val="1"/>
                <w:iCs w:val="1"/>
                <w:color w:val="auto"/>
              </w:rPr>
              <w:t>(U.S. Dollars in thousands, except percentages)</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18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9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Nuevo Sol-denominated</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US$ 3,351,720</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32.05%</w:t>
            </w: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US$ 4,385,965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38.12%</w:t>
            </w:r>
          </w:p>
        </w:tc>
      </w:tr>
      <w:tr>
        <w:trPr>
          <w:trHeight w:val="216"/>
        </w:trPr>
        <w:tc>
          <w:tcPr>
            <w:tcW w:w="20" w:type="dxa"/>
            <w:vAlign w:val="bottom"/>
          </w:tcPr>
          <w:p>
            <w:pPr>
              <w:spacing w:after="0"/>
              <w:rPr>
                <w:sz w:val="18"/>
                <w:szCs w:val="18"/>
                <w:color w:val="auto"/>
              </w:rPr>
            </w:pPr>
          </w:p>
        </w:tc>
        <w:tc>
          <w:tcPr>
            <w:tcW w:w="55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880" w:type="dxa"/>
            <w:vAlign w:val="bottom"/>
            <w:shd w:val="clear" w:color="auto" w:fill="CCFFCC"/>
          </w:tcPr>
          <w:p>
            <w:pPr>
              <w:jc w:val="right"/>
              <w:ind w:right="430"/>
              <w:spacing w:after="0"/>
              <w:rPr>
                <w:sz w:val="20"/>
                <w:szCs w:val="20"/>
                <w:color w:val="auto"/>
              </w:rPr>
            </w:pPr>
            <w:r>
              <w:rPr>
                <w:rFonts w:ascii="Arial" w:cs="Arial" w:eastAsia="Arial" w:hAnsi="Arial"/>
                <w:sz w:val="18"/>
                <w:szCs w:val="18"/>
                <w:color w:val="auto"/>
              </w:rPr>
              <w:t>7,104,564</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67.95%</w:t>
            </w:r>
          </w:p>
        </w:tc>
        <w:tc>
          <w:tcPr>
            <w:tcW w:w="190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7,119,354</w:t>
            </w: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61.88%</w:t>
            </w:r>
          </w:p>
        </w:tc>
      </w:tr>
      <w:tr>
        <w:trPr>
          <w:trHeight w:val="230"/>
        </w:trPr>
        <w:tc>
          <w:tcPr>
            <w:tcW w:w="2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Total loans (1)</w:t>
            </w:r>
          </w:p>
        </w:tc>
        <w:tc>
          <w:tcPr>
            <w:tcW w:w="1880" w:type="dxa"/>
            <w:vAlign w:val="bottom"/>
          </w:tcPr>
          <w:p>
            <w:pPr>
              <w:jc w:val="right"/>
              <w:ind w:right="430"/>
              <w:spacing w:after="0"/>
              <w:rPr>
                <w:sz w:val="20"/>
                <w:szCs w:val="20"/>
                <w:color w:val="auto"/>
              </w:rPr>
            </w:pPr>
            <w:r>
              <w:rPr>
                <w:rFonts w:ascii="Arial" w:cs="Arial" w:eastAsia="Arial" w:hAnsi="Arial"/>
                <w:sz w:val="18"/>
                <w:szCs w:val="18"/>
                <w:color w:val="auto"/>
              </w:rPr>
              <w:t>US$ 10,456,284</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1900" w:type="dxa"/>
            <w:vAlign w:val="bottom"/>
          </w:tcPr>
          <w:p>
            <w:pPr>
              <w:jc w:val="right"/>
              <w:ind w:right="450"/>
              <w:spacing w:after="0"/>
              <w:rPr>
                <w:sz w:val="20"/>
                <w:szCs w:val="20"/>
                <w:color w:val="auto"/>
              </w:rPr>
            </w:pPr>
            <w:r>
              <w:rPr>
                <w:rFonts w:ascii="Arial" w:cs="Arial" w:eastAsia="Arial" w:hAnsi="Arial"/>
                <w:sz w:val="18"/>
                <w:szCs w:val="18"/>
                <w:color w:val="auto"/>
              </w:rPr>
              <w:t>US$ 11,505,319</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74612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81" w:lineRule="exact"/>
        <w:rPr>
          <w:sz w:val="20"/>
          <w:szCs w:val="20"/>
          <w:color w:val="auto"/>
        </w:rPr>
      </w:pPr>
    </w:p>
    <w:p>
      <w:pPr>
        <w:ind w:left="500" w:hanging="492"/>
        <w:spacing w:after="0"/>
        <w:tabs>
          <w:tab w:leader="none" w:pos="5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52"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an analysis of our performing loan portfolio on December 31, 2009, by type and by time remaining to maturity. Loans are stated before deduction of the reserves for loan losses.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ind w:left="880"/>
              <w:spacing w:after="0"/>
              <w:rPr>
                <w:sz w:val="20"/>
                <w:szCs w:val="20"/>
                <w:color w:val="auto"/>
              </w:rPr>
            </w:pPr>
            <w:r>
              <w:rPr>
                <w:rFonts w:ascii="Arial" w:cs="Arial" w:eastAsia="Arial" w:hAnsi="Arial"/>
                <w:sz w:val="14"/>
                <w:szCs w:val="14"/>
                <w:b w:val="1"/>
                <w:bCs w:val="1"/>
                <w:color w:val="auto"/>
              </w:rPr>
              <w:t>Maturing</w:t>
            </w:r>
          </w:p>
        </w:tc>
        <w:tc>
          <w:tcPr>
            <w:tcW w:w="10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26"/>
        </w:trPr>
        <w:tc>
          <w:tcPr>
            <w:tcW w:w="2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80" w:type="dxa"/>
            <w:vAlign w:val="bottom"/>
            <w:gridSpan w:val="2"/>
          </w:tcPr>
          <w:p>
            <w:pPr>
              <w:jc w:val="center"/>
              <w:ind w:right="420"/>
              <w:spacing w:after="0" w:line="126" w:lineRule="exact"/>
              <w:rPr>
                <w:sz w:val="20"/>
                <w:szCs w:val="20"/>
                <w:color w:val="auto"/>
              </w:rPr>
            </w:pPr>
            <w:r>
              <w:rPr>
                <w:rFonts w:ascii="Arial" w:cs="Arial" w:eastAsia="Arial" w:hAnsi="Arial"/>
                <w:sz w:val="14"/>
                <w:szCs w:val="14"/>
                <w:b w:val="1"/>
                <w:bCs w:val="1"/>
                <w:color w:val="auto"/>
                <w:w w:val="95"/>
              </w:rPr>
              <w:t>Amount at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20" w:type="dxa"/>
            <w:vAlign w:val="bottom"/>
            <w:gridSpan w:val="2"/>
          </w:tcPr>
          <w:p>
            <w:pPr>
              <w:jc w:val="right"/>
              <w:ind w:right="640"/>
              <w:spacing w:after="0" w:line="126" w:lineRule="exact"/>
              <w:rPr>
                <w:sz w:val="20"/>
                <w:szCs w:val="20"/>
                <w:color w:val="auto"/>
              </w:rPr>
            </w:pPr>
            <w:r>
              <w:rPr>
                <w:rFonts w:ascii="Arial" w:cs="Arial" w:eastAsia="Arial" w:hAnsi="Arial"/>
                <w:sz w:val="14"/>
                <w:szCs w:val="14"/>
                <w:b w:val="1"/>
                <w:bCs w:val="1"/>
                <w:color w:val="auto"/>
              </w:rPr>
              <w:t>Within</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center"/>
              <w:ind w:right="480"/>
              <w:spacing w:after="0" w:line="126" w:lineRule="exact"/>
              <w:rPr>
                <w:sz w:val="20"/>
                <w:szCs w:val="20"/>
                <w:color w:val="auto"/>
              </w:rPr>
            </w:pPr>
            <w:r>
              <w:rPr>
                <w:rFonts w:ascii="Arial" w:cs="Arial" w:eastAsia="Arial" w:hAnsi="Arial"/>
                <w:sz w:val="14"/>
                <w:szCs w:val="14"/>
                <w:b w:val="1"/>
                <w:bCs w:val="1"/>
                <w:color w:val="auto"/>
                <w:w w:val="99"/>
              </w:rPr>
              <w:t>After 3</w:t>
            </w: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jc w:val="center"/>
              <w:ind w:right="460"/>
              <w:spacing w:after="0" w:line="126" w:lineRule="exact"/>
              <w:rPr>
                <w:sz w:val="20"/>
                <w:szCs w:val="20"/>
                <w:color w:val="auto"/>
              </w:rPr>
            </w:pPr>
            <w:r>
              <w:rPr>
                <w:rFonts w:ascii="Arial" w:cs="Arial" w:eastAsia="Arial" w:hAnsi="Arial"/>
                <w:sz w:val="14"/>
                <w:szCs w:val="14"/>
                <w:b w:val="1"/>
                <w:bCs w:val="1"/>
                <w:color w:val="auto"/>
                <w:w w:val="96"/>
              </w:rPr>
              <w:t>After 1 year</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60" w:type="dxa"/>
            <w:vAlign w:val="bottom"/>
            <w:gridSpan w:val="2"/>
          </w:tcPr>
          <w:p>
            <w:pPr>
              <w:jc w:val="center"/>
              <w:ind w:right="460"/>
              <w:spacing w:after="0" w:line="126" w:lineRule="exact"/>
              <w:rPr>
                <w:sz w:val="20"/>
                <w:szCs w:val="20"/>
                <w:color w:val="auto"/>
              </w:rPr>
            </w:pPr>
            <w:r>
              <w:rPr>
                <w:rFonts w:ascii="Arial" w:cs="Arial" w:eastAsia="Arial" w:hAnsi="Arial"/>
                <w:sz w:val="14"/>
                <w:szCs w:val="14"/>
                <w:b w:val="1"/>
                <w:bCs w:val="1"/>
                <w:color w:val="auto"/>
                <w:w w:val="94"/>
              </w:rPr>
              <w:t>After 3 years</w:t>
            </w: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jc w:val="right"/>
              <w:ind w:right="368"/>
              <w:spacing w:after="0" w:line="126" w:lineRule="exact"/>
              <w:rPr>
                <w:sz w:val="20"/>
                <w:szCs w:val="20"/>
                <w:color w:val="auto"/>
              </w:rPr>
            </w:pPr>
            <w:r>
              <w:rPr>
                <w:rFonts w:ascii="Arial" w:cs="Arial" w:eastAsia="Arial" w:hAnsi="Arial"/>
                <w:sz w:val="14"/>
                <w:szCs w:val="14"/>
                <w:b w:val="1"/>
                <w:bCs w:val="1"/>
                <w:color w:val="auto"/>
              </w:rPr>
              <w:t>After</w:t>
            </w: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9"/>
              </w:rPr>
              <w:t>3 months</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months</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3"/>
              </w:rPr>
              <w:t>but within</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but within</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5 years</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jc w:val="center"/>
              <w:ind w:right="168"/>
              <w:spacing w:after="0" w:line="149" w:lineRule="exact"/>
              <w:rPr>
                <w:sz w:val="20"/>
                <w:szCs w:val="20"/>
                <w:color w:val="auto"/>
              </w:rPr>
            </w:pPr>
            <w:r>
              <w:rPr>
                <w:rFonts w:ascii="Arial" w:cs="Arial" w:eastAsia="Arial" w:hAnsi="Arial"/>
                <w:sz w:val="14"/>
                <w:szCs w:val="14"/>
                <w:b w:val="1"/>
                <w:bCs w:val="1"/>
                <w:color w:val="auto"/>
                <w:w w:val="96"/>
              </w:rPr>
              <w:t>2009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but within</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3 years</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5 years</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1"/>
              </w:rPr>
              <w:t>12 months</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3120" w:type="dxa"/>
            <w:vAlign w:val="bottom"/>
            <w:tcBorders>
              <w:bottom w:val="single" w:sz="8" w:color="auto"/>
            </w:tcBorders>
            <w:gridSpan w:val="7"/>
          </w:tcPr>
          <w:p>
            <w:pPr>
              <w:jc w:val="right"/>
              <w:ind w:right="200"/>
              <w:spacing w:after="0" w:line="149" w:lineRule="exact"/>
              <w:rPr>
                <w:sz w:val="20"/>
                <w:szCs w:val="20"/>
                <w:color w:val="auto"/>
              </w:rPr>
            </w:pPr>
            <w:r>
              <w:rPr>
                <w:rFonts w:ascii="Arial" w:cs="Arial" w:eastAsia="Arial" w:hAnsi="Arial"/>
                <w:sz w:val="14"/>
                <w:szCs w:val="14"/>
                <w:i w:val="1"/>
                <w:iCs w:val="1"/>
                <w:color w:val="auto"/>
                <w:w w:val="97"/>
              </w:rPr>
              <w:t>(U.S. Dollars in thousands, except percentages)</w:t>
            </w:r>
          </w:p>
        </w:tc>
        <w:tc>
          <w:tcPr>
            <w:tcW w:w="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w:t>
            </w:r>
          </w:p>
        </w:tc>
        <w:tc>
          <w:tcPr>
            <w:tcW w:w="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87"/>
              </w:rPr>
              <w:t>US$</w:t>
            </w:r>
          </w:p>
        </w:tc>
        <w:tc>
          <w:tcPr>
            <w:tcW w:w="11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8,986,884</w:t>
            </w:r>
          </w:p>
        </w:tc>
        <w:tc>
          <w:tcPr>
            <w:tcW w:w="180" w:type="dxa"/>
            <w:vAlign w:val="bottom"/>
            <w:shd w:val="clear" w:color="auto" w:fill="CCFFCC"/>
          </w:tcPr>
          <w:p>
            <w:pPr>
              <w:spacing w:after="0"/>
              <w:rPr>
                <w:sz w:val="12"/>
                <w:szCs w:val="12"/>
                <w:color w:val="auto"/>
              </w:rPr>
            </w:pPr>
          </w:p>
        </w:tc>
        <w:tc>
          <w:tcPr>
            <w:tcW w:w="38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2,476,635</w:t>
            </w:r>
          </w:p>
        </w:tc>
        <w:tc>
          <w:tcPr>
            <w:tcW w:w="180" w:type="dxa"/>
            <w:vAlign w:val="bottom"/>
            <w:shd w:val="clear" w:color="auto" w:fill="CCFFCC"/>
          </w:tcPr>
          <w:p>
            <w:pPr>
              <w:spacing w:after="0"/>
              <w:rPr>
                <w:sz w:val="12"/>
                <w:szCs w:val="12"/>
                <w:color w:val="auto"/>
              </w:rPr>
            </w:pPr>
          </w:p>
        </w:tc>
        <w:tc>
          <w:tcPr>
            <w:tcW w:w="36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2,159,197</w:t>
            </w:r>
          </w:p>
        </w:tc>
        <w:tc>
          <w:tcPr>
            <w:tcW w:w="180" w:type="dxa"/>
            <w:vAlign w:val="bottom"/>
            <w:shd w:val="clear" w:color="auto" w:fill="CCFFCC"/>
          </w:tcPr>
          <w:p>
            <w:pPr>
              <w:spacing w:after="0"/>
              <w:rPr>
                <w:sz w:val="12"/>
                <w:szCs w:val="12"/>
                <w:color w:val="auto"/>
              </w:rPr>
            </w:pPr>
          </w:p>
        </w:tc>
        <w:tc>
          <w:tcPr>
            <w:tcW w:w="340" w:type="dxa"/>
            <w:vAlign w:val="bottom"/>
            <w:gridSpan w:val="2"/>
            <w:shd w:val="clear" w:color="auto" w:fill="CCFFCC"/>
          </w:tcPr>
          <w:p>
            <w:pPr>
              <w:ind w:left="4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1,456,366</w:t>
            </w:r>
          </w:p>
        </w:tc>
        <w:tc>
          <w:tcPr>
            <w:tcW w:w="160" w:type="dxa"/>
            <w:vAlign w:val="bottom"/>
            <w:shd w:val="clear" w:color="auto" w:fill="CCFFCC"/>
          </w:tcPr>
          <w:p>
            <w:pPr>
              <w:spacing w:after="0"/>
              <w:rPr>
                <w:sz w:val="12"/>
                <w:szCs w:val="12"/>
                <w:color w:val="auto"/>
              </w:rPr>
            </w:pPr>
          </w:p>
        </w:tc>
        <w:tc>
          <w:tcPr>
            <w:tcW w:w="34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w w:val="95"/>
              </w:rPr>
              <w:t>US$</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922,486</w:t>
            </w:r>
          </w:p>
        </w:tc>
        <w:tc>
          <w:tcPr>
            <w:tcW w:w="46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1,972,200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26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Arial" w:cs="Arial" w:eastAsia="Arial" w:hAnsi="Arial"/>
                <w:sz w:val="14"/>
                <w:szCs w:val="14"/>
                <w:color w:val="auto"/>
              </w:rPr>
              <w:t>1,997,562</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398,187</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651,697</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609,942</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286,742</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50,994</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Discounted notes</w:t>
            </w:r>
          </w:p>
        </w:tc>
        <w:tc>
          <w:tcPr>
            <w:tcW w:w="26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349,126</w:t>
            </w:r>
          </w:p>
        </w:tc>
        <w:tc>
          <w:tcPr>
            <w:tcW w:w="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331,771</w:t>
            </w:r>
          </w:p>
        </w:tc>
        <w:tc>
          <w:tcPr>
            <w:tcW w:w="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17,316</w:t>
            </w:r>
          </w:p>
        </w:tc>
        <w:tc>
          <w:tcPr>
            <w:tcW w:w="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0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9</w:t>
            </w:r>
          </w:p>
        </w:tc>
        <w:tc>
          <w:tcPr>
            <w:tcW w:w="6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Refinanced loans</w:t>
            </w:r>
          </w:p>
        </w:tc>
        <w:tc>
          <w:tcPr>
            <w:tcW w:w="26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59,459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10,675</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13,742</w:t>
            </w: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11,629</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9,003</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14,410</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Factoring</w:t>
            </w:r>
          </w:p>
        </w:tc>
        <w:tc>
          <w:tcPr>
            <w:tcW w:w="26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163,443</w:t>
            </w:r>
          </w:p>
        </w:tc>
        <w:tc>
          <w:tcPr>
            <w:tcW w:w="6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140,530</w:t>
            </w:r>
          </w:p>
        </w:tc>
        <w:tc>
          <w:tcPr>
            <w:tcW w:w="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22,913</w:t>
            </w:r>
          </w:p>
        </w:tc>
        <w:tc>
          <w:tcPr>
            <w:tcW w:w="4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900" w:type="dxa"/>
            <w:vAlign w:val="bottom"/>
          </w:tcPr>
          <w:p>
            <w:pPr>
              <w:spacing w:after="0" w:line="149" w:lineRule="exact"/>
              <w:rPr>
                <w:sz w:val="20"/>
                <w:szCs w:val="20"/>
                <w:color w:val="auto"/>
              </w:rPr>
            </w:pPr>
            <w:r>
              <w:rPr>
                <w:rFonts w:ascii="Arial" w:cs="Arial" w:eastAsia="Arial" w:hAnsi="Arial"/>
                <w:sz w:val="14"/>
                <w:szCs w:val="14"/>
                <w:color w:val="auto"/>
              </w:rPr>
              <w:t>Advances and overdrafts</w:t>
            </w:r>
          </w:p>
        </w:tc>
        <w:tc>
          <w:tcPr>
            <w:tcW w:w="26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47,147</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47,147</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190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w:t>
            </w:r>
          </w:p>
        </w:tc>
        <w:tc>
          <w:tcPr>
            <w:tcW w:w="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87"/>
              </w:rPr>
              <w:t>US$</w:t>
            </w: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11,603,621</w:t>
            </w:r>
          </w:p>
        </w:tc>
        <w:tc>
          <w:tcPr>
            <w:tcW w:w="38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3,404,945</w:t>
            </w:r>
          </w:p>
        </w:tc>
        <w:tc>
          <w:tcPr>
            <w:tcW w:w="180" w:type="dxa"/>
            <w:vAlign w:val="bottom"/>
            <w:shd w:val="clear" w:color="auto" w:fill="CCFFCC"/>
          </w:tcPr>
          <w:p>
            <w:pPr>
              <w:spacing w:after="0"/>
              <w:rPr>
                <w:sz w:val="13"/>
                <w:szCs w:val="13"/>
                <w:color w:val="auto"/>
              </w:rPr>
            </w:pPr>
          </w:p>
        </w:tc>
        <w:tc>
          <w:tcPr>
            <w:tcW w:w="36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2,864,865</w:t>
            </w:r>
          </w:p>
        </w:tc>
        <w:tc>
          <w:tcPr>
            <w:tcW w:w="180" w:type="dxa"/>
            <w:vAlign w:val="bottom"/>
            <w:shd w:val="clear" w:color="auto" w:fill="CCFFCC"/>
          </w:tcPr>
          <w:p>
            <w:pPr>
              <w:spacing w:after="0"/>
              <w:rPr>
                <w:sz w:val="13"/>
                <w:szCs w:val="13"/>
                <w:color w:val="auto"/>
              </w:rPr>
            </w:pPr>
          </w:p>
        </w:tc>
        <w:tc>
          <w:tcPr>
            <w:tcW w:w="340" w:type="dxa"/>
            <w:vAlign w:val="bottom"/>
            <w:gridSpan w:val="2"/>
            <w:shd w:val="clear" w:color="auto" w:fill="CCFFCC"/>
          </w:tcPr>
          <w:p>
            <w:pPr>
              <w:ind w:left="4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2,077,950</w:t>
            </w:r>
          </w:p>
        </w:tc>
        <w:tc>
          <w:tcPr>
            <w:tcW w:w="160" w:type="dxa"/>
            <w:vAlign w:val="bottom"/>
            <w:shd w:val="clear" w:color="auto" w:fill="CCFFCC"/>
          </w:tcPr>
          <w:p>
            <w:pPr>
              <w:spacing w:after="0"/>
              <w:rPr>
                <w:sz w:val="13"/>
                <w:szCs w:val="13"/>
                <w:color w:val="auto"/>
              </w:rPr>
            </w:pPr>
          </w:p>
        </w:tc>
        <w:tc>
          <w:tcPr>
            <w:tcW w:w="34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w w:val="95"/>
              </w:rPr>
              <w:t>US$</w:t>
            </w:r>
          </w:p>
        </w:tc>
        <w:tc>
          <w:tcPr>
            <w:tcW w:w="126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1,218,240</w:t>
            </w:r>
          </w:p>
        </w:tc>
        <w:tc>
          <w:tcPr>
            <w:tcW w:w="460" w:type="dxa"/>
            <w:vAlign w:val="bottom"/>
            <w:gridSpan w:val="2"/>
            <w:shd w:val="clear" w:color="auto" w:fill="CCFFCC"/>
          </w:tcPr>
          <w:p>
            <w:pPr>
              <w:ind w:left="60"/>
              <w:spacing w:after="0" w:line="149" w:lineRule="exact"/>
              <w:rPr>
                <w:sz w:val="20"/>
                <w:szCs w:val="20"/>
                <w:color w:val="auto"/>
              </w:rPr>
            </w:pPr>
            <w:r>
              <w:rPr>
                <w:rFonts w:ascii="Arial" w:cs="Arial" w:eastAsia="Arial" w:hAnsi="Arial"/>
                <w:sz w:val="14"/>
                <w:szCs w:val="14"/>
                <w:color w:val="auto"/>
              </w:rPr>
              <w:t>US$</w:t>
            </w:r>
          </w:p>
        </w:tc>
        <w:tc>
          <w:tcPr>
            <w:tcW w:w="10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2,037,621</w:t>
            </w:r>
          </w:p>
        </w:tc>
        <w:tc>
          <w:tcPr>
            <w:tcW w:w="40" w:type="dxa"/>
            <w:vAlign w:val="bottom"/>
          </w:tcPr>
          <w:p>
            <w:pPr>
              <w:spacing w:after="0"/>
              <w:rPr>
                <w:sz w:val="13"/>
                <w:szCs w:val="13"/>
                <w:color w:val="auto"/>
              </w:rPr>
            </w:pPr>
          </w:p>
        </w:tc>
      </w:tr>
      <w:tr>
        <w:trPr>
          <w:trHeight w:val="130"/>
        </w:trPr>
        <w:tc>
          <w:tcPr>
            <w:tcW w:w="20" w:type="dxa"/>
            <w:vAlign w:val="bottom"/>
          </w:tcPr>
          <w:p>
            <w:pPr>
              <w:spacing w:after="0"/>
              <w:rPr>
                <w:sz w:val="11"/>
                <w:szCs w:val="11"/>
                <w:color w:val="auto"/>
              </w:rPr>
            </w:pPr>
          </w:p>
        </w:tc>
        <w:tc>
          <w:tcPr>
            <w:tcW w:w="1900" w:type="dxa"/>
            <w:vAlign w:val="bottom"/>
            <w:tcBorders>
              <w:top w:val="single" w:sz="8" w:color="CCFFCC"/>
            </w:tcBorders>
          </w:tcPr>
          <w:p>
            <w:pPr>
              <w:spacing w:after="0" w:line="130" w:lineRule="exact"/>
              <w:rPr>
                <w:sz w:val="20"/>
                <w:szCs w:val="20"/>
                <w:color w:val="auto"/>
              </w:rPr>
            </w:pPr>
            <w:r>
              <w:rPr>
                <w:rFonts w:ascii="Arial" w:cs="Arial" w:eastAsia="Arial" w:hAnsi="Arial"/>
                <w:sz w:val="14"/>
                <w:szCs w:val="14"/>
                <w:color w:val="auto"/>
              </w:rPr>
              <w:t>% of total performing loan</w:t>
            </w:r>
          </w:p>
        </w:tc>
        <w:tc>
          <w:tcPr>
            <w:tcW w:w="2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60" w:type="dxa"/>
            <w:vAlign w:val="bottom"/>
            <w:tcBorders>
              <w:top w:val="single" w:sz="8" w:color="CCFFCC"/>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60" w:type="dxa"/>
            <w:vAlign w:val="bottom"/>
            <w:tcBorders>
              <w:top w:val="single" w:sz="8" w:color="CCFFC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40" w:type="dxa"/>
            <w:vAlign w:val="bottom"/>
            <w:tcBorders>
              <w:top w:val="single" w:sz="8" w:color="CCFFCC"/>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60" w:type="dxa"/>
            <w:vAlign w:val="bottom"/>
            <w:tcBorders>
              <w:top w:val="single" w:sz="8" w:color="CCFFCC"/>
            </w:tcBorders>
          </w:tcPr>
          <w:p>
            <w:pPr>
              <w:spacing w:after="0"/>
              <w:rPr>
                <w:sz w:val="11"/>
                <w:szCs w:val="11"/>
                <w:color w:val="auto"/>
              </w:rPr>
            </w:pPr>
          </w:p>
        </w:tc>
        <w:tc>
          <w:tcPr>
            <w:tcW w:w="60" w:type="dxa"/>
            <w:vAlign w:val="bottom"/>
            <w:tcBorders>
              <w:top w:val="single" w:sz="8" w:color="CCFFCC"/>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60" w:type="dxa"/>
            <w:vAlign w:val="bottom"/>
            <w:tcBorders>
              <w:top w:val="single" w:sz="8" w:color="CCFFCC"/>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20" w:type="dxa"/>
            <w:vAlign w:val="bottom"/>
            <w:tcBorders>
              <w:top w:val="single" w:sz="8" w:color="CCFFCC"/>
            </w:tcBorders>
          </w:tcPr>
          <w:p>
            <w:pPr>
              <w:spacing w:after="0"/>
              <w:rPr>
                <w:sz w:val="11"/>
                <w:szCs w:val="11"/>
                <w:color w:val="auto"/>
              </w:rPr>
            </w:pPr>
          </w:p>
        </w:tc>
        <w:tc>
          <w:tcPr>
            <w:tcW w:w="40" w:type="dxa"/>
            <w:vAlign w:val="bottom"/>
          </w:tcPr>
          <w:p>
            <w:pPr>
              <w:spacing w:after="0"/>
              <w:rPr>
                <w:sz w:val="11"/>
                <w:szCs w:val="11"/>
                <w:color w:val="auto"/>
              </w:rPr>
            </w:pPr>
          </w:p>
        </w:tc>
      </w:tr>
      <w:tr>
        <w:trPr>
          <w:trHeight w:val="182"/>
        </w:trPr>
        <w:tc>
          <w:tcPr>
            <w:tcW w:w="1920" w:type="dxa"/>
            <w:vAlign w:val="bottom"/>
            <w:gridSpan w:val="2"/>
          </w:tcPr>
          <w:p>
            <w:pPr>
              <w:spacing w:after="0"/>
              <w:rPr>
                <w:sz w:val="20"/>
                <w:szCs w:val="20"/>
                <w:color w:val="auto"/>
              </w:rPr>
            </w:pPr>
            <w:r>
              <w:rPr>
                <w:rFonts w:ascii="Arial" w:cs="Arial" w:eastAsia="Arial" w:hAnsi="Arial"/>
                <w:sz w:val="14"/>
                <w:szCs w:val="14"/>
                <w:color w:val="auto"/>
              </w:rPr>
              <w:t>portfolio</w:t>
            </w:r>
          </w:p>
        </w:tc>
        <w:tc>
          <w:tcPr>
            <w:tcW w:w="26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100.00%</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29.34%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4"/>
                <w:szCs w:val="14"/>
                <w:color w:val="auto"/>
              </w:rPr>
              <w:t>24.69%</w:t>
            </w: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4"/>
                <w:szCs w:val="14"/>
                <w:color w:val="auto"/>
              </w:rPr>
              <w:t>17.91%</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4"/>
                <w:szCs w:val="14"/>
                <w:color w:val="auto"/>
              </w:rPr>
              <w:t>10.50%</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17.56%</w:t>
            </w:r>
          </w:p>
        </w:tc>
        <w:tc>
          <w:tcPr>
            <w:tcW w:w="40" w:type="dxa"/>
            <w:vAlign w:val="bottom"/>
          </w:tcPr>
          <w:p>
            <w:pPr>
              <w:spacing w:after="0"/>
              <w:rPr>
                <w:sz w:val="15"/>
                <w:szCs w:val="15"/>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Sensitivity of the Loan Portfolio</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interest rate sensitivity of our loan portfolio on December 31, 2009, by currency and by the time remaining to maturity over one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218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92"/>
              </w:rPr>
              <w:t>Amount at</w:t>
            </w: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9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 2009</w:t>
            </w:r>
          </w:p>
        </w:tc>
        <w:tc>
          <w:tcPr>
            <w:tcW w:w="200" w:type="dxa"/>
            <w:vAlign w:val="bottom"/>
          </w:tcPr>
          <w:p>
            <w:pPr>
              <w:spacing w:after="0"/>
              <w:rPr>
                <w:sz w:val="20"/>
                <w:szCs w:val="20"/>
                <w:color w:val="auto"/>
              </w:rPr>
            </w:pPr>
          </w:p>
        </w:tc>
        <w:tc>
          <w:tcPr>
            <w:tcW w:w="22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Maturing After 1 year</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i w:val="1"/>
                <w:iCs w:val="1"/>
                <w:color w:val="auto"/>
              </w:rPr>
              <w:t>(U.S. Dollars in thousands)</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Variable Rate</w:t>
            </w:r>
          </w:p>
        </w:tc>
        <w:tc>
          <w:tcPr>
            <w:tcW w:w="10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Nuevo Sol-denominated</w:t>
            </w:r>
          </w:p>
        </w:tc>
        <w:tc>
          <w:tcPr>
            <w:tcW w:w="1040" w:type="dxa"/>
            <w:vAlign w:val="bottom"/>
          </w:tcPr>
          <w:p>
            <w:pPr>
              <w:ind w:left="58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624,400</w:t>
            </w:r>
          </w:p>
        </w:tc>
        <w:tc>
          <w:tcPr>
            <w:tcW w:w="1320" w:type="dxa"/>
            <w:vAlign w:val="bottom"/>
          </w:tcPr>
          <w:p>
            <w:pPr>
              <w:ind w:left="80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595,639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0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991,712</w:t>
            </w:r>
          </w:p>
        </w:tc>
        <w:tc>
          <w:tcPr>
            <w:tcW w:w="1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637,874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1,616,112</w:t>
            </w:r>
          </w:p>
        </w:tc>
        <w:tc>
          <w:tcPr>
            <w:tcW w:w="1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1,233,513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188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Fixed Rate </w:t>
            </w:r>
            <w:r>
              <w:rPr>
                <w:rFonts w:ascii="Arial" w:cs="Arial" w:eastAsia="Arial" w:hAnsi="Arial"/>
                <w:sz w:val="18"/>
                <w:szCs w:val="18"/>
                <w:color w:val="auto"/>
              </w:rPr>
              <w:t>(2)</w:t>
            </w:r>
          </w:p>
        </w:tc>
        <w:tc>
          <w:tcPr>
            <w:tcW w:w="10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10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3,761,565</w:t>
            </w:r>
          </w:p>
        </w:tc>
        <w:tc>
          <w:tcPr>
            <w:tcW w:w="132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1,211,264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Foreign Currency-denominated</w:t>
            </w:r>
          </w:p>
        </w:tc>
        <w:tc>
          <w:tcPr>
            <w:tcW w:w="10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6,127,642</w:t>
            </w:r>
          </w:p>
        </w:tc>
        <w:tc>
          <w:tcPr>
            <w:tcW w:w="1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2,889,032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FFCC"/>
          </w:tcPr>
          <w:p>
            <w:pPr>
              <w:spacing w:after="0"/>
              <w:rPr>
                <w:sz w:val="19"/>
                <w:szCs w:val="19"/>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9,889,207</w:t>
            </w:r>
          </w:p>
        </w:tc>
        <w:tc>
          <w:tcPr>
            <w:tcW w:w="132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4,100,296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1120" w:type="dxa"/>
            <w:vAlign w:val="bottom"/>
            <w:tcBorders>
              <w:top w:val="single" w:sz="8" w:color="CCFFCC"/>
            </w:tcBorders>
          </w:tcPr>
          <w:p>
            <w:pPr>
              <w:spacing w:after="0"/>
              <w:rPr>
                <w:sz w:val="18"/>
                <w:szCs w:val="18"/>
                <w:color w:val="auto"/>
              </w:rPr>
            </w:pPr>
          </w:p>
        </w:tc>
        <w:tc>
          <w:tcPr>
            <w:tcW w:w="18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(1)</w:t>
            </w:r>
          </w:p>
        </w:tc>
        <w:tc>
          <w:tcPr>
            <w:tcW w:w="1040" w:type="dxa"/>
            <w:vAlign w:val="bottom"/>
            <w:shd w:val="clear" w:color="auto" w:fill="CCFFCC"/>
          </w:tcPr>
          <w:p>
            <w:pPr>
              <w:ind w:left="58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11,505,319</w:t>
            </w:r>
          </w:p>
        </w:tc>
        <w:tc>
          <w:tcPr>
            <w:tcW w:w="1320" w:type="dxa"/>
            <w:vAlign w:val="bottom"/>
            <w:shd w:val="clear" w:color="auto" w:fill="CCFFCC"/>
          </w:tcPr>
          <w:p>
            <w:pPr>
              <w:ind w:left="80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5,333,809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hanging="328"/>
        <w:spacing w:after="0"/>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3"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Most of the financial products with fixed rates can be switched to variable rates according to market conditions as specified on the contracts with clients.</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Classification of the Loan Portfolio</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classify BCP’s loan portfolio (which includes the loan portfolio of BCB) and ASHC’s loan portfolio in accordance with SBS regulations. According to SBS Resolution No. 808-2003, banks must classify all loans and other credits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which are exclusively targeted for the production and sale of goods and services, are made to individuals or companies with no more than S/.300,000 in total loans received from the financial system (excluding mortgage loans).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home, in each case backed by a mortgage. Mortgage loans made to directors and employees of a company are also considered residential mortgage loans. Mortgage-backed loans are considered commercial loans. The classification of the loan determines the amount the bank is required to reserve should the borrower fail to make payments as they become due.</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1" w:name="page82"/>
    <w:bookmarkEnd w:id="81"/>
    <w:p>
      <w:pPr>
        <w:jc w:val="both"/>
        <w:ind w:firstLine="648"/>
        <w:spacing w:after="0" w:line="272" w:lineRule="auto"/>
        <w:rPr>
          <w:sz w:val="20"/>
          <w:szCs w:val="20"/>
          <w:color w:val="auto"/>
        </w:rPr>
      </w:pPr>
      <w:r>
        <w:rPr>
          <w:rFonts w:ascii="Arial" w:cs="Arial" w:eastAsia="Arial" w:hAnsi="Arial"/>
          <w:sz w:val="17"/>
          <w:szCs w:val="17"/>
          <w:color w:val="auto"/>
        </w:rPr>
        <w:t>Regulations promulgated by the SBS also require Peruvian banks to classify all loans into one of five categories depending upon each loan’s degree of risk of nonpayment. We review our loan portfolio on a continuing basis, while the SBS reviews our portfolio as it deems necessary or prudent. In compliance with SBS guidelines, we classify our loans based upon risk of nonpayment by assessing the following factors: (i) the payment history of the particular loans, (ii) the history of our dealings with the borrower, (iii) the borrower’s management, (iv) the borrower’s operating history, (v) the borrower’s repayment capability, (vi) the borrower’s availability of funds, (vii) the status of any collateral or guarantee, (viii) the borrower’s financial statements, (iv) the general risk of the sector in which the borrower operates, (x) the borrower’s risk classification made by other financial institutions and (xi) other relevant factors. The classification of the loan determines the amount of the required loan loss provision.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loan portfolio by class at the date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right="440"/>
              <w:spacing w:after="0"/>
              <w:rPr>
                <w:sz w:val="20"/>
                <w:szCs w:val="20"/>
                <w:color w:val="auto"/>
              </w:rPr>
            </w:pPr>
            <w:r>
              <w:rPr>
                <w:rFonts w:ascii="Arial" w:cs="Arial" w:eastAsia="Arial" w:hAnsi="Arial"/>
                <w:sz w:val="18"/>
                <w:szCs w:val="18"/>
                <w:b w:val="1"/>
                <w:bCs w:val="1"/>
                <w:color w:val="auto"/>
                <w:w w:val="90"/>
              </w:rPr>
              <w:t>At December 31,</w:t>
            </w: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2005</w:t>
            </w:r>
          </w:p>
        </w:tc>
        <w:tc>
          <w:tcPr>
            <w:tcW w:w="320" w:type="dxa"/>
            <w:vAlign w:val="bottom"/>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2006</w:t>
            </w:r>
          </w:p>
        </w:tc>
        <w:tc>
          <w:tcPr>
            <w:tcW w:w="32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73"/>
              </w:rPr>
              <w:t>(U.S.</w:t>
            </w:r>
          </w:p>
        </w:tc>
        <w:tc>
          <w:tcPr>
            <w:tcW w:w="17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i w:val="1"/>
                <w:iCs w:val="1"/>
                <w:color w:val="auto"/>
                <w:w w:val="96"/>
              </w:rPr>
              <w:t>Dollars in thousands)</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US$ 3,771,488</w:t>
            </w:r>
          </w:p>
        </w:tc>
        <w:tc>
          <w:tcPr>
            <w:tcW w:w="158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US$ 4,390,547</w:t>
            </w:r>
          </w:p>
        </w:tc>
        <w:tc>
          <w:tcPr>
            <w:tcW w:w="1720" w:type="dxa"/>
            <w:vAlign w:val="bottom"/>
            <w:gridSpan w:val="3"/>
            <w:shd w:val="clear" w:color="auto" w:fill="CCFFCC"/>
          </w:tcPr>
          <w:p>
            <w:pPr>
              <w:ind w:left="120"/>
              <w:spacing w:after="0"/>
              <w:rPr>
                <w:sz w:val="20"/>
                <w:szCs w:val="20"/>
                <w:color w:val="auto"/>
              </w:rPr>
            </w:pPr>
            <w:r>
              <w:rPr>
                <w:rFonts w:ascii="Arial" w:cs="Arial" w:eastAsia="Arial" w:hAnsi="Arial"/>
                <w:sz w:val="18"/>
                <w:szCs w:val="18"/>
                <w:color w:val="auto"/>
              </w:rPr>
              <w:t>US$ 6,055,206</w:t>
            </w:r>
          </w:p>
        </w:tc>
        <w:tc>
          <w:tcPr>
            <w:tcW w:w="400" w:type="dxa"/>
            <w:vAlign w:val="bottom"/>
            <w:shd w:val="clear" w:color="auto" w:fill="CCFFCC"/>
          </w:tcPr>
          <w:p>
            <w:pPr>
              <w:ind w:left="80"/>
              <w:spacing w:after="0"/>
              <w:rPr>
                <w:sz w:val="20"/>
                <w:szCs w:val="20"/>
                <w:color w:val="auto"/>
              </w:rPr>
            </w:pPr>
            <w:r>
              <w:rPr>
                <w:rFonts w:ascii="Arial" w:cs="Arial" w:eastAsia="Arial" w:hAnsi="Arial"/>
                <w:sz w:val="18"/>
                <w:szCs w:val="18"/>
                <w:color w:val="auto"/>
                <w:w w:val="85"/>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7,808,671</w:t>
            </w: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ind w:left="20"/>
              <w:spacing w:after="0"/>
              <w:rPr>
                <w:sz w:val="20"/>
                <w:szCs w:val="20"/>
                <w:color w:val="auto"/>
              </w:rPr>
            </w:pPr>
            <w:r>
              <w:rPr>
                <w:rFonts w:ascii="Arial" w:cs="Arial" w:eastAsia="Arial" w:hAnsi="Arial"/>
                <w:sz w:val="18"/>
                <w:szCs w:val="18"/>
                <w:color w:val="auto"/>
                <w:w w:val="85"/>
              </w:rPr>
              <w:t>US$</w:t>
            </w: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8,283,790</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Consumer loans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356,595</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506,184</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874,804</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1,162,399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1,467,793</w:t>
            </w:r>
          </w:p>
        </w:tc>
      </w:tr>
      <w:tr>
        <w:trPr>
          <w:trHeight w:val="216"/>
        </w:trPr>
        <w:tc>
          <w:tcPr>
            <w:tcW w:w="20" w:type="dxa"/>
            <w:vAlign w:val="bottom"/>
          </w:tcPr>
          <w:p>
            <w:pPr>
              <w:spacing w:after="0"/>
              <w:rPr>
                <w:sz w:val="18"/>
                <w:szCs w:val="18"/>
                <w:color w:val="auto"/>
              </w:rPr>
            </w:pPr>
          </w:p>
        </w:tc>
        <w:tc>
          <w:tcPr>
            <w:tcW w:w="374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844,892</w:t>
            </w:r>
          </w:p>
        </w:tc>
        <w:tc>
          <w:tcPr>
            <w:tcW w:w="158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980,630</w:t>
            </w:r>
          </w:p>
        </w:tc>
        <w:tc>
          <w:tcPr>
            <w:tcW w:w="15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1,253,835</w:t>
            </w:r>
          </w:p>
        </w:tc>
        <w:tc>
          <w:tcPr>
            <w:tcW w:w="1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1,485,214</w:t>
            </w: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9"/>
              </w:rPr>
              <w:t>1,753,736</w:t>
            </w:r>
          </w:p>
        </w:tc>
      </w:tr>
      <w:tr>
        <w:trPr>
          <w:trHeight w:val="230"/>
        </w:trPr>
        <w:tc>
          <w:tcPr>
            <w:tcW w:w="20" w:type="dxa"/>
            <w:vAlign w:val="bottom"/>
          </w:tcPr>
          <w:p>
            <w:pPr>
              <w:spacing w:after="0"/>
              <w:rPr>
                <w:sz w:val="20"/>
                <w:szCs w:val="20"/>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Total performing loans (1)</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US$ 4,972,975</w:t>
            </w:r>
          </w:p>
        </w:tc>
        <w:tc>
          <w:tcPr>
            <w:tcW w:w="1580" w:type="dxa"/>
            <w:vAlign w:val="bottom"/>
            <w:gridSpan w:val="2"/>
          </w:tcPr>
          <w:p>
            <w:pPr>
              <w:jc w:val="right"/>
              <w:ind w:right="230"/>
              <w:spacing w:after="0"/>
              <w:rPr>
                <w:sz w:val="20"/>
                <w:szCs w:val="20"/>
                <w:color w:val="auto"/>
              </w:rPr>
            </w:pPr>
            <w:r>
              <w:rPr>
                <w:rFonts w:ascii="Arial" w:cs="Arial" w:eastAsia="Arial" w:hAnsi="Arial"/>
                <w:sz w:val="18"/>
                <w:szCs w:val="18"/>
                <w:color w:val="auto"/>
              </w:rPr>
              <w:t>US$ 5,877,361</w:t>
            </w:r>
          </w:p>
        </w:tc>
        <w:tc>
          <w:tcPr>
            <w:tcW w:w="1720" w:type="dxa"/>
            <w:vAlign w:val="bottom"/>
            <w:gridSpan w:val="3"/>
          </w:tcPr>
          <w:p>
            <w:pPr>
              <w:ind w:left="120"/>
              <w:spacing w:after="0"/>
              <w:rPr>
                <w:sz w:val="20"/>
                <w:szCs w:val="20"/>
                <w:color w:val="auto"/>
              </w:rPr>
            </w:pPr>
            <w:r>
              <w:rPr>
                <w:rFonts w:ascii="Arial" w:cs="Arial" w:eastAsia="Arial" w:hAnsi="Arial"/>
                <w:sz w:val="18"/>
                <w:szCs w:val="18"/>
                <w:color w:val="auto"/>
              </w:rPr>
              <w:t>US$ 8,183,845</w:t>
            </w:r>
          </w:p>
        </w:tc>
        <w:tc>
          <w:tcPr>
            <w:tcW w:w="400" w:type="dxa"/>
            <w:vAlign w:val="bottom"/>
          </w:tcPr>
          <w:p>
            <w:pPr>
              <w:ind w:left="80"/>
              <w:spacing w:after="0"/>
              <w:rPr>
                <w:sz w:val="20"/>
                <w:szCs w:val="20"/>
                <w:color w:val="auto"/>
              </w:rPr>
            </w:pPr>
            <w:r>
              <w:rPr>
                <w:rFonts w:ascii="Arial" w:cs="Arial" w:eastAsia="Arial" w:hAnsi="Arial"/>
                <w:sz w:val="18"/>
                <w:szCs w:val="18"/>
                <w:color w:val="auto"/>
                <w:w w:val="85"/>
              </w:rPr>
              <w:t>US$</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10,456,284</w:t>
            </w:r>
          </w:p>
        </w:tc>
        <w:tc>
          <w:tcPr>
            <w:tcW w:w="340" w:type="dxa"/>
            <w:vAlign w:val="bottom"/>
          </w:tcPr>
          <w:p>
            <w:pPr>
              <w:ind w:left="20"/>
              <w:spacing w:after="0"/>
              <w:rPr>
                <w:sz w:val="20"/>
                <w:szCs w:val="20"/>
                <w:color w:val="auto"/>
              </w:rPr>
            </w:pPr>
            <w:r>
              <w:rPr>
                <w:rFonts w:ascii="Arial" w:cs="Arial" w:eastAsia="Arial" w:hAnsi="Arial"/>
                <w:sz w:val="18"/>
                <w:szCs w:val="18"/>
                <w:color w:val="auto"/>
                <w:w w:val="85"/>
              </w:rPr>
              <w:t>US$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11,505,319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461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(1)  Net of unearned interest.</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employ a range of policies and practices to mitigate credit risk. Our most traditional practice is taking security for fund advances. We implement guidelines on the acceptability of specific classes of collateral or credit risk mitigation. The principal collateral types for loans and advances are mortgages over residential properties, liens over business assets (such as premises, inventory and accounts receivable), and liens over financial instruments (such as debt securities and equities).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Long term finance and lending to corporate entities are generally secured, while revolving individual credit facilities are generally unsecured. In order to minimize credit loss, we seek additional collateral as soon as impairment indicators become apparent.</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determine the appropriate collateral to hold as security for financial assets (other than loans) according to the nature of the instrument. Debt securities, treasury and other eligible bills are generally unsecured, with the exception of asset-backed securities and other similar instruments, which are secured by portfolios of financial instruments.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monitors the market value of collateral, requests additional collateral in accordance with the underlying agreement, and monitors the market value of the additional collateral obtained during its review of the allowance for impairment losses. Our policy is to dispose of repossessed properties in an orderly manner. We use the proceeds to reduce or repay the outstanding claim. In general, we do not use repossessed properties for our own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6"/>
          <w:szCs w:val="16"/>
          <w:color w:val="auto"/>
        </w:rPr>
        <w:t>We classify our loan portfolio into one of five risk categories, depending upon the degree of risk of non-payment of each debtor. These categories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(i) normal, (ii) potential problems, (iii) substandard, (iv) doubtful and (v) loss. The categories have the following characteristics:</w:t>
      </w:r>
    </w:p>
    <w:p>
      <w:pPr>
        <w:spacing w:after="0" w:line="23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Normal (Class A): </w:t>
      </w:r>
      <w:r>
        <w:rPr>
          <w:rFonts w:ascii="Arial" w:cs="Arial" w:eastAsia="Arial" w:hAnsi="Arial"/>
          <w:sz w:val="17"/>
          <w:szCs w:val="17"/>
          <w:color w:val="auto"/>
        </w:rPr>
        <w:t>Debtors with commercial loans in this category have complied on a timely basis with their obligations under the loan. At the time</w:t>
      </w:r>
      <w:r>
        <w:rPr>
          <w:rFonts w:ascii="Arial" w:cs="Arial" w:eastAsia="Arial" w:hAnsi="Arial"/>
          <w:sz w:val="17"/>
          <w:szCs w:val="17"/>
          <w:i w:val="1"/>
          <w:iCs w:val="1"/>
          <w:color w:val="auto"/>
        </w:rPr>
        <w:t xml:space="preserve"> </w:t>
      </w:r>
      <w:r>
        <w:rPr>
          <w:rFonts w:ascii="Arial" w:cs="Arial" w:eastAsia="Arial" w:hAnsi="Arial"/>
          <w:sz w:val="17"/>
          <w:szCs w:val="17"/>
          <w:color w:val="auto"/>
        </w:rPr>
        <w:t>of evaluation, there is no reason to doubt the debtor’s ability to repay interest and principal on the agreed dates, and there is no reason to believe that the status will change before the next evaluation. Before we place a loan in Class A, we must have a clear understanding of the use of the funds and the origin of the cash flows to be used by the debtor to repay the loan. Consumer loans are categorized as Class A when payments are current or up to eight days past due. Residential mortgage loans are categorized as Class A when payments are current or up to 30 days past due.</w:t>
      </w:r>
    </w:p>
    <w:p>
      <w:pPr>
        <w:spacing w:after="0" w:line="20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Potential problems (Class B): </w:t>
      </w:r>
      <w:r>
        <w:rPr>
          <w:rFonts w:ascii="Arial" w:cs="Arial" w:eastAsia="Arial" w:hAnsi="Arial"/>
          <w:sz w:val="16"/>
          <w:szCs w:val="16"/>
          <w:color w:val="auto"/>
        </w:rPr>
        <w:t>Debtors with commercial loans in this category demonstrate certain deficiencies at the time of evaluation, which, if</w:t>
      </w:r>
      <w:r>
        <w:rPr>
          <w:rFonts w:ascii="Arial" w:cs="Arial" w:eastAsia="Arial" w:hAnsi="Arial"/>
          <w:sz w:val="16"/>
          <w:szCs w:val="16"/>
          <w:i w:val="1"/>
          <w:iCs w:val="1"/>
          <w:color w:val="auto"/>
        </w:rPr>
        <w:t xml:space="preserve"> </w:t>
      </w:r>
      <w:r>
        <w:rPr>
          <w:rFonts w:ascii="Arial" w:cs="Arial" w:eastAsia="Arial" w:hAnsi="Arial"/>
          <w:sz w:val="16"/>
          <w:szCs w:val="16"/>
          <w:color w:val="auto"/>
        </w:rPr>
        <w:t>not corrected in a timely manner, imply risks regarding the recovery of the loan. Common characteristics of loans or credits in this category include: (i) delays in loan payments which are promptly covered, (ii) a general lack of information required to analyze the credit, (iii) out-of-date financial information,</w:t>
      </w:r>
    </w:p>
    <w:p>
      <w:pPr>
        <w:jc w:val="both"/>
        <w:ind w:firstLine="8"/>
        <w:spacing w:after="0" w:line="255" w:lineRule="auto"/>
        <w:tabs>
          <w:tab w:leader="none" w:pos="3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temporary economic or financial imbalances on the part of the debtor which could affect its ability to repay the loan, (v) market conditions that could affect the economic sector in which the debtor is active. Consumer loans are categorized as Class B when payments are between nine and 30 days past due. Residential mortgage loans are categorized as Class B when payments are between 31 and 90 days past due.</w:t>
      </w:r>
    </w:p>
    <w:p>
      <w:pPr>
        <w:spacing w:after="0" w:line="21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Substandard (Class C): </w:t>
      </w:r>
      <w:r>
        <w:rPr>
          <w:rFonts w:ascii="Arial" w:cs="Arial" w:eastAsia="Arial" w:hAnsi="Arial"/>
          <w:sz w:val="16"/>
          <w:szCs w:val="16"/>
          <w:color w:val="auto"/>
        </w:rPr>
        <w:t>Debtors with commercial loans in this category demonstrate serious financial weakness. They often do not have sufficient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results or available income to cover their financial obligations, and do not have reasonable short-term prospects for strengthening their financial capacity. Debtors demonstrating the same deficiencies that warrant Class B classification will warrant Class C classification if those deficiencies are such that if not corrected in the near term, they could impede the recovery of principal and interest on the loan on the agreed-upon terms. Commercial loans are classified in this category when payments are between 61 and 120 days past due. Consumer loans are categorized as Class C when payments are between 31 and 60 days past due. Residential mortgage loans are categorized as Class C when payments are between 91 and 120 days past due.</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Doubtful (Class D): </w:t>
      </w:r>
      <w:r>
        <w:rPr>
          <w:rFonts w:ascii="Arial" w:cs="Arial" w:eastAsia="Arial" w:hAnsi="Arial"/>
          <w:sz w:val="17"/>
          <w:szCs w:val="17"/>
          <w:color w:val="auto"/>
        </w:rPr>
        <w:t>Debtors with commercial loans in this category demonstrate characteristics that make it doubtful that the loan will be</w:t>
      </w:r>
      <w:r>
        <w:rPr>
          <w:rFonts w:ascii="Arial" w:cs="Arial" w:eastAsia="Arial" w:hAnsi="Arial"/>
          <w:sz w:val="17"/>
          <w:szCs w:val="17"/>
          <w:i w:val="1"/>
          <w:iCs w:val="1"/>
          <w:color w:val="auto"/>
        </w:rPr>
        <w:t xml:space="preserve"> </w:t>
      </w:r>
      <w:r>
        <w:rPr>
          <w:rFonts w:ascii="Arial" w:cs="Arial" w:eastAsia="Arial" w:hAnsi="Arial"/>
          <w:sz w:val="17"/>
          <w:szCs w:val="17"/>
          <w:color w:val="auto"/>
        </w:rPr>
        <w:t>recovered. Although recovery is doubtful, if there is a reasonable possibility that the creditworthiness of the debtor might improve in the near future, it is appropriate to categorize the loan as Class D. These loans are distinguished from Class E loans by the requirement that the debtor remain in operation, generate cash flow, and make payments on the loan, even if the payments are less than those required by the contract. Commercial loans are categorized as Class D if payments are between 121 and 365 days past due. Consumer loans are categorized as Class D when payments are between 61 and 120 days past due. Residential mortgage loans are categorized as Class D when payments are between 121 and 365 days past due.</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Loss credits (Class E): </w:t>
      </w:r>
      <w:r>
        <w:rPr>
          <w:rFonts w:ascii="Arial" w:cs="Arial" w:eastAsia="Arial" w:hAnsi="Arial"/>
          <w:sz w:val="18"/>
          <w:szCs w:val="18"/>
          <w:color w:val="auto"/>
        </w:rPr>
        <w:t>Commercial loans or credits are categorized as Class E if the loans are considered unrecoverable or for any other reason the</w:t>
      </w:r>
      <w:r>
        <w:rPr>
          <w:rFonts w:ascii="Arial" w:cs="Arial" w:eastAsia="Arial" w:hAnsi="Arial"/>
          <w:sz w:val="18"/>
          <w:szCs w:val="18"/>
          <w:i w:val="1"/>
          <w:iCs w:val="1"/>
          <w:color w:val="auto"/>
        </w:rPr>
        <w:t xml:space="preserve"> </w:t>
      </w:r>
      <w:r>
        <w:rPr>
          <w:rFonts w:ascii="Arial" w:cs="Arial" w:eastAsia="Arial" w:hAnsi="Arial"/>
          <w:sz w:val="18"/>
          <w:szCs w:val="18"/>
          <w:color w:val="auto"/>
        </w:rPr>
        <w:t>loans should not appear on our books as an asset based on the originally contracted terms. Commercial loans are categorized as Class E when payments are more than 365 days past due. Consumer loans are categorized as Class E when payments are more than 120 days past due. Residential mortgage loans are categorized as Class E when payments are more than 365 days past due.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continually review our loan portfolio to assess the completion and accuracy of the grades awarded.</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loans considered impaired (those classified as substandard, doubtful or loss) are analyzed by management. Management will address the impairment in two areas, individually assessed allowances and collectively assessed allowances, as follows: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3" w:name="page84"/>
    <w:bookmarkEnd w:id="83"/>
    <w:p>
      <w:pPr>
        <w:ind w:left="660"/>
        <w:spacing w:after="0"/>
        <w:rPr>
          <w:sz w:val="20"/>
          <w:szCs w:val="20"/>
          <w:color w:val="auto"/>
        </w:rPr>
      </w:pPr>
      <w:r>
        <w:rPr>
          <w:rFonts w:ascii="Arial" w:cs="Arial" w:eastAsia="Arial" w:hAnsi="Arial"/>
          <w:sz w:val="18"/>
          <w:szCs w:val="18"/>
          <w:i w:val="1"/>
          <w:iCs w:val="1"/>
          <w:color w:val="auto"/>
        </w:rPr>
        <w:t>Individually Assessed Allowance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determine the appropriate allowances for each individually significant loan or advance on an individual basis. In determining the allowance, we consider items such as (i) the sustainability of the party’s business plan, (ii) its ability to improve performance once a financial difficulty has arisen, (iii) projected receipts and the expected dividend payout should bankruptcy ensue, (iv) the availability of other financial support and the potential realized value of collateral, and (v) the timing of the expected cash flows. Impairment losses are evaluated at each reporting date, unless unforeseen circumstances require more attention.</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Collectively Assessed Allowance</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assess allowances collectively for (i) losses on loans and advances that are not individually significant (including consumer and residential mortgages) and (ii) individually significant loans and advances where there is not yet objective evidence of individual impairment (the Class A and B loans). We evaluate allowances on each reporting date, and each portfolio receives a separate review.</w:t>
      </w:r>
    </w:p>
    <w:p>
      <w:pPr>
        <w:spacing w:after="0" w:line="20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collective assessment takes into account an impairment that is likely to be present in the portfolio even though there is no objective evidence of the impairment in an individual assessment. We estimate impairment losses by considering the following information: (i) historical losses on the portfolio,</w:t>
      </w:r>
    </w:p>
    <w:p>
      <w:pPr>
        <w:jc w:val="both"/>
        <w:ind w:firstLine="8"/>
        <w:spacing w:after="0" w:line="254" w:lineRule="auto"/>
        <w:tabs>
          <w:tab w:leader="none" w:pos="273" w:val="left"/>
        </w:tabs>
        <w:numPr>
          <w:ilvl w:val="0"/>
          <w:numId w:val="89"/>
        </w:numPr>
        <w:rPr>
          <w:rFonts w:ascii="Arial" w:cs="Arial" w:eastAsia="Arial" w:hAnsi="Arial"/>
          <w:sz w:val="18"/>
          <w:szCs w:val="18"/>
          <w:color w:val="auto"/>
        </w:rPr>
      </w:pPr>
      <w:r>
        <w:rPr>
          <w:rFonts w:ascii="Arial" w:cs="Arial" w:eastAsia="Arial" w:hAnsi="Arial"/>
          <w:sz w:val="18"/>
          <w:szCs w:val="18"/>
          <w:color w:val="auto"/>
        </w:rPr>
        <w:t>current economic conditions, (iii) the approximate delay between the time a loss is likely to be incurred and the time it will be identified as requiring an individually assessed impairment allowance and (iv) expected receipts and recoveries once the impairment occurs. Local management is responsible for deciding the appropriate length of time, which can extend as long as one year. The impairment allowance is then reviewed by credit management to ensure it aligns with our overall policy.</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assess financial guarantees and letters of credit in the same way we assess loans.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the borrower is located in a country where there is an increased risk of difficulty servicing external debt, we assess the political and economic situation, and an additional country risk provision is provided.</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we determine a loan is uncollectible, it is written off against the provision for loan impairment. We write off these loans after all necessary procedures are completed and the amount of the loss is determined. Subsequent recoveries of amounts previously written off decrease the amount of the provision for loan impairment in our consolidated income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direct loan portfolio at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96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 December 31,</w:t>
            </w:r>
          </w:p>
        </w:tc>
        <w:tc>
          <w:tcPr>
            <w:tcW w:w="9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9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2005</w:t>
            </w:r>
          </w:p>
        </w:tc>
        <w:tc>
          <w:tcPr>
            <w:tcW w:w="11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88"/>
              <w:spacing w:after="0" w:line="149" w:lineRule="exact"/>
              <w:rPr>
                <w:sz w:val="20"/>
                <w:szCs w:val="20"/>
                <w:color w:val="auto"/>
              </w:rPr>
            </w:pPr>
            <w:r>
              <w:rPr>
                <w:rFonts w:ascii="Arial" w:cs="Arial" w:eastAsia="Arial" w:hAnsi="Arial"/>
                <w:sz w:val="14"/>
                <w:szCs w:val="14"/>
                <w:b w:val="1"/>
                <w:bCs w:val="1"/>
                <w:color w:val="auto"/>
              </w:rPr>
              <w:t>2006</w:t>
            </w:r>
          </w:p>
        </w:tc>
        <w:tc>
          <w:tcPr>
            <w:tcW w:w="96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28"/>
              <w:spacing w:after="0" w:line="149" w:lineRule="exact"/>
              <w:rPr>
                <w:sz w:val="20"/>
                <w:szCs w:val="20"/>
                <w:color w:val="auto"/>
              </w:rPr>
            </w:pPr>
            <w:r>
              <w:rPr>
                <w:rFonts w:ascii="Arial" w:cs="Arial" w:eastAsia="Arial" w:hAnsi="Arial"/>
                <w:sz w:val="14"/>
                <w:szCs w:val="14"/>
                <w:b w:val="1"/>
                <w:bCs w:val="1"/>
                <w:color w:val="auto"/>
              </w:rPr>
              <w:t>2007</w:t>
            </w: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60" w:type="dxa"/>
            <w:vAlign w:val="bottom"/>
            <w:vMerge w:val="restart"/>
          </w:tcPr>
          <w:p>
            <w:pPr>
              <w:spacing w:after="0"/>
              <w:rPr>
                <w:sz w:val="20"/>
                <w:szCs w:val="20"/>
                <w:color w:val="auto"/>
              </w:rPr>
            </w:pPr>
            <w:r>
              <w:rPr>
                <w:rFonts w:ascii="Arial" w:cs="Arial" w:eastAsia="Arial" w:hAnsi="Arial"/>
                <w:sz w:val="14"/>
                <w:szCs w:val="14"/>
                <w:color w:val="auto"/>
              </w:rPr>
              <w:t>Level of Risk</w:t>
            </w:r>
          </w:p>
        </w:tc>
        <w:tc>
          <w:tcPr>
            <w:tcW w:w="7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3"/>
          </w:tcPr>
          <w:p>
            <w:pPr>
              <w:ind w:left="60"/>
              <w:spacing w:after="0" w:line="149" w:lineRule="exact"/>
              <w:rPr>
                <w:sz w:val="20"/>
                <w:szCs w:val="20"/>
                <w:color w:val="auto"/>
              </w:rPr>
            </w:pPr>
            <w:r>
              <w:rPr>
                <w:rFonts w:ascii="Arial" w:cs="Arial" w:eastAsia="Arial" w:hAnsi="Arial"/>
                <w:sz w:val="14"/>
                <w:szCs w:val="14"/>
                <w:i w:val="1"/>
                <w:iCs w:val="1"/>
                <w:color w:val="auto"/>
                <w:w w:val="96"/>
              </w:rPr>
              <w:t>(U.S. Dollars in thousands, except percentages)</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1960" w:type="dxa"/>
            <w:vAlign w:val="bottom"/>
            <w:vMerge w:val="continue"/>
          </w:tcPr>
          <w:p>
            <w:pPr>
              <w:spacing w:after="0"/>
              <w:rPr>
                <w:sz w:val="11"/>
                <w:szCs w:val="11"/>
                <w:color w:val="auto"/>
              </w:rPr>
            </w:pPr>
          </w:p>
        </w:tc>
        <w:tc>
          <w:tcPr>
            <w:tcW w:w="1860" w:type="dxa"/>
            <w:vAlign w:val="bottom"/>
            <w:gridSpan w:val="2"/>
            <w:vMerge w:val="restart"/>
          </w:tcPr>
          <w:p>
            <w:pPr>
              <w:jc w:val="right"/>
              <w:ind w:right="828"/>
              <w:spacing w:after="0"/>
              <w:rPr>
                <w:sz w:val="20"/>
                <w:szCs w:val="20"/>
                <w:color w:val="auto"/>
              </w:rPr>
            </w:pPr>
            <w:r>
              <w:rPr>
                <w:rFonts w:ascii="Arial" w:cs="Arial" w:eastAsia="Arial" w:hAnsi="Arial"/>
                <w:sz w:val="14"/>
                <w:szCs w:val="14"/>
                <w:b w:val="1"/>
                <w:bCs w:val="1"/>
                <w:color w:val="auto"/>
              </w:rPr>
              <w:t>Amount</w:t>
            </w:r>
          </w:p>
        </w:tc>
        <w:tc>
          <w:tcPr>
            <w:tcW w:w="13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 Total</w:t>
            </w:r>
          </w:p>
        </w:tc>
        <w:tc>
          <w:tcPr>
            <w:tcW w:w="198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118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 Total</w:t>
            </w:r>
          </w:p>
        </w:tc>
        <w:tc>
          <w:tcPr>
            <w:tcW w:w="1820" w:type="dxa"/>
            <w:vAlign w:val="bottom"/>
            <w:gridSpan w:val="2"/>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 Total</w:t>
            </w:r>
          </w:p>
        </w:tc>
        <w:tc>
          <w:tcPr>
            <w:tcW w:w="0" w:type="dxa"/>
            <w:vAlign w:val="bottom"/>
          </w:tcPr>
          <w:p>
            <w:pPr>
              <w:spacing w:after="0"/>
              <w:rPr>
                <w:sz w:val="1"/>
                <w:szCs w:val="1"/>
                <w:color w:val="auto"/>
              </w:rPr>
            </w:pPr>
          </w:p>
        </w:tc>
      </w:tr>
      <w:tr>
        <w:trPr>
          <w:trHeight w:val="167"/>
        </w:trPr>
        <w:tc>
          <w:tcPr>
            <w:tcW w:w="1960" w:type="dxa"/>
            <w:vAlign w:val="bottom"/>
          </w:tcPr>
          <w:p>
            <w:pPr>
              <w:spacing w:after="0"/>
              <w:rPr>
                <w:sz w:val="20"/>
                <w:szCs w:val="20"/>
                <w:color w:val="auto"/>
              </w:rPr>
            </w:pPr>
            <w:r>
              <w:rPr>
                <w:rFonts w:ascii="Arial" w:cs="Arial" w:eastAsia="Arial" w:hAnsi="Arial"/>
                <w:sz w:val="14"/>
                <w:szCs w:val="14"/>
                <w:color w:val="auto"/>
              </w:rPr>
              <w:t>Classification</w:t>
            </w:r>
          </w:p>
        </w:tc>
        <w:tc>
          <w:tcPr>
            <w:tcW w:w="1860" w:type="dxa"/>
            <w:vAlign w:val="bottom"/>
            <w:gridSpan w:val="2"/>
            <w:vMerge w:val="continue"/>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A: Normal</w:t>
            </w:r>
          </w:p>
        </w:tc>
        <w:tc>
          <w:tcPr>
            <w:tcW w:w="700" w:type="dxa"/>
            <w:vAlign w:val="bottom"/>
            <w:shd w:val="clear" w:color="auto" w:fill="CCFFCC"/>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4,273,719</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85.9%</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shd w:val="clear" w:color="auto" w:fill="CCFFCC"/>
          </w:tcPr>
          <w:p>
            <w:pPr>
              <w:jc w:val="right"/>
              <w:ind w:right="548"/>
              <w:spacing w:after="0" w:line="149" w:lineRule="exact"/>
              <w:rPr>
                <w:sz w:val="20"/>
                <w:szCs w:val="20"/>
                <w:color w:val="auto"/>
              </w:rPr>
            </w:pPr>
            <w:r>
              <w:rPr>
                <w:rFonts w:ascii="Arial" w:cs="Arial" w:eastAsia="Arial" w:hAnsi="Arial"/>
                <w:sz w:val="14"/>
                <w:szCs w:val="14"/>
                <w:color w:val="auto"/>
                <w:w w:val="96"/>
              </w:rPr>
              <w:t>5,296,653</w:t>
            </w:r>
          </w:p>
        </w:tc>
        <w:tc>
          <w:tcPr>
            <w:tcW w:w="11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90.1%</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w w:val="96"/>
              </w:rPr>
              <w:t>7,602,347</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B: Potential Problems</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397,387</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8.0%</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337,497</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5.7%</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371,119</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49"/>
        </w:trPr>
        <w:tc>
          <w:tcPr>
            <w:tcW w:w="19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C: Substandard</w:t>
            </w:r>
          </w:p>
        </w:tc>
        <w:tc>
          <w:tcPr>
            <w:tcW w:w="700" w:type="dxa"/>
            <w:vAlign w:val="bottom"/>
            <w:shd w:val="clear" w:color="auto" w:fill="CCFFCC"/>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82,858</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shd w:val="clear" w:color="auto" w:fill="CCFFCC"/>
          </w:tcPr>
          <w:p>
            <w:pPr>
              <w:jc w:val="right"/>
              <w:ind w:right="548"/>
              <w:spacing w:after="0" w:line="149" w:lineRule="exact"/>
              <w:rPr>
                <w:sz w:val="20"/>
                <w:szCs w:val="20"/>
                <w:color w:val="auto"/>
              </w:rPr>
            </w:pPr>
            <w:r>
              <w:rPr>
                <w:rFonts w:ascii="Arial" w:cs="Arial" w:eastAsia="Arial" w:hAnsi="Arial"/>
                <w:sz w:val="14"/>
                <w:szCs w:val="14"/>
                <w:color w:val="auto"/>
              </w:rPr>
              <w:t>62,192</w:t>
            </w:r>
          </w:p>
        </w:tc>
        <w:tc>
          <w:tcPr>
            <w:tcW w:w="11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71,340</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D: Doubtful</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146,898</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tcPr>
          <w:p>
            <w:pPr>
              <w:jc w:val="right"/>
              <w:ind w:right="548"/>
              <w:spacing w:after="0" w:line="149" w:lineRule="exact"/>
              <w:rPr>
                <w:sz w:val="20"/>
                <w:szCs w:val="20"/>
                <w:color w:val="auto"/>
              </w:rPr>
            </w:pPr>
            <w:r>
              <w:rPr>
                <w:rFonts w:ascii="Arial" w:cs="Arial" w:eastAsia="Arial" w:hAnsi="Arial"/>
                <w:sz w:val="14"/>
                <w:szCs w:val="14"/>
                <w:color w:val="auto"/>
              </w:rPr>
              <w:t>122,215</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88,540</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1960" w:type="dxa"/>
            <w:vAlign w:val="bottom"/>
            <w:shd w:val="clear" w:color="auto" w:fill="CCFFCC"/>
          </w:tcPr>
          <w:p>
            <w:pPr>
              <w:ind w:left="180"/>
              <w:spacing w:after="0" w:line="149" w:lineRule="exact"/>
              <w:rPr>
                <w:sz w:val="20"/>
                <w:szCs w:val="20"/>
                <w:color w:val="auto"/>
              </w:rPr>
            </w:pPr>
            <w:r>
              <w:rPr>
                <w:rFonts w:ascii="Arial" w:cs="Arial" w:eastAsia="Arial" w:hAnsi="Arial"/>
                <w:sz w:val="14"/>
                <w:szCs w:val="14"/>
                <w:color w:val="auto"/>
              </w:rPr>
              <w:t>E: Loss</w:t>
            </w:r>
          </w:p>
        </w:tc>
        <w:tc>
          <w:tcPr>
            <w:tcW w:w="700" w:type="dxa"/>
            <w:vAlign w:val="bottom"/>
            <w:shd w:val="clear" w:color="auto" w:fill="CCFFCC"/>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72,113</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shd w:val="clear" w:color="auto" w:fill="CCFFCC"/>
          </w:tcPr>
          <w:p>
            <w:pPr>
              <w:jc w:val="right"/>
              <w:ind w:right="548"/>
              <w:spacing w:after="0" w:line="149" w:lineRule="exact"/>
              <w:rPr>
                <w:sz w:val="20"/>
                <w:szCs w:val="20"/>
                <w:color w:val="auto"/>
              </w:rPr>
            </w:pPr>
            <w:r>
              <w:rPr>
                <w:rFonts w:ascii="Arial" w:cs="Arial" w:eastAsia="Arial" w:hAnsi="Arial"/>
                <w:sz w:val="14"/>
                <w:szCs w:val="14"/>
                <w:color w:val="auto"/>
              </w:rPr>
              <w:t>58,804</w:t>
            </w:r>
          </w:p>
        </w:tc>
        <w:tc>
          <w:tcPr>
            <w:tcW w:w="11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50,499</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49"/>
        </w:trPr>
        <w:tc>
          <w:tcPr>
            <w:tcW w:w="1960" w:type="dxa"/>
            <w:vAlign w:val="bottom"/>
          </w:tcPr>
          <w:p>
            <w:pPr>
              <w:ind w:left="180"/>
              <w:spacing w:after="0" w:line="149" w:lineRule="exact"/>
              <w:rPr>
                <w:sz w:val="20"/>
                <w:szCs w:val="20"/>
                <w:color w:val="auto"/>
              </w:rPr>
            </w:pPr>
            <w:r>
              <w:rPr>
                <w:rFonts w:ascii="Arial" w:cs="Arial" w:eastAsia="Arial" w:hAnsi="Arial"/>
                <w:sz w:val="14"/>
                <w:szCs w:val="14"/>
                <w:color w:val="auto"/>
              </w:rPr>
              <w:t>Total (1)</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4,972,975</w:t>
            </w:r>
          </w:p>
        </w:tc>
        <w:tc>
          <w:tcPr>
            <w:tcW w:w="13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tcPr>
          <w:p>
            <w:pPr>
              <w:jc w:val="right"/>
              <w:ind w:right="548"/>
              <w:spacing w:after="0" w:line="149" w:lineRule="exact"/>
              <w:rPr>
                <w:sz w:val="20"/>
                <w:szCs w:val="20"/>
                <w:color w:val="auto"/>
              </w:rPr>
            </w:pPr>
            <w:r>
              <w:rPr>
                <w:rFonts w:ascii="Arial" w:cs="Arial" w:eastAsia="Arial" w:hAnsi="Arial"/>
                <w:sz w:val="14"/>
                <w:szCs w:val="14"/>
                <w:color w:val="auto"/>
                <w:w w:val="96"/>
              </w:rPr>
              <w:t>5,877,361</w:t>
            </w:r>
          </w:p>
        </w:tc>
        <w:tc>
          <w:tcPr>
            <w:tcW w:w="11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7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tcPr>
          <w:p>
            <w:pPr>
              <w:jc w:val="right"/>
              <w:ind w:right="388"/>
              <w:spacing w:after="0" w:line="149" w:lineRule="exact"/>
              <w:rPr>
                <w:sz w:val="20"/>
                <w:szCs w:val="20"/>
                <w:color w:val="auto"/>
              </w:rPr>
            </w:pPr>
            <w:r>
              <w:rPr>
                <w:rFonts w:ascii="Arial" w:cs="Arial" w:eastAsia="Arial" w:hAnsi="Arial"/>
                <w:sz w:val="14"/>
                <w:szCs w:val="14"/>
                <w:color w:val="auto"/>
                <w:w w:val="96"/>
              </w:rPr>
              <w:t>8,183,845</w:t>
            </w:r>
          </w:p>
        </w:tc>
        <w:tc>
          <w:tcPr>
            <w:tcW w:w="1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49"/>
        </w:trPr>
        <w:tc>
          <w:tcPr>
            <w:tcW w:w="19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C+D+E</w:t>
            </w:r>
          </w:p>
        </w:tc>
        <w:tc>
          <w:tcPr>
            <w:tcW w:w="700" w:type="dxa"/>
            <w:vAlign w:val="bottom"/>
            <w:shd w:val="clear" w:color="auto" w:fill="CCFFCC"/>
          </w:tcPr>
          <w:p>
            <w:pPr>
              <w:ind w:left="340"/>
              <w:spacing w:after="0" w:line="149" w:lineRule="exact"/>
              <w:rPr>
                <w:sz w:val="20"/>
                <w:szCs w:val="20"/>
                <w:color w:val="auto"/>
              </w:rPr>
            </w:pPr>
            <w:r>
              <w:rPr>
                <w:rFonts w:ascii="Arial" w:cs="Arial" w:eastAsia="Arial" w:hAnsi="Arial"/>
                <w:sz w:val="14"/>
                <w:szCs w:val="14"/>
                <w:color w:val="auto"/>
              </w:rPr>
              <w:t>US$</w:t>
            </w:r>
          </w:p>
        </w:tc>
        <w:tc>
          <w:tcPr>
            <w:tcW w:w="116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301,869</w:t>
            </w:r>
          </w:p>
        </w:tc>
        <w:tc>
          <w:tcPr>
            <w:tcW w:w="13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6.1%</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240" w:type="dxa"/>
            <w:vAlign w:val="bottom"/>
            <w:shd w:val="clear" w:color="auto" w:fill="CCFFCC"/>
          </w:tcPr>
          <w:p>
            <w:pPr>
              <w:jc w:val="right"/>
              <w:ind w:right="548"/>
              <w:spacing w:after="0" w:line="149" w:lineRule="exact"/>
              <w:rPr>
                <w:sz w:val="20"/>
                <w:szCs w:val="20"/>
                <w:color w:val="auto"/>
              </w:rPr>
            </w:pPr>
            <w:r>
              <w:rPr>
                <w:rFonts w:ascii="Arial" w:cs="Arial" w:eastAsia="Arial" w:hAnsi="Arial"/>
                <w:sz w:val="14"/>
                <w:szCs w:val="14"/>
                <w:color w:val="auto"/>
              </w:rPr>
              <w:t>243,211</w:t>
            </w:r>
          </w:p>
        </w:tc>
        <w:tc>
          <w:tcPr>
            <w:tcW w:w="11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4.2%</w:t>
            </w:r>
          </w:p>
        </w:tc>
        <w:tc>
          <w:tcPr>
            <w:tcW w:w="7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1080" w:type="dxa"/>
            <w:vAlign w:val="bottom"/>
            <w:shd w:val="clear" w:color="auto" w:fill="CCFFCC"/>
          </w:tcPr>
          <w:p>
            <w:pPr>
              <w:jc w:val="right"/>
              <w:ind w:right="388"/>
              <w:spacing w:after="0" w:line="149" w:lineRule="exact"/>
              <w:rPr>
                <w:sz w:val="20"/>
                <w:szCs w:val="20"/>
                <w:color w:val="auto"/>
              </w:rPr>
            </w:pPr>
            <w:r>
              <w:rPr>
                <w:rFonts w:ascii="Arial" w:cs="Arial" w:eastAsia="Arial" w:hAnsi="Arial"/>
                <w:sz w:val="14"/>
                <w:szCs w:val="14"/>
                <w:color w:val="auto"/>
              </w:rPr>
              <w:t>210,379</w:t>
            </w:r>
          </w:p>
        </w:tc>
        <w:tc>
          <w:tcPr>
            <w:tcW w:w="12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4" w:name="page85"/>
    <w:bookmarkEnd w:id="84"/>
    <w:tbl>
      <w:tblPr>
        <w:tblLayout w:type="fixed"/>
        <w:tblInd w:w="132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490"/>
              <w:spacing w:after="0"/>
              <w:rPr>
                <w:sz w:val="20"/>
                <w:szCs w:val="20"/>
                <w:color w:val="auto"/>
              </w:rPr>
            </w:pPr>
            <w:r>
              <w:rPr>
                <w:rFonts w:ascii="Arial" w:cs="Arial" w:eastAsia="Arial" w:hAnsi="Arial"/>
                <w:sz w:val="18"/>
                <w:szCs w:val="18"/>
                <w:b w:val="1"/>
                <w:bCs w:val="1"/>
                <w:color w:val="auto"/>
                <w:w w:val="90"/>
              </w:rPr>
              <w:t>At December 31,</w:t>
            </w:r>
          </w:p>
        </w:tc>
        <w:tc>
          <w:tcPr>
            <w:tcW w:w="1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2008</w:t>
            </w:r>
          </w:p>
        </w:tc>
        <w:tc>
          <w:tcPr>
            <w:tcW w:w="114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2009</w:t>
            </w:r>
          </w:p>
        </w:tc>
        <w:tc>
          <w:tcPr>
            <w:tcW w:w="1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gridSpan w:val="5"/>
          </w:tcPr>
          <w:p>
            <w:pPr>
              <w:jc w:val="center"/>
              <w:ind w:left="47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1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260" w:type="dxa"/>
            <w:vAlign w:val="bottom"/>
            <w:gridSpan w:val="2"/>
          </w:tcPr>
          <w:p>
            <w:pPr>
              <w:spacing w:after="0" w:line="201" w:lineRule="exact"/>
              <w:rPr>
                <w:sz w:val="20"/>
                <w:szCs w:val="20"/>
                <w:color w:val="auto"/>
              </w:rPr>
            </w:pPr>
            <w:r>
              <w:rPr>
                <w:rFonts w:ascii="Arial" w:cs="Arial" w:eastAsia="Arial" w:hAnsi="Arial"/>
                <w:sz w:val="18"/>
                <w:szCs w:val="18"/>
                <w:color w:val="auto"/>
              </w:rPr>
              <w:t>Level of Risk</w:t>
            </w:r>
          </w:p>
        </w:tc>
        <w:tc>
          <w:tcPr>
            <w:tcW w:w="1800" w:type="dxa"/>
            <w:vAlign w:val="bottom"/>
            <w:gridSpan w:val="2"/>
            <w:vMerge w:val="restart"/>
          </w:tcPr>
          <w:p>
            <w:pPr>
              <w:jc w:val="right"/>
              <w:ind w:right="670"/>
              <w:spacing w:after="0"/>
              <w:rPr>
                <w:sz w:val="20"/>
                <w:szCs w:val="20"/>
                <w:color w:val="auto"/>
              </w:rPr>
            </w:pPr>
            <w:r>
              <w:rPr>
                <w:rFonts w:ascii="Arial" w:cs="Arial" w:eastAsia="Arial" w:hAnsi="Arial"/>
                <w:sz w:val="18"/>
                <w:szCs w:val="18"/>
                <w:b w:val="1"/>
                <w:bCs w:val="1"/>
                <w:color w:val="auto"/>
              </w:rPr>
              <w:t>Amount</w:t>
            </w:r>
          </w:p>
        </w:tc>
        <w:tc>
          <w:tcPr>
            <w:tcW w:w="1520" w:type="dxa"/>
            <w:vAlign w:val="bottom"/>
            <w:gridSpan w:val="2"/>
            <w:vMerge w:val="restart"/>
          </w:tcPr>
          <w:p>
            <w:pPr>
              <w:jc w:val="right"/>
              <w:ind w:right="720"/>
              <w:spacing w:after="0"/>
              <w:rPr>
                <w:sz w:val="20"/>
                <w:szCs w:val="20"/>
                <w:color w:val="auto"/>
              </w:rPr>
            </w:pPr>
            <w:r>
              <w:rPr>
                <w:rFonts w:ascii="Arial" w:cs="Arial" w:eastAsia="Arial" w:hAnsi="Arial"/>
                <w:sz w:val="18"/>
                <w:szCs w:val="18"/>
                <w:b w:val="1"/>
                <w:bCs w:val="1"/>
                <w:color w:val="auto"/>
              </w:rPr>
              <w:t>% Total</w:t>
            </w:r>
          </w:p>
        </w:tc>
        <w:tc>
          <w:tcPr>
            <w:tcW w:w="1860" w:type="dxa"/>
            <w:vAlign w:val="bottom"/>
            <w:gridSpan w:val="2"/>
            <w:vMerge w:val="restart"/>
          </w:tcPr>
          <w:p>
            <w:pPr>
              <w:jc w:val="right"/>
              <w:ind w:right="710"/>
              <w:spacing w:after="0"/>
              <w:rPr>
                <w:sz w:val="20"/>
                <w:szCs w:val="20"/>
                <w:color w:val="auto"/>
              </w:rPr>
            </w:pPr>
            <w:r>
              <w:rPr>
                <w:rFonts w:ascii="Arial" w:cs="Arial" w:eastAsia="Arial" w:hAnsi="Arial"/>
                <w:sz w:val="18"/>
                <w:szCs w:val="18"/>
                <w:b w:val="1"/>
                <w:bCs w:val="1"/>
                <w:color w:val="auto"/>
              </w:rPr>
              <w:t>Amount</w:t>
            </w:r>
          </w:p>
        </w:tc>
        <w:tc>
          <w:tcPr>
            <w:tcW w:w="1340" w:type="dxa"/>
            <w:vAlign w:val="bottom"/>
            <w:gridSpan w:val="2"/>
            <w:vMerge w:val="restart"/>
          </w:tcPr>
          <w:p>
            <w:pPr>
              <w:jc w:val="right"/>
              <w:ind w:right="540"/>
              <w:spacing w:after="0"/>
              <w:rPr>
                <w:sz w:val="20"/>
                <w:szCs w:val="20"/>
                <w:color w:val="auto"/>
              </w:rPr>
            </w:pPr>
            <w:r>
              <w:rPr>
                <w:rFonts w:ascii="Arial" w:cs="Arial" w:eastAsia="Arial" w:hAnsi="Arial"/>
                <w:sz w:val="18"/>
                <w:szCs w:val="18"/>
                <w:b w:val="1"/>
                <w:bCs w:val="1"/>
                <w:color w:val="auto"/>
              </w:rPr>
              <w:t>% Total</w:t>
            </w:r>
          </w:p>
        </w:tc>
        <w:tc>
          <w:tcPr>
            <w:tcW w:w="0" w:type="dxa"/>
            <w:vAlign w:val="bottom"/>
          </w:tcPr>
          <w:p>
            <w:pPr>
              <w:spacing w:after="0"/>
              <w:rPr>
                <w:sz w:val="1"/>
                <w:szCs w:val="1"/>
                <w:color w:val="auto"/>
              </w:rPr>
            </w:pPr>
          </w:p>
        </w:tc>
      </w:tr>
      <w:tr>
        <w:trPr>
          <w:trHeight w:val="230"/>
        </w:trPr>
        <w:tc>
          <w:tcPr>
            <w:tcW w:w="2260" w:type="dxa"/>
            <w:vAlign w:val="bottom"/>
            <w:gridSpan w:val="2"/>
          </w:tcPr>
          <w:p>
            <w:pPr>
              <w:spacing w:after="0"/>
              <w:rPr>
                <w:sz w:val="20"/>
                <w:szCs w:val="20"/>
                <w:color w:val="auto"/>
              </w:rPr>
            </w:pPr>
            <w:r>
              <w:rPr>
                <w:rFonts w:ascii="Arial" w:cs="Arial" w:eastAsia="Arial" w:hAnsi="Arial"/>
                <w:sz w:val="18"/>
                <w:szCs w:val="18"/>
                <w:color w:val="auto"/>
              </w:rPr>
              <w:t>Classification</w:t>
            </w:r>
          </w:p>
        </w:tc>
        <w:tc>
          <w:tcPr>
            <w:tcW w:w="1800" w:type="dxa"/>
            <w:vAlign w:val="bottom"/>
            <w:gridSpan w:val="2"/>
            <w:vMerge w:val="continue"/>
          </w:tcPr>
          <w:p>
            <w:pPr>
              <w:spacing w:after="0"/>
              <w:rPr>
                <w:sz w:val="20"/>
                <w:szCs w:val="20"/>
                <w:color w:val="auto"/>
              </w:rPr>
            </w:pPr>
          </w:p>
        </w:tc>
        <w:tc>
          <w:tcPr>
            <w:tcW w:w="1520" w:type="dxa"/>
            <w:vAlign w:val="bottom"/>
            <w:gridSpan w:val="2"/>
            <w:vMerge w:val="continue"/>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A: Normal</w:t>
            </w:r>
          </w:p>
        </w:tc>
        <w:tc>
          <w:tcPr>
            <w:tcW w:w="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2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9,991,559</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95.5%</w:t>
            </w:r>
          </w:p>
        </w:tc>
        <w:tc>
          <w:tcPr>
            <w:tcW w:w="6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95"/>
              </w:rPr>
              <w:t>10,717,658</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40"/>
              <w:spacing w:after="0"/>
              <w:rPr>
                <w:sz w:val="20"/>
                <w:szCs w:val="20"/>
                <w:color w:val="auto"/>
              </w:rPr>
            </w:pPr>
            <w:r>
              <w:rPr>
                <w:rFonts w:ascii="Arial" w:cs="Arial" w:eastAsia="Arial" w:hAnsi="Arial"/>
                <w:sz w:val="18"/>
                <w:szCs w:val="18"/>
                <w:color w:val="auto"/>
              </w:rPr>
              <w:t>B: Potential Problems</w:t>
            </w:r>
          </w:p>
        </w:tc>
        <w:tc>
          <w:tcPr>
            <w:tcW w:w="580" w:type="dxa"/>
            <w:vAlign w:val="bottom"/>
          </w:tcPr>
          <w:p>
            <w:pPr>
              <w:ind w:left="200"/>
              <w:spacing w:after="0"/>
              <w:rPr>
                <w:sz w:val="20"/>
                <w:szCs w:val="20"/>
                <w:color w:val="auto"/>
              </w:rPr>
            </w:pPr>
            <w:r>
              <w:rPr>
                <w:rFonts w:ascii="Arial" w:cs="Arial" w:eastAsia="Arial" w:hAnsi="Arial"/>
                <w:sz w:val="18"/>
                <w:szCs w:val="18"/>
                <w:color w:val="auto"/>
              </w:rPr>
              <w:t>US$</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264,890</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620" w:type="dxa"/>
            <w:vAlign w:val="bottom"/>
          </w:tcPr>
          <w:p>
            <w:pPr>
              <w:ind w:left="220"/>
              <w:spacing w:after="0"/>
              <w:rPr>
                <w:sz w:val="20"/>
                <w:szCs w:val="20"/>
                <w:color w:val="auto"/>
              </w:rPr>
            </w:pPr>
            <w:r>
              <w:rPr>
                <w:rFonts w:ascii="Arial" w:cs="Arial" w:eastAsia="Arial" w:hAnsi="Arial"/>
                <w:sz w:val="18"/>
                <w:szCs w:val="18"/>
                <w:color w:val="auto"/>
              </w:rPr>
              <w:t>US$</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431,356</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C: Substandard</w:t>
            </w:r>
          </w:p>
        </w:tc>
        <w:tc>
          <w:tcPr>
            <w:tcW w:w="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2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70,268</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0.7%</w:t>
            </w:r>
          </w:p>
        </w:tc>
        <w:tc>
          <w:tcPr>
            <w:tcW w:w="6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115,629</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40"/>
              <w:spacing w:after="0"/>
              <w:rPr>
                <w:sz w:val="20"/>
                <w:szCs w:val="20"/>
                <w:color w:val="auto"/>
              </w:rPr>
            </w:pPr>
            <w:r>
              <w:rPr>
                <w:rFonts w:ascii="Arial" w:cs="Arial" w:eastAsia="Arial" w:hAnsi="Arial"/>
                <w:sz w:val="18"/>
                <w:szCs w:val="18"/>
                <w:color w:val="auto"/>
              </w:rPr>
              <w:t>D: Doubtful</w:t>
            </w:r>
          </w:p>
        </w:tc>
        <w:tc>
          <w:tcPr>
            <w:tcW w:w="580" w:type="dxa"/>
            <w:vAlign w:val="bottom"/>
          </w:tcPr>
          <w:p>
            <w:pPr>
              <w:ind w:left="200"/>
              <w:spacing w:after="0"/>
              <w:rPr>
                <w:sz w:val="20"/>
                <w:szCs w:val="20"/>
                <w:color w:val="auto"/>
              </w:rPr>
            </w:pPr>
            <w:r>
              <w:rPr>
                <w:rFonts w:ascii="Arial" w:cs="Arial" w:eastAsia="Arial" w:hAnsi="Arial"/>
                <w:sz w:val="18"/>
                <w:szCs w:val="18"/>
                <w:color w:val="auto"/>
              </w:rPr>
              <w:t>US$</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79,394</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0.8%</w:t>
            </w:r>
          </w:p>
        </w:tc>
        <w:tc>
          <w:tcPr>
            <w:tcW w:w="620" w:type="dxa"/>
            <w:vAlign w:val="bottom"/>
          </w:tcPr>
          <w:p>
            <w:pPr>
              <w:ind w:left="220"/>
              <w:spacing w:after="0"/>
              <w:rPr>
                <w:sz w:val="20"/>
                <w:szCs w:val="20"/>
                <w:color w:val="auto"/>
              </w:rPr>
            </w:pPr>
            <w:r>
              <w:rPr>
                <w:rFonts w:ascii="Arial" w:cs="Arial" w:eastAsia="Arial" w:hAnsi="Arial"/>
                <w:sz w:val="18"/>
                <w:szCs w:val="18"/>
                <w:color w:val="auto"/>
              </w:rPr>
              <w:t>US$</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139,389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FFCC"/>
          </w:tcPr>
          <w:p>
            <w:pPr>
              <w:ind w:left="140"/>
              <w:spacing w:after="0"/>
              <w:rPr>
                <w:sz w:val="20"/>
                <w:szCs w:val="20"/>
                <w:color w:val="auto"/>
              </w:rPr>
            </w:pPr>
            <w:r>
              <w:rPr>
                <w:rFonts w:ascii="Arial" w:cs="Arial" w:eastAsia="Arial" w:hAnsi="Arial"/>
                <w:sz w:val="18"/>
                <w:szCs w:val="18"/>
                <w:color w:val="auto"/>
              </w:rPr>
              <w:t>E: Loss</w:t>
            </w:r>
          </w:p>
        </w:tc>
        <w:tc>
          <w:tcPr>
            <w:tcW w:w="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2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50,173</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0.5%</w:t>
            </w:r>
          </w:p>
        </w:tc>
        <w:tc>
          <w:tcPr>
            <w:tcW w:w="6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101,287</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ind w:left="140"/>
              <w:spacing w:after="0"/>
              <w:rPr>
                <w:sz w:val="20"/>
                <w:szCs w:val="20"/>
                <w:color w:val="auto"/>
              </w:rPr>
            </w:pPr>
            <w:r>
              <w:rPr>
                <w:rFonts w:ascii="Arial" w:cs="Arial" w:eastAsia="Arial" w:hAnsi="Arial"/>
                <w:sz w:val="18"/>
                <w:szCs w:val="18"/>
                <w:color w:val="auto"/>
              </w:rPr>
              <w:t>Total (1)</w:t>
            </w:r>
          </w:p>
        </w:tc>
        <w:tc>
          <w:tcPr>
            <w:tcW w:w="580" w:type="dxa"/>
            <w:vAlign w:val="bottom"/>
          </w:tcPr>
          <w:p>
            <w:pPr>
              <w:ind w:left="200"/>
              <w:spacing w:after="0"/>
              <w:rPr>
                <w:sz w:val="20"/>
                <w:szCs w:val="20"/>
                <w:color w:val="auto"/>
              </w:rPr>
            </w:pPr>
            <w:r>
              <w:rPr>
                <w:rFonts w:ascii="Arial" w:cs="Arial" w:eastAsia="Arial" w:hAnsi="Arial"/>
                <w:sz w:val="18"/>
                <w:szCs w:val="18"/>
                <w:color w:val="auto"/>
              </w:rPr>
              <w:t>US$</w:t>
            </w:r>
          </w:p>
        </w:tc>
        <w:tc>
          <w:tcPr>
            <w:tcW w:w="1220" w:type="dxa"/>
            <w:vAlign w:val="bottom"/>
          </w:tcPr>
          <w:p>
            <w:pPr>
              <w:jc w:val="right"/>
              <w:ind w:right="250"/>
              <w:spacing w:after="0"/>
              <w:rPr>
                <w:sz w:val="20"/>
                <w:szCs w:val="20"/>
                <w:color w:val="auto"/>
              </w:rPr>
            </w:pPr>
            <w:r>
              <w:rPr>
                <w:rFonts w:ascii="Arial" w:cs="Arial" w:eastAsia="Arial" w:hAnsi="Arial"/>
                <w:sz w:val="18"/>
                <w:szCs w:val="18"/>
                <w:color w:val="auto"/>
                <w:w w:val="95"/>
              </w:rPr>
              <w:t>10,456,284</w:t>
            </w: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620" w:type="dxa"/>
            <w:vAlign w:val="bottom"/>
          </w:tcPr>
          <w:p>
            <w:pPr>
              <w:ind w:left="220"/>
              <w:spacing w:after="0"/>
              <w:rPr>
                <w:sz w:val="20"/>
                <w:szCs w:val="20"/>
                <w:color w:val="auto"/>
              </w:rPr>
            </w:pPr>
            <w:r>
              <w:rPr>
                <w:rFonts w:ascii="Arial" w:cs="Arial" w:eastAsia="Arial" w:hAnsi="Arial"/>
                <w:sz w:val="18"/>
                <w:szCs w:val="18"/>
                <w:color w:val="auto"/>
              </w:rPr>
              <w:t>US$</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w w:val="95"/>
              </w:rPr>
              <w:t>11,505,319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580" w:type="dxa"/>
            <w:vAlign w:val="bottom"/>
            <w:shd w:val="clear" w:color="auto" w:fill="CCFFCC"/>
          </w:tcPr>
          <w:p>
            <w:pPr>
              <w:ind w:left="200"/>
              <w:spacing w:after="0"/>
              <w:rPr>
                <w:sz w:val="20"/>
                <w:szCs w:val="20"/>
                <w:color w:val="auto"/>
              </w:rPr>
            </w:pPr>
            <w:r>
              <w:rPr>
                <w:rFonts w:ascii="Arial" w:cs="Arial" w:eastAsia="Arial" w:hAnsi="Arial"/>
                <w:sz w:val="18"/>
                <w:szCs w:val="18"/>
                <w:color w:val="auto"/>
              </w:rPr>
              <w:t>US$</w:t>
            </w:r>
          </w:p>
        </w:tc>
        <w:tc>
          <w:tcPr>
            <w:tcW w:w="12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199,835</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2.0%</w:t>
            </w:r>
          </w:p>
        </w:tc>
        <w:tc>
          <w:tcPr>
            <w:tcW w:w="620" w:type="dxa"/>
            <w:vAlign w:val="bottom"/>
            <w:shd w:val="clear" w:color="auto" w:fill="CCFFCC"/>
          </w:tcPr>
          <w:p>
            <w:pPr>
              <w:ind w:left="220"/>
              <w:spacing w:after="0"/>
              <w:rPr>
                <w:sz w:val="20"/>
                <w:szCs w:val="20"/>
                <w:color w:val="auto"/>
              </w:rPr>
            </w:pPr>
            <w:r>
              <w:rPr>
                <w:rFonts w:ascii="Arial" w:cs="Arial" w:eastAsia="Arial" w:hAnsi="Arial"/>
                <w:sz w:val="18"/>
                <w:szCs w:val="18"/>
                <w:color w:val="auto"/>
              </w:rPr>
              <w:t>US$</w:t>
            </w:r>
          </w:p>
        </w:tc>
        <w:tc>
          <w:tcPr>
            <w:tcW w:w="124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356,305</w:t>
            </w:r>
          </w:p>
        </w:tc>
        <w:tc>
          <w:tcPr>
            <w:tcW w:w="13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Net of unearned interest.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Class E loans and substantially all of our Class D loans are past due. Class C loans, although generally not past due, have demonstrated credit deterioration such that management has serious doubts as to the ability of the borrower to comply with the loan repayment terms. The majority of our Class C loans are to companies in the Peruvian manufacturing sector and, to a lesser extent, the agricultural sector. Our manufacturing sector loans are primarily secured by warrants and liens on goods or by mortgages, and our agricultural loans tend to be secured by trade bills and marketable securities. The Class C loans reflect the financial weakness of the individual borrower rather than any trend in the Peruvian manufacturing or agricultural industries in general.</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consider loans to be past due depending on their type. BCP considers loans past due for consumer mortgage, leasing loans, and loans to micro-businesses after 90 days. On January 1, 2001, the SBS issued accounting rules that require Peruvian banks to consider overdrafts past due after 30 days. ASHC considers all overdue loans past due, except for consumer loans, which are considered past due when the scheduled principal and/or interest payments are overdue for more than 90 days. BCB considers loans past due after 30 days. For IFRS 7 disclosure requirements on past-due loans, see Note 29.1 to the Credicorp Consolidated Financial Statements.</w:t>
      </w:r>
    </w:p>
    <w:p>
      <w:pPr>
        <w:spacing w:after="0" w:line="215"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Interest income is suspended when the collection of loans is doubtful, such as when overdue by more than 90 days. When a borrower or securities issuer defaults earlier than 90 days, the income is excluded from interest income until it is received. Uncollected income on these loans is applied against income. When management determines that the debtor’s financial condition has improved, we continue recording interest on an accrual basis. Therefore, we do not accrue interest on past-due loans, but interest on past-due loans is recognized only when and to the extent received.</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Over the past five years, we have recognized interest income on these loans of US$5.5 million in 2005, US$4.8 million in 2006, US$3.6 million in 2007, US$5.2 million in 2008 and US$7.2 million in 2009. With the exception of discounted notes and overdrafts, accrued but unpaid interest is reversed for past-due loans.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5" w:name="page86"/>
    <w:bookmarkEnd w:id="85"/>
    <w:p>
      <w:pPr>
        <w:ind w:left="660"/>
        <w:spacing w:after="0"/>
        <w:rPr>
          <w:sz w:val="20"/>
          <w:szCs w:val="20"/>
          <w:color w:val="auto"/>
        </w:rPr>
      </w:pPr>
      <w:r>
        <w:rPr>
          <w:rFonts w:ascii="Arial" w:cs="Arial" w:eastAsia="Arial" w:hAnsi="Arial"/>
          <w:sz w:val="18"/>
          <w:szCs w:val="18"/>
          <w:color w:val="auto"/>
        </w:rPr>
        <w:t>The following table sets forth the repayment status of our loan portfolio as of the date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jc w:val="center"/>
              <w:ind w:right="240"/>
              <w:spacing w:after="0"/>
              <w:rPr>
                <w:sz w:val="20"/>
                <w:szCs w:val="20"/>
                <w:color w:val="auto"/>
              </w:rPr>
            </w:pPr>
            <w:r>
              <w:rPr>
                <w:rFonts w:ascii="Arial" w:cs="Arial" w:eastAsia="Arial" w:hAnsi="Arial"/>
                <w:sz w:val="14"/>
                <w:szCs w:val="14"/>
                <w:b w:val="1"/>
                <w:bCs w:val="1"/>
                <w:color w:val="auto"/>
                <w:w w:val="92"/>
              </w:rPr>
              <w:t>At December 31,</w:t>
            </w: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38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3"/>
                <w:szCs w:val="13"/>
                <w:color w:val="auto"/>
              </w:rPr>
            </w:pPr>
          </w:p>
        </w:tc>
        <w:tc>
          <w:tcPr>
            <w:tcW w:w="136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2006</w:t>
            </w:r>
          </w:p>
        </w:tc>
        <w:tc>
          <w:tcPr>
            <w:tcW w:w="220" w:type="dxa"/>
            <w:vAlign w:val="bottom"/>
          </w:tcPr>
          <w:p>
            <w:pPr>
              <w:spacing w:after="0"/>
              <w:rPr>
                <w:sz w:val="13"/>
                <w:szCs w:val="13"/>
                <w:color w:val="auto"/>
              </w:rPr>
            </w:pPr>
          </w:p>
        </w:tc>
        <w:tc>
          <w:tcPr>
            <w:tcW w:w="1360" w:type="dxa"/>
            <w:vAlign w:val="bottom"/>
            <w:tcBorders>
              <w:bottom w:val="single" w:sz="8" w:color="auto"/>
            </w:tcBorders>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2007</w:t>
            </w:r>
          </w:p>
        </w:tc>
        <w:tc>
          <w:tcPr>
            <w:tcW w:w="220" w:type="dxa"/>
            <w:vAlign w:val="bottom"/>
          </w:tcPr>
          <w:p>
            <w:pPr>
              <w:spacing w:after="0"/>
              <w:rPr>
                <w:sz w:val="13"/>
                <w:szCs w:val="13"/>
                <w:color w:val="auto"/>
              </w:rPr>
            </w:pPr>
          </w:p>
        </w:tc>
        <w:tc>
          <w:tcPr>
            <w:tcW w:w="136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3"/>
                <w:szCs w:val="13"/>
                <w:color w:val="auto"/>
              </w:rPr>
            </w:pPr>
          </w:p>
        </w:tc>
        <w:tc>
          <w:tcPr>
            <w:tcW w:w="1360" w:type="dxa"/>
            <w:vAlign w:val="bottom"/>
            <w:tcBorders>
              <w:bottom w:val="single" w:sz="8" w:color="auto"/>
            </w:tcBorders>
            <w:gridSpan w:val="2"/>
          </w:tcPr>
          <w:p>
            <w:pPr>
              <w:jc w:val="right"/>
              <w:ind w:right="468"/>
              <w:spacing w:after="0" w:line="14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80" w:type="dxa"/>
            <w:vAlign w:val="bottom"/>
            <w:tcBorders>
              <w:bottom w:val="single" w:sz="8" w:color="auto"/>
            </w:tcBorders>
            <w:gridSpan w:val="6"/>
          </w:tcPr>
          <w:p>
            <w:pPr>
              <w:jc w:val="center"/>
              <w:spacing w:after="0" w:line="149" w:lineRule="exact"/>
              <w:rPr>
                <w:sz w:val="20"/>
                <w:szCs w:val="20"/>
                <w:color w:val="auto"/>
              </w:rPr>
            </w:pPr>
            <w:r>
              <w:rPr>
                <w:rFonts w:ascii="Arial" w:cs="Arial" w:eastAsia="Arial" w:hAnsi="Arial"/>
                <w:sz w:val="14"/>
                <w:szCs w:val="14"/>
                <w:i w:val="1"/>
                <w:iCs w:val="1"/>
                <w:color w:val="auto"/>
                <w:w w:val="92"/>
              </w:rPr>
              <w:t>(U.S. Dollars in thousands, except percentages)</w:t>
            </w:r>
          </w:p>
        </w:tc>
        <w:tc>
          <w:tcPr>
            <w:tcW w:w="7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Current</w:t>
            </w: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4,877,206</w:t>
            </w:r>
          </w:p>
        </w:tc>
        <w:tc>
          <w:tcPr>
            <w:tcW w:w="240" w:type="dxa"/>
            <w:vAlign w:val="bottom"/>
            <w:shd w:val="clear" w:color="auto" w:fill="CCFFCC"/>
          </w:tcPr>
          <w:p>
            <w:pPr>
              <w:spacing w:after="0"/>
              <w:rPr>
                <w:sz w:val="12"/>
                <w:szCs w:val="12"/>
                <w:color w:val="auto"/>
              </w:rPr>
            </w:pP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w w:val="99"/>
              </w:rPr>
              <w:t>5,800,591</w:t>
            </w:r>
          </w:p>
        </w:tc>
        <w:tc>
          <w:tcPr>
            <w:tcW w:w="220" w:type="dxa"/>
            <w:vAlign w:val="bottom"/>
            <w:shd w:val="clear" w:color="auto" w:fill="CCFFCC"/>
          </w:tcPr>
          <w:p>
            <w:pPr>
              <w:spacing w:after="0"/>
              <w:rPr>
                <w:sz w:val="12"/>
                <w:szCs w:val="12"/>
                <w:color w:val="auto"/>
              </w:rPr>
            </w:pP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9"/>
              </w:rPr>
              <w:t>8,122,357</w:t>
            </w:r>
          </w:p>
        </w:tc>
        <w:tc>
          <w:tcPr>
            <w:tcW w:w="64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9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99"/>
              </w:rPr>
              <w:t>10,373,417</w:t>
            </w:r>
          </w:p>
        </w:tc>
        <w:tc>
          <w:tcPr>
            <w:tcW w:w="640" w:type="dxa"/>
            <w:vAlign w:val="bottom"/>
            <w:shd w:val="clear" w:color="auto" w:fill="CCFFCC"/>
          </w:tcPr>
          <w:p>
            <w:pPr>
              <w:ind w:left="300"/>
              <w:spacing w:after="0" w:line="149" w:lineRule="exact"/>
              <w:rPr>
                <w:sz w:val="20"/>
                <w:szCs w:val="20"/>
                <w:color w:val="auto"/>
              </w:rPr>
            </w:pPr>
            <w:r>
              <w:rPr>
                <w:rFonts w:ascii="Arial" w:cs="Arial" w:eastAsia="Arial" w:hAnsi="Arial"/>
                <w:sz w:val="14"/>
                <w:szCs w:val="14"/>
                <w:color w:val="auto"/>
              </w:rPr>
              <w:t>US$</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w w:val="99"/>
              </w:rPr>
              <w:t>11,320,752</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Past due:</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Overdue 16 - 119 days</w:t>
            </w:r>
          </w:p>
        </w:tc>
        <w:tc>
          <w:tcPr>
            <w:tcW w:w="7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10,860</w:t>
            </w:r>
          </w:p>
        </w:tc>
        <w:tc>
          <w:tcPr>
            <w:tcW w:w="72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20,655</w:t>
            </w:r>
          </w:p>
        </w:tc>
        <w:tc>
          <w:tcPr>
            <w:tcW w:w="72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20,825</w:t>
            </w:r>
          </w:p>
        </w:tc>
        <w:tc>
          <w:tcPr>
            <w:tcW w:w="6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34,955</w:t>
            </w:r>
          </w:p>
        </w:tc>
        <w:tc>
          <w:tcPr>
            <w:tcW w:w="64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70,602</w:t>
            </w:r>
          </w:p>
        </w:tc>
      </w:tr>
      <w:tr>
        <w:trPr>
          <w:trHeight w:val="149"/>
        </w:trPr>
        <w:tc>
          <w:tcPr>
            <w:tcW w:w="20" w:type="dxa"/>
            <w:vAlign w:val="bottom"/>
          </w:tcPr>
          <w:p>
            <w:pPr>
              <w:spacing w:after="0"/>
              <w:rPr>
                <w:sz w:val="12"/>
                <w:szCs w:val="12"/>
                <w:color w:val="auto"/>
              </w:rPr>
            </w:pPr>
          </w:p>
        </w:tc>
        <w:tc>
          <w:tcPr>
            <w:tcW w:w="3540" w:type="dxa"/>
            <w:vAlign w:val="bottom"/>
          </w:tcPr>
          <w:p>
            <w:pPr>
              <w:ind w:left="160"/>
              <w:spacing w:after="0" w:line="149" w:lineRule="exact"/>
              <w:rPr>
                <w:sz w:val="20"/>
                <w:szCs w:val="20"/>
                <w:color w:val="auto"/>
              </w:rPr>
            </w:pPr>
            <w:r>
              <w:rPr>
                <w:rFonts w:ascii="Arial" w:cs="Arial" w:eastAsia="Arial" w:hAnsi="Arial"/>
                <w:sz w:val="14"/>
                <w:szCs w:val="14"/>
                <w:color w:val="auto"/>
              </w:rPr>
              <w:t>Overdue 120 days or more</w:t>
            </w:r>
          </w:p>
        </w:tc>
        <w:tc>
          <w:tcPr>
            <w:tcW w:w="74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84,909</w:t>
            </w:r>
          </w:p>
        </w:tc>
        <w:tc>
          <w:tcPr>
            <w:tcW w:w="7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56,115</w:t>
            </w:r>
          </w:p>
        </w:tc>
        <w:tc>
          <w:tcPr>
            <w:tcW w:w="72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40,663</w:t>
            </w:r>
          </w:p>
        </w:tc>
        <w:tc>
          <w:tcPr>
            <w:tcW w:w="640" w:type="dxa"/>
            <w:vAlign w:val="bottom"/>
          </w:tcPr>
          <w:p>
            <w:pPr>
              <w:spacing w:after="0"/>
              <w:rPr>
                <w:sz w:val="12"/>
                <w:szCs w:val="12"/>
                <w:color w:val="auto"/>
              </w:rPr>
            </w:pP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47,912</w:t>
            </w:r>
          </w:p>
        </w:tc>
        <w:tc>
          <w:tcPr>
            <w:tcW w:w="6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113,965</w:t>
            </w:r>
          </w:p>
        </w:tc>
        <w:tc>
          <w:tcPr>
            <w:tcW w:w="1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Subtotal</w:t>
            </w:r>
          </w:p>
        </w:tc>
        <w:tc>
          <w:tcPr>
            <w:tcW w:w="740" w:type="dxa"/>
            <w:vAlign w:val="bottom"/>
            <w:shd w:val="clear" w:color="auto" w:fill="CCFFCC"/>
          </w:tcPr>
          <w:p>
            <w:pPr>
              <w:ind w:left="440"/>
              <w:spacing w:after="0" w:line="149" w:lineRule="exact"/>
              <w:rPr>
                <w:sz w:val="20"/>
                <w:szCs w:val="20"/>
                <w:color w:val="auto"/>
              </w:rPr>
            </w:pPr>
            <w:r>
              <w:rPr>
                <w:rFonts w:ascii="Arial" w:cs="Arial" w:eastAsia="Arial" w:hAnsi="Arial"/>
                <w:sz w:val="14"/>
                <w:szCs w:val="14"/>
                <w:color w:val="auto"/>
              </w:rPr>
              <w:t>US$</w:t>
            </w:r>
          </w:p>
        </w:tc>
        <w:tc>
          <w:tcPr>
            <w:tcW w:w="8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95,769</w:t>
            </w: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76,770</w:t>
            </w:r>
          </w:p>
        </w:tc>
        <w:tc>
          <w:tcPr>
            <w:tcW w:w="7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8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61,488</w:t>
            </w:r>
          </w:p>
        </w:tc>
        <w:tc>
          <w:tcPr>
            <w:tcW w:w="64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US$</w:t>
            </w:r>
          </w:p>
        </w:tc>
        <w:tc>
          <w:tcPr>
            <w:tcW w:w="9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82,867</w:t>
            </w:r>
          </w:p>
        </w:tc>
        <w:tc>
          <w:tcPr>
            <w:tcW w:w="640" w:type="dxa"/>
            <w:vAlign w:val="bottom"/>
            <w:shd w:val="clear" w:color="auto" w:fill="CCFFCC"/>
          </w:tcPr>
          <w:p>
            <w:pPr>
              <w:ind w:left="300"/>
              <w:spacing w:after="0" w:line="149" w:lineRule="exact"/>
              <w:rPr>
                <w:sz w:val="20"/>
                <w:szCs w:val="20"/>
                <w:color w:val="auto"/>
              </w:rPr>
            </w:pPr>
            <w:r>
              <w:rPr>
                <w:rFonts w:ascii="Arial" w:cs="Arial" w:eastAsia="Arial" w:hAnsi="Arial"/>
                <w:sz w:val="14"/>
                <w:szCs w:val="14"/>
                <w:color w:val="auto"/>
              </w:rPr>
              <w:t>US$</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184,567</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Total loans</w:t>
            </w:r>
          </w:p>
        </w:tc>
        <w:tc>
          <w:tcPr>
            <w:tcW w:w="740" w:type="dxa"/>
            <w:vAlign w:val="bottom"/>
          </w:tcPr>
          <w:p>
            <w:pPr>
              <w:ind w:left="440"/>
              <w:spacing w:after="0" w:line="149" w:lineRule="exact"/>
              <w:rPr>
                <w:sz w:val="20"/>
                <w:szCs w:val="20"/>
                <w:color w:val="auto"/>
              </w:rPr>
            </w:pPr>
            <w:r>
              <w:rPr>
                <w:rFonts w:ascii="Arial" w:cs="Arial" w:eastAsia="Arial" w:hAnsi="Arial"/>
                <w:sz w:val="14"/>
                <w:szCs w:val="14"/>
                <w:color w:val="auto"/>
              </w:rPr>
              <w:t>US$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4,972,975</w:t>
            </w:r>
          </w:p>
        </w:tc>
        <w:tc>
          <w:tcPr>
            <w:tcW w:w="240" w:type="dxa"/>
            <w:vAlign w:val="bottom"/>
          </w:tcPr>
          <w:p>
            <w:pPr>
              <w:spacing w:after="0"/>
              <w:rPr>
                <w:sz w:val="12"/>
                <w:szCs w:val="12"/>
                <w:color w:val="auto"/>
              </w:rPr>
            </w:pPr>
          </w:p>
        </w:tc>
        <w:tc>
          <w:tcPr>
            <w:tcW w:w="72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5,877,361</w:t>
            </w:r>
          </w:p>
        </w:tc>
        <w:tc>
          <w:tcPr>
            <w:tcW w:w="220" w:type="dxa"/>
            <w:vAlign w:val="bottom"/>
          </w:tcPr>
          <w:p>
            <w:pPr>
              <w:spacing w:after="0"/>
              <w:rPr>
                <w:sz w:val="12"/>
                <w:szCs w:val="12"/>
                <w:color w:val="auto"/>
              </w:rPr>
            </w:pPr>
          </w:p>
        </w:tc>
        <w:tc>
          <w:tcPr>
            <w:tcW w:w="72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9"/>
              </w:rPr>
              <w:t>8,183,845</w:t>
            </w:r>
          </w:p>
        </w:tc>
        <w:tc>
          <w:tcPr>
            <w:tcW w:w="640" w:type="dxa"/>
            <w:vAlign w:val="bottom"/>
          </w:tcPr>
          <w:p>
            <w:pPr>
              <w:ind w:left="320"/>
              <w:spacing w:after="0" w:line="149" w:lineRule="exact"/>
              <w:rPr>
                <w:sz w:val="20"/>
                <w:szCs w:val="20"/>
                <w:color w:val="auto"/>
              </w:rPr>
            </w:pPr>
            <w:r>
              <w:rPr>
                <w:rFonts w:ascii="Arial" w:cs="Arial" w:eastAsia="Arial" w:hAnsi="Arial"/>
                <w:sz w:val="14"/>
                <w:szCs w:val="14"/>
                <w:color w:val="auto"/>
              </w:rPr>
              <w:t>US$</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w w:val="99"/>
              </w:rPr>
              <w:t>10,456,284</w:t>
            </w:r>
          </w:p>
        </w:tc>
        <w:tc>
          <w:tcPr>
            <w:tcW w:w="640" w:type="dxa"/>
            <w:vAlign w:val="bottom"/>
          </w:tcPr>
          <w:p>
            <w:pPr>
              <w:ind w:left="300"/>
              <w:spacing w:after="0" w:line="149" w:lineRule="exact"/>
              <w:rPr>
                <w:sz w:val="20"/>
                <w:szCs w:val="20"/>
                <w:color w:val="auto"/>
              </w:rPr>
            </w:pPr>
            <w:r>
              <w:rPr>
                <w:rFonts w:ascii="Arial" w:cs="Arial" w:eastAsia="Arial" w:hAnsi="Arial"/>
                <w:sz w:val="14"/>
                <w:szCs w:val="14"/>
                <w:color w:val="auto"/>
              </w:rPr>
              <w:t>US$</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11,505,319</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Past-due loan amounts as % of total loans</w:t>
            </w:r>
          </w:p>
        </w:tc>
        <w:tc>
          <w:tcPr>
            <w:tcW w:w="74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1.93%</w:t>
            </w:r>
          </w:p>
        </w:tc>
        <w:tc>
          <w:tcPr>
            <w:tcW w:w="72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1.31%</w:t>
            </w:r>
          </w:p>
        </w:tc>
        <w:tc>
          <w:tcPr>
            <w:tcW w:w="72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0.75%</w:t>
            </w:r>
          </w:p>
        </w:tc>
        <w:tc>
          <w:tcPr>
            <w:tcW w:w="64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0.79%</w:t>
            </w:r>
          </w:p>
        </w:tc>
        <w:tc>
          <w:tcPr>
            <w:tcW w:w="64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1.60%</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consumer, mortgage and leasing loans, BCP (in accordance with SBS regulations) only recognizes payments as past-due installments if the loan is less than 90 days past due. The entire amount of the loans is considered past due if any amount is past due more than 90 days. For IFRS 7 disclosure requirements on past-due loans, see Note 29.1 to the Credicorp Consolidated Financial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Past-Due Loan Portfolio</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analyzes our past-due loan portfolio by the type of loan at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700"/>
              <w:spacing w:after="0"/>
              <w:rPr>
                <w:sz w:val="20"/>
                <w:szCs w:val="20"/>
                <w:color w:val="auto"/>
              </w:rPr>
            </w:pPr>
            <w:r>
              <w:rPr>
                <w:rFonts w:ascii="Arial" w:cs="Arial" w:eastAsia="Arial" w:hAnsi="Arial"/>
                <w:sz w:val="14"/>
                <w:szCs w:val="14"/>
                <w:b w:val="1"/>
                <w:bCs w:val="1"/>
                <w:color w:val="auto"/>
                <w:w w:val="94"/>
              </w:rPr>
              <w:t>At December 31,</w:t>
            </w:r>
          </w:p>
        </w:tc>
        <w:tc>
          <w:tcPr>
            <w:tcW w:w="8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3560" w:type="dxa"/>
            <w:vAlign w:val="bottom"/>
            <w:gridSpan w:val="2"/>
            <w:vMerge w:val="restart"/>
          </w:tcPr>
          <w:p>
            <w:pPr>
              <w:spacing w:after="0"/>
              <w:rPr>
                <w:sz w:val="20"/>
                <w:szCs w:val="20"/>
                <w:color w:val="auto"/>
              </w:rPr>
            </w:pPr>
            <w:r>
              <w:rPr>
                <w:rFonts w:ascii="Arial" w:cs="Arial" w:eastAsia="Arial" w:hAnsi="Arial"/>
                <w:sz w:val="14"/>
                <w:szCs w:val="14"/>
                <w:color w:val="auto"/>
              </w:rPr>
              <w:t>Past-due loan amounts:</w:t>
            </w:r>
          </w:p>
        </w:tc>
        <w:tc>
          <w:tcPr>
            <w:tcW w:w="86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b w:val="1"/>
                <w:bCs w:val="1"/>
                <w:color w:val="auto"/>
                <w:w w:val="89"/>
              </w:rPr>
              <w:t>2005</w:t>
            </w:r>
          </w:p>
        </w:tc>
        <w:tc>
          <w:tcPr>
            <w:tcW w:w="5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89"/>
              </w:rPr>
              <w:t>2006</w:t>
            </w:r>
          </w:p>
        </w:tc>
        <w:tc>
          <w:tcPr>
            <w:tcW w:w="5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89"/>
              </w:rPr>
              <w:t>2007</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tcPr>
          <w:p>
            <w:pPr>
              <w:ind w:left="520"/>
              <w:spacing w:after="0" w:line="149" w:lineRule="exact"/>
              <w:rPr>
                <w:sz w:val="20"/>
                <w:szCs w:val="20"/>
                <w:color w:val="auto"/>
              </w:rPr>
            </w:pPr>
            <w:r>
              <w:rPr>
                <w:rFonts w:ascii="Arial" w:cs="Arial" w:eastAsia="Arial" w:hAnsi="Arial"/>
                <w:sz w:val="14"/>
                <w:szCs w:val="14"/>
                <w:b w:val="1"/>
                <w:bCs w:val="1"/>
                <w:color w:val="auto"/>
                <w:w w:val="89"/>
              </w:rPr>
              <w:t>2008</w:t>
            </w:r>
          </w:p>
        </w:tc>
        <w:tc>
          <w:tcPr>
            <w:tcW w:w="5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83"/>
              </w:rPr>
              <w:t>2009</w:t>
            </w: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560" w:type="dxa"/>
            <w:vAlign w:val="bottom"/>
            <w:gridSpan w:val="2"/>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i w:val="1"/>
                <w:iCs w:val="1"/>
                <w:color w:val="auto"/>
                <w:w w:val="90"/>
              </w:rPr>
              <w:t>(U.S. Dollars in thousands)</w:t>
            </w: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w:t>
            </w:r>
          </w:p>
        </w:tc>
        <w:tc>
          <w:tcPr>
            <w:tcW w:w="860" w:type="dxa"/>
            <w:vAlign w:val="bottom"/>
            <w:shd w:val="clear" w:color="auto" w:fill="CCFFCC"/>
          </w:tcPr>
          <w:p>
            <w:pPr>
              <w:ind w:left="560"/>
              <w:spacing w:after="0" w:line="149" w:lineRule="exact"/>
              <w:rPr>
                <w:sz w:val="20"/>
                <w:szCs w:val="20"/>
                <w:color w:val="auto"/>
              </w:rPr>
            </w:pPr>
            <w:r>
              <w:rPr>
                <w:rFonts w:ascii="Arial" w:cs="Arial" w:eastAsia="Arial" w:hAnsi="Arial"/>
                <w:sz w:val="14"/>
                <w:szCs w:val="14"/>
                <w:color w:val="auto"/>
              </w:rPr>
              <w:t>US$</w:t>
            </w:r>
          </w:p>
        </w:tc>
        <w:tc>
          <w:tcPr>
            <w:tcW w:w="7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63,889</w:t>
            </w:r>
          </w:p>
        </w:tc>
        <w:tc>
          <w:tcPr>
            <w:tcW w:w="8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57,345</w:t>
            </w: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48,088</w:t>
            </w:r>
          </w:p>
        </w:tc>
        <w:tc>
          <w:tcPr>
            <w:tcW w:w="8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65,947</w:t>
            </w:r>
          </w:p>
        </w:tc>
        <w:tc>
          <w:tcPr>
            <w:tcW w:w="8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153,112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Discounted notes</w:t>
            </w:r>
          </w:p>
        </w:tc>
        <w:tc>
          <w:tcPr>
            <w:tcW w:w="8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1,124</w:t>
            </w:r>
          </w:p>
        </w:tc>
        <w:tc>
          <w:tcPr>
            <w:tcW w:w="8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596</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636</w:t>
            </w:r>
          </w:p>
        </w:tc>
        <w:tc>
          <w:tcPr>
            <w:tcW w:w="8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1,242</w:t>
            </w:r>
          </w:p>
        </w:tc>
        <w:tc>
          <w:tcPr>
            <w:tcW w:w="8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Advances and overdrafts in demand deposits</w:t>
            </w:r>
          </w:p>
        </w:tc>
        <w:tc>
          <w:tcPr>
            <w:tcW w:w="8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3,412</w:t>
            </w:r>
          </w:p>
        </w:tc>
        <w:tc>
          <w:tcPr>
            <w:tcW w:w="84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1,844</w:t>
            </w: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3,974</w:t>
            </w:r>
          </w:p>
        </w:tc>
        <w:tc>
          <w:tcPr>
            <w:tcW w:w="8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2,112</w:t>
            </w:r>
          </w:p>
        </w:tc>
        <w:tc>
          <w:tcPr>
            <w:tcW w:w="8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4,015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86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6,412</w:t>
            </w:r>
          </w:p>
        </w:tc>
        <w:tc>
          <w:tcPr>
            <w:tcW w:w="840" w:type="dxa"/>
            <w:vAlign w:val="bottom"/>
          </w:tcPr>
          <w:p>
            <w:pPr>
              <w:spacing w:after="0"/>
              <w:rPr>
                <w:sz w:val="12"/>
                <w:szCs w:val="12"/>
                <w:color w:val="auto"/>
              </w:rPr>
            </w:pP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5,237</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2,110</w:t>
            </w:r>
          </w:p>
        </w:tc>
        <w:tc>
          <w:tcPr>
            <w:tcW w:w="82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3,468</w:t>
            </w:r>
          </w:p>
        </w:tc>
        <w:tc>
          <w:tcPr>
            <w:tcW w:w="8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Refinanced loans</w:t>
            </w:r>
          </w:p>
        </w:tc>
        <w:tc>
          <w:tcPr>
            <w:tcW w:w="86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20,932</w:t>
            </w:r>
          </w:p>
        </w:tc>
        <w:tc>
          <w:tcPr>
            <w:tcW w:w="840" w:type="dxa"/>
            <w:vAlign w:val="bottom"/>
            <w:shd w:val="clear" w:color="auto" w:fill="CCFFCC"/>
          </w:tcPr>
          <w:p>
            <w:pPr>
              <w:spacing w:after="0"/>
              <w:rPr>
                <w:sz w:val="12"/>
                <w:szCs w:val="12"/>
                <w:color w:val="auto"/>
              </w:rPr>
            </w:pPr>
          </w:p>
        </w:tc>
        <w:tc>
          <w:tcPr>
            <w:tcW w:w="6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11,748</w:t>
            </w: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6,680</w:t>
            </w:r>
          </w:p>
        </w:tc>
        <w:tc>
          <w:tcPr>
            <w:tcW w:w="82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10,098</w:t>
            </w:r>
          </w:p>
        </w:tc>
        <w:tc>
          <w:tcPr>
            <w:tcW w:w="820" w:type="dxa"/>
            <w:vAlign w:val="bottom"/>
            <w:shd w:val="clear" w:color="auto" w:fill="CCFFCC"/>
          </w:tcPr>
          <w:p>
            <w:pPr>
              <w:spacing w:after="0"/>
              <w:rPr>
                <w:sz w:val="12"/>
                <w:szCs w:val="12"/>
                <w:color w:val="auto"/>
              </w:rPr>
            </w:pPr>
          </w:p>
        </w:tc>
        <w:tc>
          <w:tcPr>
            <w:tcW w:w="6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15,636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Total past-due portfolio</w:t>
            </w:r>
          </w:p>
        </w:tc>
        <w:tc>
          <w:tcPr>
            <w:tcW w:w="860" w:type="dxa"/>
            <w:vAlign w:val="bottom"/>
          </w:tcPr>
          <w:p>
            <w:pPr>
              <w:ind w:left="560"/>
              <w:spacing w:after="0" w:line="149" w:lineRule="exact"/>
              <w:rPr>
                <w:sz w:val="20"/>
                <w:szCs w:val="20"/>
                <w:color w:val="auto"/>
              </w:rPr>
            </w:pPr>
            <w:r>
              <w:rPr>
                <w:rFonts w:ascii="Arial" w:cs="Arial" w:eastAsia="Arial" w:hAnsi="Arial"/>
                <w:sz w:val="14"/>
                <w:szCs w:val="14"/>
                <w:color w:val="auto"/>
              </w:rPr>
              <w:t>US$</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95,769</w:t>
            </w:r>
          </w:p>
        </w:tc>
        <w:tc>
          <w:tcPr>
            <w:tcW w:w="84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76,770</w:t>
            </w:r>
          </w:p>
        </w:tc>
        <w:tc>
          <w:tcPr>
            <w:tcW w:w="180" w:type="dxa"/>
            <w:vAlign w:val="bottom"/>
          </w:tcPr>
          <w:p>
            <w:pPr>
              <w:spacing w:after="0"/>
              <w:rPr>
                <w:sz w:val="12"/>
                <w:szCs w:val="12"/>
                <w:color w:val="auto"/>
              </w:rPr>
            </w:pPr>
          </w:p>
        </w:tc>
        <w:tc>
          <w:tcPr>
            <w:tcW w:w="840" w:type="dxa"/>
            <w:vAlign w:val="bottom"/>
          </w:tcPr>
          <w:p>
            <w:pPr>
              <w:ind w:left="54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61,488</w:t>
            </w:r>
          </w:p>
        </w:tc>
        <w:tc>
          <w:tcPr>
            <w:tcW w:w="82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82,867</w:t>
            </w:r>
          </w:p>
        </w:tc>
        <w:tc>
          <w:tcPr>
            <w:tcW w:w="820" w:type="dxa"/>
            <w:vAlign w:val="bottom"/>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184,567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Less: Reserves for loan losses (1)</w:t>
            </w:r>
          </w:p>
        </w:tc>
        <w:tc>
          <w:tcPr>
            <w:tcW w:w="860" w:type="dxa"/>
            <w:vAlign w:val="bottom"/>
            <w:shd w:val="clear" w:color="auto" w:fill="CCFFCC"/>
          </w:tcPr>
          <w:p>
            <w:pPr>
              <w:ind w:left="560"/>
              <w:spacing w:after="0" w:line="149" w:lineRule="exact"/>
              <w:rPr>
                <w:sz w:val="20"/>
                <w:szCs w:val="20"/>
                <w:color w:val="auto"/>
              </w:rPr>
            </w:pPr>
            <w:r>
              <w:rPr>
                <w:rFonts w:ascii="Arial" w:cs="Arial" w:eastAsia="Arial" w:hAnsi="Arial"/>
                <w:sz w:val="14"/>
                <w:szCs w:val="14"/>
                <w:color w:val="auto"/>
              </w:rPr>
              <w:t>US$</w:t>
            </w:r>
          </w:p>
        </w:tc>
        <w:tc>
          <w:tcPr>
            <w:tcW w:w="7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218,636</w:t>
            </w:r>
          </w:p>
        </w:tc>
        <w:tc>
          <w:tcPr>
            <w:tcW w:w="84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0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210,586</w:t>
            </w:r>
          </w:p>
        </w:tc>
        <w:tc>
          <w:tcPr>
            <w:tcW w:w="180" w:type="dxa"/>
            <w:vAlign w:val="bottom"/>
            <w:shd w:val="clear" w:color="auto" w:fill="CCFFCC"/>
          </w:tcPr>
          <w:p>
            <w:pPr>
              <w:spacing w:after="0"/>
              <w:rPr>
                <w:sz w:val="12"/>
                <w:szCs w:val="12"/>
                <w:color w:val="auto"/>
              </w:rPr>
            </w:pPr>
          </w:p>
        </w:tc>
        <w:tc>
          <w:tcPr>
            <w:tcW w:w="84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8"/>
              </w:rPr>
              <w:t>229,700</w:t>
            </w:r>
          </w:p>
        </w:tc>
        <w:tc>
          <w:tcPr>
            <w:tcW w:w="8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7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8"/>
              </w:rPr>
              <w:t>248,063</w:t>
            </w:r>
          </w:p>
        </w:tc>
        <w:tc>
          <w:tcPr>
            <w:tcW w:w="820" w:type="dxa"/>
            <w:vAlign w:val="bottom"/>
            <w:shd w:val="clear" w:color="auto" w:fill="CCFFCC"/>
          </w:tcPr>
          <w:p>
            <w:pPr>
              <w:ind w:left="420"/>
              <w:spacing w:after="0" w:line="149" w:lineRule="exact"/>
              <w:rPr>
                <w:sz w:val="20"/>
                <w:szCs w:val="20"/>
                <w:color w:val="auto"/>
              </w:rPr>
            </w:pPr>
            <w:r>
              <w:rPr>
                <w:rFonts w:ascii="Arial" w:cs="Arial" w:eastAsia="Arial" w:hAnsi="Arial"/>
                <w:sz w:val="14"/>
                <w:szCs w:val="14"/>
                <w:color w:val="auto"/>
              </w:rPr>
              <w:t>US$</w:t>
            </w:r>
          </w:p>
        </w:tc>
        <w:tc>
          <w:tcPr>
            <w:tcW w:w="6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376,049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Total past-due portfolio net of reserves</w:t>
            </w:r>
          </w:p>
        </w:tc>
        <w:tc>
          <w:tcPr>
            <w:tcW w:w="860" w:type="dxa"/>
            <w:vAlign w:val="bottom"/>
          </w:tcPr>
          <w:p>
            <w:pPr>
              <w:ind w:left="560"/>
              <w:spacing w:after="0"/>
              <w:rPr>
                <w:sz w:val="20"/>
                <w:szCs w:val="20"/>
                <w:color w:val="auto"/>
              </w:rPr>
            </w:pPr>
            <w:r>
              <w:rPr>
                <w:rFonts w:ascii="Arial" w:cs="Arial" w:eastAsia="Arial" w:hAnsi="Arial"/>
                <w:sz w:val="14"/>
                <w:szCs w:val="14"/>
                <w:color w:val="auto"/>
              </w:rPr>
              <w:t>US$</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(122,867)</w:t>
            </w:r>
          </w:p>
        </w:tc>
        <w:tc>
          <w:tcPr>
            <w:tcW w:w="840" w:type="dxa"/>
            <w:vAlign w:val="bottom"/>
          </w:tcPr>
          <w:p>
            <w:pPr>
              <w:ind w:left="420"/>
              <w:spacing w:after="0"/>
              <w:rPr>
                <w:sz w:val="20"/>
                <w:szCs w:val="20"/>
                <w:color w:val="auto"/>
              </w:rPr>
            </w:pPr>
            <w:r>
              <w:rPr>
                <w:rFonts w:ascii="Arial" w:cs="Arial" w:eastAsia="Arial" w:hAnsi="Arial"/>
                <w:sz w:val="14"/>
                <w:szCs w:val="14"/>
                <w:color w:val="auto"/>
              </w:rPr>
              <w:t>US$</w:t>
            </w: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w w:val="93"/>
              </w:rPr>
              <w:t>(133,816)</w:t>
            </w:r>
          </w:p>
        </w:tc>
        <w:tc>
          <w:tcPr>
            <w:tcW w:w="180" w:type="dxa"/>
            <w:vAlign w:val="bottom"/>
          </w:tcPr>
          <w:p>
            <w:pPr>
              <w:spacing w:after="0"/>
              <w:rPr>
                <w:sz w:val="15"/>
                <w:szCs w:val="15"/>
                <w:color w:val="auto"/>
              </w:rPr>
            </w:pPr>
          </w:p>
        </w:tc>
        <w:tc>
          <w:tcPr>
            <w:tcW w:w="840" w:type="dxa"/>
            <w:vAlign w:val="bottom"/>
          </w:tcPr>
          <w:p>
            <w:pPr>
              <w:ind w:left="540"/>
              <w:spacing w:after="0"/>
              <w:rPr>
                <w:sz w:val="20"/>
                <w:szCs w:val="20"/>
                <w:color w:val="auto"/>
              </w:rPr>
            </w:pPr>
            <w:r>
              <w:rPr>
                <w:rFonts w:ascii="Arial" w:cs="Arial" w:eastAsia="Arial" w:hAnsi="Arial"/>
                <w:sz w:val="14"/>
                <w:szCs w:val="14"/>
                <w:color w:val="auto"/>
              </w:rPr>
              <w:t>US$</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w w:val="90"/>
              </w:rPr>
              <w:t>(168,212)</w:t>
            </w:r>
          </w:p>
        </w:tc>
        <w:tc>
          <w:tcPr>
            <w:tcW w:w="820" w:type="dxa"/>
            <w:vAlign w:val="bottom"/>
          </w:tcPr>
          <w:p>
            <w:pPr>
              <w:ind w:left="420"/>
              <w:spacing w:after="0"/>
              <w:rPr>
                <w:sz w:val="20"/>
                <w:szCs w:val="20"/>
                <w:color w:val="auto"/>
              </w:rPr>
            </w:pPr>
            <w:r>
              <w:rPr>
                <w:rFonts w:ascii="Arial" w:cs="Arial" w:eastAsia="Arial" w:hAnsi="Arial"/>
                <w:sz w:val="14"/>
                <w:szCs w:val="14"/>
                <w:color w:val="auto"/>
              </w:rPr>
              <w:t>US$</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w w:val="93"/>
              </w:rPr>
              <w:t>(165,196)</w:t>
            </w:r>
          </w:p>
        </w:tc>
        <w:tc>
          <w:tcPr>
            <w:tcW w:w="820" w:type="dxa"/>
            <w:vAlign w:val="bottom"/>
          </w:tcPr>
          <w:p>
            <w:pPr>
              <w:ind w:left="420"/>
              <w:spacing w:after="0"/>
              <w:rPr>
                <w:sz w:val="20"/>
                <w:szCs w:val="20"/>
                <w:color w:val="auto"/>
              </w:rPr>
            </w:pPr>
            <w:r>
              <w:rPr>
                <w:rFonts w:ascii="Arial" w:cs="Arial" w:eastAsia="Arial" w:hAnsi="Arial"/>
                <w:sz w:val="14"/>
                <w:szCs w:val="14"/>
                <w:color w:val="auto"/>
              </w:rPr>
              <w:t>US$</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3"/>
              </w:rPr>
              <w:t>(191,482)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46990</wp:posOffset>
            </wp:positionV>
            <wp:extent cx="146621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(1)  Includes reserves for indirect credits (</w:t>
      </w:r>
      <w:r>
        <w:rPr>
          <w:rFonts w:ascii="Arial" w:cs="Arial" w:eastAsia="Arial" w:hAnsi="Arial"/>
          <w:sz w:val="18"/>
          <w:szCs w:val="18"/>
          <w:i w:val="1"/>
          <w:iCs w:val="1"/>
          <w:color w:val="auto"/>
        </w:rPr>
        <w:t>see</w:t>
      </w:r>
      <w:r>
        <w:rPr>
          <w:rFonts w:ascii="Arial" w:cs="Arial" w:eastAsia="Arial" w:hAnsi="Arial"/>
          <w:sz w:val="18"/>
          <w:szCs w:val="18"/>
          <w:color w:val="auto"/>
        </w:rPr>
        <w:t xml:space="preserve"> “—Loan Loss Reserves”).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interest on past-due loans and loans in legal collection when the loans are collected. The interest income that would have been recorded for these credits in accordance with the terms of the original contract is approximately US$27.9 million and US$17.0 million as of December 31, 2009 and 2008,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6" w:name="page87"/>
    <w:bookmarkEnd w:id="86"/>
    <w:p>
      <w:pPr>
        <w:ind w:left="660"/>
        <w:spacing w:after="0"/>
        <w:rPr>
          <w:sz w:val="20"/>
          <w:szCs w:val="20"/>
          <w:color w:val="auto"/>
        </w:rPr>
      </w:pPr>
      <w:r>
        <w:rPr>
          <w:rFonts w:ascii="Arial" w:cs="Arial" w:eastAsia="Arial" w:hAnsi="Arial"/>
          <w:sz w:val="18"/>
          <w:szCs w:val="18"/>
          <w:i w:val="1"/>
          <w:iCs w:val="1"/>
          <w:color w:val="auto"/>
        </w:rPr>
        <w:t>Loan Loss Reserves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reserves for loan losses and movements at the dates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5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3560" w:type="dxa"/>
            <w:vAlign w:val="bottom"/>
          </w:tcPr>
          <w:p>
            <w:pPr>
              <w:spacing w:after="0"/>
              <w:rPr>
                <w:sz w:val="13"/>
                <w:szCs w:val="13"/>
                <w:color w:val="auto"/>
              </w:rPr>
            </w:pPr>
          </w:p>
        </w:tc>
        <w:tc>
          <w:tcPr>
            <w:tcW w:w="8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b w:val="1"/>
                <w:bCs w:val="1"/>
                <w:color w:val="auto"/>
                <w:w w:val="96"/>
              </w:rPr>
              <w:t>2005</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2006</w:t>
            </w:r>
          </w:p>
        </w:tc>
        <w:tc>
          <w:tcPr>
            <w:tcW w:w="5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2007</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8"/>
              <w:spacing w:after="0" w:line="149" w:lineRule="exact"/>
              <w:rPr>
                <w:sz w:val="20"/>
                <w:szCs w:val="20"/>
                <w:color w:val="auto"/>
              </w:rPr>
            </w:pPr>
            <w:r>
              <w:rPr>
                <w:rFonts w:ascii="Arial" w:cs="Arial" w:eastAsia="Arial" w:hAnsi="Arial"/>
                <w:sz w:val="14"/>
                <w:szCs w:val="14"/>
                <w:b w:val="1"/>
                <w:bCs w:val="1"/>
                <w:color w:val="auto"/>
              </w:rPr>
              <w:t>2008</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8"/>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3"/>
                <w:szCs w:val="13"/>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3"/>
          </w:tcPr>
          <w:p>
            <w:pPr>
              <w:jc w:val="right"/>
              <w:spacing w:after="0" w:line="149" w:lineRule="exact"/>
              <w:rPr>
                <w:sz w:val="20"/>
                <w:szCs w:val="20"/>
                <w:color w:val="auto"/>
              </w:rPr>
            </w:pPr>
            <w:r>
              <w:rPr>
                <w:rFonts w:ascii="Arial" w:cs="Arial" w:eastAsia="Arial" w:hAnsi="Arial"/>
                <w:sz w:val="14"/>
                <w:szCs w:val="14"/>
                <w:i w:val="1"/>
                <w:iCs w:val="1"/>
                <w:color w:val="auto"/>
                <w:w w:val="89"/>
              </w:rPr>
              <w:t>(U.S. Dollars in thousands)</w:t>
            </w: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at the beginning of the year</w:t>
            </w:r>
          </w:p>
        </w:tc>
        <w:tc>
          <w:tcPr>
            <w:tcW w:w="880" w:type="dxa"/>
            <w:vAlign w:val="bottom"/>
            <w:shd w:val="clear" w:color="auto" w:fill="CCFFCC"/>
          </w:tcPr>
          <w:p>
            <w:pPr>
              <w:ind w:left="560"/>
              <w:spacing w:after="0" w:line="149" w:lineRule="exact"/>
              <w:rPr>
                <w:sz w:val="20"/>
                <w:szCs w:val="20"/>
                <w:color w:val="auto"/>
              </w:rPr>
            </w:pPr>
            <w:r>
              <w:rPr>
                <w:rFonts w:ascii="Arial" w:cs="Arial" w:eastAsia="Arial" w:hAnsi="Arial"/>
                <w:sz w:val="14"/>
                <w:szCs w:val="14"/>
                <w:color w:val="auto"/>
              </w:rPr>
              <w:t>US$</w:t>
            </w:r>
          </w:p>
        </w:tc>
        <w:tc>
          <w:tcPr>
            <w:tcW w:w="7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98"/>
              </w:rPr>
              <w:t>271,873</w:t>
            </w: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5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w w:val="98"/>
              </w:rPr>
              <w:t>218,636</w:t>
            </w:r>
          </w:p>
        </w:tc>
        <w:tc>
          <w:tcPr>
            <w:tcW w:w="140" w:type="dxa"/>
            <w:vAlign w:val="bottom"/>
            <w:shd w:val="clear" w:color="auto" w:fill="CCFFCC"/>
          </w:tcPr>
          <w:p>
            <w:pPr>
              <w:spacing w:after="0"/>
              <w:rPr>
                <w:sz w:val="12"/>
                <w:szCs w:val="12"/>
                <w:color w:val="auto"/>
              </w:rPr>
            </w:pP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8"/>
              </w:rPr>
              <w:t>210,586</w:t>
            </w:r>
          </w:p>
        </w:tc>
        <w:tc>
          <w:tcPr>
            <w:tcW w:w="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229,700</w:t>
            </w:r>
          </w:p>
        </w:tc>
        <w:tc>
          <w:tcPr>
            <w:tcW w:w="4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US$</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248,063</w:t>
            </w: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Additional provisions (reversals)</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(6,356)</w:t>
            </w:r>
          </w:p>
        </w:tc>
        <w:tc>
          <w:tcPr>
            <w:tcW w:w="860" w:type="dxa"/>
            <w:vAlign w:val="bottom"/>
          </w:tcPr>
          <w:p>
            <w:pPr>
              <w:spacing w:after="0"/>
              <w:rPr>
                <w:sz w:val="12"/>
                <w:szCs w:val="12"/>
                <w:color w:val="auto"/>
              </w:rPr>
            </w:pP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(4,243)</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28,439</w:t>
            </w:r>
          </w:p>
        </w:tc>
        <w:tc>
          <w:tcPr>
            <w:tcW w:w="4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48,760</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163,392</w:t>
            </w:r>
          </w:p>
        </w:tc>
      </w:tr>
      <w:tr>
        <w:trPr>
          <w:trHeight w:val="149"/>
        </w:trPr>
        <w:tc>
          <w:tcPr>
            <w:tcW w:w="3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Acquisitions and transfers</w:t>
            </w:r>
          </w:p>
        </w:tc>
        <w:tc>
          <w:tcPr>
            <w:tcW w:w="88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(9,024)</w:t>
            </w:r>
          </w:p>
        </w:tc>
        <w:tc>
          <w:tcPr>
            <w:tcW w:w="86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CCFFCC"/>
          </w:tcPr>
          <w:p>
            <w:pPr>
              <w:spacing w:after="0"/>
              <w:rPr>
                <w:sz w:val="12"/>
                <w:szCs w:val="12"/>
                <w:color w:val="auto"/>
              </w:rPr>
            </w:pPr>
          </w:p>
        </w:tc>
        <w:tc>
          <w:tcPr>
            <w:tcW w:w="9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20,905</w:t>
            </w: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Recoveries of write-offs</w:t>
            </w:r>
          </w:p>
        </w:tc>
        <w:tc>
          <w:tcPr>
            <w:tcW w:w="8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35,032</w:t>
            </w:r>
          </w:p>
        </w:tc>
        <w:tc>
          <w:tcPr>
            <w:tcW w:w="86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44,284</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34,084</w:t>
            </w:r>
          </w:p>
        </w:tc>
        <w:tc>
          <w:tcPr>
            <w:tcW w:w="400" w:type="dxa"/>
            <w:vAlign w:val="bottom"/>
          </w:tcPr>
          <w:p>
            <w:pPr>
              <w:spacing w:after="0"/>
              <w:rPr>
                <w:sz w:val="12"/>
                <w:szCs w:val="12"/>
                <w:color w:val="auto"/>
              </w:rPr>
            </w:pP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31,279</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23,928</w:t>
            </w:r>
          </w:p>
        </w:tc>
      </w:tr>
      <w:tr>
        <w:trPr>
          <w:trHeight w:val="149"/>
        </w:trPr>
        <w:tc>
          <w:tcPr>
            <w:tcW w:w="3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Write-offs</w:t>
            </w:r>
          </w:p>
        </w:tc>
        <w:tc>
          <w:tcPr>
            <w:tcW w:w="88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(71,405)</w:t>
            </w:r>
          </w:p>
        </w:tc>
        <w:tc>
          <w:tcPr>
            <w:tcW w:w="860" w:type="dxa"/>
            <w:vAlign w:val="bottom"/>
            <w:shd w:val="clear" w:color="auto" w:fill="CCFFCC"/>
          </w:tcPr>
          <w:p>
            <w:pPr>
              <w:spacing w:after="0"/>
              <w:rPr>
                <w:sz w:val="12"/>
                <w:szCs w:val="12"/>
                <w:color w:val="auto"/>
              </w:rPr>
            </w:pPr>
          </w:p>
        </w:tc>
        <w:tc>
          <w:tcPr>
            <w:tcW w:w="58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(49,859)</w:t>
            </w:r>
          </w:p>
        </w:tc>
        <w:tc>
          <w:tcPr>
            <w:tcW w:w="14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(47,266)</w:t>
            </w:r>
          </w:p>
        </w:tc>
        <w:tc>
          <w:tcPr>
            <w:tcW w:w="40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(59,308)</w:t>
            </w:r>
          </w:p>
        </w:tc>
        <w:tc>
          <w:tcPr>
            <w:tcW w:w="8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(87,927)</w:t>
            </w:r>
          </w:p>
        </w:tc>
      </w:tr>
      <w:tr>
        <w:trPr>
          <w:trHeight w:val="149"/>
        </w:trPr>
        <w:tc>
          <w:tcPr>
            <w:tcW w:w="3560" w:type="dxa"/>
            <w:vAlign w:val="bottom"/>
          </w:tcPr>
          <w:p>
            <w:pPr>
              <w:spacing w:after="0" w:line="149" w:lineRule="exact"/>
              <w:rPr>
                <w:sz w:val="20"/>
                <w:szCs w:val="20"/>
                <w:color w:val="auto"/>
              </w:rPr>
            </w:pPr>
            <w:r>
              <w:rPr>
                <w:rFonts w:ascii="Arial" w:cs="Arial" w:eastAsia="Arial" w:hAnsi="Arial"/>
                <w:sz w:val="14"/>
                <w:szCs w:val="14"/>
                <w:color w:val="auto"/>
              </w:rPr>
              <w:t>Monetary correction and other</w:t>
            </w:r>
          </w:p>
        </w:tc>
        <w:tc>
          <w:tcPr>
            <w:tcW w:w="88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(1,484)</w:t>
            </w:r>
          </w:p>
        </w:tc>
        <w:tc>
          <w:tcPr>
            <w:tcW w:w="860" w:type="dxa"/>
            <w:vAlign w:val="bottom"/>
          </w:tcPr>
          <w:p>
            <w:pPr>
              <w:spacing w:after="0"/>
              <w:rPr>
                <w:sz w:val="12"/>
                <w:szCs w:val="12"/>
                <w:color w:val="auto"/>
              </w:rPr>
            </w:pPr>
          </w:p>
        </w:tc>
        <w:tc>
          <w:tcPr>
            <w:tcW w:w="5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1,768</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3,857</w:t>
            </w:r>
          </w:p>
        </w:tc>
        <w:tc>
          <w:tcPr>
            <w:tcW w:w="40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(2,368)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7,688</w:t>
            </w:r>
          </w:p>
        </w:tc>
      </w:tr>
      <w:tr>
        <w:trPr>
          <w:trHeight w:val="149"/>
        </w:trPr>
        <w:tc>
          <w:tcPr>
            <w:tcW w:w="35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Total reserves for loan losses at the end of the year</w:t>
            </w:r>
          </w:p>
        </w:tc>
        <w:tc>
          <w:tcPr>
            <w:tcW w:w="880" w:type="dxa"/>
            <w:vAlign w:val="bottom"/>
            <w:shd w:val="clear" w:color="auto" w:fill="CCFFCC"/>
          </w:tcPr>
          <w:p>
            <w:pPr>
              <w:ind w:left="560"/>
              <w:spacing w:after="0" w:line="149" w:lineRule="exact"/>
              <w:rPr>
                <w:sz w:val="20"/>
                <w:szCs w:val="20"/>
                <w:color w:val="auto"/>
              </w:rPr>
            </w:pPr>
            <w:r>
              <w:rPr>
                <w:rFonts w:ascii="Arial" w:cs="Arial" w:eastAsia="Arial" w:hAnsi="Arial"/>
                <w:sz w:val="14"/>
                <w:szCs w:val="14"/>
                <w:color w:val="auto"/>
              </w:rPr>
              <w:t>US$</w:t>
            </w:r>
          </w:p>
        </w:tc>
        <w:tc>
          <w:tcPr>
            <w:tcW w:w="7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98"/>
              </w:rPr>
              <w:t>218,636</w:t>
            </w: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58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w w:val="98"/>
              </w:rPr>
              <w:t>210,586</w:t>
            </w:r>
          </w:p>
        </w:tc>
        <w:tc>
          <w:tcPr>
            <w:tcW w:w="140" w:type="dxa"/>
            <w:vAlign w:val="bottom"/>
            <w:shd w:val="clear" w:color="auto" w:fill="CCFFCC"/>
          </w:tcPr>
          <w:p>
            <w:pPr>
              <w:spacing w:after="0"/>
              <w:rPr>
                <w:sz w:val="12"/>
                <w:szCs w:val="12"/>
                <w:color w:val="auto"/>
              </w:rPr>
            </w:pP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8"/>
              </w:rPr>
              <w:t>229,700</w:t>
            </w:r>
          </w:p>
        </w:tc>
        <w:tc>
          <w:tcPr>
            <w:tcW w:w="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US$</w:t>
            </w:r>
          </w:p>
        </w:tc>
        <w:tc>
          <w:tcPr>
            <w:tcW w:w="110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248,063</w:t>
            </w:r>
          </w:p>
        </w:tc>
        <w:tc>
          <w:tcPr>
            <w:tcW w:w="48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US$</w:t>
            </w:r>
          </w:p>
        </w:tc>
        <w:tc>
          <w:tcPr>
            <w:tcW w:w="10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376,049</w:t>
            </w:r>
          </w:p>
        </w:tc>
      </w:tr>
    </w:tbl>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For a discussion of the risk elements in the loan portfolio and the factors considered in determining the amount of specific reserves, </w:t>
      </w:r>
      <w:r>
        <w:rPr>
          <w:rFonts w:ascii="Arial" w:cs="Arial" w:eastAsia="Arial" w:hAnsi="Arial"/>
          <w:sz w:val="18"/>
          <w:szCs w:val="18"/>
          <w:i w:val="1"/>
          <w:iCs w:val="1"/>
          <w:color w:val="auto"/>
        </w:rPr>
        <w:t>See</w:t>
      </w:r>
      <w:r>
        <w:rPr>
          <w:rFonts w:ascii="Arial" w:cs="Arial" w:eastAsia="Arial" w:hAnsi="Arial"/>
          <w:sz w:val="18"/>
          <w:szCs w:val="18"/>
          <w:color w:val="auto"/>
        </w:rPr>
        <w:t xml:space="preserve"> “— Classification of the Loan Portfolio.” Also, as required by IFRS 7, the balance of the reserve for loan losses for the years 2007, 2008 and 2009 are included in Note 6(d) to the Credicorp Consolidated Financial Statements.</w:t>
      </w:r>
    </w:p>
    <w:p>
      <w:pPr>
        <w:spacing w:after="0" w:line="20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reserves for loan losses, as of December 31, 2009, included US$354.4 million for credit losses and US$21.7 million for indirect or contingent credit losses (US$224.3 million and US$23.7 million as of December 31, 2008, respectively). Our reserves for indirect credit losses are included in the “Other liabilities” caption of our consolidated balance sheet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Notes 6(d) and 11(a) to the Credicorp Consolidated Financial Statements).</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charge-off process is performed with prior approval of our board of directors and the SBS. Potential charge-offs are considered by the board of directors and the SBS on a case-by-case basis.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sell some of our fully provisioned past-due loans to wholly-owned subsidiaries (Soluciónes en Procesamiento) for a nominal amount with the same effect as if the loans had been charged off. Accordingly, we believe that our past-due loan amounts are not materially different from what they would be if we were permitted to charge-off loans prior to demonstrating the absolute non-collectability of the loan. BCP also sells employees’ mortgage loans to its subsidiary Financiera de Crédito Solución.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Allocation of Loan Loss Reserves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amounts of our reserves for loan losses attributable to commercial, consumer and residential mortgage loans at the dates indicated (</w:t>
      </w:r>
      <w:r>
        <w:rPr>
          <w:rFonts w:ascii="Arial" w:cs="Arial" w:eastAsia="Arial" w:hAnsi="Arial"/>
          <w:sz w:val="18"/>
          <w:szCs w:val="18"/>
          <w:i w:val="1"/>
          <w:iCs w:val="1"/>
          <w:color w:val="auto"/>
        </w:rPr>
        <w:t>see</w:t>
      </w:r>
      <w:r>
        <w:rPr>
          <w:rFonts w:ascii="Arial" w:cs="Arial" w:eastAsia="Arial" w:hAnsi="Arial"/>
          <w:sz w:val="18"/>
          <w:szCs w:val="18"/>
          <w:color w:val="auto"/>
        </w:rPr>
        <w:t xml:space="preserve"> also Note 6(d) to the Credicorp Consolidated Financial Statements):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At December 31,</w:t>
            </w: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80" w:type="dxa"/>
            <w:vAlign w:val="bottom"/>
            <w:tcBorders>
              <w:bottom w:val="single" w:sz="8" w:color="auto"/>
            </w:tcBorders>
          </w:tcPr>
          <w:p>
            <w:pPr>
              <w:ind w:left="560"/>
              <w:spacing w:after="0" w:line="149" w:lineRule="exact"/>
              <w:rPr>
                <w:sz w:val="20"/>
                <w:szCs w:val="20"/>
                <w:color w:val="auto"/>
              </w:rPr>
            </w:pPr>
            <w:r>
              <w:rPr>
                <w:rFonts w:ascii="Arial" w:cs="Arial" w:eastAsia="Arial" w:hAnsi="Arial"/>
                <w:sz w:val="14"/>
                <w:szCs w:val="14"/>
                <w:b w:val="1"/>
                <w:bCs w:val="1"/>
                <w:color w:val="auto"/>
                <w:w w:val="96"/>
              </w:rPr>
              <w:t>2005</w:t>
            </w:r>
          </w:p>
        </w:tc>
        <w:tc>
          <w:tcPr>
            <w:tcW w:w="5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2006</w:t>
            </w:r>
          </w:p>
        </w:tc>
        <w:tc>
          <w:tcPr>
            <w:tcW w:w="5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2007</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2008</w:t>
            </w: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Borders>
              <w:bottom w:val="single" w:sz="8" w:color="auto"/>
            </w:tcBorders>
          </w:tcPr>
          <w:p>
            <w:pPr>
              <w:ind w:left="540"/>
              <w:spacing w:after="0" w:line="149" w:lineRule="exact"/>
              <w:rPr>
                <w:sz w:val="20"/>
                <w:szCs w:val="20"/>
                <w:color w:val="auto"/>
              </w:rPr>
            </w:pPr>
            <w:r>
              <w:rPr>
                <w:rFonts w:ascii="Arial" w:cs="Arial" w:eastAsia="Arial" w:hAnsi="Arial"/>
                <w:sz w:val="14"/>
                <w:szCs w:val="14"/>
                <w:b w:val="1"/>
                <w:bCs w:val="1"/>
                <w:color w:val="auto"/>
                <w:w w:val="96"/>
              </w:rPr>
              <w:t>2009</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i w:val="1"/>
                <w:iCs w:val="1"/>
                <w:color w:val="auto"/>
                <w:w w:val="92"/>
              </w:rPr>
              <w:t>(U.S. Dollars in thousands)</w:t>
            </w: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Commercial loans</w:t>
            </w:r>
          </w:p>
        </w:tc>
        <w:tc>
          <w:tcPr>
            <w:tcW w:w="880" w:type="dxa"/>
            <w:vAlign w:val="bottom"/>
            <w:shd w:val="clear" w:color="auto" w:fill="CCFFCC"/>
          </w:tcPr>
          <w:p>
            <w:pPr>
              <w:ind w:left="560"/>
              <w:spacing w:after="0" w:line="149" w:lineRule="exact"/>
              <w:rPr>
                <w:sz w:val="20"/>
                <w:szCs w:val="20"/>
                <w:color w:val="auto"/>
              </w:rPr>
            </w:pPr>
            <w:r>
              <w:rPr>
                <w:rFonts w:ascii="Arial" w:cs="Arial" w:eastAsia="Arial" w:hAnsi="Arial"/>
                <w:sz w:val="14"/>
                <w:szCs w:val="14"/>
                <w:color w:val="auto"/>
              </w:rPr>
              <w:t>US$</w:t>
            </w:r>
          </w:p>
        </w:tc>
        <w:tc>
          <w:tcPr>
            <w:tcW w:w="7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w w:val="98"/>
              </w:rPr>
              <w:t>195,699</w:t>
            </w: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5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w w:val="98"/>
              </w:rPr>
              <w:t>183,374</w:t>
            </w:r>
          </w:p>
        </w:tc>
        <w:tc>
          <w:tcPr>
            <w:tcW w:w="180" w:type="dxa"/>
            <w:vAlign w:val="bottom"/>
            <w:shd w:val="clear" w:color="auto" w:fill="CCFFCC"/>
          </w:tcPr>
          <w:p>
            <w:pPr>
              <w:spacing w:after="0"/>
              <w:rPr>
                <w:sz w:val="12"/>
                <w:szCs w:val="12"/>
                <w:color w:val="auto"/>
              </w:rPr>
            </w:pP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8"/>
              </w:rPr>
              <w:t>184,584</w:t>
            </w: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w w:val="98"/>
              </w:rPr>
              <w:t>161,170</w:t>
            </w:r>
          </w:p>
        </w:tc>
        <w:tc>
          <w:tcPr>
            <w:tcW w:w="860" w:type="dxa"/>
            <w:vAlign w:val="bottom"/>
            <w:shd w:val="clear" w:color="auto" w:fill="CCFFCC"/>
          </w:tcPr>
          <w:p>
            <w:pPr>
              <w:ind w:left="540"/>
              <w:spacing w:after="0" w:line="149" w:lineRule="exact"/>
              <w:rPr>
                <w:sz w:val="20"/>
                <w:szCs w:val="20"/>
                <w:color w:val="auto"/>
              </w:rPr>
            </w:pPr>
            <w:r>
              <w:rPr>
                <w:rFonts w:ascii="Arial" w:cs="Arial" w:eastAsia="Arial" w:hAnsi="Arial"/>
                <w:sz w:val="14"/>
                <w:szCs w:val="14"/>
                <w:color w:val="auto"/>
              </w:rPr>
              <w:t>US$</w:t>
            </w:r>
          </w:p>
        </w:tc>
        <w:tc>
          <w:tcPr>
            <w:tcW w:w="6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w w:val="98"/>
              </w:rPr>
              <w:t>243,796</w:t>
            </w: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Consumer loans</w:t>
            </w:r>
          </w:p>
        </w:tc>
        <w:tc>
          <w:tcPr>
            <w:tcW w:w="880" w:type="dxa"/>
            <w:vAlign w:val="bottom"/>
          </w:tcPr>
          <w:p>
            <w:pPr>
              <w:spacing w:after="0"/>
              <w:rPr>
                <w:sz w:val="12"/>
                <w:szCs w:val="12"/>
                <w:color w:val="auto"/>
              </w:rPr>
            </w:pP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14,409</w:t>
            </w:r>
          </w:p>
        </w:tc>
        <w:tc>
          <w:tcPr>
            <w:tcW w:w="86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17,959</w:t>
            </w: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30,662</w:t>
            </w:r>
          </w:p>
        </w:tc>
        <w:tc>
          <w:tcPr>
            <w:tcW w:w="86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56,061</w:t>
            </w:r>
          </w:p>
        </w:tc>
        <w:tc>
          <w:tcPr>
            <w:tcW w:w="860" w:type="dxa"/>
            <w:vAlign w:val="bottom"/>
          </w:tcPr>
          <w:p>
            <w:pPr>
              <w:spacing w:after="0"/>
              <w:rPr>
                <w:sz w:val="12"/>
                <w:szCs w:val="12"/>
                <w:color w:val="auto"/>
              </w:rPr>
            </w:pPr>
          </w:p>
        </w:tc>
        <w:tc>
          <w:tcPr>
            <w:tcW w:w="6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90,782</w:t>
            </w: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Residential mortgage loans</w:t>
            </w:r>
          </w:p>
        </w:tc>
        <w:tc>
          <w:tcPr>
            <w:tcW w:w="880" w:type="dxa"/>
            <w:vAlign w:val="bottom"/>
            <w:shd w:val="clear" w:color="auto" w:fill="CCFFCC"/>
          </w:tcPr>
          <w:p>
            <w:pPr>
              <w:spacing w:after="0"/>
              <w:rPr>
                <w:sz w:val="12"/>
                <w:szCs w:val="12"/>
                <w:color w:val="auto"/>
              </w:rPr>
            </w:pPr>
          </w:p>
        </w:tc>
        <w:tc>
          <w:tcPr>
            <w:tcW w:w="7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8,528</w:t>
            </w:r>
          </w:p>
        </w:tc>
        <w:tc>
          <w:tcPr>
            <w:tcW w:w="860" w:type="dxa"/>
            <w:vAlign w:val="bottom"/>
            <w:shd w:val="clear" w:color="auto" w:fill="CCFFCC"/>
          </w:tcPr>
          <w:p>
            <w:pPr>
              <w:spacing w:after="0"/>
              <w:rPr>
                <w:sz w:val="12"/>
                <w:szCs w:val="12"/>
                <w:color w:val="auto"/>
              </w:rPr>
            </w:pPr>
          </w:p>
        </w:tc>
        <w:tc>
          <w:tcPr>
            <w:tcW w:w="540" w:type="dxa"/>
            <w:vAlign w:val="bottom"/>
            <w:gridSpan w:val="2"/>
            <w:shd w:val="clear" w:color="auto" w:fill="CCFFCC"/>
          </w:tcPr>
          <w:p>
            <w:pPr>
              <w:jc w:val="right"/>
              <w:ind w:right="20"/>
              <w:spacing w:after="0" w:line="149" w:lineRule="exact"/>
              <w:rPr>
                <w:sz w:val="20"/>
                <w:szCs w:val="20"/>
                <w:color w:val="auto"/>
              </w:rPr>
            </w:pPr>
            <w:r>
              <w:rPr>
                <w:rFonts w:ascii="Arial" w:cs="Arial" w:eastAsia="Arial" w:hAnsi="Arial"/>
                <w:sz w:val="14"/>
                <w:szCs w:val="14"/>
                <w:color w:val="auto"/>
              </w:rPr>
              <w:t>9,253</w:t>
            </w:r>
          </w:p>
        </w:tc>
        <w:tc>
          <w:tcPr>
            <w:tcW w:w="180" w:type="dxa"/>
            <w:vAlign w:val="bottom"/>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14,454</w:t>
            </w:r>
          </w:p>
        </w:tc>
        <w:tc>
          <w:tcPr>
            <w:tcW w:w="860" w:type="dxa"/>
            <w:vAlign w:val="bottom"/>
            <w:shd w:val="clear" w:color="auto" w:fill="CCFFCC"/>
          </w:tcPr>
          <w:p>
            <w:pPr>
              <w:spacing w:after="0"/>
              <w:rPr>
                <w:sz w:val="12"/>
                <w:szCs w:val="12"/>
                <w:color w:val="auto"/>
              </w:rPr>
            </w:pPr>
          </w:p>
        </w:tc>
        <w:tc>
          <w:tcPr>
            <w:tcW w:w="7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30,832</w:t>
            </w:r>
          </w:p>
        </w:tc>
        <w:tc>
          <w:tcPr>
            <w:tcW w:w="860" w:type="dxa"/>
            <w:vAlign w:val="bottom"/>
            <w:shd w:val="clear" w:color="auto" w:fill="CCFFCC"/>
          </w:tcPr>
          <w:p>
            <w:pPr>
              <w:spacing w:after="0"/>
              <w:rPr>
                <w:sz w:val="12"/>
                <w:szCs w:val="12"/>
                <w:color w:val="auto"/>
              </w:rPr>
            </w:pPr>
          </w:p>
        </w:tc>
        <w:tc>
          <w:tcPr>
            <w:tcW w:w="6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41,471</w:t>
            </w: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4"/>
                <w:szCs w:val="14"/>
                <w:color w:val="auto"/>
              </w:rPr>
              <w:t>Total reserves</w:t>
            </w:r>
          </w:p>
        </w:tc>
        <w:tc>
          <w:tcPr>
            <w:tcW w:w="880" w:type="dxa"/>
            <w:vAlign w:val="bottom"/>
          </w:tcPr>
          <w:p>
            <w:pPr>
              <w:ind w:left="560"/>
              <w:spacing w:after="0"/>
              <w:rPr>
                <w:sz w:val="20"/>
                <w:szCs w:val="20"/>
                <w:color w:val="auto"/>
              </w:rPr>
            </w:pPr>
            <w:r>
              <w:rPr>
                <w:rFonts w:ascii="Arial" w:cs="Arial" w:eastAsia="Arial" w:hAnsi="Arial"/>
                <w:sz w:val="14"/>
                <w:szCs w:val="14"/>
                <w:color w:val="auto"/>
              </w:rPr>
              <w:t>US$</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w w:val="98"/>
              </w:rPr>
              <w:t>218,636</w:t>
            </w:r>
          </w:p>
        </w:tc>
        <w:tc>
          <w:tcPr>
            <w:tcW w:w="860" w:type="dxa"/>
            <w:vAlign w:val="bottom"/>
          </w:tcPr>
          <w:p>
            <w:pPr>
              <w:ind w:left="540"/>
              <w:spacing w:after="0"/>
              <w:rPr>
                <w:sz w:val="20"/>
                <w:szCs w:val="20"/>
                <w:color w:val="auto"/>
              </w:rPr>
            </w:pPr>
            <w:r>
              <w:rPr>
                <w:rFonts w:ascii="Arial" w:cs="Arial" w:eastAsia="Arial" w:hAnsi="Arial"/>
                <w:sz w:val="14"/>
                <w:szCs w:val="14"/>
                <w:color w:val="auto"/>
              </w:rPr>
              <w:t>US$</w:t>
            </w:r>
          </w:p>
        </w:tc>
        <w:tc>
          <w:tcPr>
            <w:tcW w:w="540" w:type="dxa"/>
            <w:vAlign w:val="bottom"/>
            <w:gridSpan w:val="2"/>
          </w:tcPr>
          <w:p>
            <w:pPr>
              <w:jc w:val="right"/>
              <w:ind w:right="20"/>
              <w:spacing w:after="0"/>
              <w:rPr>
                <w:sz w:val="20"/>
                <w:szCs w:val="20"/>
                <w:color w:val="auto"/>
              </w:rPr>
            </w:pPr>
            <w:r>
              <w:rPr>
                <w:rFonts w:ascii="Arial" w:cs="Arial" w:eastAsia="Arial" w:hAnsi="Arial"/>
                <w:sz w:val="14"/>
                <w:szCs w:val="14"/>
                <w:color w:val="auto"/>
                <w:w w:val="98"/>
              </w:rPr>
              <w:t>210,586</w:t>
            </w:r>
          </w:p>
        </w:tc>
        <w:tc>
          <w:tcPr>
            <w:tcW w:w="180" w:type="dxa"/>
            <w:vAlign w:val="bottom"/>
          </w:tcPr>
          <w:p>
            <w:pPr>
              <w:spacing w:after="0"/>
              <w:rPr>
                <w:sz w:val="15"/>
                <w:szCs w:val="15"/>
                <w:color w:val="auto"/>
              </w:rPr>
            </w:pPr>
          </w:p>
        </w:tc>
        <w:tc>
          <w:tcPr>
            <w:tcW w:w="860" w:type="dxa"/>
            <w:vAlign w:val="bottom"/>
          </w:tcPr>
          <w:p>
            <w:pPr>
              <w:ind w:left="540"/>
              <w:spacing w:after="0"/>
              <w:rPr>
                <w:sz w:val="20"/>
                <w:szCs w:val="20"/>
                <w:color w:val="auto"/>
              </w:rPr>
            </w:pPr>
            <w:r>
              <w:rPr>
                <w:rFonts w:ascii="Arial" w:cs="Arial" w:eastAsia="Arial" w:hAnsi="Arial"/>
                <w:sz w:val="14"/>
                <w:szCs w:val="14"/>
                <w:color w:val="auto"/>
              </w:rPr>
              <w:t>US$</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229,700</w:t>
            </w:r>
          </w:p>
        </w:tc>
        <w:tc>
          <w:tcPr>
            <w:tcW w:w="860" w:type="dxa"/>
            <w:vAlign w:val="bottom"/>
          </w:tcPr>
          <w:p>
            <w:pPr>
              <w:ind w:left="540"/>
              <w:spacing w:after="0"/>
              <w:rPr>
                <w:sz w:val="20"/>
                <w:szCs w:val="20"/>
                <w:color w:val="auto"/>
              </w:rPr>
            </w:pPr>
            <w:r>
              <w:rPr>
                <w:rFonts w:ascii="Arial" w:cs="Arial" w:eastAsia="Arial" w:hAnsi="Arial"/>
                <w:sz w:val="14"/>
                <w:szCs w:val="14"/>
                <w:color w:val="auto"/>
              </w:rPr>
              <w:t>US$</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w w:val="98"/>
              </w:rPr>
              <w:t>248,063</w:t>
            </w:r>
          </w:p>
        </w:tc>
        <w:tc>
          <w:tcPr>
            <w:tcW w:w="860" w:type="dxa"/>
            <w:vAlign w:val="bottom"/>
          </w:tcPr>
          <w:p>
            <w:pPr>
              <w:ind w:left="540"/>
              <w:spacing w:after="0"/>
              <w:rPr>
                <w:sz w:val="20"/>
                <w:szCs w:val="20"/>
                <w:color w:val="auto"/>
              </w:rPr>
            </w:pPr>
            <w:r>
              <w:rPr>
                <w:rFonts w:ascii="Arial" w:cs="Arial" w:eastAsia="Arial" w:hAnsi="Arial"/>
                <w:sz w:val="14"/>
                <w:szCs w:val="14"/>
                <w:color w:val="auto"/>
              </w:rPr>
              <w:t>US$</w:t>
            </w:r>
          </w:p>
        </w:tc>
        <w:tc>
          <w:tcPr>
            <w:tcW w:w="620" w:type="dxa"/>
            <w:vAlign w:val="bottom"/>
            <w:gridSpan w:val="2"/>
          </w:tcPr>
          <w:p>
            <w:pPr>
              <w:jc w:val="right"/>
              <w:ind w:right="100"/>
              <w:spacing w:after="0"/>
              <w:rPr>
                <w:sz w:val="20"/>
                <w:szCs w:val="20"/>
                <w:color w:val="auto"/>
              </w:rPr>
            </w:pPr>
            <w:r>
              <w:rPr>
                <w:rFonts w:ascii="Arial" w:cs="Arial" w:eastAsia="Arial" w:hAnsi="Arial"/>
                <w:sz w:val="14"/>
                <w:szCs w:val="14"/>
                <w:color w:val="auto"/>
                <w:w w:val="98"/>
              </w:rPr>
              <w:t>376,049</w:t>
            </w:r>
          </w:p>
        </w:tc>
      </w:tr>
    </w:tbl>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7" w:name="page88"/>
    <w:bookmarkEnd w:id="87"/>
    <w:p>
      <w:pPr>
        <w:ind w:left="1300" w:hanging="644"/>
        <w:spacing w:after="0"/>
        <w:tabs>
          <w:tab w:leader="none" w:pos="13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deposit base at the dates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7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b w:val="1"/>
                <w:bCs w:val="1"/>
                <w:color w:val="auto"/>
                <w:w w:val="90"/>
              </w:rPr>
              <w:t>At December 31,</w:t>
            </w:r>
          </w:p>
        </w:tc>
        <w:tc>
          <w:tcPr>
            <w:tcW w:w="1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74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318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1,457,155</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1,735,869</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1,944,404</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2,507,346</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3,136,408</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2,612,342</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right="56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3,964,501</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4,872,277</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4,556,746</w:t>
            </w: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877,205</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1,193,639</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1,505,994</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1,503,699</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1,775,100</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2,033,671</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right="56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2,380,904</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2,968,739</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3,539,665</w:t>
            </w: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jc w:val="center"/>
              <w:ind w:right="5610"/>
              <w:spacing w:after="0"/>
              <w:rPr>
                <w:sz w:val="20"/>
                <w:szCs w:val="20"/>
                <w:color w:val="auto"/>
              </w:rPr>
            </w:pPr>
            <w:r>
              <w:rPr>
                <w:rFonts w:ascii="Arial" w:cs="Arial" w:eastAsia="Arial" w:hAnsi="Arial"/>
                <w:sz w:val="18"/>
                <w:szCs w:val="18"/>
                <w:color w:val="auto"/>
                <w:w w:val="88"/>
              </w:rPr>
              <w:t>Time deposits: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1,391,008</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1,768,893</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1,662,941</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2,576,856</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3,087,219</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3,088,920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right="56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3,967,864</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4,856,112</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4,751,861</w:t>
            </w: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 Bank Certificates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90,119</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140,013</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120,932</w:t>
            </w: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149,308</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229,716</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256,761</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746,975</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810,171</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812,745</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right="56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896,283</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1,039,887</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1,069,506</w:t>
            </w:r>
          </w:p>
        </w:tc>
      </w:tr>
      <w:tr>
        <w:trPr>
          <w:trHeight w:val="216"/>
        </w:trPr>
        <w:tc>
          <w:tcPr>
            <w:tcW w:w="20" w:type="dxa"/>
            <w:vAlign w:val="bottom"/>
          </w:tcPr>
          <w:p>
            <w:pPr>
              <w:spacing w:after="0"/>
              <w:rPr>
                <w:sz w:val="18"/>
                <w:szCs w:val="18"/>
                <w:color w:val="auto"/>
              </w:rPr>
            </w:pPr>
          </w:p>
        </w:tc>
        <w:tc>
          <w:tcPr>
            <w:tcW w:w="6740" w:type="dxa"/>
            <w:vAlign w:val="bottom"/>
            <w:shd w:val="clear" w:color="auto" w:fill="CCFFCC"/>
          </w:tcPr>
          <w:p>
            <w:pPr>
              <w:jc w:val="center"/>
              <w:ind w:right="5610"/>
              <w:spacing w:after="0"/>
              <w:rPr>
                <w:sz w:val="20"/>
                <w:szCs w:val="20"/>
                <w:color w:val="auto"/>
              </w:rPr>
            </w:pPr>
            <w:r>
              <w:rPr>
                <w:rFonts w:ascii="Arial" w:cs="Arial" w:eastAsia="Arial" w:hAnsi="Arial"/>
                <w:sz w:val="18"/>
                <w:szCs w:val="18"/>
                <w:color w:val="auto"/>
                <w:w w:val="88"/>
              </w:rPr>
              <w:t>Total deposits:</w:t>
            </w: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40" w:type="dxa"/>
            <w:vAlign w:val="bottom"/>
          </w:tcPr>
          <w:p>
            <w:pPr>
              <w:ind w:left="160"/>
              <w:spacing w:after="0"/>
              <w:rPr>
                <w:sz w:val="20"/>
                <w:szCs w:val="20"/>
                <w:color w:val="auto"/>
              </w:rPr>
            </w:pPr>
            <w:r>
              <w:rPr>
                <w:rFonts w:ascii="Arial" w:cs="Arial" w:eastAsia="Arial" w:hAnsi="Arial"/>
                <w:sz w:val="18"/>
                <w:szCs w:val="18"/>
                <w:color w:val="auto"/>
              </w:rPr>
              <w:t>Nuevo Sol-denominated</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tcPr>
          <w:p>
            <w:pPr>
              <w:jc w:val="right"/>
              <w:spacing w:after="0"/>
              <w:rPr>
                <w:sz w:val="20"/>
                <w:szCs w:val="20"/>
                <w:color w:val="auto"/>
              </w:rPr>
            </w:pPr>
            <w:r>
              <w:rPr>
                <w:rFonts w:ascii="Arial" w:cs="Arial" w:eastAsia="Arial" w:hAnsi="Arial"/>
                <w:sz w:val="18"/>
                <w:szCs w:val="18"/>
                <w:color w:val="auto"/>
              </w:rPr>
              <w:t>3,874,676</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4,928,117</w:t>
            </w:r>
          </w:p>
        </w:tc>
        <w:tc>
          <w:tcPr>
            <w:tcW w:w="100" w:type="dxa"/>
            <w:vAlign w:val="bottom"/>
          </w:tcPr>
          <w:p>
            <w:pPr>
              <w:spacing w:after="0"/>
              <w:rPr>
                <w:sz w:val="18"/>
                <w:szCs w:val="18"/>
                <w:color w:val="auto"/>
              </w:rPr>
            </w:pPr>
          </w:p>
        </w:tc>
        <w:tc>
          <w:tcPr>
            <w:tcW w:w="52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5,370,100</w:t>
            </w:r>
          </w:p>
        </w:tc>
      </w:tr>
      <w:tr>
        <w:trPr>
          <w:trHeight w:val="223"/>
        </w:trPr>
        <w:tc>
          <w:tcPr>
            <w:tcW w:w="20" w:type="dxa"/>
            <w:vAlign w:val="bottom"/>
          </w:tcPr>
          <w:p>
            <w:pPr>
              <w:spacing w:after="0"/>
              <w:rPr>
                <w:sz w:val="19"/>
                <w:szCs w:val="19"/>
                <w:color w:val="auto"/>
              </w:rPr>
            </w:pPr>
          </w:p>
        </w:tc>
        <w:tc>
          <w:tcPr>
            <w:tcW w:w="67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Foreign Currency-denominated</w:t>
            </w:r>
          </w:p>
        </w:tc>
        <w:tc>
          <w:tcPr>
            <w:tcW w:w="420" w:type="dxa"/>
            <w:vAlign w:val="bottom"/>
            <w:tcBorders>
              <w:bottom w:val="single" w:sz="8" w:color="auto"/>
            </w:tcBorders>
            <w:shd w:val="clear" w:color="auto" w:fill="CCFFCC"/>
          </w:tcPr>
          <w:p>
            <w:pPr>
              <w:spacing w:after="0"/>
              <w:rPr>
                <w:sz w:val="19"/>
                <w:szCs w:val="19"/>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7,424,995</w:t>
            </w:r>
          </w:p>
        </w:tc>
        <w:tc>
          <w:tcPr>
            <w:tcW w:w="2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8,948,911</w:t>
            </w:r>
          </w:p>
        </w:tc>
        <w:tc>
          <w:tcPr>
            <w:tcW w:w="10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420" w:type="dxa"/>
            <w:vAlign w:val="bottom"/>
            <w:tcBorders>
              <w:bottom w:val="single" w:sz="8" w:color="auto"/>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8,668,610</w:t>
            </w:r>
          </w:p>
        </w:tc>
        <w:tc>
          <w:tcPr>
            <w:tcW w:w="100" w:type="dxa"/>
            <w:vAlign w:val="bottom"/>
            <w:tcBorders>
              <w:bottom w:val="single" w:sz="8" w:color="CCFFCC"/>
            </w:tcBorders>
            <w:shd w:val="clear" w:color="auto" w:fill="CCFFCC"/>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40" w:type="dxa"/>
            <w:vAlign w:val="bottom"/>
          </w:tcPr>
          <w:p>
            <w:pPr>
              <w:jc w:val="center"/>
              <w:ind w:right="5650"/>
              <w:spacing w:after="0"/>
              <w:rPr>
                <w:sz w:val="20"/>
                <w:szCs w:val="20"/>
                <w:color w:val="auto"/>
              </w:rPr>
            </w:pPr>
            <w:r>
              <w:rPr>
                <w:rFonts w:ascii="Arial" w:cs="Arial" w:eastAsia="Arial" w:hAnsi="Arial"/>
                <w:sz w:val="18"/>
                <w:szCs w:val="18"/>
                <w:color w:val="auto"/>
                <w:w w:val="89"/>
              </w:rPr>
              <w:t>Total</w:t>
            </w:r>
          </w:p>
        </w:tc>
        <w:tc>
          <w:tcPr>
            <w:tcW w:w="42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11,299,671</w:t>
            </w:r>
          </w:p>
        </w:tc>
        <w:tc>
          <w:tcPr>
            <w:tcW w:w="20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13,877,028</w:t>
            </w:r>
          </w:p>
        </w:tc>
        <w:tc>
          <w:tcPr>
            <w:tcW w:w="520" w:type="dxa"/>
            <w:vAlign w:val="bottom"/>
            <w:gridSpan w:val="2"/>
          </w:tcPr>
          <w:p>
            <w:pPr>
              <w:ind w:left="10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14,038,710</w:t>
            </w:r>
          </w:p>
        </w:tc>
      </w:tr>
      <w:tr>
        <w:trPr>
          <w:trHeight w:val="21"/>
        </w:trPr>
        <w:tc>
          <w:tcPr>
            <w:tcW w:w="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information regarding the maturity of our time deposits in denominations of US$100,000 or more on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2009: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40" w:type="dxa"/>
            <w:vAlign w:val="bottom"/>
            <w:gridSpan w:val="3"/>
          </w:tcPr>
          <w:p>
            <w:pPr>
              <w:ind w:left="340"/>
              <w:spacing w:after="0"/>
              <w:rPr>
                <w:sz w:val="20"/>
                <w:szCs w:val="20"/>
                <w:color w:val="auto"/>
              </w:rPr>
            </w:pPr>
            <w:r>
              <w:rPr>
                <w:rFonts w:ascii="Arial" w:cs="Arial" w:eastAsia="Arial" w:hAnsi="Arial"/>
                <w:sz w:val="18"/>
                <w:szCs w:val="18"/>
                <w:b w:val="1"/>
                <w:bCs w:val="1"/>
                <w:color w:val="auto"/>
              </w:rPr>
              <w:t>At December 31, 2009</w:t>
            </w:r>
          </w:p>
        </w:tc>
        <w:tc>
          <w:tcPr>
            <w:tcW w:w="2800" w:type="dxa"/>
            <w:vAlign w:val="bottom"/>
          </w:tcPr>
          <w:p>
            <w:pPr>
              <w:spacing w:after="0"/>
              <w:rPr>
                <w:sz w:val="20"/>
                <w:szCs w:val="20"/>
                <w:color w:val="auto"/>
              </w:rPr>
            </w:pPr>
          </w:p>
        </w:tc>
      </w:tr>
      <w:tr>
        <w:trPr>
          <w:trHeight w:val="223"/>
        </w:trPr>
        <w:tc>
          <w:tcPr>
            <w:tcW w:w="28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54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8"/>
                <w:szCs w:val="18"/>
                <w:i w:val="1"/>
                <w:iCs w:val="1"/>
                <w:color w:val="auto"/>
              </w:rPr>
              <w:t>(U.S. Dollars in thousands)</w:t>
            </w:r>
          </w:p>
        </w:tc>
        <w:tc>
          <w:tcPr>
            <w:tcW w:w="100" w:type="dxa"/>
            <w:vAlign w:val="bottom"/>
          </w:tcPr>
          <w:p>
            <w:pPr>
              <w:spacing w:after="0"/>
              <w:rPr>
                <w:sz w:val="19"/>
                <w:szCs w:val="19"/>
                <w:color w:val="auto"/>
              </w:rPr>
            </w:pPr>
          </w:p>
        </w:tc>
        <w:tc>
          <w:tcPr>
            <w:tcW w:w="2800" w:type="dxa"/>
            <w:vAlign w:val="bottom"/>
          </w:tcPr>
          <w:p>
            <w:pPr>
              <w:spacing w:after="0"/>
              <w:rPr>
                <w:sz w:val="19"/>
                <w:szCs w:val="19"/>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Certificates of deposit:</w:t>
            </w:r>
          </w:p>
        </w:tc>
        <w:tc>
          <w:tcPr>
            <w:tcW w:w="16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within 30 days</w:t>
            </w:r>
          </w:p>
        </w:tc>
        <w:tc>
          <w:tcPr>
            <w:tcW w:w="1680" w:type="dxa"/>
            <w:vAlign w:val="bottom"/>
          </w:tcPr>
          <w:p>
            <w:pPr>
              <w:ind w:left="1220"/>
              <w:spacing w:after="0"/>
              <w:rPr>
                <w:sz w:val="20"/>
                <w:szCs w:val="20"/>
                <w:color w:val="auto"/>
              </w:rPr>
            </w:pPr>
            <w:r>
              <w:rPr>
                <w:rFonts w:ascii="Arial" w:cs="Arial" w:eastAsia="Arial" w:hAnsi="Arial"/>
                <w:sz w:val="18"/>
                <w:szCs w:val="18"/>
                <w:color w:val="auto"/>
              </w:rPr>
              <w:t>US$</w:t>
            </w:r>
          </w:p>
        </w:tc>
        <w:tc>
          <w:tcPr>
            <w:tcW w:w="860" w:type="dxa"/>
            <w:vAlign w:val="bottom"/>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Maturing after 30 but within 60 days</w:t>
            </w:r>
          </w:p>
        </w:tc>
        <w:tc>
          <w:tcPr>
            <w:tcW w:w="16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2,165</w:t>
            </w:r>
          </w:p>
        </w:tc>
        <w:tc>
          <w:tcPr>
            <w:tcW w:w="100" w:type="dxa"/>
            <w:vAlign w:val="bottom"/>
            <w:shd w:val="clear" w:color="auto" w:fill="CCFFCC"/>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0FFC0"/>
          </w:tcPr>
          <w:p>
            <w:pPr>
              <w:ind w:left="160"/>
              <w:spacing w:after="0"/>
              <w:rPr>
                <w:sz w:val="20"/>
                <w:szCs w:val="20"/>
                <w:color w:val="auto"/>
              </w:rPr>
            </w:pPr>
            <w:r>
              <w:rPr>
                <w:rFonts w:ascii="Arial" w:cs="Arial" w:eastAsia="Arial" w:hAnsi="Arial"/>
                <w:sz w:val="18"/>
                <w:szCs w:val="18"/>
                <w:color w:val="auto"/>
              </w:rPr>
              <w:t>Maturing after 60 but within 90 days</w:t>
            </w:r>
          </w:p>
        </w:tc>
        <w:tc>
          <w:tcPr>
            <w:tcW w:w="1680" w:type="dxa"/>
            <w:vAlign w:val="bottom"/>
            <w:shd w:val="clear" w:color="auto" w:fill="C0FFC0"/>
          </w:tcPr>
          <w:p>
            <w:pPr>
              <w:spacing w:after="0"/>
              <w:rPr>
                <w:sz w:val="18"/>
                <w:szCs w:val="18"/>
                <w:color w:val="auto"/>
              </w:rPr>
            </w:pP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0FFC0"/>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after 90 but within 180 days</w:t>
            </w: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5,146</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2"/>
        </w:trPr>
        <w:tc>
          <w:tcPr>
            <w:tcW w:w="2820" w:type="dxa"/>
            <w:vAlign w:val="bottom"/>
          </w:tcPr>
          <w:p>
            <w:pPr>
              <w:spacing w:after="0"/>
              <w:rPr>
                <w:sz w:val="17"/>
                <w:szCs w:val="17"/>
                <w:color w:val="auto"/>
              </w:rPr>
            </w:pPr>
          </w:p>
        </w:tc>
        <w:tc>
          <w:tcPr>
            <w:tcW w:w="3160" w:type="dxa"/>
            <w:vAlign w:val="bottom"/>
            <w:gridSpan w:val="2"/>
            <w:shd w:val="clear" w:color="auto" w:fill="C0FFC0"/>
          </w:tcPr>
          <w:p>
            <w:pPr>
              <w:ind w:left="160"/>
              <w:spacing w:after="0" w:line="201" w:lineRule="exact"/>
              <w:rPr>
                <w:sz w:val="20"/>
                <w:szCs w:val="20"/>
                <w:color w:val="auto"/>
              </w:rPr>
            </w:pPr>
            <w:r>
              <w:rPr>
                <w:rFonts w:ascii="Arial" w:cs="Arial" w:eastAsia="Arial" w:hAnsi="Arial"/>
                <w:sz w:val="18"/>
                <w:szCs w:val="18"/>
                <w:color w:val="auto"/>
              </w:rPr>
              <w:t>Maturing after 180 but within 360</w:t>
            </w:r>
          </w:p>
        </w:tc>
        <w:tc>
          <w:tcPr>
            <w:tcW w:w="1680" w:type="dxa"/>
            <w:vAlign w:val="bottom"/>
            <w:shd w:val="clear" w:color="auto" w:fill="C0FFC0"/>
          </w:tcPr>
          <w:p>
            <w:pPr>
              <w:spacing w:after="0"/>
              <w:rPr>
                <w:sz w:val="17"/>
                <w:szCs w:val="17"/>
                <w:color w:val="auto"/>
              </w:rPr>
            </w:pPr>
          </w:p>
        </w:tc>
        <w:tc>
          <w:tcPr>
            <w:tcW w:w="860" w:type="dxa"/>
            <w:vAlign w:val="bottom"/>
            <w:shd w:val="clear" w:color="auto" w:fill="C0FFC0"/>
          </w:tcPr>
          <w:p>
            <w:pPr>
              <w:spacing w:after="0"/>
              <w:rPr>
                <w:sz w:val="17"/>
                <w:szCs w:val="17"/>
                <w:color w:val="auto"/>
              </w:rPr>
            </w:pPr>
          </w:p>
        </w:tc>
        <w:tc>
          <w:tcPr>
            <w:tcW w:w="100" w:type="dxa"/>
            <w:vAlign w:val="bottom"/>
            <w:shd w:val="clear" w:color="auto" w:fill="C0FFC0"/>
          </w:tcPr>
          <w:p>
            <w:pPr>
              <w:spacing w:after="0"/>
              <w:rPr>
                <w:sz w:val="17"/>
                <w:szCs w:val="17"/>
                <w:color w:val="auto"/>
              </w:rPr>
            </w:pPr>
          </w:p>
        </w:tc>
        <w:tc>
          <w:tcPr>
            <w:tcW w:w="2800" w:type="dxa"/>
            <w:vAlign w:val="bottom"/>
          </w:tcPr>
          <w:p>
            <w:pPr>
              <w:spacing w:after="0"/>
              <w:rPr>
                <w:sz w:val="17"/>
                <w:szCs w:val="17"/>
                <w:color w:val="auto"/>
              </w:rPr>
            </w:pPr>
          </w:p>
        </w:tc>
      </w:tr>
      <w:tr>
        <w:trPr>
          <w:trHeight w:val="230"/>
        </w:trPr>
        <w:tc>
          <w:tcPr>
            <w:tcW w:w="2820" w:type="dxa"/>
            <w:vAlign w:val="bottom"/>
          </w:tcPr>
          <w:p>
            <w:pPr>
              <w:spacing w:after="0"/>
              <w:rPr>
                <w:sz w:val="20"/>
                <w:szCs w:val="20"/>
                <w:color w:val="auto"/>
              </w:rPr>
            </w:pPr>
          </w:p>
        </w:tc>
        <w:tc>
          <w:tcPr>
            <w:tcW w:w="3160" w:type="dxa"/>
            <w:vAlign w:val="bottom"/>
            <w:gridSpan w:val="2"/>
            <w:shd w:val="clear" w:color="auto" w:fill="C0FFC0"/>
          </w:tcPr>
          <w:p>
            <w:pPr>
              <w:ind w:left="160"/>
              <w:spacing w:after="0"/>
              <w:rPr>
                <w:sz w:val="20"/>
                <w:szCs w:val="20"/>
                <w:color w:val="auto"/>
              </w:rPr>
            </w:pPr>
            <w:r>
              <w:rPr>
                <w:rFonts w:ascii="Arial" w:cs="Arial" w:eastAsia="Arial" w:hAnsi="Arial"/>
                <w:sz w:val="18"/>
                <w:szCs w:val="18"/>
                <w:color w:val="auto"/>
              </w:rPr>
              <w:t>days</w:t>
            </w:r>
          </w:p>
        </w:tc>
        <w:tc>
          <w:tcPr>
            <w:tcW w:w="1680" w:type="dxa"/>
            <w:vAlign w:val="bottom"/>
            <w:shd w:val="clear" w:color="auto" w:fill="C0FFC0"/>
          </w:tcPr>
          <w:p>
            <w:pPr>
              <w:spacing w:after="0"/>
              <w:rPr>
                <w:sz w:val="20"/>
                <w:szCs w:val="20"/>
                <w:color w:val="auto"/>
              </w:rPr>
            </w:pP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0FFC0"/>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after 360 days</w:t>
            </w: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21,558</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0FFC0"/>
          </w:tcPr>
          <w:p>
            <w:pPr>
              <w:spacing w:after="0"/>
              <w:rPr>
                <w:sz w:val="20"/>
                <w:szCs w:val="20"/>
                <w:color w:val="auto"/>
              </w:rPr>
            </w:pPr>
            <w:r>
              <w:rPr>
                <w:rFonts w:ascii="Arial" w:cs="Arial" w:eastAsia="Arial" w:hAnsi="Arial"/>
                <w:sz w:val="18"/>
                <w:szCs w:val="18"/>
                <w:color w:val="auto"/>
              </w:rPr>
              <w:t>Total certificates of deposits</w:t>
            </w:r>
          </w:p>
        </w:tc>
        <w:tc>
          <w:tcPr>
            <w:tcW w:w="1680" w:type="dxa"/>
            <w:vAlign w:val="bottom"/>
            <w:shd w:val="clear" w:color="auto" w:fill="C0FFC0"/>
          </w:tcPr>
          <w:p>
            <w:pPr>
              <w:ind w:left="122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29,756</w:t>
            </w:r>
          </w:p>
        </w:tc>
        <w:tc>
          <w:tcPr>
            <w:tcW w:w="100" w:type="dxa"/>
            <w:vAlign w:val="bottom"/>
            <w:shd w:val="clear" w:color="auto" w:fill="C0FFC0"/>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Time deposits:</w:t>
            </w:r>
          </w:p>
        </w:tc>
        <w:tc>
          <w:tcPr>
            <w:tcW w:w="16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0FFC0"/>
          </w:tcPr>
          <w:p>
            <w:pPr>
              <w:ind w:left="160"/>
              <w:spacing w:after="0"/>
              <w:rPr>
                <w:sz w:val="20"/>
                <w:szCs w:val="20"/>
                <w:color w:val="auto"/>
              </w:rPr>
            </w:pPr>
            <w:r>
              <w:rPr>
                <w:rFonts w:ascii="Arial" w:cs="Arial" w:eastAsia="Arial" w:hAnsi="Arial"/>
                <w:sz w:val="18"/>
                <w:szCs w:val="18"/>
                <w:color w:val="auto"/>
              </w:rPr>
              <w:t>Maturing within 30 days</w:t>
            </w:r>
          </w:p>
        </w:tc>
        <w:tc>
          <w:tcPr>
            <w:tcW w:w="1680" w:type="dxa"/>
            <w:vAlign w:val="bottom"/>
            <w:shd w:val="clear" w:color="auto" w:fill="C0FFC0"/>
          </w:tcPr>
          <w:p>
            <w:pPr>
              <w:ind w:left="1220"/>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2,397,794</w:t>
            </w:r>
          </w:p>
        </w:tc>
        <w:tc>
          <w:tcPr>
            <w:tcW w:w="100" w:type="dxa"/>
            <w:vAlign w:val="bottom"/>
            <w:shd w:val="clear" w:color="auto" w:fill="C0FFC0"/>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after 30 but within 60 days</w:t>
            </w: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329,612</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0FFC0"/>
          </w:tcPr>
          <w:p>
            <w:pPr>
              <w:ind w:left="160"/>
              <w:spacing w:after="0"/>
              <w:rPr>
                <w:sz w:val="20"/>
                <w:szCs w:val="20"/>
                <w:color w:val="auto"/>
              </w:rPr>
            </w:pPr>
            <w:r>
              <w:rPr>
                <w:rFonts w:ascii="Arial" w:cs="Arial" w:eastAsia="Arial" w:hAnsi="Arial"/>
                <w:sz w:val="18"/>
                <w:szCs w:val="18"/>
                <w:color w:val="auto"/>
              </w:rPr>
              <w:t>Maturing after 60 but within 90 days</w:t>
            </w:r>
          </w:p>
        </w:tc>
        <w:tc>
          <w:tcPr>
            <w:tcW w:w="1680" w:type="dxa"/>
            <w:vAlign w:val="bottom"/>
            <w:shd w:val="clear" w:color="auto" w:fill="C0FFC0"/>
          </w:tcPr>
          <w:p>
            <w:pPr>
              <w:spacing w:after="0"/>
              <w:rPr>
                <w:sz w:val="18"/>
                <w:szCs w:val="18"/>
                <w:color w:val="auto"/>
              </w:rPr>
            </w:pP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232,021</w:t>
            </w:r>
          </w:p>
        </w:tc>
        <w:tc>
          <w:tcPr>
            <w:tcW w:w="100" w:type="dxa"/>
            <w:vAlign w:val="bottom"/>
            <w:shd w:val="clear" w:color="auto" w:fill="C0FFC0"/>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after 90 but within 180 days</w:t>
            </w: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453,219</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02"/>
        </w:trPr>
        <w:tc>
          <w:tcPr>
            <w:tcW w:w="2820" w:type="dxa"/>
            <w:vAlign w:val="bottom"/>
          </w:tcPr>
          <w:p>
            <w:pPr>
              <w:spacing w:after="0"/>
              <w:rPr>
                <w:sz w:val="17"/>
                <w:szCs w:val="17"/>
                <w:color w:val="auto"/>
              </w:rPr>
            </w:pPr>
          </w:p>
        </w:tc>
        <w:tc>
          <w:tcPr>
            <w:tcW w:w="3160" w:type="dxa"/>
            <w:vAlign w:val="bottom"/>
            <w:gridSpan w:val="2"/>
            <w:shd w:val="clear" w:color="auto" w:fill="C0FFC0"/>
          </w:tcPr>
          <w:p>
            <w:pPr>
              <w:ind w:left="160"/>
              <w:spacing w:after="0" w:line="201" w:lineRule="exact"/>
              <w:rPr>
                <w:sz w:val="20"/>
                <w:szCs w:val="20"/>
                <w:color w:val="auto"/>
              </w:rPr>
            </w:pPr>
            <w:r>
              <w:rPr>
                <w:rFonts w:ascii="Arial" w:cs="Arial" w:eastAsia="Arial" w:hAnsi="Arial"/>
                <w:sz w:val="18"/>
                <w:szCs w:val="18"/>
                <w:color w:val="auto"/>
              </w:rPr>
              <w:t>Maturing after 180 but within 360</w:t>
            </w:r>
          </w:p>
        </w:tc>
        <w:tc>
          <w:tcPr>
            <w:tcW w:w="1680" w:type="dxa"/>
            <w:vAlign w:val="bottom"/>
            <w:shd w:val="clear" w:color="auto" w:fill="C0FFC0"/>
          </w:tcPr>
          <w:p>
            <w:pPr>
              <w:spacing w:after="0"/>
              <w:rPr>
                <w:sz w:val="17"/>
                <w:szCs w:val="17"/>
                <w:color w:val="auto"/>
              </w:rPr>
            </w:pPr>
          </w:p>
        </w:tc>
        <w:tc>
          <w:tcPr>
            <w:tcW w:w="860" w:type="dxa"/>
            <w:vAlign w:val="bottom"/>
            <w:shd w:val="clear" w:color="auto" w:fill="C0FFC0"/>
          </w:tcPr>
          <w:p>
            <w:pPr>
              <w:spacing w:after="0"/>
              <w:rPr>
                <w:sz w:val="17"/>
                <w:szCs w:val="17"/>
                <w:color w:val="auto"/>
              </w:rPr>
            </w:pPr>
          </w:p>
        </w:tc>
        <w:tc>
          <w:tcPr>
            <w:tcW w:w="100" w:type="dxa"/>
            <w:vAlign w:val="bottom"/>
            <w:shd w:val="clear" w:color="auto" w:fill="C0FFC0"/>
          </w:tcPr>
          <w:p>
            <w:pPr>
              <w:spacing w:after="0"/>
              <w:rPr>
                <w:sz w:val="17"/>
                <w:szCs w:val="17"/>
                <w:color w:val="auto"/>
              </w:rPr>
            </w:pPr>
          </w:p>
        </w:tc>
        <w:tc>
          <w:tcPr>
            <w:tcW w:w="2800" w:type="dxa"/>
            <w:vAlign w:val="bottom"/>
          </w:tcPr>
          <w:p>
            <w:pPr>
              <w:spacing w:after="0"/>
              <w:rPr>
                <w:sz w:val="17"/>
                <w:szCs w:val="17"/>
                <w:color w:val="auto"/>
              </w:rPr>
            </w:pPr>
          </w:p>
        </w:tc>
      </w:tr>
      <w:tr>
        <w:trPr>
          <w:trHeight w:val="230"/>
        </w:trPr>
        <w:tc>
          <w:tcPr>
            <w:tcW w:w="2820" w:type="dxa"/>
            <w:vAlign w:val="bottom"/>
          </w:tcPr>
          <w:p>
            <w:pPr>
              <w:spacing w:after="0"/>
              <w:rPr>
                <w:sz w:val="20"/>
                <w:szCs w:val="20"/>
                <w:color w:val="auto"/>
              </w:rPr>
            </w:pPr>
          </w:p>
        </w:tc>
        <w:tc>
          <w:tcPr>
            <w:tcW w:w="3160" w:type="dxa"/>
            <w:vAlign w:val="bottom"/>
            <w:gridSpan w:val="2"/>
            <w:shd w:val="clear" w:color="auto" w:fill="C0FFC0"/>
          </w:tcPr>
          <w:p>
            <w:pPr>
              <w:ind w:left="160"/>
              <w:spacing w:after="0"/>
              <w:rPr>
                <w:sz w:val="20"/>
                <w:szCs w:val="20"/>
                <w:color w:val="auto"/>
              </w:rPr>
            </w:pPr>
            <w:r>
              <w:rPr>
                <w:rFonts w:ascii="Arial" w:cs="Arial" w:eastAsia="Arial" w:hAnsi="Arial"/>
                <w:sz w:val="18"/>
                <w:szCs w:val="18"/>
                <w:color w:val="auto"/>
              </w:rPr>
              <w:t>days</w:t>
            </w:r>
          </w:p>
        </w:tc>
        <w:tc>
          <w:tcPr>
            <w:tcW w:w="1680" w:type="dxa"/>
            <w:vAlign w:val="bottom"/>
            <w:shd w:val="clear" w:color="auto" w:fill="C0FFC0"/>
          </w:tcPr>
          <w:p>
            <w:pPr>
              <w:spacing w:after="0"/>
              <w:rPr>
                <w:sz w:val="20"/>
                <w:szCs w:val="20"/>
                <w:color w:val="auto"/>
              </w:rPr>
            </w:pP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381,610</w:t>
            </w:r>
          </w:p>
        </w:tc>
        <w:tc>
          <w:tcPr>
            <w:tcW w:w="100" w:type="dxa"/>
            <w:vAlign w:val="bottom"/>
            <w:shd w:val="clear" w:color="auto" w:fill="C0FFC0"/>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Maturing after 360 days</w:t>
            </w:r>
          </w:p>
        </w:tc>
        <w:tc>
          <w:tcPr>
            <w:tcW w:w="16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234,768</w:t>
            </w:r>
          </w:p>
        </w:tc>
        <w:tc>
          <w:tcPr>
            <w:tcW w:w="100" w:type="dxa"/>
            <w:vAlign w:val="bottom"/>
          </w:tcPr>
          <w:p>
            <w:pPr>
              <w:spacing w:after="0"/>
              <w:rPr>
                <w:sz w:val="18"/>
                <w:szCs w:val="18"/>
                <w:color w:val="auto"/>
              </w:rPr>
            </w:pPr>
          </w:p>
        </w:tc>
        <w:tc>
          <w:tcPr>
            <w:tcW w:w="2800" w:type="dxa"/>
            <w:vAlign w:val="bottom"/>
          </w:tcPr>
          <w:p>
            <w:pPr>
              <w:spacing w:after="0"/>
              <w:rPr>
                <w:sz w:val="18"/>
                <w:szCs w:val="18"/>
                <w:color w:val="auto"/>
              </w:rPr>
            </w:pPr>
          </w:p>
        </w:tc>
      </w:tr>
      <w:tr>
        <w:trPr>
          <w:trHeight w:val="216"/>
        </w:trPr>
        <w:tc>
          <w:tcPr>
            <w:tcW w:w="2820" w:type="dxa"/>
            <w:vAlign w:val="bottom"/>
          </w:tcPr>
          <w:p>
            <w:pPr>
              <w:spacing w:after="0"/>
              <w:rPr>
                <w:sz w:val="18"/>
                <w:szCs w:val="18"/>
                <w:color w:val="auto"/>
              </w:rPr>
            </w:pPr>
          </w:p>
        </w:tc>
        <w:tc>
          <w:tcPr>
            <w:tcW w:w="3160" w:type="dxa"/>
            <w:vAlign w:val="bottom"/>
            <w:gridSpan w:val="2"/>
            <w:shd w:val="clear" w:color="auto" w:fill="C0FFC0"/>
          </w:tcPr>
          <w:p>
            <w:pPr>
              <w:spacing w:after="0"/>
              <w:rPr>
                <w:sz w:val="20"/>
                <w:szCs w:val="20"/>
                <w:color w:val="auto"/>
              </w:rPr>
            </w:pPr>
            <w:r>
              <w:rPr>
                <w:rFonts w:ascii="Arial" w:cs="Arial" w:eastAsia="Arial" w:hAnsi="Arial"/>
                <w:sz w:val="18"/>
                <w:szCs w:val="18"/>
                <w:color w:val="auto"/>
              </w:rPr>
              <w:t>Total time deposits</w:t>
            </w:r>
          </w:p>
        </w:tc>
        <w:tc>
          <w:tcPr>
            <w:tcW w:w="1680" w:type="dxa"/>
            <w:vAlign w:val="bottom"/>
            <w:shd w:val="clear" w:color="auto" w:fill="C0FFC0"/>
          </w:tcPr>
          <w:p>
            <w:pPr>
              <w:spacing w:after="0"/>
              <w:rPr>
                <w:sz w:val="18"/>
                <w:szCs w:val="18"/>
                <w:color w:val="auto"/>
              </w:rPr>
            </w:pPr>
          </w:p>
        </w:tc>
        <w:tc>
          <w:tcPr>
            <w:tcW w:w="860" w:type="dxa"/>
            <w:vAlign w:val="bottom"/>
            <w:shd w:val="clear" w:color="auto" w:fill="C0FFC0"/>
          </w:tcPr>
          <w:p>
            <w:pPr>
              <w:jc w:val="right"/>
              <w:spacing w:after="0"/>
              <w:rPr>
                <w:sz w:val="20"/>
                <w:szCs w:val="20"/>
                <w:color w:val="auto"/>
              </w:rPr>
            </w:pPr>
            <w:r>
              <w:rPr>
                <w:rFonts w:ascii="Arial" w:cs="Arial" w:eastAsia="Arial" w:hAnsi="Arial"/>
                <w:sz w:val="18"/>
                <w:szCs w:val="18"/>
                <w:color w:val="auto"/>
              </w:rPr>
              <w:t>4,029,024</w:t>
            </w:r>
          </w:p>
        </w:tc>
        <w:tc>
          <w:tcPr>
            <w:tcW w:w="100" w:type="dxa"/>
            <w:vAlign w:val="bottom"/>
            <w:shd w:val="clear" w:color="auto" w:fill="C0FFC0"/>
          </w:tcPr>
          <w:p>
            <w:pPr>
              <w:spacing w:after="0"/>
              <w:rPr>
                <w:sz w:val="18"/>
                <w:szCs w:val="18"/>
                <w:color w:val="auto"/>
              </w:rPr>
            </w:pPr>
          </w:p>
        </w:tc>
        <w:tc>
          <w:tcPr>
            <w:tcW w:w="2800" w:type="dxa"/>
            <w:vAlign w:val="bottom"/>
          </w:tcPr>
          <w:p>
            <w:pPr>
              <w:spacing w:after="0"/>
              <w:rPr>
                <w:sz w:val="18"/>
                <w:szCs w:val="18"/>
                <w:color w:val="auto"/>
              </w:rPr>
            </w:pPr>
          </w:p>
        </w:tc>
      </w:tr>
      <w:tr>
        <w:trPr>
          <w:trHeight w:val="230"/>
        </w:trPr>
        <w:tc>
          <w:tcPr>
            <w:tcW w:w="2820" w:type="dxa"/>
            <w:vAlign w:val="bottom"/>
          </w:tcPr>
          <w:p>
            <w:pPr>
              <w:spacing w:after="0"/>
              <w:rPr>
                <w:sz w:val="20"/>
                <w:szCs w:val="20"/>
                <w:color w:val="auto"/>
              </w:rPr>
            </w:pPr>
          </w:p>
        </w:tc>
        <w:tc>
          <w:tcPr>
            <w:tcW w:w="3160" w:type="dxa"/>
            <w:vAlign w:val="bottom"/>
            <w:gridSpan w:val="2"/>
          </w:tcPr>
          <w:p>
            <w:pPr>
              <w:ind w:left="160"/>
              <w:spacing w:after="0"/>
              <w:rPr>
                <w:sz w:val="20"/>
                <w:szCs w:val="20"/>
                <w:color w:val="auto"/>
              </w:rPr>
            </w:pPr>
            <w:r>
              <w:rPr>
                <w:rFonts w:ascii="Arial" w:cs="Arial" w:eastAsia="Arial" w:hAnsi="Arial"/>
                <w:sz w:val="18"/>
                <w:szCs w:val="18"/>
                <w:color w:val="auto"/>
              </w:rPr>
              <w:t>Total</w:t>
            </w:r>
          </w:p>
        </w:tc>
        <w:tc>
          <w:tcPr>
            <w:tcW w:w="1680" w:type="dxa"/>
            <w:vAlign w:val="bottom"/>
          </w:tcPr>
          <w:p>
            <w:pPr>
              <w:ind w:left="1220"/>
              <w:spacing w:after="0"/>
              <w:rPr>
                <w:sz w:val="20"/>
                <w:szCs w:val="20"/>
                <w:color w:val="auto"/>
              </w:rPr>
            </w:pPr>
            <w:r>
              <w:rPr>
                <w:rFonts w:ascii="Arial" w:cs="Arial" w:eastAsia="Arial" w:hAnsi="Arial"/>
                <w:sz w:val="18"/>
                <w:szCs w:val="18"/>
                <w:color w:val="auto"/>
              </w:rPr>
              <w:t>US$</w:t>
            </w:r>
          </w:p>
        </w:tc>
        <w:tc>
          <w:tcPr>
            <w:tcW w:w="860" w:type="dxa"/>
            <w:vAlign w:val="bottom"/>
          </w:tcPr>
          <w:p>
            <w:pPr>
              <w:jc w:val="right"/>
              <w:spacing w:after="0"/>
              <w:rPr>
                <w:sz w:val="20"/>
                <w:szCs w:val="20"/>
                <w:color w:val="auto"/>
              </w:rPr>
            </w:pPr>
            <w:r>
              <w:rPr>
                <w:rFonts w:ascii="Arial" w:cs="Arial" w:eastAsia="Arial" w:hAnsi="Arial"/>
                <w:sz w:val="18"/>
                <w:szCs w:val="18"/>
                <w:color w:val="auto"/>
              </w:rPr>
              <w:t>4,058,780</w:t>
            </w:r>
          </w:p>
        </w:tc>
        <w:tc>
          <w:tcPr>
            <w:tcW w:w="10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593"/>
        </w:trPr>
        <w:tc>
          <w:tcPr>
            <w:tcW w:w="5980" w:type="dxa"/>
            <w:vAlign w:val="bottom"/>
            <w:gridSpan w:val="3"/>
          </w:tcPr>
          <w:p>
            <w:pPr>
              <w:jc w:val="right"/>
              <w:ind w:right="180"/>
              <w:spacing w:after="0"/>
              <w:rPr>
                <w:sz w:val="20"/>
                <w:szCs w:val="20"/>
                <w:color w:val="auto"/>
              </w:rPr>
            </w:pPr>
            <w:r>
              <w:rPr>
                <w:rFonts w:ascii="Arial" w:cs="Arial" w:eastAsia="Arial" w:hAnsi="Arial"/>
                <w:sz w:val="18"/>
                <w:szCs w:val="18"/>
                <w:color w:val="auto"/>
              </w:rPr>
              <w:t>84</w:t>
            </w: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18"/>
        </w:trPr>
        <w:tc>
          <w:tcPr>
            <w:tcW w:w="2820" w:type="dxa"/>
            <w:vAlign w:val="bottom"/>
            <w:tcBorders>
              <w:bottom w:val="single" w:sz="8" w:color="808080"/>
            </w:tcBorders>
          </w:tcPr>
          <w:p>
            <w:pPr>
              <w:spacing w:after="0"/>
              <w:rPr>
                <w:sz w:val="10"/>
                <w:szCs w:val="10"/>
                <w:color w:val="auto"/>
              </w:rPr>
            </w:pPr>
          </w:p>
        </w:tc>
        <w:tc>
          <w:tcPr>
            <w:tcW w:w="29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8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8" w:name="page89"/>
    <w:bookmarkEnd w:id="88"/>
    <w:p>
      <w:pPr>
        <w:ind w:left="1300" w:hanging="644"/>
        <w:spacing w:after="0"/>
        <w:tabs>
          <w:tab w:leader="none" w:pos="130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Return on Equity and Assets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Return on assets (1)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2.29%</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1.86%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Return on equity (2)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22.87%</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22.31%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Dividend payout ratio (3)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34.11%</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33.44%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Equity to assets ratio (4)</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10.80%</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9.32%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Shareholders’ equity to assets ratio (5)</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9.95%</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8.71%</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40" w:hanging="332"/>
        <w:spacing w:after="0" w:line="258"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total assets, computed as the average of period beginning and period ending balances.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net equity attributable to our equity holders, computed as the average of monthly balances.</w:t>
      </w:r>
    </w:p>
    <w:p>
      <w:pPr>
        <w:ind w:left="340" w:hanging="332"/>
        <w:spacing w:after="0"/>
        <w:tabs>
          <w:tab w:leader="none" w:pos="3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Dividends declared per share divided by net income attributable to our equity holders per share.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Average equity attributable to our equity holders divided by average total assets, both averages computed as the average of month-ending balances.</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Average equity attributable to our equity shareholders divided by average total assets, both averages computed as the average of month-ending balances.</w:t>
      </w:r>
    </w:p>
    <w:p>
      <w:pPr>
        <w:spacing w:after="0" w:line="200" w:lineRule="exact"/>
        <w:rPr>
          <w:sz w:val="20"/>
          <w:szCs w:val="20"/>
          <w:color w:val="auto"/>
        </w:rPr>
      </w:pPr>
    </w:p>
    <w:p>
      <w:pPr>
        <w:spacing w:after="0" w:line="300" w:lineRule="exact"/>
        <w:rPr>
          <w:sz w:val="20"/>
          <w:szCs w:val="20"/>
          <w:color w:val="auto"/>
        </w:rPr>
      </w:pPr>
    </w:p>
    <w:p>
      <w:pPr>
        <w:ind w:left="1300" w:hanging="644"/>
        <w:spacing w:after="0"/>
        <w:tabs>
          <w:tab w:leader="none" w:pos="1300"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short-term borrowing, other than deposits, amounted to US$878.2 million and US$601.5 million and US$673.2 million as of December 31, 2007, 2008 and 2009, respectively. Our average balances of borrowed amounts decreased in 2008 due to receiving smaller promotional credit lines. As of December 31, 2007, 2008 and 2009, no BCRP-Repo transactions exist in the outstanding balance.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00" w:type="dxa"/>
            <w:vAlign w:val="bottom"/>
          </w:tcPr>
          <w:p>
            <w:pPr>
              <w:ind w:left="640"/>
              <w:spacing w:after="0"/>
              <w:rPr>
                <w:sz w:val="20"/>
                <w:szCs w:val="20"/>
                <w:color w:val="auto"/>
              </w:rPr>
            </w:pPr>
            <w:r>
              <w:rPr>
                <w:rFonts w:ascii="Arial" w:cs="Arial" w:eastAsia="Arial" w:hAnsi="Arial"/>
                <w:sz w:val="18"/>
                <w:szCs w:val="18"/>
                <w:color w:val="auto"/>
              </w:rPr>
              <w:t>The following table sets forth our short-term borrowing:</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8"/>
                <w:szCs w:val="18"/>
                <w:b w:val="1"/>
                <w:bCs w:val="1"/>
                <w:color w:val="auto"/>
                <w:w w:val="90"/>
              </w:rPr>
              <w:t>At December 31,</w:t>
            </w:r>
          </w:p>
        </w:tc>
        <w:tc>
          <w:tcPr>
            <w:tcW w:w="8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3080" w:type="dxa"/>
            <w:vAlign w:val="bottom"/>
            <w:gridSpan w:val="6"/>
          </w:tcPr>
          <w:p>
            <w:pPr>
              <w:jc w:val="center"/>
              <w:ind w:left="770"/>
              <w:spacing w:after="0"/>
              <w:rPr>
                <w:sz w:val="20"/>
                <w:szCs w:val="20"/>
                <w:color w:val="auto"/>
              </w:rPr>
            </w:pPr>
            <w:r>
              <w:rPr>
                <w:rFonts w:ascii="Arial" w:cs="Arial" w:eastAsia="Arial" w:hAnsi="Arial"/>
                <w:sz w:val="18"/>
                <w:szCs w:val="18"/>
                <w:i w:val="1"/>
                <w:iCs w:val="1"/>
                <w:color w:val="auto"/>
                <w:w w:val="92"/>
              </w:rPr>
              <w:t>(U.S. Dollars in thousands)</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Year-end balance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878,183</w:t>
            </w:r>
          </w:p>
        </w:tc>
        <w:tc>
          <w:tcPr>
            <w:tcW w:w="180" w:type="dxa"/>
            <w:vAlign w:val="bottom"/>
            <w:shd w:val="clear" w:color="auto" w:fill="CCFFCC"/>
          </w:tcPr>
          <w:p>
            <w:pPr>
              <w:spacing w:after="0"/>
              <w:rPr>
                <w:sz w:val="18"/>
                <w:szCs w:val="18"/>
                <w:color w:val="auto"/>
              </w:rPr>
            </w:pP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601,464</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673,234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Average balance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742,310</w:t>
            </w:r>
          </w:p>
        </w:tc>
        <w:tc>
          <w:tcPr>
            <w:tcW w:w="180" w:type="dxa"/>
            <w:vAlign w:val="bottom"/>
            <w:shd w:val="clear" w:color="auto" w:fill="CCFFCC"/>
          </w:tcPr>
          <w:p>
            <w:pPr>
              <w:spacing w:after="0"/>
              <w:rPr>
                <w:sz w:val="18"/>
                <w:szCs w:val="18"/>
                <w:color w:val="auto"/>
              </w:rPr>
            </w:pP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935,460</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641,177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Maximum quarter-end balance</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1,105,704</w:t>
            </w:r>
          </w:p>
        </w:tc>
        <w:tc>
          <w:tcPr>
            <w:tcW w:w="180" w:type="dxa"/>
            <w:vAlign w:val="bottom"/>
            <w:shd w:val="clear" w:color="auto" w:fill="CCFFCC"/>
          </w:tcPr>
          <w:p>
            <w:pPr>
              <w:spacing w:after="0"/>
              <w:rPr>
                <w:sz w:val="18"/>
                <w:szCs w:val="18"/>
                <w:color w:val="auto"/>
              </w:rPr>
            </w:pPr>
          </w:p>
        </w:tc>
        <w:tc>
          <w:tcPr>
            <w:tcW w:w="1500" w:type="dxa"/>
            <w:vAlign w:val="bottom"/>
            <w:gridSpan w:val="3"/>
            <w:shd w:val="clear" w:color="auto" w:fill="CCFFCC"/>
          </w:tcPr>
          <w:p>
            <w:pPr>
              <w:jc w:val="right"/>
              <w:ind w:right="260"/>
              <w:spacing w:after="0"/>
              <w:rPr>
                <w:sz w:val="20"/>
                <w:szCs w:val="20"/>
                <w:color w:val="auto"/>
              </w:rPr>
            </w:pPr>
            <w:r>
              <w:rPr>
                <w:rFonts w:ascii="Arial" w:cs="Arial" w:eastAsia="Arial" w:hAnsi="Arial"/>
                <w:sz w:val="18"/>
                <w:szCs w:val="18"/>
                <w:color w:val="auto"/>
              </w:rPr>
              <w:t>1,197,637</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1,141,131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nominal year-end interest rate</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4.70%</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4.47%</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Weighted-average nominal interest rate</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4.72%</w:t>
            </w:r>
          </w:p>
        </w:tc>
        <w:tc>
          <w:tcPr>
            <w:tcW w:w="15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Organizational Structure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Historically, the shareholders of BCP, ASHC and PPS have overlapped. Due to reasons related to the regulatory, political and economic environment in Peru, however, they have been managed independently from one another. We were formed in 1995 by the management of BCP of a potential exchange offer for the purpose of acquiring the common shares of BCP, ASHC and PPS. In the exchange offer in October 1995, we acquired 90.1% of BCP (391,973,951 shares), 98.2% of ASHC (39,346,169 shares), and 75.8% of PPS (5,537,474 shares) in exchange for 60,815,152 of our common shares at a ratio of 0.10401, 0.33708 and 1.2249 of our common shares per common share of BCP, ASHC and PPS, respectively. Our common shares commenced trading on the New York Stock Exchange immediately upon consummation of the exchange offer, with a closing price on that day of US$11.61 (adjusted to reflect stock dividends through May 1999).</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9" w:name="page90"/>
    <w:bookmarkEnd w:id="89"/>
    <w:p>
      <w:pPr>
        <w:jc w:val="both"/>
        <w:ind w:firstLine="648"/>
        <w:spacing w:after="0" w:line="257" w:lineRule="auto"/>
        <w:rPr>
          <w:sz w:val="20"/>
          <w:szCs w:val="20"/>
          <w:color w:val="auto"/>
        </w:rPr>
      </w:pPr>
      <w:r>
        <w:rPr>
          <w:rFonts w:ascii="Arial" w:cs="Arial" w:eastAsia="Arial" w:hAnsi="Arial"/>
          <w:sz w:val="18"/>
          <w:szCs w:val="18"/>
          <w:color w:val="auto"/>
        </w:rPr>
        <w:t xml:space="preserve">On March 19, 1996, pursuant to an exchange offer, we acquired the remaining 1.8% of the outstanding shares of ASHC (702,674 shares) in exchange for 237,859 of our common shares at a ratio of 0.33708 of our common shares per common share of ASHC. The closing price of our common shares on the New York Stock Exchange on the date that exchange offer was completed was US$10.98 (adjusted to reflect stock dividends).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9. The Offer and Listing—(A) Offer and Listing Details—Price History of Credicorp’s Stock” and “Item 8. Financial Information—Consolidated Statements and Other Financial Information—Dividend Policy.”</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consists of certain principal executive officers of BCP, ASHC and PPS. It believes that a unified financial group with a coordinated strategy is best able to take advantage of growth in the Peruvian economy and deregulation of the financial services sector as well as to achieve synergies from cross-selling financial services and products (</w:t>
      </w:r>
      <w:r>
        <w:rPr>
          <w:rFonts w:ascii="Arial" w:cs="Arial" w:eastAsia="Arial" w:hAnsi="Arial"/>
          <w:sz w:val="18"/>
          <w:szCs w:val="18"/>
          <w:i w:val="1"/>
          <w:iCs w:val="1"/>
          <w:color w:val="auto"/>
        </w:rPr>
        <w:t>e.g.</w:t>
      </w:r>
      <w:r>
        <w:rPr>
          <w:rFonts w:ascii="Arial" w:cs="Arial" w:eastAsia="Arial" w:hAnsi="Arial"/>
          <w:sz w:val="18"/>
          <w:szCs w:val="18"/>
          <w:color w:val="auto"/>
        </w:rPr>
        <w:t>, through BCP’s extensive branch network). Through our subsidiaries, we are the largest Peruvian provider of financial services in Peru.</w:t>
      </w:r>
    </w:p>
    <w:p>
      <w:pPr>
        <w:spacing w:after="0" w:line="21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BCP began operations in 1889 as Banco Italiano and changed its name to Banco de Crédito del Perú in 1941. BCP has been the largest commercial bank in Peru since the 1920s. Members of the Romero family have been shareholders of BCP since 1918 and became the controlling shareholders in 1979. Mr. Dionisio Romero Seminario, who was our Chairman of the Board of Directors and Chief Executive Officer, was a member of the Board of Directors of BCP from 1966 to 1987, becoming BCP’s Chairman in 1979. In response to former President Alan García’s attempt to nationalize the Peruvian banking industry in 1987, the majority shareholders of BCP, including Mr. Romero S., sold a controlling interest in BCP and transferred management to its employees. The sale successfully prevented the government from gaining control of BCP. Upon the election of Alberto Fujimori as President of Peru in 1990 and the introduction of market reforms, the Romero family reestablished its holdings in BCP, and Mr. Romero S. and several former key managers returned to BCP. </w:t>
      </w:r>
      <w:r>
        <w:rPr>
          <w:rFonts w:ascii="Arial" w:cs="Arial" w:eastAsia="Arial" w:hAnsi="Arial"/>
          <w:sz w:val="17"/>
          <w:szCs w:val="17"/>
          <w:i w:val="1"/>
          <w:iCs w:val="1"/>
          <w:color w:val="auto"/>
        </w:rPr>
        <w:t>See</w:t>
      </w:r>
      <w:r>
        <w:rPr>
          <w:rFonts w:ascii="Arial" w:cs="Arial" w:eastAsia="Arial" w:hAnsi="Arial"/>
          <w:sz w:val="17"/>
          <w:szCs w:val="17"/>
          <w:color w:val="auto"/>
        </w:rPr>
        <w:t xml:space="preserve"> “—(9) Peruvian Government and Economy—(i) Peruvian Government.” Members of the Romero family exchanged their BCP shares in the October 1995 exchange offer, and now hold 15.85% of our common shares. As of December 31, 2008, we hold 97.41% of BCP’s total shares.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7. Major Shareholders and Related Party Transactions—(A) Major Shareholders.”</w:t>
      </w:r>
    </w:p>
    <w:p>
      <w:pPr>
        <w:spacing w:after="0" w:line="20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ASHC was incorporated in the Cayman Islands in December 1981 as a wholly-owned subsidiary of BCP, under the name Crédito del Perú Holding Corporation or BCP International. It became the first Peruvian bank to establish an offshore banking presence to serve its Peruvian customers. In 1983, BCP distributed its shares of BCP International to its shareholders as dividends to protect its privately held status in the event that BCP was nationalized. BCP International established its first physical presence offshore (previously having been operated through BCP’s corporate offices) by opening an office in Panama in 1984, and opening an agency in Miami in 1986. In 1986, BCP International changed its name to ASCH. As a result of the attempted expropriation by the government in 1987, ASHC’s operations and management were made independent of BCP. In 2002, ASHC closed its Miami agency at the same time that BCP opened its Miami agency. Also, Credicorp Securities was established in Miami as our wholly-owned subsidiary and began operating in early 2003 serviced by former ASHC personnel.</w:t>
      </w:r>
    </w:p>
    <w:p>
      <w:pPr>
        <w:spacing w:after="0" w:line="219"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own 75.98% of PPS, which was formed in 1992 as a result of the merger between El Pacífico Compañía de Seguros y Reaseguros S.A. and Compañía de Seguros y Reaseguros Peruano-Suiza S.A. PPS is the second largest Peruvian insurance company in terms of premium sold and health fees. PPS’s major subsidiaries include Pacífico Vida, which specializes in life and pension fund insurance, and Pacífico Salud, which provides health insurance as an alternative to public social security.</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own 99.99% of Grupo Crédito S.A., which is the principal shareholder in Prima AFP. We also hold equity shares in Peruvian electric utilities and other non-financial companies.</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BCB (formerly Banco Popular S.A., Bolivia) is a subsidiary that we acquired for US$6.2 million in November 1993. Since we transferred to BCP a 55.79% stake in November 2001, we have directly held 2.7% of BCB’s equity while holding the rest through BCP. In December 2002, BCP acquired BSCH-Perú, which was merged into BCP on February 28, 2003.</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0" w:name="page91"/>
    <w:bookmarkEnd w:id="90"/>
    <w:p>
      <w:pPr>
        <w:jc w:val="both"/>
        <w:ind w:firstLine="648"/>
        <w:spacing w:after="0" w:line="264" w:lineRule="auto"/>
        <w:rPr>
          <w:sz w:val="20"/>
          <w:szCs w:val="20"/>
          <w:color w:val="auto"/>
        </w:rPr>
      </w:pPr>
      <w:r>
        <w:rPr>
          <w:rFonts w:ascii="Arial" w:cs="Arial" w:eastAsia="Arial" w:hAnsi="Arial"/>
          <w:sz w:val="18"/>
          <w:szCs w:val="18"/>
          <w:color w:val="auto"/>
        </w:rPr>
        <w:t>In 2003, BCP converted BCOL, its offshore bank in the Bahamas, into an investment vehicle, and then sold it to ASHC. ASHC subsequently consolidated BCOL into its operations in 2004. BCOL’s business, which is receiving offshore U.S. Dollar deposits and making U.S. Dollar-denominated loans to large Peruvian customers, was taken over by both BCP’s Panama branch and ASHC.</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Solución was spun off into two companies. The first company retained only cash and equity. The second company became a wholly-owned subsidiary of BCP in March 2003 as a result of BCP’s acquisition of the remaining 45% of Solución’s equity interests. Solución was merged into BCP’s Peruvian banking operations in March 2004.</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Although the transaction had an effective date of January 1, 2005, in March 2005, we sold Banco Tequendama to a Colombian bank. We did not record a material gain as a result of the sale. On December 31, 2004, Banco Tequendama had US$306.7 million in loans and US$290.5 million in deposits. We acquired Banco Tequendama in January 1997 from the Fondo de Garantía de Depósitos y Protección Bancaria, or FOGADE, the Venezuelan government entity responsible for the re-privatization of government-seized assets in connection with the widespread Venezuelan banking problems that began in 1994. We, along with FOGADE and FOGADE’s financial adviser, were sued in Aruba by the former owners of Banco Tequendama. The judge in Aruba dismissed the claim, and the plaintiff appealed. In April 2004, the Court of Appeals in Aruba rejected all of the plaintiff’s claims. The lawsuit followed a previous unsuccessful lawsuit brought by the former owners in Colombia.</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 August 24, 2006, through our subsidiary Prima AFP, we acquired 99.97% of the capital stock of AFP Unión Vida S.A., a pension fund management company that operates in Peru, from Grupo Santander Perú S.A. We also made a tender offer to the minority shareholders in order to acquire the remaining 0.03% of capital stock. The total purchase price was approximately US$141.5 million. At the September 6, 2006 general shareholder’s meeting of Prima AFP, the merger with AFP Unión Vida S.A. was approved, with an effective date of December 1, 2006.</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October 2009, through our subsidiary BCP, we acquired Empresa Financiera Edyficar S.A., a financial entity specialized in micro lending. As of December 31, 2009 we held 99.79% of the capital stock of Edyficar.</w:t>
      </w:r>
    </w:p>
    <w:p>
      <w:pPr>
        <w:spacing w:after="0" w:line="193"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31, 2009, we had 439 branches, of which 334 were branch offices of BCP in Peru. Our principal properties include the headquarters of BCP, at Calle Centenario 156, La Molina, Lima 12, Perú, and the headquarters of PPS at Juan de Arona 830, Lima, Perú. There are no material encumbrances on any of our properties.</w:t>
      </w:r>
    </w:p>
    <w:p>
      <w:pPr>
        <w:spacing w:after="0" w:line="20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52"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25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Foreign currency translation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functional and presentation currency is the United States Dollar (U.S. Dollar or US$) because it reflects the economic substance of the underlying events and circumstances relevant to the Company. In addition, Credicorp’s main operations and transactions in the different countries where it operates are established and settled in U.S. Dollars.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1" w:name="page92"/>
    <w:bookmarkEnd w:id="91"/>
    <w:p>
      <w:pPr>
        <w:ind w:firstLine="648"/>
        <w:spacing w:after="0" w:line="277" w:lineRule="auto"/>
        <w:rPr>
          <w:sz w:val="20"/>
          <w:szCs w:val="20"/>
          <w:color w:val="auto"/>
        </w:rPr>
      </w:pPr>
      <w:r>
        <w:rPr>
          <w:rFonts w:ascii="Arial" w:cs="Arial" w:eastAsia="Arial" w:hAnsi="Arial"/>
          <w:sz w:val="18"/>
          <w:szCs w:val="18"/>
          <w:color w:val="auto"/>
        </w:rPr>
        <w:t>Financial statements of each of Credicorp’s subsidiaries are measured using the currency of the country in which each entity operates and converted into U.S. Dollars (functional and presentation currency) as follows:</w:t>
      </w:r>
    </w:p>
    <w:p>
      <w:pPr>
        <w:spacing w:after="0" w:line="197" w:lineRule="exact"/>
        <w:rPr>
          <w:sz w:val="20"/>
          <w:szCs w:val="20"/>
          <w:color w:val="auto"/>
        </w:rPr>
      </w:pPr>
    </w:p>
    <w:p>
      <w:pPr>
        <w:ind w:left="1220" w:hanging="564"/>
        <w:spacing w:after="0"/>
        <w:tabs>
          <w:tab w:leader="none" w:pos="12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Monetary assets and liabilities are converted at the free market exchange rate at the date of the consolidated statements of financial position.</w:t>
      </w:r>
    </w:p>
    <w:p>
      <w:pPr>
        <w:spacing w:after="0" w:line="275" w:lineRule="exact"/>
        <w:rPr>
          <w:rFonts w:ascii="Arial" w:cs="Arial" w:eastAsia="Arial" w:hAnsi="Arial"/>
          <w:sz w:val="16"/>
          <w:szCs w:val="16"/>
          <w:color w:val="auto"/>
        </w:rPr>
      </w:pPr>
    </w:p>
    <w:p>
      <w:pPr>
        <w:ind w:left="1220" w:hanging="564"/>
        <w:spacing w:after="0"/>
        <w:tabs>
          <w:tab w:leader="none" w:pos="12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Non-monetary accounts are converted at the free market exchange rate prevailing at the date of the transaction.</w:t>
      </w:r>
    </w:p>
    <w:p>
      <w:pPr>
        <w:spacing w:after="0" w:line="252" w:lineRule="exact"/>
        <w:rPr>
          <w:rFonts w:ascii="Arial" w:cs="Arial" w:eastAsia="Arial" w:hAnsi="Arial"/>
          <w:sz w:val="18"/>
          <w:szCs w:val="18"/>
          <w:color w:val="auto"/>
        </w:rPr>
      </w:pPr>
    </w:p>
    <w:p>
      <w:pPr>
        <w:ind w:firstLine="656"/>
        <w:spacing w:after="0" w:line="277" w:lineRule="auto"/>
        <w:tabs>
          <w:tab w:leader="none" w:pos="1245"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converted at the free market exchange rate prevailing at the date of the transaction, are converted monthly at the average monthly exchange rate.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resulting conversion differences are recognized in the consolidated income statement.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Income and expense recognition from banking activities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is suspended when collection of loans become doubtful, i.e. when loans are overdue more than 90 days or when the borrower or securities’ issuer defaults, if earlier than 90 days; such income is excluded from interest income until collected. Uncollected income on such loans is provisioned. When management determines that the debtor’s financial condition has improved, the recording of interest thereon is reestablished on an accrual basis.</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Fees and commission income are recognized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Insurance activities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Insurance contracts are those contracts where we (the insurer) have accepted significant insurance risk from another party (the policyholder) by agreeing to compensate the policyholder if a specified uncertain future event (the insured event) adversely affects the policyholder. This definition also includes reinsurance contracts that we hold. As a general guideline, we determine whether it has significant insurance risk by comparing benefits paid with the benefits payable if the insured event does not occur. Insurance contracts can also transfer financial risk.</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Once a contract has been classified as an insurance contract, it remains so for the remainder of its lifetime, even if the insurance risk reduces significantly during this period, unless all rights and obligations extinguish or expire. Investment contracts can, however, be reclassified as insurance contracts after inception if the insurance risk becomes significant.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2" w:name="page93"/>
    <w:bookmarkEnd w:id="92"/>
    <w:p>
      <w:pPr>
        <w:jc w:val="both"/>
        <w:ind w:firstLine="648"/>
        <w:spacing w:after="0" w:line="264" w:lineRule="auto"/>
        <w:rPr>
          <w:sz w:val="20"/>
          <w:szCs w:val="20"/>
          <w:color w:val="auto"/>
        </w:rPr>
      </w:pPr>
      <w:r>
        <w:rPr>
          <w:rFonts w:ascii="Arial" w:cs="Arial" w:eastAsia="Arial" w:hAnsi="Arial"/>
          <w:sz w:val="18"/>
          <w:szCs w:val="18"/>
          <w:color w:val="auto"/>
        </w:rPr>
        <w:t>We also cede insurance risk in the normal course of business for all of our businesses. Reinsurance assets represent balances due from reinsurance companies. Amounts recoverable from reinsurers are estimated in a manner consistent with the outstanding claims provision or settled claims associated with the reinsurer’s policies and are in accordance with the related reinsurance contract.</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Reinsurance assets are reviewed for impairment at each reporting date or more frequently when an indication of impairment arises during the reporting year. Impairment occurs when there is objective evidence resulting from an event that occurred after initial recognition of the reinsurance asset that we may not receive all outstanding amounts due under the terms of the contract and the event has a reliably measureable impact on the amounts that we can recover from the reinsurer. The impairment loss is recorded in the consolidated income statement.</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Gains or losses on buying reinsurance are recognized in the consolidated income statement immediately at the date of purchase and are not amortized.</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Ceded reinsurance arrangements do not relieve us from our obligations to a policyholder.</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applicable, we also assume reinsurance risk in the normal course of business for non-life insurance contracts.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Instruments: Initial recognition and subsequent measurement: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classify our financial instruments in one of the categories defined by IAS 39: financial assets and financial liabilities at fair value through profit or loss; loans and receivables; available-for-sale financial investments and other financial liabilities. We determine the classification of our financial instruments at the initial recognition.</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Classification of financial instruments at the initial recognition depends on the purpose and the intention for which the financial instruments were acquired as well as their characteristics. All financial instruments are measured initially at their fair value plus any directly attributable incremental cost of acquisition or issue, except in the case of financial assets and financial liabilities recorded at fair value through profit or loss.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Purchases or sales of financial assets that require delivery of assets within a time frame established by regulation or convention in the marketplace (regular way trades) are recognized on the trade date, i.e. the date that we commit to purchase or sell the asset. Derivatives are recognized on a trade date basis.</w:t>
      </w:r>
    </w:p>
    <w:p>
      <w:pPr>
        <w:spacing w:after="0" w:line="208" w:lineRule="exact"/>
        <w:rPr>
          <w:sz w:val="20"/>
          <w:szCs w:val="20"/>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Financial assets and financial liabilities at fair value through profit or loss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at fair value through profit or loss include financial assets held for trading and financial assets designated at fair value through profit or loss, which such designation is upon initial recognition and in an instrument by instrument basis. Derivatives are also categorized as held for trading unless they are designated as hedging instruments.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assets are classified as held for trading if they are acquired for purposes of selling or repurchasing short term and are presented in the caption “Trading securities” of the consolidated statements of financial position.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Management may designate an instrument at fair value through profit or loss upon initial recognition so long as the following conditions are met: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3" w:name="page94"/>
    <w:bookmarkEnd w:id="93"/>
    <w:p>
      <w:pPr>
        <w:ind w:firstLine="656"/>
        <w:spacing w:after="0" w:line="277" w:lineRule="auto"/>
        <w:tabs>
          <w:tab w:leader="none" w:pos="120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assets or liabilities or recognizing gains or losses on them on a different basis; or</w:t>
      </w:r>
    </w:p>
    <w:p>
      <w:pPr>
        <w:spacing w:after="0" w:line="197" w:lineRule="exact"/>
        <w:rPr>
          <w:rFonts w:ascii="Arial" w:cs="Arial" w:eastAsia="Arial" w:hAnsi="Arial"/>
          <w:sz w:val="18"/>
          <w:szCs w:val="18"/>
          <w:color w:val="auto"/>
        </w:rPr>
      </w:pPr>
    </w:p>
    <w:p>
      <w:pPr>
        <w:ind w:firstLine="656"/>
        <w:spacing w:after="0" w:line="277" w:lineRule="auto"/>
        <w:tabs>
          <w:tab w:leader="none" w:pos="1449"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spacing w:after="0" w:line="197" w:lineRule="exact"/>
        <w:rPr>
          <w:rFonts w:ascii="Arial" w:cs="Arial" w:eastAsia="Arial" w:hAnsi="Arial"/>
          <w:sz w:val="18"/>
          <w:szCs w:val="18"/>
          <w:color w:val="auto"/>
        </w:rPr>
      </w:pPr>
    </w:p>
    <w:p>
      <w:pPr>
        <w:ind w:firstLine="656"/>
        <w:spacing w:after="0" w:line="277" w:lineRule="auto"/>
        <w:tabs>
          <w:tab w:leader="none" w:pos="1393"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financial instrument contains one or more embedded derivatives, which significantly modify the cash flow that would otherwise be required by the contract.</w:t>
      </w:r>
    </w:p>
    <w:p>
      <w:pPr>
        <w:spacing w:after="0" w:line="19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Changes in fair value of designated financial assets through profit or loss are recorded in the consolidated income statement captioned “Net gain on financial assets and liabilities designated at fair value through profit and loss”. Interest earned or incurred is accrued in the consolidated income statement under the captions “Interest and dividend income” or “Interest expense”, respectively, according to the terms of the contract. Dividend income is recorded once right to collect has been established.</w:t>
      </w:r>
    </w:p>
    <w:p>
      <w:pPr>
        <w:spacing w:after="0" w:line="214"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Loans and receivables are non-derivative financial assets with fixed or determinable payments that are not quoted in an active market, other than: (1) those that the entity intend to sell immediately or in the short term, those that the entity upon initial recognition designates as available for sale; or (2) those for which the holder may not recover all or substantially all of its initial investment, other than credit deterioration.</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After initial measurement, loans and receivables are subsequently measured at amortized cost using the effective interest rate method, less any allowances for impairment. Amortized cost is calculated by taking into account any discount or premium on acquisition and fees and costs that are an integral part of the effective interest rate. The effective interest rate amortization is recognized in the consolidated income statement in the caption “Interest and dividend income”. Losses from impairment are recognized in the consolidated income statement in the caption “Provision for loan losses”.</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we will not be able to collect all amounts due according to the original contractual terms of the loan. The allowance for loan losses is established based in an internal risk classification and in consideration of any guarantees and collaterals received, note 3(i) and 29.1 to the Consolidated Financial Statements.</w:t>
      </w:r>
    </w:p>
    <w:p>
      <w:pPr>
        <w:spacing w:after="0" w:line="208"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Available-for-sale financial investments are non-derivative financial assets that are designated as available-for-sale (to be held for an indefinite period, which may be sold in response to liquidity needs or changes in the interest rates, exchange rates or equity price); or are not classified as (a) financial assets and financial liabilities at fair value through profit or loss, (b) held-to-maturity or (c) loans and receivables.</w:t>
      </w:r>
    </w:p>
    <w:p>
      <w:pPr>
        <w:spacing w:after="0" w:line="20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the initial recognition, available-for-sale financial investments are measured at fair value plus unrealized gains or losses recognized as other comprehensive income in the available-for-sale reserve, net of its corresponding deferred tax and minority interest, until the investment is no longer recognized, at which time the cumulative gain or loss is recognized in the consolidated income statement in the caption “Net gain on sale of securities”, or determined to be impaired, at which time the cumulative loss is recognized in the consolidated income statement in the caption “Impairment loss on available–for–sale investments” and removed from the available-for-sale reserve.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4" w:name="page95"/>
    <w:bookmarkEnd w:id="94"/>
    <w:p>
      <w:pPr>
        <w:jc w:val="both"/>
        <w:ind w:right="20" w:firstLine="648"/>
        <w:spacing w:after="0" w:line="308" w:lineRule="auto"/>
        <w:rPr>
          <w:sz w:val="20"/>
          <w:szCs w:val="20"/>
          <w:color w:val="auto"/>
        </w:rPr>
      </w:pPr>
      <w:r>
        <w:rPr>
          <w:rFonts w:ascii="Arial" w:cs="Arial" w:eastAsia="Arial" w:hAnsi="Arial"/>
          <w:sz w:val="17"/>
          <w:szCs w:val="17"/>
          <w:color w:val="auto"/>
        </w:rPr>
        <w:t>Interest and dividends earned are recognized in the consolidated income statement in the caption “Interest and dividend income”. Interest earned is reported as interest income using the effective interest rate and dividends earned are recognized when collection rights are established.</w:t>
      </w:r>
    </w:p>
    <w:p>
      <w:pPr>
        <w:spacing w:after="0" w:line="17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9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may elect to reclassify these financial assets only in rare circumstances, such as when we are unable to sell the financial assets due to market inactivity and management’s intent to sell the assets in the foreseeable future has changed. Reclassification to loans and receivables is permitted when the financial asset meets the definition of loans and receivables and has the intent and ability to hold these assets for the foreseeable future or until maturity. The reclassification to held to maturity category is permitted only when the entity has the ability and intent to hold the financial asset until maturity.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2009 and 2008, we did not reclassify any of our available-for-sale financial investments.</w:t>
      </w:r>
    </w:p>
    <w:p>
      <w:pPr>
        <w:spacing w:after="0" w:line="252"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52"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After the initial measurement, other financial liabilities are subsequently measured at amortized cost using the effective interest rate method. Amortized cost is calculated by taking into account any issuance discount or premium and costs that are an integral part of the effective interest rate.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De-recognition of financial assets and financial liabilities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financial asset (or, where applicable, a part of a financial asset or a part of a group of similar financial assets) is not recognized when: (i) the rights to receive cash flows from the asset have expired; or (ii) we have transferred its rights to receive cash flows from the asset or has assumed an obligation to pay the received cash flows in full without material delay to a third party under a “pass-through” arrangement; and (iii) either we have transferred substantially all the risks and rewards of the asset, or we have neither transferred nor retained substantially all the risks and rewards of the asset, but have transferred control of the asset.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liabilities: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financial liability is not recognized when the obligation under the liability is discharged, cancelled or expires. When an existing financial liability is replaced by another from the same lender on substantially different terms, or the terms of an existing liability are substantially modified, such an exchange or modification is treated as un-recognized of the original liability and the recognition of a new liability, any resulting difference in the respective carrying amount is recognized as profit or loss.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Offsetting financial instruments: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and liabilities are offset and the net amount is reported in the consolidated statements of financial position when there is a legally enforceable right to offset the recognized amounts and management has the intention to settle on a net basis, or realize the assets and settle the liability simultaneously.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color w:val="auto"/>
        </w:rPr>
        <w:t>Impairment of financial assets: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assess at each date of the consolidated statements of financial position date whether there is any objective evidence that a financial asset or a group of financial assets is impaired. A financial asset or a group of financial assets is deemed to be impaired if, and only if, there is objective evidence of impairment as a result of one or more events that has occurred after the initial recognition of the asset (an incurred loss event) and such loss event, or events, have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Criteria used for each category of financial assets are as follows:</w:t>
      </w:r>
    </w:p>
    <w:p>
      <w:pPr>
        <w:spacing w:after="0" w:line="206"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loans and receivables that are carried at amortized cost, we first assess whether objective evidence of impairment exists for financial assets that are individually significant, or collectively, for financial assets that are not individually significant. If we determine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recognized, or continues to be recognized, are not included in a collective assessment of impairment.</w:t>
      </w:r>
    </w:p>
    <w:p>
      <w:pPr>
        <w:spacing w:after="0" w:line="20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(excluding future expected credit losses that have not yet been incurred). The carrying amount of the asset is reduced through the use of an allowance account and the amount of the loss is recognized in the consolidated income statement. Interest income, if applicable, is accrued on the reduced carrying amount based on the original effective interest rate of the asset. Loans, together with the associated allowance, are written off when there is no realistic prospect of future recovery and all collateral has been realized or has been transferred to us. If in a subsequent year the amount of the estimated impairment loss increases or decreases because an event occurring after the impairment was recognized, the previously recognized impairment loss is increased or reduced by adjusting the allowance account. If in the future a write-off is later recovered, the recovery is recognized in the consolidated income statements, as a credit to the caption “Provision for loan losses”.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collective evaluation impairment, financial assets are grouped considering our internal credit grading system, which considers credit risk characteristics; i.e. asset type, industry, geographical location, collateral type and past-due status.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215"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available-for-sale financial investments, we assess, during each date of the consolidated statements of financial position, whether there is objective evidence that an investment or a group of investments is impaired.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6" w:name="page97"/>
    <w:bookmarkEnd w:id="96"/>
    <w:p>
      <w:pPr>
        <w:jc w:val="both"/>
        <w:ind w:firstLine="648"/>
        <w:spacing w:after="0" w:line="255" w:lineRule="auto"/>
        <w:rPr>
          <w:sz w:val="20"/>
          <w:szCs w:val="20"/>
          <w:color w:val="auto"/>
        </w:rPr>
      </w:pPr>
      <w:r>
        <w:rPr>
          <w:rFonts w:ascii="Arial" w:cs="Arial" w:eastAsia="Arial" w:hAnsi="Arial"/>
          <w:sz w:val="18"/>
          <w:szCs w:val="18"/>
          <w:color w:val="auto"/>
        </w:rPr>
        <w:t>In the case of equity investments, objective evidence includes a significant or prolonged decline in the fair value of the investment below its cost. “Significant” is evaluated against the original cost of the investment and “prolonged” against the period in which the fair value has been below its original cost. Where there is evidence of impairment, the cumulative loss (measured as the difference between the acquisition cost and the current fair value, less any previously recognized impairment loss) is removed from available-for-sale reserve and recognized in the consolidated income statement. Impairment losses on equity investments are not reversed through the consolidated income statement; increases in their fair value after impairment are recognized directly in the consolidated statements of comprehensive income.</w:t>
      </w:r>
    </w:p>
    <w:p>
      <w:pPr>
        <w:spacing w:after="0" w:line="22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case of debt instruments, impairment is assessed based on the same criteria as financial assets carried at amortized cost (loans and receivables). However, the amount recorded for impairment is the cumulative loss measured as the difference between the amortized cost and the current fair value, less any impairment loss that was previously recognized on that investment in the consolidated income statement. Future interest income is based on the reduced carrying amount and is accrued using the interest rate that is used to discount the future cash flows for the purpose of measuring the impairment loss. Interest income is recorded as part of “Interest and dividend income”. If in a subsequent year, the fair value of a debt instrument increases and the increase can be objectively measured by using an event that occurred after the impairment loss was recognized in the consolidated income statement, the impairment loss is reversed through the consolidated income statement.</w:t>
      </w:r>
    </w:p>
    <w:p>
      <w:pPr>
        <w:spacing w:after="0" w:line="205"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Renegotiated loans</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Where possible, we seek to refinance or restructure loans rather than to take possession of collateral. This may involve extending the payment arrangements and the agreement of new loan conditions. Once the terms have been renegotiated, the loan is no longer considered past due. Management continuously reviews refinanced and restructured loans to ensure that all criteria are met and that future payments are likely to occur. Renegotiated loans continue to be subject to an individual or collective impairment assessment, calculated using the loan’s original effective interest rate.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Goodwill:</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represents the excess of the acquisition cost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Impairment of non-financial assets: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assess at each reporting date or more frequently if events or changes in circumstances indicate that the carrying value may be impaired, whether there is an indication that a non-financial asset may be impaired. If any such indication exists, we estimate the asset’s recoverable amount. Where the carrying amount of an asset (or cash-generating unit) exceeds its recoverable amount, the asset (or cash-generating unit) is considered impaired and is written down to its recoverable amount.</w:t>
      </w:r>
    </w:p>
    <w:p>
      <w:pPr>
        <w:spacing w:after="0" w:line="214"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Impairment losses relating to goodwill cannot be reversed for subsequent increases in its recoverable amount in future periods.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Due from customers on acceptances: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Due from customers on acceptances corresponds to accounts receivable from customers for import and export transactions, whose obligations have been accepted by Credicorp. The obligations that we must assume for such transactions are recorded as liabilities.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color w:val="auto"/>
        </w:rPr>
        <w:t>Financial guarantees: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ordinary course of our business, Credicorp’s banking subsidiaries grant financial guarantees, such as letters of credit, guarantees and acceptances. Financial guarantees are initially recognized at fair value (which is equivalent in that moment to the fee received), as “Other liabilities” in the consolidated statements of financial position. Subsequent to initial recognition, our liability under each guarantee is measured as the higher of the amortized fee and the best estimate of expenditure required to settle any financial obligation arising as a result of the financial guarantee.</w:t>
      </w:r>
    </w:p>
    <w:p>
      <w:pPr>
        <w:spacing w:after="0" w:line="198"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Any increase in the liability relating to a financial guarantee is included in the consolidated statement of income. The fee received is recognized in the consolidated statement of income in the caption “Banking services commissions” on a straight line basis over the life of the granted financial guarantee.</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Provisions: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Provisions are recognized when we have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income statement net of any reimbursement. If the effect of the time value of money is material, provisions are discounted using a current pre-tax rate that reflects, where appropriate, the risks specific to the liability. Where discounting is used, the increase in the provision due to the passage of time is recognized as a finance cost.</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Contingencies: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Contingent liabilities are not recognized in the consolidated financial statements. They are disclosed in notes unless the possibility of an outflow of resources is remote.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Share-based payment transactions</w:t>
      </w:r>
    </w:p>
    <w:p>
      <w:pPr>
        <w:spacing w:after="0" w:line="252" w:lineRule="exact"/>
        <w:rPr>
          <w:sz w:val="20"/>
          <w:szCs w:val="20"/>
          <w:color w:val="auto"/>
        </w:rPr>
      </w:pPr>
    </w:p>
    <w:p>
      <w:pPr>
        <w:ind w:left="1320" w:hanging="664"/>
        <w:spacing w:after="0"/>
        <w:tabs>
          <w:tab w:leader="none" w:pos="13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Cash-settled transactions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explained in note 18(a) to the Consolidated Financial Statements, until April 2008 we granted a supplementary remuneration plan to certain employees who had been employed at least one year with Credicorp or any of our Subsidiaries, in the form of stock appreciation rights (SARs) over a certain number of Credicorp shares. SARs were granted at a fixed price and are exercisable at that price, allowing the employee to obtain a gain in cash (“cash-settled transaction”) arising from the difference between the fixed exercise price and the market price at the date the SARs are executed.</w:t>
      </w:r>
    </w:p>
    <w:p>
      <w:pPr>
        <w:spacing w:after="0" w:line="19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SARs fair value is expensed over the period up to the vesting date, along with the corresponding liability. The liability is measured to fair value at each reporting date, up to and including the settlement date, with changes in fair value recognized in the “Salaries and employee benefits” line. When the price or term of the SARs are modified, any additional expense is also recorded. For more details about significant factors, assumptions and the methodology used in determining the fair value of SARs, see note 18 to the Credicorp Consolidated Financial Statements.</w:t>
      </w:r>
    </w:p>
    <w:p>
      <w:pPr>
        <w:spacing w:after="0" w:line="198" w:lineRule="exact"/>
        <w:rPr>
          <w:sz w:val="20"/>
          <w:szCs w:val="20"/>
          <w:color w:val="auto"/>
        </w:rPr>
      </w:pPr>
    </w:p>
    <w:p>
      <w:pPr>
        <w:ind w:left="1380" w:hanging="724"/>
        <w:spacing w:after="0"/>
        <w:tabs>
          <w:tab w:leader="none" w:pos="13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Equity-settled transactions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explain in note 18(b) to the Consolidated Financial Statements, as of April 2009, a new supplementary remuneration plan was implemented to replace the SAR plan (see (i) above). The grant date was April 28, 2009, and the granted awards vest 33.3% every 12 months.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cost of this equity-settled plan is recognized, together with a corresponding increase in equity, over the period in which the service conditions are fulfilled, ending on the date on which the respective employees become fully entitled to the award (‘the vesting date”). The cumulative expense recognized for equity-settled transactions from each reporting date until the vesting date reflects the extent to which the vesting period has expired and Credicorp’s best estimate of the number of equity instruments that will ultimately vest.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8" w:name="page99"/>
    <w:bookmarkEnd w:id="98"/>
    <w:p>
      <w:pPr>
        <w:jc w:val="both"/>
        <w:ind w:firstLine="648"/>
        <w:spacing w:after="0" w:line="259" w:lineRule="auto"/>
        <w:rPr>
          <w:sz w:val="20"/>
          <w:szCs w:val="20"/>
          <w:color w:val="auto"/>
        </w:rPr>
      </w:pPr>
      <w:r>
        <w:rPr>
          <w:rFonts w:ascii="Arial" w:cs="Arial" w:eastAsia="Arial" w:hAnsi="Arial"/>
          <w:sz w:val="18"/>
          <w:szCs w:val="18"/>
          <w:color w:val="auto"/>
        </w:rPr>
        <w:t>The expense is recorded in the “Salaries and employees benefits” line of the consolidated income statement. When the terms of an equity-settled award are modified, the minimum expense recognized in the “Salaries and employees benefits” line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dilutive effect of outstanding stock awards is reflected as a share dilution in the computation of diluted earnings per share.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Derivative financial instruments: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Trading:</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of transactions with derivatives, while providing effective economic hedges under Group’s risk management positions, do not qualify for hedge accounting under the specific rules of IAS 39 and are, therefore, treated as trading derivatives.</w:t>
      </w:r>
    </w:p>
    <w:p>
      <w:pPr>
        <w:spacing w:after="0" w:line="19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Derivative financial instruments are initially recognized in the consolidated statements of financial position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income statement.</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Hedge:</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use derivative instruments to manage exposures to interest rate and foreign currency. In order to manage particular risks, we apply hedge accounting for transactions which meet the specified criteria.</w:t>
      </w:r>
    </w:p>
    <w:p>
      <w:pPr>
        <w:spacing w:after="0" w:line="19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At inception of the hedge relationship, we formally document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changes in fair value or cash flows attributable to the hedged risk during the period for which the hedge is designated is expected to offset in a range between 80 percent and 125 percent.</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accounting treatment is established according to the nature of the hedged item and compliance with the hedge criteria.</w:t>
      </w:r>
    </w:p>
    <w:p>
      <w:pPr>
        <w:spacing w:after="0" w:line="252" w:lineRule="exact"/>
        <w:rPr>
          <w:sz w:val="20"/>
          <w:szCs w:val="20"/>
          <w:color w:val="auto"/>
        </w:rPr>
      </w:pPr>
    </w:p>
    <w:p>
      <w:pPr>
        <w:ind w:left="1320" w:hanging="664"/>
        <w:spacing w:after="0"/>
        <w:tabs>
          <w:tab w:leader="none" w:pos="1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Cash flow hedges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 portion of the gain or loss on the hedging instrument is recognized directly as other comprehensive income in the cash flow hedge reserve, while any ineffective portion is recognized in the consolidated income statement in finance costs.</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Amounts recognized as other comprehensive income are transferred to the consolidated income statement when the hedged transaction affects profit or loss, such as when the hedged financial income or financial expense is recognized or when a forecast sale occurs. Where the hedged item is the cost of a non-financial asset or non-financial liability, the amounts recognized as other comprehensive income are transferred to the initial carrying amount of the non-financial asset or liability.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9" w:name="page100"/>
    <w:bookmarkEnd w:id="99"/>
    <w:p>
      <w:pPr>
        <w:jc w:val="both"/>
        <w:ind w:firstLine="648"/>
        <w:spacing w:after="0" w:line="259" w:lineRule="auto"/>
        <w:rPr>
          <w:sz w:val="20"/>
          <w:szCs w:val="20"/>
          <w:color w:val="auto"/>
        </w:rPr>
      </w:pPr>
      <w:r>
        <w:rPr>
          <w:rFonts w:ascii="Arial" w:cs="Arial" w:eastAsia="Arial" w:hAnsi="Arial"/>
          <w:sz w:val="18"/>
          <w:szCs w:val="18"/>
          <w:color w:val="auto"/>
        </w:rPr>
        <w:t>If the forecast transaction or firm commitment is no longer expected to occur, the cumulative gain or loss previously recognized in the cash flow hedge reserve are transferred to the consolidated income statement. If the hedging instrument expires or is sold, terminated or exercised without replacement or rollover, or if its designation as a hedge is revoked, any cumulative gain or loss previously recognized in the cash flow hedge reserve remains in the cash flow hedge reserve until the forecast transaction or firm commitment affects profit or loss.</w:t>
      </w:r>
    </w:p>
    <w:p>
      <w:pPr>
        <w:spacing w:after="0" w:line="214" w:lineRule="exact"/>
        <w:rPr>
          <w:sz w:val="20"/>
          <w:szCs w:val="20"/>
          <w:color w:val="auto"/>
        </w:rPr>
      </w:pPr>
    </w:p>
    <w:p>
      <w:pPr>
        <w:ind w:left="1380" w:hanging="724"/>
        <w:spacing w:after="0"/>
        <w:tabs>
          <w:tab w:leader="none" w:pos="13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Fair value hedges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 in the fair value of an interest rate hedging derivative is recognized in the consolidated income statement in finance costs. The change in the fair value of the hedged item attributable to the risk hedged is recorded as a part of the carrying value of the hedged item and is also recognized in the consolidated income statement in finance costs.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For fair value hedges relating to consolidated items carried at amortized cost, the adjustment to carrying value is amortized through the consolidated income statement over the remaining maturity term. Effective interest rate amortization may begin as soon as an adjustment exists and shall begin no later than when the hedged item ceases to be adjusted for changes in its fair value attributable to the risk being hedged.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hedge item is no longer recognized, the unamortized fair value is recognized immediately in the consolidated income statement.</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When an unrecognized firm commitment is designated as a hedged item, the subsequent cumulative change in the fair value of the firm commitment attributable to the hedged risk is recognized as an asset or liability with a corresponding gain or loss recognized in the consolidated income statement.</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Embedded derivates:</w:t>
      </w:r>
    </w:p>
    <w:p>
      <w:pPr>
        <w:spacing w:after="0" w:line="25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certificates indexed to the price of Credicorp Ltd. shares that will be settled in cash, and investments indexed to certain life insurance contracts liabilities, denominated “Unit-Link”. We classified these instruments at inception as “Financial instruments at fair value though profit or loss”, see 3(f)(i), and note 7 to the Consolidated Financial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Fiduciary activities, management of funds and pension funds: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provide custody, trustee, investment management and advisory services to third parties that result in the holding of assets on their behalf. These assets and income arising thereon are excluded from these consolidated financial statements, as they are not our assets.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Commissions generated for these activities are included in the caption “Other income” of the consolidated income statements.</w:t>
      </w:r>
    </w:p>
    <w:p>
      <w:pPr>
        <w:spacing w:after="0" w:line="200" w:lineRule="exact"/>
        <w:rPr>
          <w:sz w:val="20"/>
          <w:szCs w:val="20"/>
          <w:color w:val="auto"/>
        </w:rPr>
      </w:pPr>
    </w:p>
    <w:p>
      <w:pPr>
        <w:spacing w:after="0" w:line="291" w:lineRule="exact"/>
        <w:rPr>
          <w:sz w:val="20"/>
          <w:szCs w:val="20"/>
          <w:color w:val="auto"/>
        </w:rPr>
      </w:pPr>
    </w:p>
    <w:p>
      <w:pPr>
        <w:ind w:left="1360" w:hanging="704"/>
        <w:spacing w:after="0"/>
        <w:tabs>
          <w:tab w:leader="none" w:pos="13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Historical Discussion and Analysis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Group monitors the results of its operating segments separately for the purpose of making decisions about resource allocation and performance assessment. Regarding the Group’s segments, total revenues from banking segment amounted to 74% or more of the Group’s total revenue in 2009, 2008, and 2007, therefore, the following historical discussion and analysis is presented principally for banking segment, except when otherwise indicated; and is based upon information contained in our Consolidated Financial Statements and should be read in conjunction therewith. The discussion in this section regarding interest rates is based on nominal interest rates.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0" w:name="page101"/>
    <w:bookmarkEnd w:id="100"/>
    <w:p>
      <w:pPr>
        <w:jc w:val="both"/>
        <w:ind w:firstLine="648"/>
        <w:spacing w:after="0" w:line="277" w:lineRule="auto"/>
        <w:rPr>
          <w:sz w:val="20"/>
          <w:szCs w:val="20"/>
          <w:color w:val="auto"/>
        </w:rPr>
      </w:pPr>
      <w:r>
        <w:rPr>
          <w:rFonts w:ascii="Arial" w:cs="Arial" w:eastAsia="Arial" w:hAnsi="Arial"/>
          <w:sz w:val="18"/>
          <w:szCs w:val="18"/>
          <w:color w:val="auto"/>
        </w:rPr>
        <w:t>For a comparison of nominal interest rates with real interest rates, see “Item 4. Information on the Company—(B) Business Overview—(12) Selected Statistical Information—(i) Average Balance Sheets and Income from Interest-Earning Assets—Real Average Interest Rates.”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The financial information and discussion and analysis presented below for 2007, 2008 and 2009 reflect the financial position and results of operations for 2007, 2008 and 2009 of our subsidiaries.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3. Key Information—(A) Selected Financial Data.”</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December 31, 2009, approximately 57.9% of our deposits and 60.1% of our loans were U.S. Dollar-denominated. Despite these high proportions, U.S. Dollar-denominated deposits and loans have decreased from the previous year (61.7% and 67.1%, respectively) due to a reduction in the rate of inflation. Nevertheless, we expect the majority of our deposits and loans to continue to be denominated in U.S. Dollars.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Results of Operations for the Three Years Ended December 31, 2009</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years 2007, 2008 and 2009, the principal components of our net income: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1260" w:type="dxa"/>
            <w:vAlign w:val="bottom"/>
            <w:tcBorders>
              <w:bottom w:val="single" w:sz="8" w:color="auto"/>
            </w:tcBorders>
            <w:gridSpan w:val="2"/>
          </w:tcPr>
          <w:p>
            <w:pPr>
              <w:ind w:left="460"/>
              <w:spacing w:after="0"/>
              <w:rPr>
                <w:sz w:val="20"/>
                <w:szCs w:val="20"/>
                <w:color w:val="auto"/>
              </w:rPr>
            </w:pPr>
            <w:r>
              <w:rPr>
                <w:rFonts w:ascii="Arial" w:cs="Arial" w:eastAsia="Arial" w:hAnsi="Arial"/>
                <w:sz w:val="18"/>
                <w:szCs w:val="18"/>
                <w:b w:val="1"/>
                <w:bCs w:val="1"/>
                <w:color w:val="auto"/>
              </w:rPr>
              <w:t>2008</w:t>
            </w:r>
          </w:p>
        </w:tc>
        <w:tc>
          <w:tcPr>
            <w:tcW w:w="34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i w:val="1"/>
                <w:iCs w:val="1"/>
                <w:color w:val="auto"/>
                <w:w w:val="71"/>
              </w:rPr>
              <w:t>(U.S.</w:t>
            </w:r>
          </w:p>
        </w:tc>
        <w:tc>
          <w:tcPr>
            <w:tcW w:w="16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i w:val="1"/>
                <w:iCs w:val="1"/>
                <w:color w:val="auto"/>
                <w:w w:val="92"/>
              </w:rPr>
              <w:t>Dollars in thousands)</w:t>
            </w: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89"/>
              </w:rPr>
              <w:t>1,065,339</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w w:val="87"/>
              </w:rPr>
              <w:t>1,382,844</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9"/>
              </w:rPr>
              <w:t>1,312,925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(431,365)</w:t>
            </w:r>
          </w:p>
        </w:tc>
        <w:tc>
          <w:tcPr>
            <w:tcW w:w="5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(561,617)</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(420,564)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income</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633,974</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821,227</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892,361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5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(28,439)</w:t>
            </w:r>
          </w:p>
        </w:tc>
        <w:tc>
          <w:tcPr>
            <w:tcW w:w="5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(48,760)</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(163,392)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interest income after Provision</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605,535</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772,467</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728,969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Noninterest income</w:t>
            </w:r>
          </w:p>
        </w:tc>
        <w:tc>
          <w:tcPr>
            <w:tcW w:w="5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522,937</w:t>
            </w:r>
          </w:p>
        </w:tc>
        <w:tc>
          <w:tcPr>
            <w:tcW w:w="5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592,564</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720,631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Insurance premiums earned net of claims on insurance activities</w:t>
            </w:r>
          </w:p>
        </w:tc>
        <w:tc>
          <w:tcPr>
            <w:tcW w:w="5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58,672</w:t>
            </w:r>
          </w:p>
        </w:tc>
        <w:tc>
          <w:tcPr>
            <w:tcW w:w="5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51,993</w:t>
            </w:r>
          </w:p>
        </w:tc>
        <w:tc>
          <w:tcPr>
            <w:tcW w:w="4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Other expenses</w:t>
            </w:r>
          </w:p>
        </w:tc>
        <w:tc>
          <w:tcPr>
            <w:tcW w:w="5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(747,089)</w:t>
            </w:r>
          </w:p>
        </w:tc>
        <w:tc>
          <w:tcPr>
            <w:tcW w:w="5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(920,603)</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(957,110)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Merger costs</w:t>
            </w:r>
          </w:p>
        </w:tc>
        <w:tc>
          <w:tcPr>
            <w:tcW w:w="5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CCFFC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shd w:val="clear" w:color="auto" w:fill="CCFFCC"/>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Income before translation result and income tax</w:t>
            </w:r>
          </w:p>
        </w:tc>
        <w:tc>
          <w:tcPr>
            <w:tcW w:w="540" w:type="dxa"/>
            <w:vAlign w:val="bottom"/>
          </w:tcPr>
          <w:p>
            <w:pPr>
              <w:ind w:left="220"/>
              <w:spacing w:after="0"/>
              <w:rPr>
                <w:sz w:val="20"/>
                <w:szCs w:val="20"/>
                <w:color w:val="auto"/>
              </w:rPr>
            </w:pPr>
            <w:r>
              <w:rPr>
                <w:rFonts w:ascii="Arial" w:cs="Arial" w:eastAsia="Arial" w:hAnsi="Arial"/>
                <w:sz w:val="18"/>
                <w:szCs w:val="18"/>
                <w:color w:val="auto"/>
                <w:w w:val="85"/>
              </w:rPr>
              <w:t>US$</w:t>
            </w:r>
          </w:p>
        </w:tc>
        <w:tc>
          <w:tcPr>
            <w:tcW w:w="740" w:type="dxa"/>
            <w:vAlign w:val="bottom"/>
          </w:tcPr>
          <w:p>
            <w:pPr>
              <w:jc w:val="right"/>
              <w:spacing w:after="0"/>
              <w:rPr>
                <w:sz w:val="20"/>
                <w:szCs w:val="20"/>
                <w:color w:val="auto"/>
              </w:rPr>
            </w:pPr>
            <w:r>
              <w:rPr>
                <w:rFonts w:ascii="Arial" w:cs="Arial" w:eastAsia="Arial" w:hAnsi="Arial"/>
                <w:sz w:val="18"/>
                <w:szCs w:val="18"/>
                <w:color w:val="auto"/>
              </w:rPr>
              <w:t>440,055</w:t>
            </w:r>
          </w:p>
        </w:tc>
        <w:tc>
          <w:tcPr>
            <w:tcW w:w="320" w:type="dxa"/>
            <w:vAlign w:val="bottom"/>
          </w:tcPr>
          <w:p>
            <w:pPr>
              <w:spacing w:after="0"/>
              <w:rPr>
                <w:sz w:val="18"/>
                <w:szCs w:val="18"/>
                <w:color w:val="auto"/>
              </w:rPr>
            </w:pPr>
          </w:p>
        </w:tc>
        <w:tc>
          <w:tcPr>
            <w:tcW w:w="540" w:type="dxa"/>
            <w:vAlign w:val="bottom"/>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496,421</w:t>
            </w:r>
          </w:p>
        </w:tc>
        <w:tc>
          <w:tcPr>
            <w:tcW w:w="420" w:type="dxa"/>
            <w:vAlign w:val="bottom"/>
          </w:tcPr>
          <w:p>
            <w:pPr>
              <w:ind w:left="100"/>
              <w:spacing w:after="0"/>
              <w:rPr>
                <w:sz w:val="20"/>
                <w:szCs w:val="20"/>
                <w:color w:val="auto"/>
              </w:rPr>
            </w:pPr>
            <w:r>
              <w:rPr>
                <w:rFonts w:ascii="Arial" w:cs="Arial" w:eastAsia="Arial" w:hAnsi="Arial"/>
                <w:sz w:val="18"/>
                <w:szCs w:val="18"/>
                <w:color w:val="auto"/>
                <w:w w:val="85"/>
              </w:rPr>
              <w:t>US$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630,714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 (loss) gain</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34,627</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( 17,650)</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Income tax</w:t>
            </w:r>
          </w:p>
        </w:tc>
        <w:tc>
          <w:tcPr>
            <w:tcW w:w="5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(102,287)</w:t>
            </w:r>
          </w:p>
        </w:tc>
        <w:tc>
          <w:tcPr>
            <w:tcW w:w="54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(109,508)</w:t>
            </w:r>
          </w:p>
        </w:tc>
        <w:tc>
          <w:tcPr>
            <w:tcW w:w="42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(138,500)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372,395</w:t>
            </w:r>
          </w:p>
        </w:tc>
        <w:tc>
          <w:tcPr>
            <w:tcW w:w="320" w:type="dxa"/>
            <w:vAlign w:val="bottom"/>
            <w:shd w:val="clear" w:color="auto" w:fill="CCFFCC"/>
          </w:tcPr>
          <w:p>
            <w:pPr>
              <w:spacing w:after="0"/>
              <w:rPr>
                <w:sz w:val="18"/>
                <w:szCs w:val="18"/>
                <w:color w:val="auto"/>
              </w:rPr>
            </w:pP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w w:val="85"/>
              </w:rPr>
              <w:t>US$</w:t>
            </w: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369,263</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504,436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Net income attributable to:</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color w:val="auto"/>
              </w:rPr>
              <w:t>Equity holders</w:t>
            </w:r>
          </w:p>
        </w:tc>
        <w:tc>
          <w:tcPr>
            <w:tcW w:w="5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350,735</w:t>
            </w:r>
          </w:p>
        </w:tc>
        <w:tc>
          <w:tcPr>
            <w:tcW w:w="54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357,756</w:t>
            </w:r>
          </w:p>
        </w:tc>
        <w:tc>
          <w:tcPr>
            <w:tcW w:w="42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469,785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Minority interests</w:t>
            </w:r>
          </w:p>
        </w:tc>
        <w:tc>
          <w:tcPr>
            <w:tcW w:w="5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21,660</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rPr>
              <w:t>11,507</w:t>
            </w:r>
          </w:p>
        </w:tc>
        <w:tc>
          <w:tcPr>
            <w:tcW w:w="4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34,651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6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372,395</w:t>
            </w:r>
          </w:p>
        </w:tc>
        <w:tc>
          <w:tcPr>
            <w:tcW w:w="320" w:type="dxa"/>
            <w:vAlign w:val="bottom"/>
            <w:shd w:val="clear" w:color="auto" w:fill="CCFFCC"/>
          </w:tcPr>
          <w:p>
            <w:pPr>
              <w:spacing w:after="0"/>
              <w:rPr>
                <w:sz w:val="20"/>
                <w:szCs w:val="20"/>
                <w:color w:val="auto"/>
              </w:rPr>
            </w:pPr>
          </w:p>
        </w:tc>
        <w:tc>
          <w:tcPr>
            <w:tcW w:w="5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w w:val="85"/>
              </w:rPr>
              <w:t>US$</w:t>
            </w:r>
          </w:p>
        </w:tc>
        <w:tc>
          <w:tcPr>
            <w:tcW w:w="10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b w:val="1"/>
                <w:bCs w:val="1"/>
                <w:color w:val="auto"/>
              </w:rPr>
              <w:t>369,263</w:t>
            </w:r>
          </w:p>
        </w:tc>
        <w:tc>
          <w:tcPr>
            <w:tcW w:w="420" w:type="dxa"/>
            <w:vAlign w:val="bottom"/>
            <w:shd w:val="clear" w:color="auto" w:fill="CCFFCC"/>
          </w:tcPr>
          <w:p>
            <w:pPr>
              <w:ind w:left="100"/>
              <w:spacing w:after="0"/>
              <w:rPr>
                <w:sz w:val="20"/>
                <w:szCs w:val="20"/>
                <w:color w:val="auto"/>
              </w:rPr>
            </w:pPr>
            <w:r>
              <w:rPr>
                <w:rFonts w:ascii="Arial" w:cs="Arial" w:eastAsia="Arial" w:hAnsi="Arial"/>
                <w:sz w:val="18"/>
                <w:szCs w:val="18"/>
                <w:b w:val="1"/>
                <w:bCs w:val="1"/>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504,436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income attributable to our equity holders increased from US$357.8 million in 2008 to US$469.8 million in 2009. Our net income increased from 2008 to 2009 due to the significant charges recorded during 2008, but not recorded during 2009, for approximately US$163.9 million (recorded as “other expenses”), which included (i) US$60.4 million to impair a deteriorated investment portfolio caused by declining stock prices, (ii) US$36.4 million for a provision by ASHC for potential losses and contingencies related to an ASHC-managed fund that had been invested with Bernard L. Madoff Investment Securities LLC, or Madoff Securities, on behalf of its clients, (iii) US$67.1 million of expense to hedge SAR Program. In addition increases the commission for loans, net gain on securities net of the provision for loan.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1" w:name="page102"/>
    <w:bookmarkEnd w:id="101"/>
    <w:p>
      <w:pPr>
        <w:jc w:val="both"/>
        <w:ind w:right="20" w:firstLine="648"/>
        <w:spacing w:after="0" w:line="277" w:lineRule="auto"/>
        <w:rPr>
          <w:sz w:val="20"/>
          <w:szCs w:val="20"/>
          <w:color w:val="auto"/>
        </w:rPr>
      </w:pPr>
      <w:r>
        <w:rPr>
          <w:rFonts w:ascii="Arial" w:cs="Arial" w:eastAsia="Arial" w:hAnsi="Arial"/>
          <w:sz w:val="18"/>
          <w:szCs w:val="18"/>
          <w:color w:val="auto"/>
        </w:rPr>
        <w:t>Net income attributable to our equity holders increased from US$350.7 million in 2007 to US$357.8 million in 2008, which represented an increased of 2.0% from 2007 to 2008, despite of the charges recorded during 2008, which are explained in the paragraph below.</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the other hand, non interest income increased 21.6% in 2009 to US$720.6 million, primarily due to (i) a net gains from sales of securities of US$120.9 million, (ii) fees and commissions income from banking services of US$436.8 million, and (iii) net gains on foreign exchange transactions of US$87.9 million. Non interest income increased 13.3% in 2008 to US$592.6 million, which represented an increased of 13.3% not significant to the consolidated results of operations.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Interest Income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interest income represents the difference between interest income on interest-earning assets and the interest paid on interest-bearing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interest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rPr>
              <w:t>Year ended December 31,</w:t>
            </w: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2007</w:t>
            </w:r>
          </w:p>
        </w:tc>
        <w:tc>
          <w:tcPr>
            <w:tcW w:w="320" w:type="dxa"/>
            <w:vAlign w:val="bottom"/>
          </w:tcPr>
          <w:p>
            <w:pPr>
              <w:spacing w:after="0"/>
              <w:rPr>
                <w:sz w:val="19"/>
                <w:szCs w:val="19"/>
                <w:color w:val="auto"/>
              </w:rPr>
            </w:pPr>
          </w:p>
        </w:tc>
        <w:tc>
          <w:tcPr>
            <w:tcW w:w="1400" w:type="dxa"/>
            <w:vAlign w:val="bottom"/>
            <w:tcBorders>
              <w:bottom w:val="single" w:sz="8" w:color="auto"/>
            </w:tcBorders>
            <w:gridSpan w:val="2"/>
          </w:tcPr>
          <w:p>
            <w:pPr>
              <w:ind w:left="520"/>
              <w:spacing w:after="0"/>
              <w:rPr>
                <w:sz w:val="20"/>
                <w:szCs w:val="20"/>
                <w:color w:val="auto"/>
              </w:rPr>
            </w:pPr>
            <w:r>
              <w:rPr>
                <w:rFonts w:ascii="Arial" w:cs="Arial" w:eastAsia="Arial" w:hAnsi="Arial"/>
                <w:sz w:val="18"/>
                <w:szCs w:val="18"/>
                <w:b w:val="1"/>
                <w:bCs w:val="1"/>
                <w:color w:val="auto"/>
              </w:rPr>
              <w:t>2008</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i w:val="1"/>
                <w:iCs w:val="1"/>
                <w:color w:val="auto"/>
                <w:w w:val="73"/>
              </w:rPr>
              <w:t>(U.S.</w:t>
            </w:r>
          </w:p>
        </w:tc>
        <w:tc>
          <w:tcPr>
            <w:tcW w:w="1400" w:type="dxa"/>
            <w:vAlign w:val="bottom"/>
            <w:gridSpan w:val="2"/>
          </w:tcPr>
          <w:p>
            <w:pPr>
              <w:spacing w:after="0"/>
              <w:rPr>
                <w:sz w:val="20"/>
                <w:szCs w:val="20"/>
                <w:color w:val="auto"/>
              </w:rPr>
            </w:pPr>
            <w:r>
              <w:rPr>
                <w:rFonts w:ascii="Arial" w:cs="Arial" w:eastAsia="Arial" w:hAnsi="Arial"/>
                <w:sz w:val="18"/>
                <w:szCs w:val="18"/>
                <w:i w:val="1"/>
                <w:iCs w:val="1"/>
                <w:color w:val="auto"/>
                <w:w w:val="81"/>
              </w:rPr>
              <w:t>Dollars in thousands)</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5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Loans</w:t>
            </w:r>
          </w:p>
        </w:tc>
        <w:tc>
          <w:tcPr>
            <w:tcW w:w="560" w:type="dxa"/>
            <w:vAlign w:val="bottom"/>
          </w:tcPr>
          <w:p>
            <w:pPr>
              <w:ind w:left="240"/>
              <w:spacing w:after="0"/>
              <w:rPr>
                <w:sz w:val="20"/>
                <w:szCs w:val="20"/>
                <w:color w:val="auto"/>
              </w:rPr>
            </w:pPr>
            <w:r>
              <w:rPr>
                <w:rFonts w:ascii="Arial" w:cs="Arial" w:eastAsia="Arial" w:hAnsi="Arial"/>
                <w:sz w:val="18"/>
                <w:szCs w:val="18"/>
                <w:color w:val="auto"/>
                <w:w w:val="85"/>
              </w:rPr>
              <w:t>US$</w:t>
            </w:r>
          </w:p>
        </w:tc>
        <w:tc>
          <w:tcPr>
            <w:tcW w:w="740" w:type="dxa"/>
            <w:vAlign w:val="bottom"/>
          </w:tcPr>
          <w:p>
            <w:pPr>
              <w:jc w:val="right"/>
              <w:spacing w:after="0"/>
              <w:rPr>
                <w:sz w:val="20"/>
                <w:szCs w:val="20"/>
                <w:color w:val="auto"/>
              </w:rPr>
            </w:pPr>
            <w:r>
              <w:rPr>
                <w:rFonts w:ascii="Arial" w:cs="Arial" w:eastAsia="Arial" w:hAnsi="Arial"/>
                <w:sz w:val="18"/>
                <w:szCs w:val="18"/>
                <w:color w:val="auto"/>
              </w:rPr>
              <w:t>701,471</w:t>
            </w:r>
          </w:p>
        </w:tc>
        <w:tc>
          <w:tcPr>
            <w:tcW w:w="32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85"/>
              </w:rPr>
              <w:t>US$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963,940</w:t>
            </w:r>
          </w:p>
        </w:tc>
        <w:tc>
          <w:tcPr>
            <w:tcW w:w="340" w:type="dxa"/>
            <w:vAlign w:val="bottom"/>
          </w:tcPr>
          <w:p>
            <w:pPr>
              <w:ind w:left="20"/>
              <w:spacing w:after="0"/>
              <w:rPr>
                <w:sz w:val="20"/>
                <w:szCs w:val="20"/>
                <w:color w:val="auto"/>
              </w:rPr>
            </w:pPr>
            <w:r>
              <w:rPr>
                <w:rFonts w:ascii="Arial" w:cs="Arial" w:eastAsia="Arial" w:hAnsi="Arial"/>
                <w:sz w:val="18"/>
                <w:szCs w:val="18"/>
                <w:color w:val="auto"/>
                <w:w w:val="85"/>
              </w:rPr>
              <w:t>US$</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1,062,046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banks</w:t>
            </w:r>
          </w:p>
        </w:tc>
        <w:tc>
          <w:tcPr>
            <w:tcW w:w="5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58,896</w:t>
            </w:r>
          </w:p>
        </w:tc>
        <w:tc>
          <w:tcPr>
            <w:tcW w:w="6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37,352</w:t>
            </w:r>
          </w:p>
        </w:tc>
        <w:tc>
          <w:tcPr>
            <w:tcW w:w="3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Deposits in Central Bank</w:t>
            </w:r>
          </w:p>
        </w:tc>
        <w:tc>
          <w:tcPr>
            <w:tcW w:w="560" w:type="dxa"/>
            <w:vAlign w:val="bottom"/>
          </w:tcPr>
          <w:p>
            <w:pPr>
              <w:spacing w:after="0"/>
              <w:rPr>
                <w:sz w:val="18"/>
                <w:szCs w:val="18"/>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8"/>
                <w:szCs w:val="18"/>
                <w:color w:val="auto"/>
              </w:rPr>
              <w:t>46,921</w:t>
            </w:r>
          </w:p>
        </w:tc>
        <w:tc>
          <w:tcPr>
            <w:tcW w:w="6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37,914</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securities and others</w:t>
            </w:r>
          </w:p>
        </w:tc>
        <w:tc>
          <w:tcPr>
            <w:tcW w:w="56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231,762</w:t>
            </w:r>
          </w:p>
        </w:tc>
        <w:tc>
          <w:tcPr>
            <w:tcW w:w="3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298,021</w:t>
            </w:r>
          </w:p>
        </w:tc>
        <w:tc>
          <w:tcPr>
            <w:tcW w:w="3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8,870</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12,189</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9,715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Gain from derivatives instruments and other interest income</w:t>
            </w:r>
          </w:p>
        </w:tc>
        <w:tc>
          <w:tcPr>
            <w:tcW w:w="560" w:type="dxa"/>
            <w:vAlign w:val="bottom"/>
            <w:shd w:val="clear" w:color="auto" w:fill="CCFFCC"/>
          </w:tcPr>
          <w:p>
            <w:pPr>
              <w:spacing w:after="0"/>
              <w:rPr>
                <w:sz w:val="19"/>
                <w:szCs w:val="19"/>
                <w:color w:val="auto"/>
              </w:rPr>
            </w:pP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17,419</w:t>
            </w:r>
          </w:p>
        </w:tc>
        <w:tc>
          <w:tcPr>
            <w:tcW w:w="320" w:type="dxa"/>
            <w:vAlign w:val="bottom"/>
            <w:shd w:val="clear" w:color="auto" w:fill="CCFFCC"/>
          </w:tcPr>
          <w:p>
            <w:pPr>
              <w:spacing w:after="0"/>
              <w:rPr>
                <w:sz w:val="19"/>
                <w:szCs w:val="19"/>
                <w:color w:val="auto"/>
              </w:rPr>
            </w:pPr>
          </w:p>
        </w:tc>
        <w:tc>
          <w:tcPr>
            <w:tcW w:w="68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33,428</w:t>
            </w:r>
          </w:p>
        </w:tc>
        <w:tc>
          <w:tcPr>
            <w:tcW w:w="340" w:type="dxa"/>
            <w:vAlign w:val="bottom"/>
            <w:shd w:val="clear" w:color="auto" w:fill="CCFFCC"/>
          </w:tcPr>
          <w:p>
            <w:pPr>
              <w:spacing w:after="0"/>
              <w:rPr>
                <w:sz w:val="19"/>
                <w:szCs w:val="19"/>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top w:val="single" w:sz="8" w:color="CCFFCC"/>
            </w:tcBorders>
          </w:tcPr>
          <w:p>
            <w:pPr>
              <w:ind w:left="480"/>
              <w:spacing w:after="0"/>
              <w:rPr>
                <w:sz w:val="20"/>
                <w:szCs w:val="20"/>
                <w:color w:val="auto"/>
              </w:rPr>
            </w:pPr>
            <w:r>
              <w:rPr>
                <w:rFonts w:ascii="Arial" w:cs="Arial" w:eastAsia="Arial" w:hAnsi="Arial"/>
                <w:sz w:val="18"/>
                <w:szCs w:val="18"/>
                <w:color w:val="auto"/>
              </w:rPr>
              <w:t>Total interest income</w:t>
            </w:r>
          </w:p>
        </w:tc>
        <w:tc>
          <w:tcPr>
            <w:tcW w:w="56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w w:val="85"/>
              </w:rPr>
              <w:t>US$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1,065,339</w:t>
            </w:r>
          </w:p>
        </w:tc>
        <w:tc>
          <w:tcPr>
            <w:tcW w:w="320" w:type="dxa"/>
            <w:vAlign w:val="bottom"/>
            <w:tcBorders>
              <w:top w:val="single" w:sz="8" w:color="CCFFCC"/>
            </w:tcBorders>
          </w:tcPr>
          <w:p>
            <w:pPr>
              <w:spacing w:after="0"/>
              <w:rPr>
                <w:sz w:val="18"/>
                <w:szCs w:val="18"/>
                <w:color w:val="auto"/>
              </w:rPr>
            </w:pPr>
          </w:p>
        </w:tc>
        <w:tc>
          <w:tcPr>
            <w:tcW w:w="68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w w:val="85"/>
              </w:rPr>
              <w:t>US$</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1,382,844</w:t>
            </w:r>
          </w:p>
        </w:tc>
        <w:tc>
          <w:tcPr>
            <w:tcW w:w="32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85"/>
              </w:rPr>
              <w:t>US$</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1,312,925</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6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Saving deposits</w:t>
            </w:r>
          </w:p>
        </w:tc>
        <w:tc>
          <w:tcPr>
            <w:tcW w:w="560" w:type="dxa"/>
            <w:vAlign w:val="bottom"/>
            <w:shd w:val="clear" w:color="auto" w:fill="CCFFCC"/>
          </w:tcPr>
          <w:p>
            <w:pPr>
              <w:ind w:left="240"/>
              <w:spacing w:after="0"/>
              <w:rPr>
                <w:sz w:val="20"/>
                <w:szCs w:val="20"/>
                <w:color w:val="auto"/>
              </w:rPr>
            </w:pPr>
            <w:r>
              <w:rPr>
                <w:rFonts w:ascii="Arial" w:cs="Arial" w:eastAsia="Arial" w:hAnsi="Arial"/>
                <w:sz w:val="18"/>
                <w:szCs w:val="18"/>
                <w:color w:val="auto"/>
                <w:w w:val="85"/>
              </w:rPr>
              <w:t>US$</w:t>
            </w:r>
          </w:p>
        </w:tc>
        <w:tc>
          <w:tcPr>
            <w:tcW w:w="10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19,869</w:t>
            </w:r>
          </w:p>
        </w:tc>
        <w:tc>
          <w:tcPr>
            <w:tcW w:w="680" w:type="dxa"/>
            <w:vAlign w:val="bottom"/>
            <w:shd w:val="clear" w:color="auto" w:fill="CCFFCC"/>
          </w:tcPr>
          <w:p>
            <w:pPr>
              <w:ind w:left="360"/>
              <w:spacing w:after="0"/>
              <w:rPr>
                <w:sz w:val="20"/>
                <w:szCs w:val="20"/>
                <w:color w:val="auto"/>
              </w:rPr>
            </w:pPr>
            <w:r>
              <w:rPr>
                <w:rFonts w:ascii="Arial" w:cs="Arial" w:eastAsia="Arial" w:hAnsi="Arial"/>
                <w:sz w:val="18"/>
                <w:szCs w:val="18"/>
                <w:color w:val="auto"/>
                <w:w w:val="85"/>
              </w:rPr>
              <w:t>US$</w:t>
            </w: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27,165</w:t>
            </w:r>
          </w:p>
        </w:tc>
        <w:tc>
          <w:tcPr>
            <w:tcW w:w="340" w:type="dxa"/>
            <w:vAlign w:val="bottom"/>
            <w:shd w:val="clear" w:color="auto" w:fill="CCFFCC"/>
          </w:tcPr>
          <w:p>
            <w:pPr>
              <w:ind w:left="20"/>
              <w:spacing w:after="0"/>
              <w:rPr>
                <w:sz w:val="20"/>
                <w:szCs w:val="20"/>
                <w:color w:val="auto"/>
              </w:rPr>
            </w:pPr>
            <w:r>
              <w:rPr>
                <w:rFonts w:ascii="Arial" w:cs="Arial" w:eastAsia="Arial" w:hAnsi="Arial"/>
                <w:sz w:val="18"/>
                <w:szCs w:val="18"/>
                <w:color w:val="auto"/>
                <w:w w:val="85"/>
              </w:rPr>
              <w:t>US$</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263,487</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310,856</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206,118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Issued bonds</w:t>
            </w:r>
          </w:p>
        </w:tc>
        <w:tc>
          <w:tcPr>
            <w:tcW w:w="5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33,592</w:t>
            </w:r>
          </w:p>
        </w:tc>
        <w:tc>
          <w:tcPr>
            <w:tcW w:w="6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51,756</w:t>
            </w:r>
          </w:p>
        </w:tc>
        <w:tc>
          <w:tcPr>
            <w:tcW w:w="3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Borrowing from other financial institutions and others</w:t>
            </w:r>
          </w:p>
        </w:tc>
        <w:tc>
          <w:tcPr>
            <w:tcW w:w="560" w:type="dxa"/>
            <w:vAlign w:val="bottom"/>
          </w:tcPr>
          <w:p>
            <w:pPr>
              <w:spacing w:after="0"/>
              <w:rPr>
                <w:sz w:val="18"/>
                <w:szCs w:val="18"/>
                <w:color w:val="auto"/>
              </w:rPr>
            </w:pPr>
          </w:p>
        </w:tc>
        <w:tc>
          <w:tcPr>
            <w:tcW w:w="1060" w:type="dxa"/>
            <w:vAlign w:val="bottom"/>
            <w:gridSpan w:val="2"/>
          </w:tcPr>
          <w:p>
            <w:pPr>
              <w:jc w:val="right"/>
              <w:ind w:right="230"/>
              <w:spacing w:after="0"/>
              <w:rPr>
                <w:sz w:val="20"/>
                <w:szCs w:val="20"/>
                <w:color w:val="auto"/>
              </w:rPr>
            </w:pPr>
            <w:r>
              <w:rPr>
                <w:rFonts w:ascii="Arial" w:cs="Arial" w:eastAsia="Arial" w:hAnsi="Arial"/>
                <w:sz w:val="18"/>
                <w:szCs w:val="18"/>
                <w:color w:val="auto"/>
              </w:rPr>
              <w:t>83,070</w:t>
            </w:r>
          </w:p>
        </w:tc>
        <w:tc>
          <w:tcPr>
            <w:tcW w:w="6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104,818</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51,654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5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25,123</w:t>
            </w:r>
          </w:p>
        </w:tc>
        <w:tc>
          <w:tcPr>
            <w:tcW w:w="6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38,085</w:t>
            </w:r>
          </w:p>
        </w:tc>
        <w:tc>
          <w:tcPr>
            <w:tcW w:w="34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Loss from derivatives instruments and other interest expenses</w:t>
            </w: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6,224</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28,937</w:t>
            </w:r>
          </w:p>
        </w:tc>
        <w:tc>
          <w:tcPr>
            <w:tcW w:w="3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55,876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ind w:left="480"/>
              <w:spacing w:after="0"/>
              <w:rPr>
                <w:sz w:val="20"/>
                <w:szCs w:val="20"/>
                <w:color w:val="auto"/>
              </w:rPr>
            </w:pPr>
            <w:r>
              <w:rPr>
                <w:rFonts w:ascii="Arial" w:cs="Arial" w:eastAsia="Arial" w:hAnsi="Arial"/>
                <w:sz w:val="18"/>
                <w:szCs w:val="18"/>
                <w:color w:val="auto"/>
              </w:rPr>
              <w:t>Total interest expense</w:t>
            </w:r>
          </w:p>
        </w:tc>
        <w:tc>
          <w:tcPr>
            <w:tcW w:w="560" w:type="dxa"/>
            <w:vAlign w:val="bottom"/>
            <w:shd w:val="clear" w:color="auto" w:fill="CCFFCC"/>
          </w:tcPr>
          <w:p>
            <w:pPr>
              <w:ind w:left="24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431,365</w:t>
            </w:r>
          </w:p>
        </w:tc>
        <w:tc>
          <w:tcPr>
            <w:tcW w:w="320" w:type="dxa"/>
            <w:vAlign w:val="bottom"/>
            <w:shd w:val="clear" w:color="auto" w:fill="CCFFCC"/>
          </w:tcPr>
          <w:p>
            <w:pPr>
              <w:spacing w:after="0"/>
              <w:rPr>
                <w:sz w:val="18"/>
                <w:szCs w:val="18"/>
                <w:color w:val="auto"/>
              </w:rPr>
            </w:pPr>
          </w:p>
        </w:tc>
        <w:tc>
          <w:tcPr>
            <w:tcW w:w="680" w:type="dxa"/>
            <w:vAlign w:val="bottom"/>
            <w:shd w:val="clear" w:color="auto" w:fill="CCFFCC"/>
          </w:tcPr>
          <w:p>
            <w:pPr>
              <w:ind w:left="360"/>
              <w:spacing w:after="0"/>
              <w:rPr>
                <w:sz w:val="20"/>
                <w:szCs w:val="20"/>
                <w:color w:val="auto"/>
              </w:rPr>
            </w:pPr>
            <w:r>
              <w:rPr>
                <w:rFonts w:ascii="Arial" w:cs="Arial" w:eastAsia="Arial" w:hAnsi="Arial"/>
                <w:sz w:val="18"/>
                <w:szCs w:val="18"/>
                <w:color w:val="auto"/>
                <w:w w:val="85"/>
              </w:rPr>
              <w:t>US$</w:t>
            </w:r>
          </w:p>
        </w:tc>
        <w:tc>
          <w:tcPr>
            <w:tcW w:w="104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561,617</w:t>
            </w:r>
          </w:p>
        </w:tc>
        <w:tc>
          <w:tcPr>
            <w:tcW w:w="340" w:type="dxa"/>
            <w:vAlign w:val="bottom"/>
            <w:shd w:val="clear" w:color="auto" w:fill="CCFFCC"/>
          </w:tcPr>
          <w:p>
            <w:pPr>
              <w:ind w:left="20"/>
              <w:spacing w:after="0"/>
              <w:rPr>
                <w:sz w:val="20"/>
                <w:szCs w:val="20"/>
                <w:color w:val="auto"/>
              </w:rPr>
            </w:pPr>
            <w:r>
              <w:rPr>
                <w:rFonts w:ascii="Arial" w:cs="Arial" w:eastAsia="Arial" w:hAnsi="Arial"/>
                <w:sz w:val="18"/>
                <w:szCs w:val="18"/>
                <w:u w:val="single" w:color="auto"/>
                <w:color w:val="auto"/>
                <w:w w:val="85"/>
              </w:rPr>
              <w:t>US</w:t>
            </w:r>
            <w:r>
              <w:rPr>
                <w:rFonts w:ascii="Arial" w:cs="Arial" w:eastAsia="Arial" w:hAnsi="Arial"/>
                <w:sz w:val="18"/>
                <w:szCs w:val="18"/>
                <w:color w:val="auto"/>
                <w:w w:val="85"/>
              </w:rPr>
              <w:t>$</w:t>
            </w:r>
          </w:p>
        </w:tc>
        <w:tc>
          <w:tcPr>
            <w:tcW w:w="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420,564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shd w:val="clear" w:color="auto" w:fill="CCFFCC"/>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shd w:val="clear" w:color="auto" w:fill="CCFFC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560" w:type="dxa"/>
            <w:vAlign w:val="bottom"/>
          </w:tcPr>
          <w:p>
            <w:pPr>
              <w:ind w:left="240"/>
              <w:spacing w:after="0"/>
              <w:rPr>
                <w:sz w:val="20"/>
                <w:szCs w:val="20"/>
                <w:color w:val="auto"/>
              </w:rPr>
            </w:pPr>
            <w:r>
              <w:rPr>
                <w:rFonts w:ascii="Arial" w:cs="Arial" w:eastAsia="Arial" w:hAnsi="Arial"/>
                <w:sz w:val="18"/>
                <w:szCs w:val="18"/>
                <w:color w:val="auto"/>
                <w:w w:val="85"/>
              </w:rPr>
              <w:t>US$</w:t>
            </w:r>
          </w:p>
        </w:tc>
        <w:tc>
          <w:tcPr>
            <w:tcW w:w="740" w:type="dxa"/>
            <w:vAlign w:val="bottom"/>
          </w:tcPr>
          <w:p>
            <w:pPr>
              <w:jc w:val="right"/>
              <w:spacing w:after="0"/>
              <w:rPr>
                <w:sz w:val="20"/>
                <w:szCs w:val="20"/>
                <w:color w:val="auto"/>
              </w:rPr>
            </w:pPr>
            <w:r>
              <w:rPr>
                <w:rFonts w:ascii="Arial" w:cs="Arial" w:eastAsia="Arial" w:hAnsi="Arial"/>
                <w:sz w:val="18"/>
                <w:szCs w:val="18"/>
                <w:color w:val="auto"/>
              </w:rPr>
              <w:t>633,974</w:t>
            </w:r>
          </w:p>
        </w:tc>
        <w:tc>
          <w:tcPr>
            <w:tcW w:w="320" w:type="dxa"/>
            <w:vAlign w:val="bottom"/>
          </w:tcPr>
          <w:p>
            <w:pPr>
              <w:spacing w:after="0"/>
              <w:rPr>
                <w:sz w:val="18"/>
                <w:szCs w:val="18"/>
                <w:color w:val="auto"/>
              </w:rPr>
            </w:pPr>
          </w:p>
        </w:tc>
        <w:tc>
          <w:tcPr>
            <w:tcW w:w="680" w:type="dxa"/>
            <w:vAlign w:val="bottom"/>
          </w:tcPr>
          <w:p>
            <w:pPr>
              <w:ind w:left="360"/>
              <w:spacing w:after="0"/>
              <w:rPr>
                <w:sz w:val="20"/>
                <w:szCs w:val="20"/>
                <w:color w:val="auto"/>
              </w:rPr>
            </w:pPr>
            <w:r>
              <w:rPr>
                <w:rFonts w:ascii="Arial" w:cs="Arial" w:eastAsia="Arial" w:hAnsi="Arial"/>
                <w:sz w:val="18"/>
                <w:szCs w:val="18"/>
                <w:color w:val="auto"/>
                <w:w w:val="85"/>
              </w:rPr>
              <w:t>US$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821,227</w:t>
            </w:r>
          </w:p>
        </w:tc>
        <w:tc>
          <w:tcPr>
            <w:tcW w:w="340" w:type="dxa"/>
            <w:vAlign w:val="bottom"/>
          </w:tcPr>
          <w:p>
            <w:pPr>
              <w:ind w:left="20"/>
              <w:spacing w:after="0"/>
              <w:rPr>
                <w:sz w:val="20"/>
                <w:szCs w:val="20"/>
                <w:color w:val="auto"/>
              </w:rPr>
            </w:pPr>
            <w:r>
              <w:rPr>
                <w:rFonts w:ascii="Arial" w:cs="Arial" w:eastAsia="Arial" w:hAnsi="Arial"/>
                <w:sz w:val="18"/>
                <w:szCs w:val="18"/>
                <w:u w:val="single" w:color="auto"/>
                <w:color w:val="auto"/>
                <w:w w:val="85"/>
              </w:rPr>
              <w:t>US</w:t>
            </w:r>
            <w:r>
              <w:rPr>
                <w:rFonts w:ascii="Arial" w:cs="Arial" w:eastAsia="Arial" w:hAnsi="Arial"/>
                <w:sz w:val="18"/>
                <w:szCs w:val="18"/>
                <w:color w:val="auto"/>
                <w:w w:val="85"/>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892,361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net interest income increased 8.7% in 2009 compared to 2008, and increased 29.5% in 2008 compared to 2007.</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decreased 5.1% in 2009 compared to 2008, after increasing 29.8% in 2008 compared to 2007. The decrease in 2009</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lower average volume in investments securities and others and loans. The decrease in investments securities was primarily due to a lower volume average throughout the year and lower rates. The increase in 2008 compared to 2007 was principally due to higher average volume in loans and investments available for sale. The loan increase was mainly related to retail and corporate banking growth, while the investments securities increase was due to gains related to BCRP certificates of deposits.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average nominal interest rates earned on loans decreased to 9.9% in 2009 from 10.1% in 2008 and from 10.0% in 2007. The average nominal interest rate for foreign currency-denominated loans decreased from 8.6% in 2007 and 2008 to 7.7% in 2009, explained by fall in interest rates in the international market. Interest rates for Nuevo Sol-denominated loans decreased from 13.5% in 2007 to 13.4% in 2008 and further to 13.8% in 2009, which represented minor fluctuations in interest rates in Nuevo Sol for loans.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2" w:name="page103"/>
    <w:bookmarkEnd w:id="102"/>
    <w:p>
      <w:pPr>
        <w:jc w:val="both"/>
        <w:ind w:firstLine="648"/>
        <w:spacing w:after="0" w:line="255" w:lineRule="auto"/>
        <w:rPr>
          <w:sz w:val="20"/>
          <w:szCs w:val="20"/>
          <w:color w:val="auto"/>
        </w:rPr>
      </w:pPr>
      <w:r>
        <w:rPr>
          <w:rFonts w:ascii="Arial" w:cs="Arial" w:eastAsia="Arial" w:hAnsi="Arial"/>
          <w:sz w:val="18"/>
          <w:szCs w:val="18"/>
          <w:color w:val="auto"/>
        </w:rPr>
        <w:t>The average balance of our foreign currency-denominated loan portfolio increased 4.2% to US$6,810.1 million in 2009, as compared to US$6,534.0 million in 2008. In 2008, the average balance of our foreign currency-denominated loan portfolio increased 28.1% as compared to 2007, from US$5,101.4 million. The average balance of our Nuevo Sol-denominated loan portfolio increased 53.8% from US$1,942.3 million in 2007 to US$2,987.7 million in 2008, and by 30.3% to US$3,893.5 million in 2009. The average balance increased in 2009 respect to 2008, due to recovery of the Peruvian economy and Peruvian financial system after the international crisis, especially in the fourth quarter, however, our foreign currency-denominated loan portfolio increased at a lower rate due to the volatility in foreign currency during 2009.</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On the other hand, the significant increase in 2008 was related primarily to the growth in the Peruvian economy (GDP growth rate of 9.8%) during that year (prior to the international crisis). In addition, in 2008 an increasing proportion of loans went to commerce, mortgage, manufacturing and financial intermediation sectors presenting higher risk, but these sectors also yielded higher margins.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w:t>
      </w:r>
    </w:p>
    <w:p>
      <w:pPr>
        <w:spacing w:after="0" w:line="21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Interest Expense: </w:t>
      </w:r>
      <w:r>
        <w:rPr>
          <w:rFonts w:ascii="Arial" w:cs="Arial" w:eastAsia="Arial" w:hAnsi="Arial"/>
          <w:sz w:val="17"/>
          <w:szCs w:val="17"/>
          <w:color w:val="auto"/>
        </w:rPr>
        <w:t>Interest expense decreased in 2009 by 25.1% as compared to 2008, and by 30.2% in 2008 as compared to 2007. The decrease in</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expense during 2009 was principally due to the lower interest rate in foreign currency and in Nuevo Sol. On the other hand, the higher interest expense in 2008 and 2007 was principally due to increases in the volume of deposits and variable market rates on deposits.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Average nominal interest rates paid on foreign currency-denominated deposits decreased from 2.8% in 2007 to 2.4% in 2008, and to 1.5% in 2009. Average nominal interest paid on Nuevo Sol-denominated deposits increased from 3.2% in 2007 to 3.5% in 2008, and decreased to 2.2% in 2009. This rate decrease was a commercial decision that followed the market trend of interest rates observed in 2009.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Overview—(8) Competition” and “—(12) Selected Statistical Information.”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Our average foreign currency-denominated deposits increased 13.1% to US$8,829.4 million in 2009 from US$7,803.5 million in 2008, and increased 8.1% from US$7,216.6 million in 2007. Our average Nuevo Sol-denominated deposits decreased 9.0% in 2009 to US$4,995.4 million from US$5,488.6 million in 2008, and increased 67.7% from US$3,272.1 million in 2007.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Net Interest Margin: </w:t>
      </w:r>
      <w:r>
        <w:rPr>
          <w:rFonts w:ascii="Arial" w:cs="Arial" w:eastAsia="Arial" w:hAnsi="Arial"/>
          <w:sz w:val="18"/>
          <w:szCs w:val="18"/>
          <w:color w:val="auto"/>
        </w:rPr>
        <w:t>Our net interest margin (net interest income divided by average interest-earning assets) was 4.7% in 2009 and did not change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significantly compared to 2008 and 2007, when the margin stayed in 4.5% as in 2007 returns declined on interest-earning assets (mainly securities and Nuevo Sol-denominated loans) while funding costs remained relatively unchanged.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Overview—(12) Selected Statistical Information.”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Loan Losses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classify all of our loans and other credits by risk category. We establish our loan loss reserves based on criteria established by IAS 39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w:t>
      </w:r>
    </w:p>
    <w:p>
      <w:pPr>
        <w:spacing w:after="0" w:line="46" w:lineRule="exact"/>
        <w:rPr>
          <w:sz w:val="20"/>
          <w:szCs w:val="20"/>
          <w:color w:val="auto"/>
        </w:rPr>
      </w:pPr>
    </w:p>
    <w:p>
      <w:pPr>
        <w:jc w:val="both"/>
        <w:ind w:firstLine="8"/>
        <w:spacing w:after="0" w:line="255" w:lineRule="auto"/>
        <w:tabs>
          <w:tab w:leader="none" w:pos="181"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Information on the Company—(B) Business Overview—(12) Selected Statistical Information—(iii) Loan Portfolio—Classification of the Loan Portfolio”). We do not anticipate that the expansion of our loan portfolio or the consolidation of the activities of our subsidiaries will require a change in our reserve policy.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3" w:name="page104"/>
    <w:bookmarkEnd w:id="103"/>
    <w:p>
      <w:pPr>
        <w:ind w:left="660"/>
        <w:spacing w:after="0"/>
        <w:rPr>
          <w:sz w:val="20"/>
          <w:szCs w:val="20"/>
          <w:color w:val="auto"/>
        </w:rPr>
      </w:pPr>
      <w:r>
        <w:rPr>
          <w:rFonts w:ascii="Arial" w:cs="Arial" w:eastAsia="Arial" w:hAnsi="Arial"/>
          <w:sz w:val="18"/>
          <w:szCs w:val="18"/>
          <w:color w:val="auto"/>
        </w:rPr>
        <w:t>The following table sets forth the changes in our reserve for loan losses: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b w:val="1"/>
                <w:bCs w:val="1"/>
                <w:color w:val="auto"/>
                <w:w w:val="88"/>
              </w:rPr>
              <w:t>Year ended December 31</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2005</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2007</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4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8"/>
                <w:szCs w:val="18"/>
                <w:i w:val="1"/>
                <w:iCs w:val="1"/>
                <w:color w:val="auto"/>
                <w:w w:val="92"/>
              </w:rPr>
              <w:t>(U.S. Dollars in thousands)</w:t>
            </w: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beginning of the year</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271,873</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US$ 218,636</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US$ 210,586</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US$ 229,700</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US$ 248,063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Additional provisions (reversals)</w:t>
            </w:r>
          </w:p>
        </w:tc>
        <w:tc>
          <w:tcPr>
            <w:tcW w:w="5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(6,356)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(4,243)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28,439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48,760</w:t>
            </w:r>
          </w:p>
        </w:tc>
        <w:tc>
          <w:tcPr>
            <w:tcW w:w="1100" w:type="dxa"/>
            <w:vAlign w:val="bottom"/>
          </w:tcPr>
          <w:p>
            <w:pPr>
              <w:jc w:val="right"/>
              <w:spacing w:after="0"/>
              <w:rPr>
                <w:sz w:val="20"/>
                <w:szCs w:val="20"/>
                <w:color w:val="auto"/>
              </w:rPr>
            </w:pPr>
            <w:r>
              <w:rPr>
                <w:rFonts w:ascii="Arial" w:cs="Arial" w:eastAsia="Arial" w:hAnsi="Arial"/>
                <w:sz w:val="18"/>
                <w:szCs w:val="18"/>
                <w:color w:val="auto"/>
              </w:rPr>
              <w:t>163,392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sales</w:t>
            </w:r>
          </w:p>
        </w:tc>
        <w:tc>
          <w:tcPr>
            <w:tcW w:w="5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(9,024)</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35,032</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44,284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34,084</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31,279</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5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(71,405)</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(49,859)</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(47,266)</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(59,308)</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(87,927)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5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(1,484)</w:t>
            </w:r>
          </w:p>
        </w:tc>
        <w:tc>
          <w:tcPr>
            <w:tcW w:w="1060" w:type="dxa"/>
            <w:vAlign w:val="bottom"/>
          </w:tcPr>
          <w:p>
            <w:pPr>
              <w:jc w:val="right"/>
              <w:spacing w:after="0"/>
              <w:rPr>
                <w:sz w:val="20"/>
                <w:szCs w:val="20"/>
                <w:color w:val="auto"/>
              </w:rPr>
            </w:pPr>
            <w:r>
              <w:rPr>
                <w:rFonts w:ascii="Arial" w:cs="Arial" w:eastAsia="Arial" w:hAnsi="Arial"/>
                <w:sz w:val="18"/>
                <w:szCs w:val="18"/>
                <w:color w:val="auto"/>
              </w:rPr>
              <w:t>1,768</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3,857</w:t>
            </w:r>
          </w:p>
        </w:tc>
        <w:tc>
          <w:tcPr>
            <w:tcW w:w="2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(2,368)</w:t>
            </w:r>
          </w:p>
        </w:tc>
        <w:tc>
          <w:tcPr>
            <w:tcW w:w="1100" w:type="dxa"/>
            <w:vAlign w:val="bottom"/>
          </w:tcPr>
          <w:p>
            <w:pPr>
              <w:jc w:val="right"/>
              <w:spacing w:after="0"/>
              <w:rPr>
                <w:sz w:val="20"/>
                <w:szCs w:val="20"/>
                <w:color w:val="auto"/>
              </w:rPr>
            </w:pPr>
            <w:r>
              <w:rPr>
                <w:rFonts w:ascii="Arial" w:cs="Arial" w:eastAsia="Arial" w:hAnsi="Arial"/>
                <w:sz w:val="18"/>
                <w:szCs w:val="18"/>
                <w:color w:val="auto"/>
              </w:rPr>
              <w:t>7,688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End of the year</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218,636</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US$ 210,586</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US$ 229,700</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US$ 248,063</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US$ 376,049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80" w:type="dxa"/>
            <w:vAlign w:val="bottom"/>
            <w:shd w:val="clear" w:color="auto" w:fill="CCFFC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recorded US$163.4 million of loan loss provision in 2009, and US$48.8 million in 2008. Total write-offs amounted to US$87.9 million in 2009 and US$59.3 million in 2008. Total recoveries of write-offs reached US$23.9 million in 2009 and US$31.3 million in 2008, decreasing 23.5% in 2009. Provision expense in 2009 included US$5.6 million required by BCB (compared to US$7.5 million in 2008). Recoveries of previously charged-off accounts in 2009 amounted to US$23.9 million (compared to US$31.3 million in 2008). In 2008, the Peruvian financial system reached minimum delinquency levels in the loans portfolio, however, during 2009, as a result of recession (due to the international financial crisis) the ability of companies to repay loans was affected, and the delinquency levels increased. Provisions made in 2009 were mainly related to commercial loans. In 2008, the increased loan loss provision was not significant compared to 2007, and was mainly related to consumer loans.</w:t>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middle market and small business sectors continued to require a majority of the provisions made during 2009 and 2008. Provisions net of recoveries for middle market and small businesses were US$29.1 million in 2008 and US$13.4 million in 2007 (</w:t>
      </w:r>
      <w:r>
        <w:rPr>
          <w:rFonts w:ascii="Arial" w:cs="Arial" w:eastAsia="Arial" w:hAnsi="Arial"/>
          <w:sz w:val="18"/>
          <w:szCs w:val="18"/>
          <w:i w:val="1"/>
          <w:iCs w:val="1"/>
          <w:color w:val="auto"/>
        </w:rPr>
        <w:t>see</w:t>
      </w:r>
      <w:r>
        <w:rPr>
          <w:rFonts w:ascii="Arial" w:cs="Arial" w:eastAsia="Arial" w:hAnsi="Arial"/>
          <w:sz w:val="18"/>
          <w:szCs w:val="18"/>
          <w:color w:val="auto"/>
        </w:rPr>
        <w:t xml:space="preserve"> also Note 6 to the Consolidated Financial Statements).</w:t>
      </w:r>
    </w:p>
    <w:p>
      <w:pPr>
        <w:spacing w:after="0" w:line="20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Total reserves, which amounted to US$376.0 million in 2009, include the allowance for direct and indirect credits of approximately US$354.4 million and US$21.7 million, respectively.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ind w:left="640"/>
              <w:spacing w:after="0"/>
              <w:rPr>
                <w:sz w:val="20"/>
                <w:szCs w:val="20"/>
                <w:color w:val="auto"/>
              </w:rPr>
            </w:pPr>
            <w:r>
              <w:rPr>
                <w:rFonts w:ascii="Arial" w:cs="Arial" w:eastAsia="Arial" w:hAnsi="Arial"/>
                <w:sz w:val="18"/>
                <w:szCs w:val="18"/>
                <w:i w:val="1"/>
                <w:iCs w:val="1"/>
                <w:color w:val="auto"/>
              </w:rPr>
              <w:t>Non-Interest Income</w:t>
            </w: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The following table reflects the components of our non-interest income:</w:t>
            </w: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ind w:left="30"/>
              <w:spacing w:after="0"/>
              <w:rPr>
                <w:sz w:val="20"/>
                <w:szCs w:val="20"/>
                <w:color w:val="auto"/>
              </w:rPr>
            </w:pPr>
            <w:r>
              <w:rPr>
                <w:rFonts w:ascii="Arial" w:cs="Arial" w:eastAsia="Arial" w:hAnsi="Arial"/>
                <w:sz w:val="18"/>
                <w:szCs w:val="18"/>
                <w:b w:val="1"/>
                <w:bCs w:val="1"/>
                <w:color w:val="auto"/>
                <w:w w:val="89"/>
              </w:rPr>
              <w:t>Year ended December 31,</w:t>
            </w:r>
          </w:p>
        </w:tc>
        <w:tc>
          <w:tcPr>
            <w:tcW w:w="6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i w:val="1"/>
                <w:iCs w:val="1"/>
                <w:color w:val="auto"/>
                <w:w w:val="92"/>
              </w:rPr>
              <w:t>(U.S. Dollars in thousands)</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banking services</w:t>
            </w:r>
          </w:p>
        </w:tc>
        <w:tc>
          <w:tcPr>
            <w:tcW w:w="5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95"/>
              </w:rPr>
              <w:t>324,761</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5"/>
              </w:rPr>
              <w:t>394,247</w:t>
            </w:r>
          </w:p>
        </w:tc>
        <w:tc>
          <w:tcPr>
            <w:tcW w:w="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436,819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5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46,376</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51,936</w:t>
            </w:r>
          </w:p>
        </w:tc>
        <w:tc>
          <w:tcPr>
            <w:tcW w:w="5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120,932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gains on foreign exchange transactions</w:t>
            </w:r>
          </w:p>
        </w:tc>
        <w:tc>
          <w:tcPr>
            <w:tcW w:w="50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61,778</w:t>
            </w:r>
          </w:p>
        </w:tc>
        <w:tc>
          <w:tcPr>
            <w:tcW w:w="5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5"/>
              </w:rPr>
              <w:t>108,709</w:t>
            </w:r>
          </w:p>
        </w:tc>
        <w:tc>
          <w:tcPr>
            <w:tcW w:w="52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income</w:t>
            </w:r>
          </w:p>
        </w:tc>
        <w:tc>
          <w:tcPr>
            <w:tcW w:w="5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90,022</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37,672</w:t>
            </w:r>
          </w:p>
        </w:tc>
        <w:tc>
          <w:tcPr>
            <w:tcW w:w="5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74,936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 non-interest income</w:t>
            </w:r>
          </w:p>
        </w:tc>
        <w:tc>
          <w:tcPr>
            <w:tcW w:w="500" w:type="dxa"/>
            <w:vAlign w:val="bottom"/>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522,937</w:t>
            </w: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5"/>
              </w:rPr>
              <w:t>592,564</w:t>
            </w:r>
          </w:p>
        </w:tc>
        <w:tc>
          <w:tcPr>
            <w:tcW w:w="5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720,631</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non-interest income, without including net premiums earned, increased 21.6% to US$720.6 million in 2009 as compared to US$592.6 million in 2008, and increased 13.3% as compared to US$522.9 million in 2007. The revenue increase in 2009 was primarily due to an increase in gains from sales of securities and commissions from banking services, and a decrease in net gains on foreign exchange transactions.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4" w:name="page105"/>
    <w:bookmarkEnd w:id="104"/>
    <w:p>
      <w:pPr>
        <w:jc w:val="both"/>
        <w:ind w:firstLine="648"/>
        <w:spacing w:after="0" w:line="276" w:lineRule="auto"/>
        <w:rPr>
          <w:sz w:val="20"/>
          <w:szCs w:val="20"/>
          <w:color w:val="auto"/>
        </w:rPr>
      </w:pPr>
      <w:r>
        <w:rPr>
          <w:rFonts w:ascii="Arial" w:cs="Arial" w:eastAsia="Arial" w:hAnsi="Arial"/>
          <w:sz w:val="17"/>
          <w:szCs w:val="17"/>
          <w:color w:val="auto"/>
        </w:rPr>
        <w:t>Fees and commissions income from banking services increased 10.8% to US$436.8 million in 2009 from US$394.2 million in 2008, following a 21.4% increase in 2008 from US$324.8 million in 2007. The increase in fees and commissions income from banking services in 2009 was primarily due to an increase in transfer and collections fees, increased commissions from credit/debit card services, increased in fees from trust services and improved property leasing service, while the increase in 2008 was due to growth in account maintenance, funds administration and commissions for collection, and the increase in 2007 was due to growth in account maintenance, money transfers and funds administration commissions for collections.</w:t>
      </w:r>
    </w:p>
    <w:p>
      <w:pPr>
        <w:spacing w:after="0" w:line="20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gains from sales of securities increased 132.8% to US$120.9 million in 2009 as compared to US$51.9 million in 2008, following an increase from US$46.4 million in 2007, which represented an increase of 12.0%. The increase in 2009 was primarily due to the increased volatility observed in capital markets, which caused the appreciation of prices in our investment portfolio, mainly in positions of global and sovereign bonds of the Peruvian government and of Colombian government bonds, where we realized gains on the sale of such instruments. The increase in 2008 was principally due to gain from market value fluctuation on sales of investments.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gains on foreign exchange transactions decreased 19.1% to US$87.9 million in 2009 as compared to US$108.7 million in 2008, following an increase of 75.9% from US$61.8 million in 2007. Net gains from foreign exchange transactions are not attributable to proprietary trading on our part. Higher gains in 2009 and 2008 were primarily due to the lower transaction volumes that resulted primarily from the decreased volatility in the foreign exchange market.</w:t>
      </w:r>
    </w:p>
    <w:p>
      <w:pPr>
        <w:spacing w:after="0" w:line="21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Other income increased 98.9% to US$74.9 million in 2009 as compared to US$37.7 million in 2008, after decreasing 58.2% from US$90.0 million in 2007. Other income principally consists of valuation of assets and liabilities designated at fair value, sales of seized assets, leasing income, recoveries of other accounts receivable and other assets and other income. The increase in other income in 2009 was primarily due to a proprietary position in indexed certificates issued by Citigroup and Calyon to mitigate the volatility in operating expenses caused by stock appreciation rights granted to our executives. The indexed certificates are in the form of warrants issued by Citigroup and Calyon also are settled exclusively in cash. These instruments do not qualify for hedge accounting. Gains on these indexed certificates are reported as other income while losses are reported under operating expenses. See note 7(b) to the Credicorp Consolidated Financial Statements.</w:t>
      </w:r>
    </w:p>
    <w:p>
      <w:pPr>
        <w:spacing w:after="0" w:line="21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Conversely, in 2008 compared to 2007, the decrease produced a loss resulting from the difference between cost and estimated market value of the certificates indexed to the performance of Credicorp Ltd. (BAP) shares in connection with the SAR program, which was included in other expenses and amounted to approximately US$67.1 million as of December 31, 2008.</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Premiums and Claims on Insurance Activities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premiums earned and claims incurred in connection with our insurance activities: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110"/>
              <w:spacing w:after="0"/>
              <w:rPr>
                <w:sz w:val="20"/>
                <w:szCs w:val="20"/>
                <w:color w:val="auto"/>
              </w:rPr>
            </w:pPr>
            <w:r>
              <w:rPr>
                <w:rFonts w:ascii="Arial" w:cs="Arial" w:eastAsia="Arial" w:hAnsi="Arial"/>
                <w:sz w:val="18"/>
                <w:szCs w:val="18"/>
                <w:b w:val="1"/>
                <w:bCs w:val="1"/>
                <w:color w:val="auto"/>
                <w:w w:val="89"/>
              </w:rPr>
              <w:t>Year ended December 31,</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140" w:type="dxa"/>
            <w:vAlign w:val="bottom"/>
            <w:gridSpan w:val="2"/>
          </w:tcPr>
          <w:p>
            <w:pPr>
              <w:jc w:val="right"/>
              <w:ind w:right="310"/>
              <w:spacing w:after="0" w:line="201" w:lineRule="exact"/>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7"/>
                <w:szCs w:val="17"/>
                <w:color w:val="auto"/>
              </w:rPr>
            </w:pPr>
          </w:p>
        </w:tc>
        <w:tc>
          <w:tcPr>
            <w:tcW w:w="1140" w:type="dxa"/>
            <w:vAlign w:val="bottom"/>
            <w:gridSpan w:val="2"/>
          </w:tcPr>
          <w:p>
            <w:pPr>
              <w:jc w:val="center"/>
              <w:spacing w:after="0" w:line="201" w:lineRule="exact"/>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7"/>
                <w:szCs w:val="17"/>
                <w:color w:val="auto"/>
              </w:rPr>
            </w:pPr>
          </w:p>
        </w:tc>
        <w:tc>
          <w:tcPr>
            <w:tcW w:w="1160" w:type="dxa"/>
            <w:vAlign w:val="bottom"/>
            <w:gridSpan w:val="2"/>
          </w:tcPr>
          <w:p>
            <w:pPr>
              <w:jc w:val="right"/>
              <w:ind w:right="310"/>
              <w:spacing w:after="0" w:line="201" w:lineRule="exact"/>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jc w:val="center"/>
              <w:ind w:left="130"/>
              <w:spacing w:after="0"/>
              <w:rPr>
                <w:sz w:val="20"/>
                <w:szCs w:val="20"/>
                <w:color w:val="auto"/>
              </w:rPr>
            </w:pPr>
            <w:r>
              <w:rPr>
                <w:rFonts w:ascii="Arial" w:cs="Arial" w:eastAsia="Arial" w:hAnsi="Arial"/>
                <w:sz w:val="18"/>
                <w:szCs w:val="18"/>
                <w:i w:val="1"/>
                <w:iCs w:val="1"/>
                <w:color w:val="auto"/>
                <w:w w:val="92"/>
              </w:rPr>
              <w:t>(U.S. Dollars in thousands)</w:t>
            </w:r>
          </w:p>
        </w:tc>
        <w:tc>
          <w:tcPr>
            <w:tcW w:w="6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460" w:type="dxa"/>
            <w:vAlign w:val="bottom"/>
            <w:shd w:val="clear" w:color="auto" w:fill="CCFFCC"/>
          </w:tcPr>
          <w:p>
            <w:pPr>
              <w:ind w:left="120"/>
              <w:spacing w:after="0"/>
              <w:rPr>
                <w:sz w:val="20"/>
                <w:szCs w:val="20"/>
                <w:color w:val="auto"/>
              </w:rPr>
            </w:pPr>
            <w:r>
              <w:rPr>
                <w:rFonts w:ascii="Arial" w:cs="Arial" w:eastAsia="Arial" w:hAnsi="Arial"/>
                <w:sz w:val="18"/>
                <w:szCs w:val="18"/>
                <w:color w:val="auto"/>
                <w:w w:val="91"/>
              </w:rPr>
              <w:t>US$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297,272</w:t>
            </w:r>
          </w:p>
        </w:tc>
        <w:tc>
          <w:tcPr>
            <w:tcW w:w="200" w:type="dxa"/>
            <w:vAlign w:val="bottom"/>
            <w:shd w:val="clear" w:color="auto" w:fill="CCFFCC"/>
          </w:tcPr>
          <w:p>
            <w:pPr>
              <w:spacing w:after="0"/>
              <w:rPr>
                <w:sz w:val="18"/>
                <w:szCs w:val="18"/>
                <w:color w:val="auto"/>
              </w:rPr>
            </w:pPr>
          </w:p>
        </w:tc>
        <w:tc>
          <w:tcPr>
            <w:tcW w:w="48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1"/>
              </w:rPr>
              <w:t>US$</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8"/>
              </w:rPr>
              <w:t>393,903</w:t>
            </w:r>
          </w:p>
        </w:tc>
        <w:tc>
          <w:tcPr>
            <w:tcW w:w="48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1"/>
              </w:rPr>
              <w:t>US$</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424,682</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claims incurred</w:t>
            </w:r>
          </w:p>
        </w:tc>
        <w:tc>
          <w:tcPr>
            <w:tcW w:w="4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(67,689)</w:t>
            </w:r>
          </w:p>
        </w:tc>
        <w:tc>
          <w:tcPr>
            <w:tcW w:w="4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(101,890)</w:t>
            </w:r>
          </w:p>
        </w:tc>
        <w:tc>
          <w:tcPr>
            <w:tcW w:w="4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(59,248)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costs for future benefits for life and health policies</w:t>
            </w:r>
          </w:p>
        </w:tc>
        <w:tc>
          <w:tcPr>
            <w:tcW w:w="46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3"/>
              </w:rPr>
              <w:t>(170,911)</w:t>
            </w:r>
          </w:p>
        </w:tc>
        <w:tc>
          <w:tcPr>
            <w:tcW w:w="48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0"/>
              </w:rPr>
              <w:t>(240,020)</w:t>
            </w:r>
          </w:p>
        </w:tc>
        <w:tc>
          <w:tcPr>
            <w:tcW w:w="480" w:type="dxa"/>
            <w:vAlign w:val="bottom"/>
            <w:shd w:val="clear" w:color="auto" w:fill="CCFFCC"/>
          </w:tcPr>
          <w:p>
            <w:pPr>
              <w:spacing w:after="0"/>
              <w:rPr>
                <w:sz w:val="18"/>
                <w:szCs w:val="18"/>
                <w:color w:val="auto"/>
              </w:rPr>
            </w:pP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3"/>
              </w:rPr>
              <w:t>(227,210)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Total net premiums and claims</w:t>
            </w:r>
          </w:p>
        </w:tc>
        <w:tc>
          <w:tcPr>
            <w:tcW w:w="460" w:type="dxa"/>
            <w:vAlign w:val="bottom"/>
          </w:tcPr>
          <w:p>
            <w:pPr>
              <w:ind w:left="120"/>
              <w:spacing w:after="0"/>
              <w:rPr>
                <w:sz w:val="20"/>
                <w:szCs w:val="20"/>
                <w:color w:val="auto"/>
              </w:rPr>
            </w:pPr>
            <w:r>
              <w:rPr>
                <w:rFonts w:ascii="Arial" w:cs="Arial" w:eastAsia="Arial" w:hAnsi="Arial"/>
                <w:sz w:val="18"/>
                <w:szCs w:val="18"/>
                <w:color w:val="auto"/>
                <w:w w:val="91"/>
              </w:rPr>
              <w:t>US$</w:t>
            </w:r>
          </w:p>
        </w:tc>
        <w:tc>
          <w:tcPr>
            <w:tcW w:w="680" w:type="dxa"/>
            <w:vAlign w:val="bottom"/>
          </w:tcPr>
          <w:p>
            <w:pPr>
              <w:jc w:val="right"/>
              <w:spacing w:after="0"/>
              <w:rPr>
                <w:sz w:val="20"/>
                <w:szCs w:val="20"/>
                <w:color w:val="auto"/>
              </w:rPr>
            </w:pPr>
            <w:r>
              <w:rPr>
                <w:rFonts w:ascii="Arial" w:cs="Arial" w:eastAsia="Arial" w:hAnsi="Arial"/>
                <w:sz w:val="18"/>
                <w:szCs w:val="18"/>
                <w:color w:val="auto"/>
              </w:rPr>
              <w:t>58,672</w:t>
            </w:r>
          </w:p>
        </w:tc>
        <w:tc>
          <w:tcPr>
            <w:tcW w:w="200" w:type="dxa"/>
            <w:vAlign w:val="bottom"/>
          </w:tcPr>
          <w:p>
            <w:pPr>
              <w:spacing w:after="0"/>
              <w:rPr>
                <w:sz w:val="18"/>
                <w:szCs w:val="18"/>
                <w:color w:val="auto"/>
              </w:rPr>
            </w:pPr>
          </w:p>
        </w:tc>
        <w:tc>
          <w:tcPr>
            <w:tcW w:w="480" w:type="dxa"/>
            <w:vAlign w:val="bottom"/>
          </w:tcPr>
          <w:p>
            <w:pPr>
              <w:ind w:left="140"/>
              <w:spacing w:after="0"/>
              <w:rPr>
                <w:sz w:val="20"/>
                <w:szCs w:val="20"/>
                <w:color w:val="auto"/>
              </w:rPr>
            </w:pPr>
            <w:r>
              <w:rPr>
                <w:rFonts w:ascii="Arial" w:cs="Arial" w:eastAsia="Arial" w:hAnsi="Arial"/>
                <w:sz w:val="18"/>
                <w:szCs w:val="18"/>
                <w:color w:val="auto"/>
                <w:w w:val="91"/>
              </w:rPr>
              <w:t>US$</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51,993</w:t>
            </w:r>
          </w:p>
        </w:tc>
        <w:tc>
          <w:tcPr>
            <w:tcW w:w="480" w:type="dxa"/>
            <w:vAlign w:val="bottom"/>
          </w:tcPr>
          <w:p>
            <w:pPr>
              <w:ind w:left="140"/>
              <w:spacing w:after="0"/>
              <w:rPr>
                <w:sz w:val="20"/>
                <w:szCs w:val="20"/>
                <w:color w:val="auto"/>
              </w:rPr>
            </w:pPr>
            <w:r>
              <w:rPr>
                <w:rFonts w:ascii="Arial" w:cs="Arial" w:eastAsia="Arial" w:hAnsi="Arial"/>
                <w:sz w:val="18"/>
                <w:szCs w:val="18"/>
                <w:color w:val="auto"/>
                <w:w w:val="91"/>
              </w:rPr>
              <w:t>US$</w:t>
            </w:r>
          </w:p>
        </w:tc>
        <w:tc>
          <w:tcPr>
            <w:tcW w:w="680" w:type="dxa"/>
            <w:vAlign w:val="bottom"/>
          </w:tcPr>
          <w:p>
            <w:pPr>
              <w:jc w:val="right"/>
              <w:spacing w:after="0"/>
              <w:rPr>
                <w:sz w:val="20"/>
                <w:szCs w:val="20"/>
                <w:color w:val="auto"/>
              </w:rPr>
            </w:pPr>
            <w:r>
              <w:rPr>
                <w:rFonts w:ascii="Arial" w:cs="Arial" w:eastAsia="Arial" w:hAnsi="Arial"/>
                <w:sz w:val="18"/>
                <w:szCs w:val="18"/>
                <w:color w:val="auto"/>
              </w:rPr>
              <w:t>138,224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Net premiums increased 7.8% to US$424.7 million in 2009 from US$393.9 million in 2008. Gross premiums (including premium transfer and reserve adjustments) increased 3.6% to US$608.8 in 2009 from US$587.6 in 2008.</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5" w:name="page106"/>
    <w:bookmarkEnd w:id="105"/>
    <w:p>
      <w:pPr>
        <w:jc w:val="both"/>
        <w:ind w:firstLine="648"/>
        <w:spacing w:after="0" w:line="312" w:lineRule="auto"/>
        <w:rPr>
          <w:sz w:val="20"/>
          <w:szCs w:val="20"/>
          <w:color w:val="auto"/>
        </w:rPr>
      </w:pPr>
      <w:r>
        <w:rPr>
          <w:rFonts w:ascii="Arial" w:cs="Arial" w:eastAsia="Arial" w:hAnsi="Arial"/>
          <w:sz w:val="16"/>
          <w:szCs w:val="16"/>
          <w:color w:val="auto"/>
        </w:rPr>
        <w:t>Premiums for general insurance lines, which accounted for 49.1% of total premiums, increased 0.7% in 2009, mainly by automobiles which represented 24% of general insurance premiums in 2009 (22% in 2008) and which increased 6.6% from 2008. Other property and casualty premiums, which represented 53% (57% in 2008), decreased 5.4% from 2008; and medical assistance which represented 20% (16% in 2008), increased 19.8% from 2008.</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Premiums for general insurance lines, which accounted for 50.5% of total premiums, increased 23.5% in 2008, mainly due to automobiles which represented 22% of general insurance premiums in 2008 (15.3% in 2007) and which increased 80% from 2007. Other property and casualty premiums, which represented 56.8% (64.2% in 2007), increased 9.2% from 2007; and medical assistance which represented 16.4% (17.1% in 2007), increased 18.5% from 2007. We also note the increase in premiums from the mandatory automobile line, SOAT, which represented 4.5% (3.4% in 2007) and increased 62.2% from 2007.</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the Life Insurance lines, Total Direct Premiums increased 5.9% as compared to 2008, with a market share of 27%. This growth is in line with the Life insurance industry average growth. All lines of business increased as compared to 2008 except Annuities and Pension. This 5.9% increase in Total Direct Premiums was mainly due to a better performance in Life products which represented 26% of total premiums (23.7% in 2008) and closed 14.5% above 2008. Group Life products increased premiums in 12% with as compared to 2008, and represented 18% of total premiums. Credit Life increased 14.7% as compared to 2008 and represented 12% of total premiums. The Pension fund products, which represented 17% of life insurance premiums (19.8% in 2008) decreased 9% as compared to 2008. Finally, the annuities line of business decreased 0.3% as compared to 2008.</w:t>
      </w:r>
    </w:p>
    <w:p>
      <w:pPr>
        <w:spacing w:after="0" w:line="20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Total direct premiums increased 31.8% as compared to 2007, mainly due to a better performance in the life products which represented 23.7% of life insurance premiums (23.7% in 2007) and which increased 31.3% from 2007. The Pension fund products, which represented 19.8% of life insurance premiums (19.6% in 2007), increased by 33% from 2007. In addition, credit life increased by 102% from 2007.</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Health insurance lines (20.6% of total premiums in 2009) increased by 7.6% from 2008, primarily due to an 8.2% increase in Regular insurance premiums, representing 88.8% of health insurance premiums (88.2% in 2008).</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Health insurance lines (19.8% of total premiums in 2008) increased by 27.4% from 2007, mainly due to a 28.2% increase in regular insurance premiums, representing 88.2% of health insurance premiums (87.7% in 2007).</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2009, net claims on insurance activities decreased by 16.2% to US$286.5 million from US$341.9 million in 2008, mainly as a consequence of the business growth and the decrease in the net loss ratio on P&amp;C, health and life businesses.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2008, net claims on insurance activities increased by 43.3% to US$341.9 million from US$238.6 million in 2007, mainly as a consequence of the business growth and the increase in the net loss ratio on P&amp;C, health and life businesses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6" w:name="page107"/>
    <w:bookmarkEnd w:id="106"/>
    <w:tbl>
      <w:tblPr>
        <w:tblLayout w:type="fixed"/>
        <w:tblInd w:w="12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240" w:type="dxa"/>
            <w:vAlign w:val="bottom"/>
          </w:tcPr>
          <w:p>
            <w:pPr>
              <w:ind w:left="520"/>
              <w:spacing w:after="0"/>
              <w:rPr>
                <w:sz w:val="20"/>
                <w:szCs w:val="20"/>
                <w:color w:val="auto"/>
              </w:rPr>
            </w:pPr>
            <w:r>
              <w:rPr>
                <w:rFonts w:ascii="Arial" w:cs="Arial" w:eastAsia="Arial" w:hAnsi="Arial"/>
                <w:sz w:val="18"/>
                <w:szCs w:val="18"/>
                <w:i w:val="1"/>
                <w:iCs w:val="1"/>
                <w:color w:val="auto"/>
              </w:rPr>
              <w:t>Other Expenses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7240" w:type="dxa"/>
            <w:vAlign w:val="bottom"/>
          </w:tcPr>
          <w:p>
            <w:pPr>
              <w:ind w:left="520"/>
              <w:spacing w:after="0"/>
              <w:rPr>
                <w:sz w:val="20"/>
                <w:szCs w:val="20"/>
                <w:color w:val="auto"/>
              </w:rPr>
            </w:pPr>
            <w:r>
              <w:rPr>
                <w:rFonts w:ascii="Arial" w:cs="Arial" w:eastAsia="Arial" w:hAnsi="Arial"/>
                <w:sz w:val="18"/>
                <w:szCs w:val="18"/>
                <w:color w:val="auto"/>
              </w:rPr>
              <w:t>The following table reflects the components of our other expenses:</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7240" w:type="dxa"/>
            <w:vAlign w:val="bottom"/>
          </w:tcPr>
          <w:p>
            <w:pPr>
              <w:spacing w:after="0"/>
              <w:rPr>
                <w:sz w:val="24"/>
                <w:szCs w:val="24"/>
                <w:color w:val="auto"/>
              </w:rPr>
            </w:pPr>
          </w:p>
        </w:tc>
        <w:tc>
          <w:tcPr>
            <w:tcW w:w="31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b w:val="1"/>
                <w:bCs w:val="1"/>
                <w:color w:val="auto"/>
                <w:w w:val="89"/>
              </w:rPr>
              <w:t>Year ended December 31,</w:t>
            </w:r>
          </w:p>
        </w:tc>
        <w:tc>
          <w:tcPr>
            <w:tcW w:w="6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3160" w:type="dxa"/>
            <w:vAlign w:val="bottom"/>
            <w:tcBorders>
              <w:bottom w:val="single" w:sz="8" w:color="auto"/>
            </w:tcBorders>
            <w:gridSpan w:val="6"/>
          </w:tcPr>
          <w:p>
            <w:pPr>
              <w:jc w:val="center"/>
              <w:ind w:left="550"/>
              <w:spacing w:after="0"/>
              <w:rPr>
                <w:sz w:val="20"/>
                <w:szCs w:val="20"/>
                <w:color w:val="auto"/>
              </w:rPr>
            </w:pPr>
            <w:r>
              <w:rPr>
                <w:rFonts w:ascii="Arial" w:cs="Arial" w:eastAsia="Arial" w:hAnsi="Arial"/>
                <w:sz w:val="18"/>
                <w:szCs w:val="18"/>
                <w:i w:val="1"/>
                <w:iCs w:val="1"/>
                <w:color w:val="auto"/>
                <w:w w:val="92"/>
              </w:rPr>
              <w:t>(U.S. Dollars in thousands)</w:t>
            </w:r>
          </w:p>
        </w:tc>
        <w:tc>
          <w:tcPr>
            <w:tcW w:w="6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 benefits</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US$ 409,037</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ind w:left="120"/>
              <w:spacing w:after="0"/>
              <w:rPr>
                <w:sz w:val="20"/>
                <w:szCs w:val="20"/>
                <w:color w:val="auto"/>
              </w:rPr>
            </w:pPr>
            <w:r>
              <w:rPr>
                <w:rFonts w:ascii="Arial" w:cs="Arial" w:eastAsia="Arial" w:hAnsi="Arial"/>
                <w:sz w:val="18"/>
                <w:szCs w:val="18"/>
                <w:color w:val="auto"/>
                <w:w w:val="96"/>
              </w:rPr>
              <w:t>US$</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365,201</w:t>
            </w:r>
          </w:p>
        </w:tc>
        <w:tc>
          <w:tcPr>
            <w:tcW w:w="220" w:type="dxa"/>
            <w:vAlign w:val="bottom"/>
            <w:shd w:val="clear" w:color="auto" w:fill="CCFFCC"/>
          </w:tcPr>
          <w:p>
            <w:pPr>
              <w:spacing w:after="0"/>
              <w:rPr>
                <w:sz w:val="18"/>
                <w:szCs w:val="18"/>
                <w:color w:val="auto"/>
              </w:rPr>
            </w:pP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467,116</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100" w:type="dxa"/>
            <w:vAlign w:val="bottom"/>
          </w:tcPr>
          <w:p>
            <w:pPr>
              <w:jc w:val="right"/>
              <w:spacing w:after="0"/>
              <w:rPr>
                <w:sz w:val="20"/>
                <w:szCs w:val="20"/>
                <w:color w:val="auto"/>
              </w:rPr>
            </w:pPr>
            <w:r>
              <w:rPr>
                <w:rFonts w:ascii="Arial" w:cs="Arial" w:eastAsia="Arial" w:hAnsi="Arial"/>
                <w:sz w:val="18"/>
                <w:szCs w:val="18"/>
                <w:color w:val="auto"/>
              </w:rPr>
              <w:t>206,966</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269,291</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312,256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51,013</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57,369</w:t>
            </w:r>
          </w:p>
        </w:tc>
        <w:tc>
          <w:tcPr>
            <w:tcW w:w="2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71,099</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Provision for assets seized</w:t>
            </w:r>
          </w:p>
        </w:tc>
        <w:tc>
          <w:tcPr>
            <w:tcW w:w="1100" w:type="dxa"/>
            <w:vAlign w:val="bottom"/>
          </w:tcPr>
          <w:p>
            <w:pPr>
              <w:jc w:val="right"/>
              <w:spacing w:after="0"/>
              <w:rPr>
                <w:sz w:val="20"/>
                <w:szCs w:val="20"/>
                <w:color w:val="auto"/>
              </w:rPr>
            </w:pPr>
            <w:r>
              <w:rPr>
                <w:rFonts w:ascii="Arial" w:cs="Arial" w:eastAsia="Arial" w:hAnsi="Arial"/>
                <w:sz w:val="18"/>
                <w:szCs w:val="18"/>
                <w:color w:val="auto"/>
              </w:rPr>
              <w:t>3,057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77,016</w:t>
            </w: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227,675</w:t>
            </w:r>
          </w:p>
        </w:tc>
        <w:tc>
          <w:tcPr>
            <w:tcW w:w="22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5"/>
              </w:rPr>
              <w:t>106,575</w:t>
            </w:r>
          </w:p>
        </w:tc>
        <w:tc>
          <w:tcPr>
            <w:tcW w:w="12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140"/>
              <w:spacing w:after="0"/>
              <w:rPr>
                <w:sz w:val="20"/>
                <w:szCs w:val="20"/>
                <w:color w:val="auto"/>
              </w:rPr>
            </w:pPr>
            <w:r>
              <w:rPr>
                <w:rFonts w:ascii="Arial" w:cs="Arial" w:eastAsia="Arial" w:hAnsi="Arial"/>
                <w:sz w:val="18"/>
                <w:szCs w:val="18"/>
                <w:color w:val="auto"/>
              </w:rPr>
              <w:t>Total other expenses and merger costs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US$ 747,089</w:t>
            </w:r>
          </w:p>
        </w:tc>
        <w:tc>
          <w:tcPr>
            <w:tcW w:w="220" w:type="dxa"/>
            <w:vAlign w:val="bottom"/>
          </w:tcPr>
          <w:p>
            <w:pPr>
              <w:spacing w:after="0"/>
              <w:rPr>
                <w:sz w:val="19"/>
                <w:szCs w:val="19"/>
                <w:color w:val="auto"/>
              </w:rPr>
            </w:pP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6"/>
              </w:rPr>
              <w:t>US$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920,603</w:t>
            </w:r>
          </w:p>
        </w:tc>
        <w:tc>
          <w:tcPr>
            <w:tcW w:w="220" w:type="dxa"/>
            <w:vAlign w:val="bottom"/>
          </w:tcPr>
          <w:p>
            <w:pPr>
              <w:spacing w:after="0"/>
              <w:rPr>
                <w:sz w:val="19"/>
                <w:szCs w:val="19"/>
                <w:color w:val="auto"/>
              </w:rPr>
            </w:pPr>
          </w:p>
        </w:tc>
        <w:tc>
          <w:tcPr>
            <w:tcW w:w="5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6"/>
              </w:rPr>
              <w:t>US$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957,110</w:t>
            </w:r>
          </w:p>
        </w:tc>
        <w:tc>
          <w:tcPr>
            <w:tcW w:w="120" w:type="dxa"/>
            <w:vAlign w:val="bottom"/>
          </w:tcPr>
          <w:p>
            <w:pPr>
              <w:spacing w:after="0"/>
              <w:rPr>
                <w:sz w:val="19"/>
                <w:szCs w:val="19"/>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Personnel expenses increased 27.9% in 2009 as compared to 2008, after a 10.7% decrease in 2008 as compared to 2007. The number of our personnel increased to 20,148 employees in 2009 from 19,896 in 2008, and increased from 16,160 in 2007. Considering only BCP, the number of personnel increased to 16,748 employees in 2009 from 15,969 in 2008, and increased from 12,667 in 2007. The increase in other expenses during 2009 was due to significant increases in personnel expenses (salaries and employee benefits), and due to increase in depreciation and amortization expenses, principally for the acquisition of assets.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general and administrative expenses (which include taxes other than income taxes) increased 16.0% in 2009 compared to 2008, after increasing 30.1% compared to 2007. Higher expenses in 2008 were principally the result of increases in marketing expenses for ad campaigns and customer loyalty-building programs, system expenses such as licenses and projects, and transportation expenses. Higher expenses were also incurred in 2009 from increases in professional fees and system expenses such as licenses and projects.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Depreciation and Amortization increased 23.9% to US$71.1 million in 2009 from US$57.4 million in 2008. The increase in 2009 was primarily due to the acquisition of new buildings.</w:t>
      </w:r>
    </w:p>
    <w:p>
      <w:pPr>
        <w:spacing w:after="0" w:line="19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Provision for seized assets decreased 94.0% to US$0.1 million in 2009 from US$1.1 million in 2008. This decrease was due to higher rotation in seizing and sales of assets. The decrease in 2009 and 2008 of provisions is directly related to a higher volume of seized assets sales.</w:t>
      </w:r>
    </w:p>
    <w:p>
      <w:pPr>
        <w:spacing w:after="0" w:line="17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Other expenses decreased 53.2% to US$106.6 million in 2009, after an increase of 195.6% in 2008, compared to 2007. The increase in Other expenses during 2008 was primarily due to commissions in insurance (US$42.7 million in 2009 compared to US$39.4 million in 2008) and provision for diverse risks (US$14.4 million in 2009 compared to US$37.5 million in 2008), which primarily included a provision related to Bernard L. Madoff Investments Securities LLC of US$36.4 million as of December 31, 2008, net of the effect of the higher provisions in BCP Bank.</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Translation Result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translation result reflects exposure to devaluation of net monetary positions in Nuevo Soles. We recognized a US$12.2 million translation gain in 2009, US$17.7 million translation loss in 2008, and a US$34.6 million translation gain in 2007. In 2008, translation losses were primarily due to gains recorded from exposure to the Nuevo Sol which weakened against the U.S. Dollar.</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are not subject to income taxes or taxes on capital gains, capital transfers or equity or estate duty under Bermuda law. However, some of our subsidiaries are subject to income tax and taxes on dividends paid to us, depending on the legislation of the jurisdictions in which they generate income.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7" w:name="page108"/>
    <w:bookmarkEnd w:id="107"/>
    <w:p>
      <w:pPr>
        <w:jc w:val="both"/>
        <w:ind w:firstLine="648"/>
        <w:spacing w:after="0" w:line="264" w:lineRule="auto"/>
        <w:rPr>
          <w:sz w:val="20"/>
          <w:szCs w:val="20"/>
          <w:color w:val="auto"/>
        </w:rPr>
      </w:pPr>
      <w:r>
        <w:rPr>
          <w:rFonts w:ascii="Arial" w:cs="Arial" w:eastAsia="Arial" w:hAnsi="Arial"/>
          <w:sz w:val="18"/>
          <w:szCs w:val="18"/>
          <w:color w:val="auto"/>
        </w:rPr>
        <w:t>Our Peruvian subsidiaries, including BCP, are subject to corporate taxation on income under Peruvian tax law. The statutory income tax rate payable in Peru since 2004 is 30% of taxable income, which includes the result of exposure to inflation. An additional 4.1% withholding tax is applied on dividends, which we register as income tax based on the liquid amount received from BCP and PPS.</w:t>
      </w:r>
    </w:p>
    <w:p>
      <w:pPr>
        <w:spacing w:after="0" w:line="208"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Peruvian tax legislation is applicable to legal entities established in Peru, and on an individual (not consolidated) basis. Our non-Peruvian subsidiaries are not subject to taxation in Peru and their assets are not included in the calculation of the Peruvian extraordinary tax on net assets.</w:t>
      </w:r>
    </w:p>
    <w:p>
      <w:pPr>
        <w:spacing w:after="0" w:line="17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 Although there is corporate income tax in Bolivia, due to BCB’s ability to offset taxes paid other than income taxes from any income tax liability, no Bolivian income taxes have been payable.</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Tax expense paid by the subsidiaries increased to US$138.5 million in 2009 from US$109.5 million in 2008, which increased from US$102.3 million in 2007. Income tax growth in these periods reflects increases in our taxable income. Since 1994, we have paid the Peruvian income tax at the statutory rate. The effective tax rates in 2007, 2008 and 2009 were 21.55%, 22.87%, and 21.54%, respectively.</w:t>
      </w:r>
    </w:p>
    <w:p>
      <w:pPr>
        <w:spacing w:after="0" w:line="200" w:lineRule="exact"/>
        <w:rPr>
          <w:sz w:val="20"/>
          <w:szCs w:val="20"/>
          <w:color w:val="auto"/>
        </w:rPr>
      </w:pPr>
    </w:p>
    <w:p>
      <w:pPr>
        <w:spacing w:after="0" w:line="247" w:lineRule="exact"/>
        <w:rPr>
          <w:sz w:val="20"/>
          <w:szCs w:val="20"/>
          <w:color w:val="auto"/>
        </w:rPr>
      </w:pPr>
    </w:p>
    <w:p>
      <w:pPr>
        <w:ind w:left="1300" w:hanging="644"/>
        <w:spacing w:after="0"/>
        <w:tabs>
          <w:tab w:leader="none" w:pos="13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Condition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Assets</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2009, Credicorp had total assets of US$22.0 billion, increasing 5.8% compared to total assets of US$20.8 billion as of December 31, 2008, with cash and due from banks increasing 1.9% due to higher amounts maintained with BCRP in US$0.2 million, investments increasing 3.3% due to market volatility, and loans, net of provisions, increasing 8.8% due to corporate banking growth. From December 31, 2008 through December 31, 2009, the Peruvian financial system grew 0.6% in terms of total loans, comparing balances translated to U.S. Dollars, while GDP grew 0.9%.</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Improved finances among companies and individuals were supported by a favorable economic environment during 2006, 2007 and 2008 which sustained increases in loan placements resulted in significant improvements in loan portfolio quality in those years (from 1.3% in 2006 to 0.8% in 2007 and further to 0.8% in 2008). Nevertheless the impact of the international crisis on the Peruvian economy caused a strong deceleration in the economic activity, slowing down loan growth and therefore, increasing the past-due loan ratio to 1.6%.</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2009, our total loans were US$11,585.6 million, which represented 52.6% of total assets, and net of reserves for loan losses, loans were US$11,231.3 million. As of December 31, 2008, our total loans were US$10,546.4 million, which represented 50.7% of total assets, and net of reserves for loan losses, loans were US$10,322.0 million. From December 31, 2008 to December 31, 2009 our total loans increased by 9.9%, and net of loan loss reserves increased by 8.8%.</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total deposits with the Central Bank increased from US$2,107.6 million as of December 31, 2009 to US$1,953.0 million as of December 31, 2008. Our securities holdings (which include marketable securities and investments) increased 3.3% to US$5,150.4 million on December 31, 2009 from US$4,986.8 million on December 31, 2008. The securities portfolio increase in 2009 was primarily due to higher investments in corporate, leasing and subordinated bonds and Treasury bonds.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Liabilities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2009, we had total liabilities of US$19.5 billion, a 2.6% increase from US$19.0 billion as of December 31, 2008. As of December 31, 2009, we had total deposits of US$14,091.8 million, a 1.0% increase from US$13,950.4 million on December 31, 2008.</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8" w:name="page109"/>
    <w:bookmarkEnd w:id="108"/>
    <w:p>
      <w:pPr>
        <w:jc w:val="both"/>
        <w:ind w:firstLine="648"/>
        <w:spacing w:after="0" w:line="293" w:lineRule="auto"/>
        <w:rPr>
          <w:sz w:val="20"/>
          <w:szCs w:val="20"/>
          <w:color w:val="auto"/>
        </w:rPr>
      </w:pPr>
      <w:r>
        <w:rPr>
          <w:rFonts w:ascii="Arial" w:cs="Arial" w:eastAsia="Arial" w:hAnsi="Arial"/>
          <w:sz w:val="16"/>
          <w:szCs w:val="16"/>
          <w:color w:val="auto"/>
        </w:rPr>
        <w:t>We have structured our funding strategy around maintaining a diversified deposit base. As of December 31, 2009, through BCP unconsolidated, we had 41.3% of total savings deposits in the Peruvian banking system, 40.5% of demand deposits and 34.2% of total deposits, the highest of any Peruvian bank in all three categories, according to the SBS. An important characteristic of our deposit base is that, as of December 31, 2009, it included 50.7% of the entire Peruvian banking system’s CTS deposits, decreasing from 51.9% as of December 31, 2008, according to our own estimates. We believe that we have traditionally attracted a high percentage of the savings and CTS deposit market because of our reputation as a sound institution, an extensive branch network and the quality of our service. The decrease is due to the fact that new financial institutions have taken a small market share from BCP for this type of deposit.</w:t>
      </w: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gridSpan w:val="2"/>
          </w:tcPr>
          <w:p>
            <w:pPr>
              <w:spacing w:after="0"/>
              <w:rPr>
                <w:sz w:val="20"/>
                <w:szCs w:val="20"/>
                <w:color w:val="auto"/>
              </w:rPr>
            </w:pPr>
            <w:r>
              <w:rPr>
                <w:rFonts w:ascii="Arial" w:cs="Arial" w:eastAsia="Arial" w:hAnsi="Arial"/>
                <w:sz w:val="18"/>
                <w:szCs w:val="18"/>
                <w:b w:val="1"/>
                <w:bCs w:val="1"/>
                <w:color w:val="auto"/>
                <w:w w:val="95"/>
              </w:rPr>
              <w:t>(B)</w:t>
            </w:r>
          </w:p>
        </w:tc>
        <w:tc>
          <w:tcPr>
            <w:tcW w:w="6580" w:type="dxa"/>
            <w:vAlign w:val="bottom"/>
          </w:tcPr>
          <w:p>
            <w:pPr>
              <w:ind w:left="400"/>
              <w:spacing w:after="0"/>
              <w:rPr>
                <w:sz w:val="20"/>
                <w:szCs w:val="20"/>
                <w:color w:val="auto"/>
              </w:rPr>
            </w:pPr>
            <w:r>
              <w:rPr>
                <w:rFonts w:ascii="Arial" w:cs="Arial" w:eastAsia="Arial" w:hAnsi="Arial"/>
                <w:sz w:val="18"/>
                <w:szCs w:val="18"/>
                <w:b w:val="1"/>
                <w:bCs w:val="1"/>
                <w:color w:val="auto"/>
              </w:rPr>
              <w:t>Liquidity and Capital Resources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tcPr>
          <w:p>
            <w:pPr>
              <w:ind w:left="400"/>
              <w:spacing w:after="0"/>
              <w:rPr>
                <w:sz w:val="20"/>
                <w:szCs w:val="20"/>
                <w:color w:val="auto"/>
              </w:rPr>
            </w:pPr>
            <w:r>
              <w:rPr>
                <w:rFonts w:ascii="Arial" w:cs="Arial" w:eastAsia="Arial" w:hAnsi="Arial"/>
                <w:sz w:val="18"/>
                <w:szCs w:val="18"/>
                <w:i w:val="1"/>
                <w:iCs w:val="1"/>
                <w:color w:val="auto"/>
              </w:rPr>
              <w:t>Regulatory Capital and Capital Adequacy Ratios</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w w:val="88"/>
              </w:rPr>
              <w:t>As of December 31,</w:t>
            </w:r>
          </w:p>
        </w:tc>
        <w:tc>
          <w:tcPr>
            <w:tcW w:w="4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2007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2008</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5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(U.S.</w:t>
            </w: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i w:val="1"/>
                <w:iCs w:val="1"/>
                <w:color w:val="auto"/>
                <w:w w:val="89"/>
              </w:rPr>
              <w:t>Dollars in thousands,</w:t>
            </w: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i w:val="1"/>
                <w:iCs w:val="1"/>
                <w:color w:val="auto"/>
                <w:w w:val="91"/>
              </w:rPr>
              <w:t>except percentages)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w:t>
            </w: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539,498</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539,498</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528,011</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Legal and other reserves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587,218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770,216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1,053,494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 reserves and retained earnings of minority interest</w:t>
            </w: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38,929</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45,894</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104,052</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Accepted provisions for loan losses</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82,261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104,635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114,104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720" w:type="dxa"/>
            <w:vAlign w:val="bottom"/>
            <w:tcBorders>
              <w:bottom w:val="single" w:sz="8" w:color="CCFFCC"/>
            </w:tcBorders>
            <w:gridSpan w:val="2"/>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44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294,648</w:t>
            </w:r>
          </w:p>
        </w:tc>
        <w:tc>
          <w:tcPr>
            <w:tcW w:w="14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278,688</w:t>
            </w:r>
          </w:p>
        </w:tc>
        <w:tc>
          <w:tcPr>
            <w:tcW w:w="280" w:type="dxa"/>
            <w:vAlign w:val="bottom"/>
            <w:tcBorders>
              <w:bottom w:val="single" w:sz="8" w:color="CCFFCC"/>
            </w:tcBorders>
            <w:shd w:val="clear" w:color="auto" w:fill="CCFFCC"/>
          </w:tcPr>
          <w:p>
            <w:pPr>
              <w:spacing w:after="0"/>
              <w:rPr>
                <w:sz w:val="19"/>
                <w:szCs w:val="19"/>
                <w:color w:val="auto"/>
              </w:rPr>
            </w:pPr>
          </w:p>
        </w:tc>
        <w:tc>
          <w:tcPr>
            <w:tcW w:w="440" w:type="dxa"/>
            <w:vAlign w:val="bottom"/>
            <w:tcBorders>
              <w:bottom w:val="single" w:sz="8" w:color="auto"/>
            </w:tcBorders>
            <w:shd w:val="clear" w:color="auto" w:fill="CCFFCC"/>
          </w:tcPr>
          <w:p>
            <w:pPr>
              <w:spacing w:after="0"/>
              <w:rPr>
                <w:sz w:val="19"/>
                <w:szCs w:val="19"/>
                <w:color w:val="auto"/>
              </w:rPr>
            </w:pPr>
          </w:p>
        </w:tc>
        <w:tc>
          <w:tcPr>
            <w:tcW w:w="8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683,222</w:t>
            </w:r>
          </w:p>
        </w:tc>
        <w:tc>
          <w:tcPr>
            <w:tcW w:w="1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Total</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1,542,554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1,738,931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2,482,883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6720" w:type="dxa"/>
            <w:vAlign w:val="bottom"/>
            <w:gridSpan w:val="2"/>
            <w:shd w:val="clear" w:color="auto" w:fill="CCFFCC"/>
          </w:tcPr>
          <w:p>
            <w:pPr>
              <w:spacing w:after="0" w:line="201" w:lineRule="exact"/>
              <w:rPr>
                <w:sz w:val="20"/>
                <w:szCs w:val="20"/>
                <w:color w:val="auto"/>
              </w:rPr>
            </w:pPr>
            <w:r>
              <w:rPr>
                <w:rFonts w:ascii="Arial" w:cs="Arial" w:eastAsia="Arial" w:hAnsi="Arial"/>
                <w:sz w:val="18"/>
                <w:szCs w:val="18"/>
                <w:color w:val="auto"/>
              </w:rPr>
              <w:t>Less: investment in multilateral organizations, banks and insurance companies and</w:t>
            </w:r>
          </w:p>
        </w:tc>
        <w:tc>
          <w:tcPr>
            <w:tcW w:w="4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80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6580" w:type="dxa"/>
            <w:vAlign w:val="bottom"/>
            <w:shd w:val="clear" w:color="auto" w:fill="CCFFCC"/>
          </w:tcPr>
          <w:p>
            <w:pPr>
              <w:ind w:left="20"/>
              <w:spacing w:after="0"/>
              <w:rPr>
                <w:sz w:val="20"/>
                <w:szCs w:val="20"/>
                <w:color w:val="auto"/>
              </w:rPr>
            </w:pPr>
            <w:r>
              <w:rPr>
                <w:rFonts w:ascii="Arial" w:cs="Arial" w:eastAsia="Arial" w:hAnsi="Arial"/>
                <w:sz w:val="18"/>
                <w:szCs w:val="18"/>
                <w:color w:val="auto"/>
              </w:rPr>
              <w:t>goodwill</w:t>
            </w:r>
          </w:p>
        </w:tc>
        <w:tc>
          <w:tcPr>
            <w:tcW w:w="440" w:type="dxa"/>
            <w:vAlign w:val="bottom"/>
            <w:shd w:val="clear" w:color="auto" w:fill="CCFFCC"/>
          </w:tcPr>
          <w:p>
            <w:pPr>
              <w:spacing w:after="0"/>
              <w:rPr>
                <w:sz w:val="20"/>
                <w:szCs w:val="20"/>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(122,387)</w:t>
            </w:r>
          </w:p>
        </w:tc>
        <w:tc>
          <w:tcPr>
            <w:tcW w:w="120" w:type="dxa"/>
            <w:vAlign w:val="bottom"/>
            <w:shd w:val="clear" w:color="auto" w:fill="CCFFCC"/>
          </w:tcPr>
          <w:p>
            <w:pPr>
              <w:spacing w:after="0"/>
              <w:rPr>
                <w:sz w:val="20"/>
                <w:szCs w:val="20"/>
                <w:color w:val="auto"/>
              </w:rPr>
            </w:pPr>
          </w:p>
        </w:tc>
        <w:tc>
          <w:tcPr>
            <w:tcW w:w="44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(134,216)</w:t>
            </w:r>
          </w:p>
        </w:tc>
        <w:tc>
          <w:tcPr>
            <w:tcW w:w="44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(261,749)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580" w:type="dxa"/>
            <w:vAlign w:val="bottom"/>
          </w:tcPr>
          <w:p>
            <w:pPr>
              <w:ind w:left="180"/>
              <w:spacing w:after="0"/>
              <w:rPr>
                <w:sz w:val="20"/>
                <w:szCs w:val="20"/>
                <w:color w:val="auto"/>
              </w:rPr>
            </w:pPr>
            <w:r>
              <w:rPr>
                <w:rFonts w:ascii="Arial" w:cs="Arial" w:eastAsia="Arial" w:hAnsi="Arial"/>
                <w:sz w:val="18"/>
                <w:szCs w:val="18"/>
                <w:color w:val="auto"/>
              </w:rPr>
              <w:t>Total Regulatory Capital (1)</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1,420,167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1,604,715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2,221,134</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6720" w:type="dxa"/>
            <w:vAlign w:val="bottom"/>
            <w:gridSpan w:val="2"/>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Financial Entities Capital Ratio</w:t>
            </w: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Regulatory Capital attributable to Financial Entities (1)</w:t>
            </w: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1,320,068</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1,520,318</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2,033,401</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Risk-Weighted Assets From Financial Entities (3)</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10,313,188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12,335,063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14,200,280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Ratio for Financial Entities (1) / (3)</w:t>
            </w:r>
          </w:p>
        </w:tc>
        <w:tc>
          <w:tcPr>
            <w:tcW w:w="44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12.80%</w:t>
            </w: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12.33%</w:t>
            </w:r>
          </w:p>
        </w:tc>
        <w:tc>
          <w:tcPr>
            <w:tcW w:w="44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120" w:type="dxa"/>
            <w:vAlign w:val="bottom"/>
            <w:vMerge w:val="restart"/>
          </w:tcPr>
          <w:p>
            <w:pPr>
              <w:spacing w:after="0"/>
              <w:rPr>
                <w:sz w:val="18"/>
                <w:szCs w:val="18"/>
                <w:color w:val="auto"/>
              </w:rPr>
            </w:pPr>
          </w:p>
        </w:tc>
        <w:tc>
          <w:tcPr>
            <w:tcW w:w="6720" w:type="dxa"/>
            <w:vAlign w:val="bottom"/>
            <w:gridSpan w:val="2"/>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vMerge w:val="continue"/>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Minimum Regulatory Capital Required (MRCR)(2)</w:t>
            </w: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MRCR for Financial Entities (3)</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890,643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1,122,464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1,266,502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MRCR for Insurance Entities (3)</w:t>
            </w: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112,261</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137,766</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149,808</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MRCR for Other Entities (3)</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66,849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80,921</w:t>
            </w: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144,494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67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Minimum Regulatory Capital Required</w:t>
            </w: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1,069,753</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1,341,151</w:t>
            </w:r>
          </w:p>
        </w:tc>
        <w:tc>
          <w:tcPr>
            <w:tcW w:w="280" w:type="dxa"/>
            <w:vAlign w:val="bottom"/>
            <w:shd w:val="clear" w:color="auto" w:fill="CCFFCC"/>
          </w:tcPr>
          <w:p>
            <w:pPr>
              <w:spacing w:after="0"/>
              <w:rPr>
                <w:sz w:val="18"/>
                <w:szCs w:val="18"/>
                <w:color w:val="auto"/>
              </w:rPr>
            </w:pPr>
          </w:p>
        </w:tc>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w w:val="85"/>
              </w:rPr>
              <w:t>US$</w:t>
            </w:r>
          </w:p>
        </w:tc>
        <w:tc>
          <w:tcPr>
            <w:tcW w:w="8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1,560,804</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6720" w:type="dxa"/>
            <w:vAlign w:val="bottom"/>
            <w:gridSpan w:val="2"/>
          </w:tcPr>
          <w:p>
            <w:pPr>
              <w:spacing w:after="0"/>
              <w:rPr>
                <w:sz w:val="20"/>
                <w:szCs w:val="20"/>
                <w:color w:val="auto"/>
              </w:rPr>
            </w:pPr>
            <w:r>
              <w:rPr>
                <w:rFonts w:ascii="Arial" w:cs="Arial" w:eastAsia="Arial" w:hAnsi="Arial"/>
                <w:sz w:val="18"/>
                <w:szCs w:val="18"/>
                <w:color w:val="auto"/>
              </w:rPr>
              <w:t>Regulatory capital as percentage of Minimum Regulatory Capital Required</w:t>
            </w:r>
          </w:p>
        </w:tc>
        <w:tc>
          <w:tcPr>
            <w:tcW w:w="4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132.76%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119.65%</w:t>
            </w:r>
          </w:p>
        </w:tc>
        <w:tc>
          <w:tcPr>
            <w:tcW w:w="4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142.31%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18268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340" w:hanging="332"/>
        <w:spacing w:after="0" w:line="277"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Total Regulatory Capital and Financial Entities Regulatory Capital is prepared under the guidelines of the BIS I Accord (by the Basel Committee) as adopted by the SBS.</w:t>
      </w:r>
    </w:p>
    <w:p>
      <w:pPr>
        <w:spacing w:after="0" w:line="197"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Minimum Regulatory Capital Required, or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208"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Peruvian financial entities (BCP, Credileasing and Solución) have a MRCR of 9.5% of the Risk-Weighted Assets (or RWA). For ASHC (Cayman Islands), the MRCR is 12% of the RWA. For BCB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i w:val="1"/>
          <w:iCs w:val="1"/>
          <w:color w:val="auto"/>
        </w:rPr>
        <w:t>Liquidity Risk</w:t>
      </w:r>
    </w:p>
    <w:p>
      <w:pPr>
        <w:spacing w:after="0" w:line="25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manage our assets and liabilities to ensure that we have sufficient liquidity to meet our present and future financial obligations and to be able to take advantage of appropriate business opportunities as they arise. Liquidity risk represents the potential for loss as a result of limitations on our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growth of our deposit base over the years has enabled us to significantly increase our lending activity. BCP is subject to SBS Resolution No. 472-2001, enacted in June 2001, which made its market risk area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average daily ratios during the month of December 2009 were 33.96% and 59.55% for Nuevos Soles and foreign exchange-based transactions, respectively, demonstrating our continuing excess liquidity. We have never defaulted on any of our debt or been forced to reschedule any of our obligations. Even during the early 1980s, when the government of Peru and many Peruvian companies and banks were forced to restructure their debt as a result of the Latin American debt crisis and government restrictions, BCP and PPS complied with all of their payment obligations.</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capability of replacing interest-bearing deposits at their maturity is a key factor in determining liquidity requirements, as well as the exposure to interest and exchange rate risks. Our principal source of funding is customer deposits with BCP’s retail banking group and ASHC’s private banking group, and premiums and amounts earned on invested assets at PPS. We believe that funds from our deposit-taking operations generally will continue to meet our liquidity needs for the foreseeable future.</w:t>
      </w:r>
    </w:p>
    <w:p>
      <w:pPr>
        <w:spacing w:after="0" w:line="21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BCP’s retail banking group has developed a diversified and stable deposit base and its private banking group has developed a stable deposit base that, in each case, provides us with a low-cost source of funding. This deposit base has traditionally been one of our greatest strengths. The deposit gathering strategy has focused on products considered as BCP’s core deposits: demand deposits, savings, time deposits and CTS deposits. Other sources of funds and liquidity, which are mostly short- and long-term borrowings from correspondent banks and other financial institutions, issued bonds, and subordinated debt, are of a considerably lower significance compared to our core deposits. </w:t>
      </w:r>
      <w:r>
        <w:rPr>
          <w:rFonts w:ascii="Arial" w:cs="Arial" w:eastAsia="Arial" w:hAnsi="Arial"/>
          <w:sz w:val="16"/>
          <w:szCs w:val="16"/>
          <w:i w:val="1"/>
          <w:iCs w:val="1"/>
          <w:color w:val="auto"/>
        </w:rPr>
        <w:t>See</w:t>
      </w:r>
      <w:r>
        <w:rPr>
          <w:rFonts w:ascii="Arial" w:cs="Arial" w:eastAsia="Arial" w:hAnsi="Arial"/>
          <w:sz w:val="16"/>
          <w:szCs w:val="16"/>
          <w:color w:val="auto"/>
        </w:rPr>
        <w:t xml:space="preserve"> Notes 12 and 13 to the Credicorp Consolidated Financial Statements.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0" w:name="page111"/>
    <w:bookmarkEnd w:id="110"/>
    <w:p>
      <w:pPr>
        <w:ind w:left="660"/>
        <w:spacing w:after="0"/>
        <w:rPr>
          <w:sz w:val="20"/>
          <w:szCs w:val="20"/>
          <w:color w:val="auto"/>
        </w:rPr>
      </w:pPr>
      <w:r>
        <w:rPr>
          <w:rFonts w:ascii="Arial" w:cs="Arial" w:eastAsia="Arial" w:hAnsi="Arial"/>
          <w:sz w:val="18"/>
          <w:szCs w:val="18"/>
          <w:color w:val="auto"/>
        </w:rPr>
        <w:t>The following table presents our core deposits, other deposits and other sources of funds: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At December 31,</w:t>
            </w: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2007</w:t>
            </w:r>
          </w:p>
        </w:tc>
        <w:tc>
          <w:tcPr>
            <w:tcW w:w="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2008</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2009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i w:val="1"/>
                <w:iCs w:val="1"/>
                <w:color w:val="auto"/>
                <w:w w:val="72"/>
              </w:rPr>
              <w:t>(U.S.</w:t>
            </w:r>
          </w:p>
        </w:tc>
        <w:tc>
          <w:tcPr>
            <w:tcW w:w="17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i w:val="1"/>
                <w:iCs w:val="1"/>
                <w:color w:val="auto"/>
                <w:w w:val="94"/>
              </w:rPr>
              <w:t>Dollars in thousands)</w:t>
            </w: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w:t>
            </w: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Demand deposits</w:t>
            </w:r>
          </w:p>
        </w:tc>
        <w:tc>
          <w:tcPr>
            <w:tcW w:w="480" w:type="dxa"/>
            <w:vAlign w:val="bottom"/>
          </w:tcPr>
          <w:p>
            <w:pPr>
              <w:ind w:left="140"/>
              <w:spacing w:after="0"/>
              <w:rPr>
                <w:sz w:val="20"/>
                <w:szCs w:val="20"/>
                <w:color w:val="auto"/>
              </w:rPr>
            </w:pPr>
            <w:r>
              <w:rPr>
                <w:rFonts w:ascii="Arial" w:cs="Arial" w:eastAsia="Arial" w:hAnsi="Arial"/>
                <w:sz w:val="18"/>
                <w:szCs w:val="18"/>
                <w:color w:val="auto"/>
                <w:w w:val="91"/>
              </w:rPr>
              <w:t>US$</w:t>
            </w:r>
          </w:p>
        </w:tc>
        <w:tc>
          <w:tcPr>
            <w:tcW w:w="1180" w:type="dxa"/>
            <w:vAlign w:val="bottom"/>
            <w:gridSpan w:val="2"/>
          </w:tcPr>
          <w:p>
            <w:pPr>
              <w:jc w:val="right"/>
              <w:ind w:right="215"/>
              <w:spacing w:after="0"/>
              <w:rPr>
                <w:sz w:val="20"/>
                <w:szCs w:val="20"/>
                <w:color w:val="auto"/>
              </w:rPr>
            </w:pPr>
            <w:r>
              <w:rPr>
                <w:rFonts w:ascii="Arial" w:cs="Arial" w:eastAsia="Arial" w:hAnsi="Arial"/>
                <w:sz w:val="18"/>
                <w:szCs w:val="18"/>
                <w:color w:val="auto"/>
              </w:rPr>
              <w:t>3,964,501</w:t>
            </w:r>
          </w:p>
        </w:tc>
        <w:tc>
          <w:tcPr>
            <w:tcW w:w="460" w:type="dxa"/>
            <w:vAlign w:val="bottom"/>
          </w:tcPr>
          <w:p>
            <w:pPr>
              <w:ind w:left="120"/>
              <w:spacing w:after="0"/>
              <w:rPr>
                <w:sz w:val="20"/>
                <w:szCs w:val="20"/>
                <w:color w:val="auto"/>
              </w:rPr>
            </w:pPr>
            <w:r>
              <w:rPr>
                <w:rFonts w:ascii="Arial" w:cs="Arial" w:eastAsia="Arial" w:hAnsi="Arial"/>
                <w:sz w:val="18"/>
                <w:szCs w:val="18"/>
                <w:color w:val="auto"/>
                <w:w w:val="91"/>
              </w:rPr>
              <w:t>US$</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4,872,277</w:t>
            </w:r>
          </w:p>
        </w:tc>
        <w:tc>
          <w:tcPr>
            <w:tcW w:w="8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w w:val="96"/>
              </w:rPr>
              <w:t>US$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4,556,746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2,380,904</w:t>
            </w: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2,968,739</w:t>
            </w: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3,539,665</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896,283</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1,039,887</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1,069,506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core deposits</w:t>
            </w:r>
          </w:p>
        </w:tc>
        <w:tc>
          <w:tcPr>
            <w:tcW w:w="480" w:type="dxa"/>
            <w:vAlign w:val="bottom"/>
            <w:shd w:val="clear" w:color="auto" w:fill="CCFFCC"/>
          </w:tcPr>
          <w:p>
            <w:pPr>
              <w:ind w:left="140"/>
              <w:spacing w:after="0"/>
              <w:rPr>
                <w:sz w:val="20"/>
                <w:szCs w:val="20"/>
                <w:color w:val="auto"/>
              </w:rPr>
            </w:pPr>
            <w:r>
              <w:rPr>
                <w:rFonts w:ascii="Arial" w:cs="Arial" w:eastAsia="Arial" w:hAnsi="Arial"/>
                <w:sz w:val="18"/>
                <w:szCs w:val="18"/>
                <w:b w:val="1"/>
                <w:bCs w:val="1"/>
                <w:color w:val="auto"/>
                <w:w w:val="91"/>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7,241,688</w:t>
            </w: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ind w:left="120"/>
              <w:spacing w:after="0"/>
              <w:rPr>
                <w:sz w:val="20"/>
                <w:szCs w:val="20"/>
                <w:color w:val="auto"/>
              </w:rPr>
            </w:pPr>
            <w:r>
              <w:rPr>
                <w:rFonts w:ascii="Arial" w:cs="Arial" w:eastAsia="Arial" w:hAnsi="Arial"/>
                <w:sz w:val="18"/>
                <w:szCs w:val="18"/>
                <w:b w:val="1"/>
                <w:bCs w:val="1"/>
                <w:color w:val="auto"/>
                <w:w w:val="91"/>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8,880,903</w:t>
            </w: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ind w:left="40"/>
              <w:spacing w:after="0"/>
              <w:rPr>
                <w:sz w:val="20"/>
                <w:szCs w:val="20"/>
                <w:color w:val="auto"/>
              </w:rPr>
            </w:pPr>
            <w:r>
              <w:rPr>
                <w:rFonts w:ascii="Arial" w:cs="Arial" w:eastAsia="Arial" w:hAnsi="Arial"/>
                <w:sz w:val="18"/>
                <w:szCs w:val="18"/>
                <w:b w:val="1"/>
                <w:bCs w:val="1"/>
                <w:color w:val="auto"/>
                <w:w w:val="96"/>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9,165,917</w:t>
            </w: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Deposits:</w:t>
            </w: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Time deposits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3,967,864</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4,856,112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4,751,861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color w:val="auto"/>
              </w:rPr>
              <w:t>Bank certificates</w:t>
            </w: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90,119</w:t>
            </w: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140,013</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120,932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60" w:type="dxa"/>
            <w:vAlign w:val="bottom"/>
            <w:shd w:val="clear" w:color="auto" w:fill="CCFFC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shd w:val="clear" w:color="auto" w:fill="CCFFCC"/>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Total deposits</w:t>
            </w:r>
          </w:p>
        </w:tc>
        <w:tc>
          <w:tcPr>
            <w:tcW w:w="480" w:type="dxa"/>
            <w:vAlign w:val="bottom"/>
          </w:tcPr>
          <w:p>
            <w:pPr>
              <w:ind w:left="140"/>
              <w:spacing w:after="0"/>
              <w:rPr>
                <w:sz w:val="20"/>
                <w:szCs w:val="20"/>
                <w:color w:val="auto"/>
              </w:rPr>
            </w:pPr>
            <w:r>
              <w:rPr>
                <w:rFonts w:ascii="Arial" w:cs="Arial" w:eastAsia="Arial" w:hAnsi="Arial"/>
                <w:sz w:val="18"/>
                <w:szCs w:val="18"/>
                <w:b w:val="1"/>
                <w:bCs w:val="1"/>
                <w:color w:val="auto"/>
                <w:w w:val="91"/>
              </w:rPr>
              <w:t>US$</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11,299,671</w:t>
            </w:r>
          </w:p>
        </w:tc>
        <w:tc>
          <w:tcPr>
            <w:tcW w:w="3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b w:val="1"/>
                <w:bCs w:val="1"/>
                <w:color w:val="auto"/>
                <w:w w:val="91"/>
              </w:rPr>
              <w:t>US$</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13,877,028</w:t>
            </w:r>
          </w:p>
        </w:tc>
        <w:tc>
          <w:tcPr>
            <w:tcW w:w="8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w w:val="96"/>
              </w:rPr>
              <w:t>US$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14,038,710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480" w:type="dxa"/>
            <w:vAlign w:val="bottom"/>
          </w:tcPr>
          <w:p>
            <w:pPr>
              <w:ind w:left="140"/>
              <w:spacing w:after="0"/>
              <w:rPr>
                <w:sz w:val="20"/>
                <w:szCs w:val="20"/>
                <w:color w:val="auto"/>
              </w:rPr>
            </w:pPr>
            <w:r>
              <w:rPr>
                <w:rFonts w:ascii="Arial" w:cs="Arial" w:eastAsia="Arial" w:hAnsi="Arial"/>
                <w:sz w:val="18"/>
                <w:szCs w:val="18"/>
                <w:color w:val="auto"/>
                <w:w w:val="91"/>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2,314,418</w:t>
            </w:r>
          </w:p>
        </w:tc>
        <w:tc>
          <w:tcPr>
            <w:tcW w:w="30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w w:val="91"/>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2,316,594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color w:val="auto"/>
                <w:w w:val="96"/>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2,251,541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Issued bonds</w:t>
            </w: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694,982</w:t>
            </w: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777,390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1,273,731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Total sources of funds</w:t>
            </w:r>
          </w:p>
        </w:tc>
        <w:tc>
          <w:tcPr>
            <w:tcW w:w="480" w:type="dxa"/>
            <w:vAlign w:val="bottom"/>
          </w:tcPr>
          <w:p>
            <w:pPr>
              <w:ind w:left="140"/>
              <w:spacing w:after="0"/>
              <w:rPr>
                <w:sz w:val="20"/>
                <w:szCs w:val="20"/>
                <w:color w:val="auto"/>
              </w:rPr>
            </w:pPr>
            <w:r>
              <w:rPr>
                <w:rFonts w:ascii="Arial" w:cs="Arial" w:eastAsia="Arial" w:hAnsi="Arial"/>
                <w:sz w:val="18"/>
                <w:szCs w:val="18"/>
                <w:b w:val="1"/>
                <w:bCs w:val="1"/>
                <w:color w:val="auto"/>
                <w:w w:val="91"/>
              </w:rPr>
              <w:t>US$</w:t>
            </w:r>
          </w:p>
        </w:tc>
        <w:tc>
          <w:tcPr>
            <w:tcW w:w="1180" w:type="dxa"/>
            <w:vAlign w:val="bottom"/>
            <w:gridSpan w:val="2"/>
          </w:tcPr>
          <w:p>
            <w:pPr>
              <w:jc w:val="right"/>
              <w:ind w:right="215"/>
              <w:spacing w:after="0"/>
              <w:rPr>
                <w:sz w:val="20"/>
                <w:szCs w:val="20"/>
                <w:color w:val="auto"/>
              </w:rPr>
            </w:pPr>
            <w:r>
              <w:rPr>
                <w:rFonts w:ascii="Arial" w:cs="Arial" w:eastAsia="Arial" w:hAnsi="Arial"/>
                <w:sz w:val="18"/>
                <w:szCs w:val="18"/>
                <w:b w:val="1"/>
                <w:bCs w:val="1"/>
                <w:color w:val="auto"/>
                <w:w w:val="95"/>
              </w:rPr>
              <w:t>14,309,071</w:t>
            </w:r>
          </w:p>
        </w:tc>
        <w:tc>
          <w:tcPr>
            <w:tcW w:w="460" w:type="dxa"/>
            <w:vAlign w:val="bottom"/>
          </w:tcPr>
          <w:p>
            <w:pPr>
              <w:ind w:left="120"/>
              <w:spacing w:after="0"/>
              <w:rPr>
                <w:sz w:val="20"/>
                <w:szCs w:val="20"/>
                <w:color w:val="auto"/>
              </w:rPr>
            </w:pPr>
            <w:r>
              <w:rPr>
                <w:rFonts w:ascii="Arial" w:cs="Arial" w:eastAsia="Arial" w:hAnsi="Arial"/>
                <w:sz w:val="18"/>
                <w:szCs w:val="18"/>
                <w:b w:val="1"/>
                <w:bCs w:val="1"/>
                <w:color w:val="auto"/>
                <w:w w:val="91"/>
              </w:rPr>
              <w:t>US$</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16,971,012</w:t>
            </w:r>
          </w:p>
        </w:tc>
        <w:tc>
          <w:tcPr>
            <w:tcW w:w="80" w:type="dxa"/>
            <w:vAlign w:val="bottom"/>
          </w:tcPr>
          <w:p>
            <w:pPr>
              <w:spacing w:after="0"/>
              <w:rPr>
                <w:sz w:val="18"/>
                <w:szCs w:val="18"/>
                <w:color w:val="auto"/>
              </w:rPr>
            </w:pP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w w:val="96"/>
              </w:rPr>
              <w:t>US$</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5"/>
              </w:rPr>
              <w:t>17,563,982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 as a percent of total deposits</w:t>
            </w:r>
          </w:p>
        </w:tc>
        <w:tc>
          <w:tcPr>
            <w:tcW w:w="4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35"/>
              <w:spacing w:after="0"/>
              <w:rPr>
                <w:sz w:val="20"/>
                <w:szCs w:val="20"/>
                <w:color w:val="auto"/>
              </w:rPr>
            </w:pPr>
            <w:r>
              <w:rPr>
                <w:rFonts w:ascii="Arial" w:cs="Arial" w:eastAsia="Arial" w:hAnsi="Arial"/>
                <w:sz w:val="18"/>
                <w:szCs w:val="18"/>
                <w:b w:val="1"/>
                <w:bCs w:val="1"/>
                <w:color w:val="auto"/>
              </w:rPr>
              <w:t>64.1%</w:t>
            </w:r>
          </w:p>
        </w:tc>
        <w:tc>
          <w:tcPr>
            <w:tcW w:w="46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b w:val="1"/>
                <w:bCs w:val="1"/>
                <w:color w:val="auto"/>
              </w:rPr>
              <w:t>64.0%</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65.3%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r>
              <w:rPr>
                <w:rFonts w:ascii="Arial" w:cs="Arial" w:eastAsia="Arial" w:hAnsi="Arial"/>
                <w:sz w:val="18"/>
                <w:szCs w:val="18"/>
                <w:b w:val="1"/>
                <w:bCs w:val="1"/>
                <w:color w:val="auto"/>
              </w:rPr>
              <w:t>Core deposits as a percent of total sources of liquid funds</w:t>
            </w:r>
          </w:p>
        </w:tc>
        <w:tc>
          <w:tcPr>
            <w:tcW w:w="480" w:type="dxa"/>
            <w:vAlign w:val="bottom"/>
          </w:tcPr>
          <w:p>
            <w:pPr>
              <w:spacing w:after="0"/>
              <w:rPr>
                <w:sz w:val="20"/>
                <w:szCs w:val="20"/>
                <w:color w:val="auto"/>
              </w:rPr>
            </w:pPr>
          </w:p>
        </w:tc>
        <w:tc>
          <w:tcPr>
            <w:tcW w:w="1180" w:type="dxa"/>
            <w:vAlign w:val="bottom"/>
            <w:gridSpan w:val="2"/>
          </w:tcPr>
          <w:p>
            <w:pPr>
              <w:jc w:val="right"/>
              <w:ind w:right="35"/>
              <w:spacing w:after="0"/>
              <w:rPr>
                <w:sz w:val="20"/>
                <w:szCs w:val="20"/>
                <w:color w:val="auto"/>
              </w:rPr>
            </w:pPr>
            <w:r>
              <w:rPr>
                <w:rFonts w:ascii="Arial" w:cs="Arial" w:eastAsia="Arial" w:hAnsi="Arial"/>
                <w:sz w:val="18"/>
                <w:szCs w:val="18"/>
                <w:b w:val="1"/>
                <w:bCs w:val="1"/>
                <w:color w:val="auto"/>
              </w:rPr>
              <w:t>50.6%</w:t>
            </w:r>
          </w:p>
        </w:tc>
        <w:tc>
          <w:tcPr>
            <w:tcW w:w="46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rPr>
              <w:t>52.2%</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BCP is required to keep deposits with the Central Bank as legal reserves, determined as a percentage of the deposits and other liabilities owed to its clients. The requirement is currently approximately 6.0% of Nuevos Sole-denominated deposits and U.S. Dollar-denominated deposits, and an additional reserve requirement of 30% for the U.S. Dollar-denominated deposits.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4. Information on the Company—(B) Business Overview—(11) Supervision and Regulation—(ii) BCP—Central Bank Reserve Requirements.” Legal reserves are meant to ensure the availability of liquid funds to cover withdrawals of deposits. Additionally, we have significant investments of excess liquid funds in short-term Central Bank certificates of deposits.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deposits at the Central Bank and our investments in Central Bank certificates: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8"/>
                <w:szCs w:val="18"/>
                <w:b w:val="1"/>
                <w:bCs w:val="1"/>
                <w:color w:val="auto"/>
                <w:w w:val="90"/>
              </w:rPr>
              <w:t>At December 31,</w:t>
            </w:r>
          </w:p>
        </w:tc>
        <w:tc>
          <w:tcPr>
            <w:tcW w:w="11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2008</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19"/>
                <w:szCs w:val="19"/>
                <w:color w:val="auto"/>
              </w:rPr>
            </w:pPr>
          </w:p>
        </w:tc>
        <w:tc>
          <w:tcPr>
            <w:tcW w:w="3120" w:type="dxa"/>
            <w:vAlign w:val="bottom"/>
            <w:tcBorders>
              <w:bottom w:val="single" w:sz="8" w:color="auto"/>
            </w:tcBorders>
            <w:gridSpan w:val="6"/>
          </w:tcPr>
          <w:p>
            <w:pPr>
              <w:jc w:val="center"/>
              <w:ind w:left="1050"/>
              <w:spacing w:after="0"/>
              <w:rPr>
                <w:sz w:val="20"/>
                <w:szCs w:val="20"/>
                <w:color w:val="auto"/>
              </w:rPr>
            </w:pPr>
            <w:r>
              <w:rPr>
                <w:rFonts w:ascii="Arial" w:cs="Arial" w:eastAsia="Arial" w:hAnsi="Arial"/>
                <w:sz w:val="18"/>
                <w:szCs w:val="18"/>
                <w:i w:val="1"/>
                <w:iCs w:val="1"/>
                <w:color w:val="auto"/>
                <w:w w:val="92"/>
              </w:rPr>
              <w:t>(U.S. Dollars in thousands)</w:t>
            </w:r>
          </w:p>
        </w:tc>
        <w:tc>
          <w:tcPr>
            <w:tcW w:w="11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Funds at Central Bank</w:t>
            </w: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US$ 1,798,581</w:t>
            </w:r>
          </w:p>
        </w:tc>
        <w:tc>
          <w:tcPr>
            <w:tcW w:w="60" w:type="dxa"/>
            <w:vAlign w:val="bottom"/>
          </w:tcPr>
          <w:p>
            <w:pPr>
              <w:spacing w:after="0"/>
              <w:rPr>
                <w:sz w:val="18"/>
                <w:szCs w:val="18"/>
                <w:color w:val="auto"/>
              </w:rPr>
            </w:pPr>
          </w:p>
        </w:tc>
        <w:tc>
          <w:tcPr>
            <w:tcW w:w="1620" w:type="dxa"/>
            <w:vAlign w:val="bottom"/>
            <w:gridSpan w:val="3"/>
          </w:tcPr>
          <w:p>
            <w:pPr>
              <w:ind w:left="120"/>
              <w:spacing w:after="0"/>
              <w:rPr>
                <w:sz w:val="20"/>
                <w:szCs w:val="20"/>
                <w:color w:val="auto"/>
              </w:rPr>
            </w:pPr>
            <w:r>
              <w:rPr>
                <w:rFonts w:ascii="Arial" w:cs="Arial" w:eastAsia="Arial" w:hAnsi="Arial"/>
                <w:sz w:val="18"/>
                <w:szCs w:val="18"/>
                <w:color w:val="auto"/>
              </w:rPr>
              <w:t>US$ 1,952,952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US$ 2,107,635</w:t>
            </w: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Certificates of deposits</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2,164,188</w:t>
            </w:r>
          </w:p>
        </w:tc>
        <w:tc>
          <w:tcPr>
            <w:tcW w:w="158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1,914,707</w:t>
            </w:r>
          </w:p>
        </w:tc>
        <w:tc>
          <w:tcPr>
            <w:tcW w:w="1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1,548,715</w:t>
            </w: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BCRP-Repo Transactions</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242,817</w:t>
            </w: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294,235</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w:t>
            </w:r>
          </w:p>
        </w:tc>
      </w:tr>
      <w:tr>
        <w:trPr>
          <w:trHeight w:val="216"/>
        </w:trPr>
        <w:tc>
          <w:tcPr>
            <w:tcW w:w="20" w:type="dxa"/>
            <w:vAlign w:val="bottom"/>
          </w:tcPr>
          <w:p>
            <w:pPr>
              <w:spacing w:after="0"/>
              <w:rPr>
                <w:sz w:val="18"/>
                <w:szCs w:val="18"/>
                <w:color w:val="auto"/>
              </w:rPr>
            </w:pPr>
          </w:p>
        </w:tc>
        <w:tc>
          <w:tcPr>
            <w:tcW w:w="69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funds at Central Bank</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US$ 4,205,586</w:t>
            </w:r>
          </w:p>
        </w:tc>
        <w:tc>
          <w:tcPr>
            <w:tcW w:w="60" w:type="dxa"/>
            <w:vAlign w:val="bottom"/>
            <w:shd w:val="clear" w:color="auto" w:fill="CCFFCC"/>
          </w:tcPr>
          <w:p>
            <w:pPr>
              <w:spacing w:after="0"/>
              <w:rPr>
                <w:sz w:val="18"/>
                <w:szCs w:val="18"/>
                <w:color w:val="auto"/>
              </w:rPr>
            </w:pPr>
          </w:p>
        </w:tc>
        <w:tc>
          <w:tcPr>
            <w:tcW w:w="1620" w:type="dxa"/>
            <w:vAlign w:val="bottom"/>
            <w:gridSpan w:val="3"/>
            <w:shd w:val="clear" w:color="auto" w:fill="CCFFCC"/>
          </w:tcPr>
          <w:p>
            <w:pPr>
              <w:ind w:left="120"/>
              <w:spacing w:after="0"/>
              <w:rPr>
                <w:sz w:val="20"/>
                <w:szCs w:val="20"/>
                <w:color w:val="auto"/>
              </w:rPr>
            </w:pPr>
            <w:r>
              <w:rPr>
                <w:rFonts w:ascii="Arial" w:cs="Arial" w:eastAsia="Arial" w:hAnsi="Arial"/>
                <w:sz w:val="18"/>
                <w:szCs w:val="18"/>
                <w:b w:val="1"/>
                <w:bCs w:val="1"/>
                <w:color w:val="auto"/>
              </w:rPr>
              <w:t>US$ 4,161,894</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w w:val="93"/>
              </w:rPr>
              <w:t>US$ 3,656,350</w:t>
            </w:r>
          </w:p>
        </w:tc>
      </w:tr>
      <w:tr>
        <w:trPr>
          <w:trHeight w:val="230"/>
        </w:trPr>
        <w:tc>
          <w:tcPr>
            <w:tcW w:w="20" w:type="dxa"/>
            <w:vAlign w:val="bottom"/>
          </w:tcPr>
          <w:p>
            <w:pPr>
              <w:spacing w:after="0"/>
              <w:rPr>
                <w:sz w:val="20"/>
                <w:szCs w:val="20"/>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Total funds at Central Bank of Perú as a percent of total deposits</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37.2%</w:t>
            </w:r>
          </w:p>
        </w:tc>
        <w:tc>
          <w:tcPr>
            <w:tcW w:w="1580" w:type="dxa"/>
            <w:vAlign w:val="bottom"/>
            <w:gridSpan w:val="3"/>
          </w:tcPr>
          <w:p>
            <w:pPr>
              <w:jc w:val="right"/>
              <w:ind w:right="12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r>
    </w:tbl>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at times has accessed Peru’s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1" w:name="page112"/>
    <w:bookmarkEnd w:id="111"/>
    <w:p>
      <w:pPr>
        <w:jc w:val="both"/>
        <w:ind w:firstLine="648"/>
        <w:spacing w:after="0" w:line="270" w:lineRule="auto"/>
        <w:rPr>
          <w:sz w:val="20"/>
          <w:szCs w:val="20"/>
          <w:color w:val="auto"/>
        </w:rPr>
      </w:pPr>
      <w:r>
        <w:rPr>
          <w:rFonts w:ascii="Arial" w:cs="Arial" w:eastAsia="Arial" w:hAnsi="Arial"/>
          <w:sz w:val="17"/>
          <w:szCs w:val="17"/>
          <w:color w:val="auto"/>
        </w:rPr>
        <w:t xml:space="preserve">On December 31, 2009, we had uncommitted credit lines with various banks, including long-term facilities that are mainly used for project financing, of which no significant amount was drawn down. The long-term facilities include funding from COFIDE, Corporación Andina de Fomento (or CAF), syndicated loans, and other international lenders. The transactions relating to these credit lines include import and export transactions and average annual rates (including Libor) vary from 0.73% to 12.0%. As of December 31, 2009, we maintain US$1,812.2 million in such credit lines, secured by the collection of BCP (including its foreign branches) future inflows from electronic messages sent through the Society for Worldwide Interbank Financial Telecommunications (SWIFT) network and utilized within the network to instruct correspondent banks to make a payment of a certain amount to a beneficiary that is not a financial institution. These funds have maturities of up to seven years.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13(a) and (b) to the Credicorp Consolidated Financial Statements. As of December 31, 2009, borrowed funds due to banks and correspondents amounted to US$2,256.6 million (includes US$1,089.2 million and US$1,167.4 million, respectively) as compared to US$2,330.7 million in 2008 (includes US$1,150.7 million and US$1,180.0 million, respectively) and US$2,323.7 million in 2007 (US$870 million and US$1,453 million, respectively).</w:t>
      </w:r>
    </w:p>
    <w:p>
      <w:pPr>
        <w:spacing w:after="0" w:line="20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mainly U.S. Dollar-denominated and have been issued with ten-year terms, with collateral established by real estate acquired through funded home mortgage loans. As of December 31, 2009, BCP had US$10.5 million of outstanding mortgage bonds and notes (US$15.3 million in 2008 and US$20.7 million in 2007). A source of funds specific to leasing operations are leasing bonds issued by lease financing companies, the terms of which are specified in the Peruvian leasing regulations. As of December 31, 2009, BCP had US$188.3 million of outstanding leasing bonds (US$217.9 million in 2008 and US$167.3 million in 2007). These bonds have maturities of up to nine years and bear higher interest than 360-day time deposits (7.11% versus 5.96%).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15 to the Credicorp Consolidated Financial Statements for a detailed breakdown of our issued bonds.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420" w:type="dxa"/>
            <w:vAlign w:val="bottom"/>
          </w:tcPr>
          <w:p>
            <w:pPr>
              <w:ind w:left="640"/>
              <w:spacing w:after="0"/>
              <w:rPr>
                <w:sz w:val="20"/>
                <w:szCs w:val="20"/>
                <w:color w:val="auto"/>
              </w:rPr>
            </w:pPr>
            <w:r>
              <w:rPr>
                <w:rFonts w:ascii="Arial" w:cs="Arial" w:eastAsia="Arial" w:hAnsi="Arial"/>
                <w:sz w:val="18"/>
                <w:szCs w:val="18"/>
                <w:color w:val="auto"/>
              </w:rPr>
              <w:t>The following table presents our issued bonds:</w:t>
            </w: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Years ended December 31,</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i w:val="1"/>
                <w:iCs w:val="1"/>
                <w:color w:val="auto"/>
                <w:w w:val="95"/>
              </w:rPr>
              <w:t>(U.S. Dollars in millions)</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Issued bonds</w:t>
            </w:r>
          </w:p>
        </w:tc>
        <w:tc>
          <w:tcPr>
            <w:tcW w:w="58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Corporate bonds</w:t>
            </w:r>
          </w:p>
        </w:tc>
        <w:tc>
          <w:tcPr>
            <w:tcW w:w="580" w:type="dxa"/>
            <w:vAlign w:val="bottom"/>
          </w:tcPr>
          <w:p>
            <w:pPr>
              <w:ind w:left="120"/>
              <w:spacing w:after="0"/>
              <w:rPr>
                <w:sz w:val="20"/>
                <w:szCs w:val="20"/>
                <w:color w:val="auto"/>
              </w:rPr>
            </w:pPr>
            <w:r>
              <w:rPr>
                <w:rFonts w:ascii="Arial" w:cs="Arial" w:eastAsia="Arial" w:hAnsi="Arial"/>
                <w:sz w:val="18"/>
                <w:szCs w:val="18"/>
                <w:color w:val="auto"/>
              </w:rPr>
              <w:t>US$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600" w:type="dxa"/>
            <w:vAlign w:val="bottom"/>
          </w:tcPr>
          <w:p>
            <w:pPr>
              <w:ind w:left="140"/>
              <w:spacing w:after="0"/>
              <w:rPr>
                <w:sz w:val="20"/>
                <w:szCs w:val="20"/>
                <w:color w:val="auto"/>
              </w:rPr>
            </w:pPr>
            <w:r>
              <w:rPr>
                <w:rFonts w:ascii="Arial" w:cs="Arial" w:eastAsia="Arial" w:hAnsi="Arial"/>
                <w:sz w:val="18"/>
                <w:szCs w:val="18"/>
                <w:color w:val="auto"/>
              </w:rPr>
              <w:t>US$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130.6</w:t>
            </w:r>
          </w:p>
        </w:tc>
        <w:tc>
          <w:tcPr>
            <w:tcW w:w="600" w:type="dxa"/>
            <w:vAlign w:val="bottom"/>
          </w:tcPr>
          <w:p>
            <w:pPr>
              <w:ind w:left="140"/>
              <w:spacing w:after="0"/>
              <w:rPr>
                <w:sz w:val="20"/>
                <w:szCs w:val="20"/>
                <w:color w:val="auto"/>
              </w:rPr>
            </w:pPr>
            <w:r>
              <w:rPr>
                <w:rFonts w:ascii="Arial" w:cs="Arial" w:eastAsia="Arial" w:hAnsi="Arial"/>
                <w:sz w:val="18"/>
                <w:szCs w:val="18"/>
                <w:color w:val="auto"/>
              </w:rPr>
              <w:t>US$</w:t>
            </w:r>
          </w:p>
        </w:tc>
        <w:tc>
          <w:tcPr>
            <w:tcW w:w="560" w:type="dxa"/>
            <w:vAlign w:val="bottom"/>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Leasing bonds</w:t>
            </w:r>
          </w:p>
        </w:tc>
        <w:tc>
          <w:tcPr>
            <w:tcW w:w="5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39.6</w:t>
            </w:r>
          </w:p>
        </w:tc>
        <w:tc>
          <w:tcPr>
            <w:tcW w:w="60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228.4</w:t>
            </w:r>
          </w:p>
        </w:tc>
        <w:tc>
          <w:tcPr>
            <w:tcW w:w="6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0.0</w:t>
            </w:r>
          </w:p>
        </w:tc>
        <w:tc>
          <w:tcPr>
            <w:tcW w:w="12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Subordinated bonds</w:t>
            </w:r>
          </w:p>
        </w:tc>
        <w:tc>
          <w:tcPr>
            <w:tcW w:w="5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6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113.8</w:t>
            </w: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Subordinated debt</w:t>
            </w:r>
          </w:p>
        </w:tc>
        <w:tc>
          <w:tcPr>
            <w:tcW w:w="5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161.3</w:t>
            </w:r>
          </w:p>
        </w:tc>
        <w:tc>
          <w:tcPr>
            <w:tcW w:w="60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0.0</w:t>
            </w:r>
          </w:p>
        </w:tc>
        <w:tc>
          <w:tcPr>
            <w:tcW w:w="6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CFFCC"/>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Total issuance</w:t>
            </w:r>
          </w:p>
        </w:tc>
        <w:tc>
          <w:tcPr>
            <w:tcW w:w="580" w:type="dxa"/>
            <w:vAlign w:val="bottom"/>
          </w:tcPr>
          <w:p>
            <w:pPr>
              <w:ind w:left="120"/>
              <w:spacing w:after="0"/>
              <w:rPr>
                <w:sz w:val="20"/>
                <w:szCs w:val="20"/>
                <w:color w:val="auto"/>
              </w:rPr>
            </w:pPr>
            <w:r>
              <w:rPr>
                <w:rFonts w:ascii="Arial" w:cs="Arial" w:eastAsia="Arial" w:hAnsi="Arial"/>
                <w:sz w:val="18"/>
                <w:szCs w:val="18"/>
                <w:b w:val="1"/>
                <w:bCs w:val="1"/>
                <w:color w:val="auto"/>
              </w:rPr>
              <w:t>US$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256.0</w:t>
            </w:r>
          </w:p>
        </w:tc>
        <w:tc>
          <w:tcPr>
            <w:tcW w:w="600" w:type="dxa"/>
            <w:vAlign w:val="bottom"/>
          </w:tcPr>
          <w:p>
            <w:pPr>
              <w:ind w:left="140"/>
              <w:spacing w:after="0"/>
              <w:rPr>
                <w:sz w:val="20"/>
                <w:szCs w:val="20"/>
                <w:color w:val="auto"/>
              </w:rPr>
            </w:pPr>
            <w:r>
              <w:rPr>
                <w:rFonts w:ascii="Arial" w:cs="Arial" w:eastAsia="Arial" w:hAnsi="Arial"/>
                <w:sz w:val="18"/>
                <w:szCs w:val="18"/>
                <w:b w:val="1"/>
                <w:bCs w:val="1"/>
                <w:color w:val="auto"/>
              </w:rPr>
              <w:t>US$</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359.0</w:t>
            </w:r>
          </w:p>
        </w:tc>
        <w:tc>
          <w:tcPr>
            <w:tcW w:w="600" w:type="dxa"/>
            <w:vAlign w:val="bottom"/>
          </w:tcPr>
          <w:p>
            <w:pPr>
              <w:ind w:left="140"/>
              <w:spacing w:after="0"/>
              <w:rPr>
                <w:sz w:val="20"/>
                <w:szCs w:val="20"/>
                <w:color w:val="auto"/>
              </w:rPr>
            </w:pPr>
            <w:r>
              <w:rPr>
                <w:rFonts w:ascii="Arial" w:cs="Arial" w:eastAsia="Arial" w:hAnsi="Arial"/>
                <w:sz w:val="18"/>
                <w:szCs w:val="18"/>
                <w:b w:val="1"/>
                <w:bCs w:val="1"/>
                <w:color w:val="auto"/>
              </w:rPr>
              <w:t>US$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556.1</w:t>
            </w:r>
          </w:p>
        </w:tc>
        <w:tc>
          <w:tcPr>
            <w:tcW w:w="120" w:type="dxa"/>
            <w:vAlign w:val="bottom"/>
          </w:tcPr>
          <w:p>
            <w:pPr>
              <w:spacing w:after="0"/>
              <w:rPr>
                <w:sz w:val="20"/>
                <w:szCs w:val="20"/>
                <w:color w:val="auto"/>
              </w:rPr>
            </w:pPr>
          </w:p>
        </w:tc>
      </w:tr>
    </w:tbl>
    <w:p>
      <w:pPr>
        <w:spacing w:after="0" w:line="21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November 2006 and October 2007, BCP, through its Panama branch, issued on the international market subordinated negotiable certificates notes in the aggregate amount of US$120.0 million due 2021 and US$161.3 million due 2022. These notes accrue at a fixed annual interest rate of 6.95% and 7.17%, respectively, for the first 10 years with interest payments every six months. After the first 10 years, the interest rate will change to a variable interest rate of Libor plus 2.79% and as established by the market interest rate of the Peruvian government-issued sovereign bonds maturing in 2037 plus 150 basis points, respectively, with quarterly and semi-annual payments. At the end of the first 10 years, the Bank may redeem 100% of the debt without penalty. These subordinated debt certificates include certain financial and operating covenants. In our management’s opinion, BCP is not in violation of any of these covenants as of the date of the consolidated balance sheet date.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2" w:name="page113"/>
    <w:bookmarkEnd w:id="112"/>
    <w:p>
      <w:pPr>
        <w:ind w:firstLine="648"/>
        <w:spacing w:after="0" w:line="291" w:lineRule="auto"/>
        <w:rPr>
          <w:sz w:val="20"/>
          <w:szCs w:val="20"/>
          <w:color w:val="auto"/>
        </w:rPr>
      </w:pPr>
      <w:r>
        <w:rPr>
          <w:rFonts w:ascii="Arial" w:cs="Arial" w:eastAsia="Arial" w:hAnsi="Arial"/>
          <w:sz w:val="16"/>
          <w:szCs w:val="16"/>
          <w:color w:val="auto"/>
        </w:rPr>
        <w:t>In November 2009, BCP through its Panama branch issued Junior Subordinated Notes for US$250.0 million in the international market with principal maturity on 2069. This debt accrues a fixed annual interest rate of 9.75 percent, for the first 10 years, with semiannual payments. After the first ten</w:t>
      </w:r>
    </w:p>
    <w:p>
      <w:pPr>
        <w:ind w:firstLine="8"/>
        <w:spacing w:after="0" w:line="261" w:lineRule="auto"/>
        <w:tabs>
          <w:tab w:leader="none" w:pos="35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years, in November 2019, interest rate will become variable, Libor 3 months plus 816.7 basis points, with quarterly payments; at that date and on any interest payment date, BCP can redeem 100 percent of the notes, without penalties and after fulfilling certain requirements.</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payments are non-cumulative such that, if an interest payment is not made in full or cancelled as set forth due to BCP’s rights to cancel interest payments, a mandatory prohibitions established by SBS, or if determines that BCP is in non-compliance with applicable minimum regulatory capital; the unpaid interest will not accrue or be due and payable at any time and shall not constitute an acceleration event. In those cases, BCP will not, and will not cause its majority owned subsidiaries to declare, pay or distribute a dividend for a period of time established since the interest payments are not cancelled. This debt does not have collateral and qualifies as Tier 1 capital for SBS regulations.</w:t>
      </w:r>
    </w:p>
    <w:p>
      <w:pPr>
        <w:spacing w:after="0" w:line="21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 Emisiones Latam 1 S.A. issued corporate bonds (Series A) for 2.7 million “Chilean Unidades de Fomento - UF”. We can redeem 100 percent of the bonds only if the legal reserve funds legislation and tax law, related to income tax and value added tax, change in Peru, Panama or Chile. This debt, subject to foreign exchange risk, has been hedged through CCS; as a result, these bonds were economically converted to US Dollars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Among the policies that we follow to ensure sufficient liquidity are the active management of interest rates and the active monitoring of market trends, in order to identify and provide for changes in the supply of deposits or the demand for loans.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sources of funds for PPS’s insurance operations are premiums and amounts earned on invested assets. The major uses of these funds are the payment of policyholder claims, benefits and related expenses, reinsurance costs, commissions and other operating costs. In general, PPS’s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PPS’s insurance operations.</w:t>
      </w:r>
    </w:p>
    <w:p>
      <w:pPr>
        <w:spacing w:after="0" w:line="200" w:lineRule="exact"/>
        <w:rPr>
          <w:sz w:val="20"/>
          <w:szCs w:val="20"/>
          <w:color w:val="auto"/>
        </w:rPr>
      </w:pPr>
    </w:p>
    <w:p>
      <w:pPr>
        <w:spacing w:after="0" w:line="254" w:lineRule="exact"/>
        <w:rPr>
          <w:sz w:val="20"/>
          <w:szCs w:val="20"/>
          <w:color w:val="auto"/>
        </w:rPr>
      </w:pPr>
    </w:p>
    <w:p>
      <w:pPr>
        <w:ind w:left="660" w:right="6580" w:hanging="652"/>
        <w:spacing w:after="0" w:line="564" w:lineRule="auto"/>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and Development, Patents and Licenses, Etc. </w:t>
      </w:r>
      <w:r>
        <w:rPr>
          <w:rFonts w:ascii="Arial" w:cs="Arial" w:eastAsia="Arial" w:hAnsi="Arial"/>
          <w:sz w:val="18"/>
          <w:szCs w:val="18"/>
          <w:color w:val="auto"/>
        </w:rPr>
        <w:t>Not applicable.</w:t>
      </w:r>
    </w:p>
    <w:p>
      <w:pPr>
        <w:spacing w:after="0" w:line="188" w:lineRule="exact"/>
        <w:rPr>
          <w:rFonts w:ascii="Arial" w:cs="Arial" w:eastAsia="Arial" w:hAnsi="Arial"/>
          <w:sz w:val="18"/>
          <w:szCs w:val="18"/>
          <w:b w:val="1"/>
          <w:bCs w:val="1"/>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5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expect that 2010 will resume a positive economic trend; however, the international environment still suggests some uncertainty. In particular, we expect that financial income will increase, mainly as a result of prioritizing retail operations with individuals and small companies, as well as improving strategies followed in 2009. In addition, credit risk is expected to remain low despite planned positive loan evolution and higher provision due to higher volume of loan portfolio. Furthermore, we plan to invest mainly in systems in order to improve our bank’s network to serve clients and optimize processes.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important factors to consider are the pressure on consumer protection regulation and elections in local, regional and central government authorities, which could impact our business in Peru.</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Bolivia, we expect that BCB will maintain its profitability although the political and economic environment, which involves a high level of uncertainty, is an important factor in this expectation.</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that in 2010, ASHC will maintain its low-risk investment strategy and overall good performance as that achieved in 2009. We expect continued growth of the assets under management, given the high quality service we offer.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3" w:name="page114"/>
    <w:bookmarkEnd w:id="113"/>
    <w:p>
      <w:pPr>
        <w:ind w:firstLine="648"/>
        <w:spacing w:after="0" w:line="277" w:lineRule="auto"/>
        <w:rPr>
          <w:sz w:val="20"/>
          <w:szCs w:val="20"/>
          <w:color w:val="auto"/>
        </w:rPr>
      </w:pPr>
      <w:r>
        <w:rPr>
          <w:rFonts w:ascii="Arial" w:cs="Arial" w:eastAsia="Arial" w:hAnsi="Arial"/>
          <w:sz w:val="18"/>
          <w:szCs w:val="18"/>
          <w:color w:val="auto"/>
        </w:rPr>
        <w:t>In our insurance business, we expect to raise the profitability of each product sell in branches, especially in the retail business. The insurance business continues to grow and is supported by the continued decrease in loss ratio experienced in the industry.</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 various contractual obligations as liabilities in our financial statements. We do not recognize other contractual arrangements, such as contingent credits contracts, as liabilities in our financial statements. These other contractual arrangements are required to be registered in off-balance sheet accounts. We enter into these off-balance sheet arrangements in the ordinary course of business in order to provide support to our clients and hedge some risks in our balance sheet and use guarantees, letters of credit, derivatives and swaps.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off-balance sheet arrangements as of December 31, 2007, 2008 and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6"/>
          </w:tcPr>
          <w:p>
            <w:pPr>
              <w:jc w:val="center"/>
              <w:ind w:left="270"/>
              <w:spacing w:after="0"/>
              <w:rPr>
                <w:sz w:val="20"/>
                <w:szCs w:val="20"/>
                <w:color w:val="auto"/>
              </w:rPr>
            </w:pPr>
            <w:r>
              <w:rPr>
                <w:rFonts w:ascii="Arial" w:cs="Arial" w:eastAsia="Arial" w:hAnsi="Arial"/>
                <w:sz w:val="18"/>
                <w:szCs w:val="18"/>
                <w:b w:val="1"/>
                <w:bCs w:val="1"/>
                <w:color w:val="auto"/>
                <w:w w:val="89"/>
              </w:rPr>
              <w:t>Year ended December 31,</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84"/>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6"/>
          </w:tcPr>
          <w:p>
            <w:pPr>
              <w:jc w:val="center"/>
              <w:ind w:left="290"/>
              <w:spacing w:after="0"/>
              <w:rPr>
                <w:sz w:val="20"/>
                <w:szCs w:val="20"/>
                <w:color w:val="auto"/>
              </w:rPr>
            </w:pPr>
            <w:r>
              <w:rPr>
                <w:rFonts w:ascii="Arial" w:cs="Arial" w:eastAsia="Arial" w:hAnsi="Arial"/>
                <w:sz w:val="18"/>
                <w:szCs w:val="18"/>
                <w:i w:val="1"/>
                <w:iCs w:val="1"/>
                <w:color w:val="auto"/>
                <w:w w:val="92"/>
              </w:rPr>
              <w:t>(U.S. Dollars in thousands)</w:t>
            </w:r>
          </w:p>
        </w:tc>
        <w:tc>
          <w:tcPr>
            <w:tcW w:w="8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w:t>
            </w: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Guarantees and stand by letters</w:t>
            </w:r>
          </w:p>
        </w:tc>
        <w:tc>
          <w:tcPr>
            <w:tcW w:w="440" w:type="dxa"/>
            <w:vAlign w:val="bottom"/>
          </w:tcPr>
          <w:p>
            <w:pPr>
              <w:ind w:left="120"/>
              <w:spacing w:after="0"/>
              <w:rPr>
                <w:sz w:val="20"/>
                <w:szCs w:val="20"/>
                <w:color w:val="auto"/>
              </w:rPr>
            </w:pPr>
            <w:r>
              <w:rPr>
                <w:rFonts w:ascii="Arial" w:cs="Arial" w:eastAsia="Arial" w:hAnsi="Arial"/>
                <w:sz w:val="18"/>
                <w:szCs w:val="18"/>
                <w:color w:val="auto"/>
                <w:w w:val="85"/>
              </w:rPr>
              <w:t>US$</w:t>
            </w:r>
          </w:p>
        </w:tc>
        <w:tc>
          <w:tcPr>
            <w:tcW w:w="800" w:type="dxa"/>
            <w:vAlign w:val="bottom"/>
          </w:tcPr>
          <w:p>
            <w:pPr>
              <w:ind w:left="80"/>
              <w:spacing w:after="0"/>
              <w:rPr>
                <w:sz w:val="20"/>
                <w:szCs w:val="20"/>
                <w:color w:val="auto"/>
              </w:rPr>
            </w:pPr>
            <w:r>
              <w:rPr>
                <w:rFonts w:ascii="Arial" w:cs="Arial" w:eastAsia="Arial" w:hAnsi="Arial"/>
                <w:sz w:val="18"/>
                <w:szCs w:val="18"/>
                <w:color w:val="auto"/>
                <w:w w:val="87"/>
              </w:rPr>
              <w:t>1,133,476</w:t>
            </w:r>
          </w:p>
        </w:tc>
        <w:tc>
          <w:tcPr>
            <w:tcW w:w="220" w:type="dxa"/>
            <w:vAlign w:val="bottom"/>
          </w:tcPr>
          <w:p>
            <w:pPr>
              <w:spacing w:after="0"/>
              <w:rPr>
                <w:sz w:val="18"/>
                <w:szCs w:val="18"/>
                <w:color w:val="auto"/>
              </w:rPr>
            </w:pPr>
          </w:p>
        </w:tc>
        <w:tc>
          <w:tcPr>
            <w:tcW w:w="460" w:type="dxa"/>
            <w:vAlign w:val="bottom"/>
          </w:tcPr>
          <w:p>
            <w:pPr>
              <w:ind w:left="120"/>
              <w:spacing w:after="0"/>
              <w:rPr>
                <w:sz w:val="20"/>
                <w:szCs w:val="20"/>
                <w:color w:val="auto"/>
              </w:rPr>
            </w:pPr>
            <w:r>
              <w:rPr>
                <w:rFonts w:ascii="Arial" w:cs="Arial" w:eastAsia="Arial" w:hAnsi="Arial"/>
                <w:sz w:val="18"/>
                <w:szCs w:val="18"/>
                <w:color w:val="auto"/>
                <w:w w:val="91"/>
              </w:rPr>
              <w:t>US$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1,506,506</w:t>
            </w:r>
          </w:p>
        </w:tc>
        <w:tc>
          <w:tcPr>
            <w:tcW w:w="460" w:type="dxa"/>
            <w:vAlign w:val="bottom"/>
          </w:tcPr>
          <w:p>
            <w:pPr>
              <w:ind w:left="140"/>
              <w:spacing w:after="0"/>
              <w:rPr>
                <w:sz w:val="20"/>
                <w:szCs w:val="20"/>
                <w:color w:val="auto"/>
              </w:rPr>
            </w:pPr>
            <w:r>
              <w:rPr>
                <w:rFonts w:ascii="Arial" w:cs="Arial" w:eastAsia="Arial" w:hAnsi="Arial"/>
                <w:sz w:val="18"/>
                <w:szCs w:val="18"/>
                <w:color w:val="auto"/>
                <w:w w:val="85"/>
              </w:rPr>
              <w:t>US$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2,108,761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44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431,049</w:t>
            </w:r>
          </w:p>
        </w:tc>
        <w:tc>
          <w:tcPr>
            <w:tcW w:w="460" w:type="dxa"/>
            <w:vAlign w:val="bottom"/>
            <w:shd w:val="clear" w:color="auto" w:fill="CCFFCC"/>
          </w:tcPr>
          <w:p>
            <w:pPr>
              <w:spacing w:after="0"/>
              <w:rPr>
                <w:sz w:val="19"/>
                <w:szCs w:val="19"/>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249,396</w:t>
            </w:r>
          </w:p>
        </w:tc>
        <w:tc>
          <w:tcPr>
            <w:tcW w:w="46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419,374</w:t>
            </w:r>
          </w:p>
        </w:tc>
        <w:tc>
          <w:tcPr>
            <w:tcW w:w="1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Sub Total</w:t>
            </w:r>
          </w:p>
        </w:tc>
        <w:tc>
          <w:tcPr>
            <w:tcW w:w="4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1,564,525</w:t>
            </w:r>
          </w:p>
        </w:tc>
        <w:tc>
          <w:tcPr>
            <w:tcW w:w="220" w:type="dxa"/>
            <w:vAlign w:val="bottom"/>
            <w:tcBorders>
              <w:top w:val="single" w:sz="8" w:color="CCFFC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1,755,902</w:t>
            </w:r>
          </w:p>
        </w:tc>
        <w:tc>
          <w:tcPr>
            <w:tcW w:w="220" w:type="dxa"/>
            <w:vAlign w:val="bottom"/>
            <w:tcBorders>
              <w:top w:val="single" w:sz="8" w:color="CCFFCC"/>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2,528,135</w:t>
            </w:r>
          </w:p>
        </w:tc>
        <w:tc>
          <w:tcPr>
            <w:tcW w:w="12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Responsibilities under credit line agreements</w:t>
            </w:r>
          </w:p>
        </w:tc>
        <w:tc>
          <w:tcPr>
            <w:tcW w:w="440" w:type="dxa"/>
            <w:vAlign w:val="bottom"/>
          </w:tcPr>
          <w:p>
            <w:pPr>
              <w:spacing w:after="0"/>
              <w:rPr>
                <w:sz w:val="18"/>
                <w:szCs w:val="18"/>
                <w:color w:val="auto"/>
              </w:rPr>
            </w:pPr>
          </w:p>
        </w:tc>
        <w:tc>
          <w:tcPr>
            <w:tcW w:w="1020" w:type="dxa"/>
            <w:vAlign w:val="bottom"/>
            <w:gridSpan w:val="2"/>
          </w:tcPr>
          <w:p>
            <w:pPr>
              <w:ind w:left="100"/>
              <w:spacing w:after="0"/>
              <w:rPr>
                <w:sz w:val="20"/>
                <w:szCs w:val="20"/>
                <w:color w:val="auto"/>
              </w:rPr>
            </w:pPr>
            <w:r>
              <w:rPr>
                <w:rFonts w:ascii="Arial" w:cs="Arial" w:eastAsia="Arial" w:hAnsi="Arial"/>
                <w:sz w:val="18"/>
                <w:szCs w:val="18"/>
                <w:color w:val="auto"/>
              </w:rPr>
              <w:t>1,082,115</w:t>
            </w:r>
          </w:p>
        </w:tc>
        <w:tc>
          <w:tcPr>
            <w:tcW w:w="4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1,234,964</w:t>
            </w: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1,557,674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Forward and options, net</w:t>
            </w:r>
          </w:p>
        </w:tc>
        <w:tc>
          <w:tcPr>
            <w:tcW w:w="4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(331,117)</w:t>
            </w:r>
          </w:p>
        </w:tc>
        <w:tc>
          <w:tcPr>
            <w:tcW w:w="46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627,600</w:t>
            </w:r>
          </w:p>
        </w:tc>
        <w:tc>
          <w:tcPr>
            <w:tcW w:w="4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Swap contracts (notional amount)</w:t>
            </w:r>
          </w:p>
        </w:tc>
        <w:tc>
          <w:tcPr>
            <w:tcW w:w="44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w w:val="87"/>
              </w:rPr>
              <w:t>1,446,813</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2,670,332</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3,156,013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8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6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6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ind w:left="120"/>
              <w:spacing w:after="0"/>
              <w:rPr>
                <w:sz w:val="20"/>
                <w:szCs w:val="20"/>
                <w:color w:val="auto"/>
              </w:rPr>
            </w:pPr>
            <w:r>
              <w:rPr>
                <w:rFonts w:ascii="Arial" w:cs="Arial" w:eastAsia="Arial" w:hAnsi="Arial"/>
                <w:sz w:val="18"/>
                <w:szCs w:val="18"/>
                <w:b w:val="1"/>
                <w:bCs w:val="1"/>
                <w:color w:val="auto"/>
                <w:w w:val="85"/>
              </w:rPr>
              <w:t>US$</w:t>
            </w:r>
          </w:p>
        </w:tc>
        <w:tc>
          <w:tcPr>
            <w:tcW w:w="800" w:type="dxa"/>
            <w:vAlign w:val="bottom"/>
          </w:tcPr>
          <w:p>
            <w:pPr>
              <w:ind w:left="80"/>
              <w:spacing w:after="0"/>
              <w:rPr>
                <w:sz w:val="20"/>
                <w:szCs w:val="20"/>
                <w:color w:val="auto"/>
              </w:rPr>
            </w:pPr>
            <w:r>
              <w:rPr>
                <w:rFonts w:ascii="Arial" w:cs="Arial" w:eastAsia="Arial" w:hAnsi="Arial"/>
                <w:sz w:val="18"/>
                <w:szCs w:val="18"/>
                <w:b w:val="1"/>
                <w:bCs w:val="1"/>
                <w:color w:val="auto"/>
                <w:w w:val="87"/>
              </w:rPr>
              <w:t>3,762,336</w:t>
            </w:r>
          </w:p>
        </w:tc>
        <w:tc>
          <w:tcPr>
            <w:tcW w:w="220" w:type="dxa"/>
            <w:vAlign w:val="bottom"/>
          </w:tcPr>
          <w:p>
            <w:pPr>
              <w:spacing w:after="0"/>
              <w:rPr>
                <w:sz w:val="20"/>
                <w:szCs w:val="20"/>
                <w:color w:val="auto"/>
              </w:rPr>
            </w:pPr>
          </w:p>
        </w:tc>
        <w:tc>
          <w:tcPr>
            <w:tcW w:w="460" w:type="dxa"/>
            <w:vAlign w:val="bottom"/>
          </w:tcPr>
          <w:p>
            <w:pPr>
              <w:ind w:left="120"/>
              <w:spacing w:after="0"/>
              <w:rPr>
                <w:sz w:val="20"/>
                <w:szCs w:val="20"/>
                <w:color w:val="auto"/>
              </w:rPr>
            </w:pPr>
            <w:r>
              <w:rPr>
                <w:rFonts w:ascii="Arial" w:cs="Arial" w:eastAsia="Arial" w:hAnsi="Arial"/>
                <w:sz w:val="18"/>
                <w:szCs w:val="18"/>
                <w:b w:val="1"/>
                <w:bCs w:val="1"/>
                <w:color w:val="auto"/>
                <w:w w:val="91"/>
              </w:rPr>
              <w:t>US$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7"/>
              </w:rPr>
              <w:t>6,288,798</w:t>
            </w:r>
          </w:p>
        </w:tc>
        <w:tc>
          <w:tcPr>
            <w:tcW w:w="460" w:type="dxa"/>
            <w:vAlign w:val="bottom"/>
          </w:tcPr>
          <w:p>
            <w:pPr>
              <w:ind w:left="140"/>
              <w:spacing w:after="0"/>
              <w:rPr>
                <w:sz w:val="20"/>
                <w:szCs w:val="20"/>
                <w:color w:val="auto"/>
              </w:rPr>
            </w:pPr>
            <w:r>
              <w:rPr>
                <w:rFonts w:ascii="Arial" w:cs="Arial" w:eastAsia="Arial" w:hAnsi="Arial"/>
                <w:sz w:val="18"/>
                <w:szCs w:val="18"/>
                <w:b w:val="1"/>
                <w:bCs w:val="1"/>
                <w:color w:val="auto"/>
                <w:w w:val="85"/>
              </w:rPr>
              <w:t>US$</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7,187,811</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normal course of its business, our banking subsidiaries are party to transactions with off-balance sheet risk. These transactions expose them to additional credit risks than those amounts recognized in the consolidated balance sheets.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 specified in the related contracts. We apply the same credit policies in making commitments and conditional obligations as we do for on-balance sheet instruments (</w:t>
      </w:r>
      <w:r>
        <w:rPr>
          <w:rFonts w:ascii="Arial" w:cs="Arial" w:eastAsia="Arial" w:hAnsi="Arial"/>
          <w:sz w:val="17"/>
          <w:szCs w:val="17"/>
          <w:i w:val="1"/>
          <w:iCs w:val="1"/>
          <w:color w:val="auto"/>
        </w:rPr>
        <w:t>see</w:t>
      </w:r>
      <w:r>
        <w:rPr>
          <w:rFonts w:ascii="Arial" w:cs="Arial" w:eastAsia="Arial" w:hAnsi="Arial"/>
          <w:sz w:val="17"/>
          <w:szCs w:val="17"/>
          <w:color w:val="auto"/>
        </w:rPr>
        <w:t xml:space="preserve"> note 6(a) to the Credicorp Consolidated Financial Statement), including the requirement to obtain collateral when necessary. The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has currency-forwards derivatives. Currency-forwards are commitments to buy or sell currency at a future date at a contracted price. Risk arises from the possibility that the counterparty to the transaction will not perform as agreed and from the changes in the prices of the underlying currencies. As of December 31, 2009 and 2008, the nominal amounts for forward currency purchase and sale agreements were approximately US$2,614.4 million and US$2,478.2 million, respectively, which in general have maturities of less than a year.</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agreements are entered into to satisfy client requirements and are recognized in the consolidated financial statements at their fair value. As of December 31, 2009, the forward contracts net position is an overbuy of U.S. Dollars of approximately US$78.4 million (oversell of approximately US$627.6 million as of December 31, 2008).</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4" w:name="page115"/>
    <w:bookmarkEnd w:id="114"/>
    <w:p>
      <w:pPr>
        <w:jc w:val="both"/>
        <w:ind w:firstLine="648"/>
        <w:spacing w:after="0" w:line="257" w:lineRule="auto"/>
        <w:rPr>
          <w:sz w:val="20"/>
          <w:szCs w:val="20"/>
          <w:color w:val="auto"/>
        </w:rPr>
      </w:pPr>
      <w:r>
        <w:rPr>
          <w:rFonts w:ascii="Arial" w:cs="Arial" w:eastAsia="Arial" w:hAnsi="Arial"/>
          <w:sz w:val="18"/>
          <w:szCs w:val="18"/>
          <w:color w:val="auto"/>
        </w:rPr>
        <w:t>Interest rate and currency swaps are derivatives contracts, where counterparties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2009, the notional amount of open interest rate and currency swap contracts was approximately US$2,597.1 million (approximately US$2,353.3 million as of December 31, 2008).</w:t>
      </w:r>
    </w:p>
    <w:p>
      <w:pPr>
        <w:spacing w:after="0" w:line="21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Cross-currency swap derivative contracts involve the exchange of interest payments based on two different currency principal balances and referenced interest rates. They generally also include the exchange of principal amounts at the start and/or end of the contract. As of December 31, 2009, the notional amount of cross-currency swap contracts were approximately US$558.9 million (approximately US$317.0 million as of December 31, 2008).</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As of December 31, 2009, the fair values of the asset and liability forward-exchange contracts and interest rate and cross-currency swaps amounted approximately to US$97.3 million and US$167.8 million, respectively (approximately US$79.3 million and US$256.8 million as of December 31, 2008) and are included under the caption “Other assets and other liabilities” of the consolidated balance sheets, respectively.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11(b) to the Credicorp Consolidated Financial Statements.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Credicorp enters into various contractual obligations that may require future cash payments. The following table summarizes our contractual obligations by remaining maturity as of December 31, 2009.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 Information on the Company—(B) Business Overview—(1) Introduction – Review of 2009.”</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7"/>
          </w:tcPr>
          <w:p>
            <w:pPr>
              <w:ind w:left="220"/>
              <w:spacing w:after="0"/>
              <w:rPr>
                <w:sz w:val="20"/>
                <w:szCs w:val="20"/>
                <w:color w:val="auto"/>
              </w:rPr>
            </w:pPr>
            <w:r>
              <w:rPr>
                <w:rFonts w:ascii="Arial" w:cs="Arial" w:eastAsia="Arial" w:hAnsi="Arial"/>
                <w:sz w:val="18"/>
                <w:szCs w:val="18"/>
                <w:b w:val="1"/>
                <w:bCs w:val="1"/>
                <w:color w:val="auto"/>
              </w:rPr>
              <w:t>Payments due by period</w:t>
            </w:r>
          </w:p>
        </w:tc>
        <w:tc>
          <w:tcPr>
            <w:tcW w:w="4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4480" w:type="dxa"/>
            <w:vAlign w:val="bottom"/>
          </w:tcPr>
          <w:p>
            <w:pPr>
              <w:spacing w:after="0"/>
              <w:rPr>
                <w:sz w:val="17"/>
                <w:szCs w:val="17"/>
                <w:color w:val="auto"/>
              </w:rPr>
            </w:pPr>
          </w:p>
        </w:tc>
        <w:tc>
          <w:tcPr>
            <w:tcW w:w="1520" w:type="dxa"/>
            <w:vAlign w:val="bottom"/>
            <w:gridSpan w:val="3"/>
          </w:tcPr>
          <w:p>
            <w:pPr>
              <w:jc w:val="center"/>
              <w:ind w:right="260"/>
              <w:spacing w:after="0" w:line="198" w:lineRule="exact"/>
              <w:rPr>
                <w:sz w:val="20"/>
                <w:szCs w:val="20"/>
                <w:color w:val="auto"/>
              </w:rPr>
            </w:pPr>
            <w:r>
              <w:rPr>
                <w:rFonts w:ascii="Arial" w:cs="Arial" w:eastAsia="Arial" w:hAnsi="Arial"/>
                <w:sz w:val="18"/>
                <w:szCs w:val="18"/>
                <w:b w:val="1"/>
                <w:bCs w:val="1"/>
                <w:color w:val="auto"/>
                <w:w w:val="90"/>
              </w:rPr>
              <w:t>Total at</w:t>
            </w: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480" w:type="dxa"/>
            <w:vAlign w:val="bottom"/>
          </w:tcPr>
          <w:p>
            <w:pPr>
              <w:spacing w:after="0"/>
              <w:rPr>
                <w:sz w:val="18"/>
                <w:szCs w:val="18"/>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December 31,</w:t>
            </w:r>
          </w:p>
        </w:tc>
        <w:tc>
          <w:tcPr>
            <w:tcW w:w="150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88"/>
              </w:rPr>
              <w:t>Less than</w:t>
            </w: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140"/>
              <w:spacing w:after="0"/>
              <w:rPr>
                <w:sz w:val="20"/>
                <w:szCs w:val="20"/>
                <w:color w:val="auto"/>
              </w:rPr>
            </w:pPr>
            <w:r>
              <w:rPr>
                <w:rFonts w:ascii="Arial" w:cs="Arial" w:eastAsia="Arial" w:hAnsi="Arial"/>
                <w:sz w:val="18"/>
                <w:szCs w:val="18"/>
                <w:b w:val="1"/>
                <w:bCs w:val="1"/>
                <w:color w:val="auto"/>
              </w:rPr>
              <w:t>More than</w:t>
            </w:r>
          </w:p>
        </w:tc>
      </w:tr>
      <w:tr>
        <w:trPr>
          <w:trHeight w:val="241"/>
        </w:trPr>
        <w:tc>
          <w:tcPr>
            <w:tcW w:w="448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2009</w:t>
            </w:r>
          </w:p>
        </w:tc>
        <w:tc>
          <w:tcPr>
            <w:tcW w:w="260" w:type="dxa"/>
            <w:vAlign w:val="bottom"/>
          </w:tcPr>
          <w:p>
            <w:pPr>
              <w:spacing w:after="0"/>
              <w:rPr>
                <w:sz w:val="20"/>
                <w:szCs w:val="20"/>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1 year</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1–3 years</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w w:val="99"/>
              </w:rPr>
              <w:t>3–5 years</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r>
      <w:tr>
        <w:trPr>
          <w:trHeight w:val="216"/>
        </w:trPr>
        <w:tc>
          <w:tcPr>
            <w:tcW w:w="4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ind w:left="400"/>
              <w:spacing w:after="0"/>
              <w:rPr>
                <w:sz w:val="20"/>
                <w:szCs w:val="20"/>
                <w:color w:val="auto"/>
              </w:rPr>
            </w:pPr>
            <w:r>
              <w:rPr>
                <w:rFonts w:ascii="Arial" w:cs="Arial" w:eastAsia="Arial" w:hAnsi="Arial"/>
                <w:sz w:val="18"/>
                <w:szCs w:val="18"/>
                <w:i w:val="1"/>
                <w:iCs w:val="1"/>
                <w:color w:val="auto"/>
                <w:w w:val="82"/>
              </w:rPr>
              <w:t>(U.S.</w:t>
            </w:r>
          </w:p>
        </w:tc>
        <w:tc>
          <w:tcPr>
            <w:tcW w:w="1680" w:type="dxa"/>
            <w:vAlign w:val="bottom"/>
            <w:gridSpan w:val="5"/>
          </w:tcPr>
          <w:p>
            <w:pPr>
              <w:ind w:left="60"/>
              <w:spacing w:after="0"/>
              <w:rPr>
                <w:sz w:val="20"/>
                <w:szCs w:val="20"/>
                <w:color w:val="auto"/>
              </w:rPr>
            </w:pPr>
            <w:r>
              <w:rPr>
                <w:rFonts w:ascii="Arial" w:cs="Arial" w:eastAsia="Arial" w:hAnsi="Arial"/>
                <w:sz w:val="18"/>
                <w:szCs w:val="18"/>
                <w:i w:val="1"/>
                <w:iCs w:val="1"/>
                <w:color w:val="auto"/>
                <w:w w:val="94"/>
              </w:rPr>
              <w:t>Dollars in thousands)</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2"/>
              </w:rPr>
              <w:t>2,140,960</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10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938,262</w:t>
            </w:r>
          </w:p>
        </w:tc>
        <w:tc>
          <w:tcPr>
            <w:tcW w:w="500" w:type="dxa"/>
            <w:vAlign w:val="bottom"/>
            <w:shd w:val="clear" w:color="auto" w:fill="CCFFCC"/>
          </w:tcPr>
          <w:p>
            <w:pPr>
              <w:ind w:left="140"/>
              <w:spacing w:after="0"/>
              <w:rPr>
                <w:sz w:val="20"/>
                <w:szCs w:val="20"/>
                <w:color w:val="auto"/>
              </w:rPr>
            </w:pPr>
            <w:r>
              <w:rPr>
                <w:rFonts w:ascii="Arial" w:cs="Arial" w:eastAsia="Arial" w:hAnsi="Arial"/>
                <w:sz w:val="18"/>
                <w:szCs w:val="18"/>
                <w:color w:val="auto"/>
                <w:w w:val="96"/>
              </w:rPr>
              <w:t>US$</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5"/>
              </w:rPr>
              <w:t>588,593</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ind w:left="40"/>
              <w:spacing w:after="0"/>
              <w:rPr>
                <w:sz w:val="20"/>
                <w:szCs w:val="20"/>
                <w:color w:val="auto"/>
              </w:rPr>
            </w:pPr>
            <w:r>
              <w:rPr>
                <w:rFonts w:ascii="Arial" w:cs="Arial" w:eastAsia="Arial" w:hAnsi="Arial"/>
                <w:sz w:val="18"/>
                <w:szCs w:val="18"/>
                <w:color w:val="auto"/>
                <w:w w:val="96"/>
              </w:rPr>
              <w:t>US$</w:t>
            </w: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5"/>
              </w:rPr>
              <w:t>330,755</w:t>
            </w:r>
          </w:p>
        </w:tc>
        <w:tc>
          <w:tcPr>
            <w:tcW w:w="480" w:type="dxa"/>
            <w:vAlign w:val="bottom"/>
            <w:shd w:val="clear" w:color="auto" w:fill="CCFFCC"/>
          </w:tcPr>
          <w:p>
            <w:pPr>
              <w:ind w:left="120"/>
              <w:spacing w:after="0"/>
              <w:rPr>
                <w:sz w:val="20"/>
                <w:szCs w:val="20"/>
                <w:color w:val="auto"/>
              </w:rPr>
            </w:pPr>
            <w:r>
              <w:rPr>
                <w:rFonts w:ascii="Arial" w:cs="Arial" w:eastAsia="Arial" w:hAnsi="Arial"/>
                <w:sz w:val="18"/>
                <w:szCs w:val="18"/>
                <w:color w:val="auto"/>
                <w:w w:val="96"/>
              </w:rPr>
              <w:t>US$</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283,350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Promotional credit lines</w:t>
            </w: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81,550</w:t>
            </w:r>
          </w:p>
        </w:tc>
        <w:tc>
          <w:tcPr>
            <w:tcW w:w="50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rPr>
              <w:t>4,819</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16,291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12,590</w:t>
            </w: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47,850</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5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29,031</w:t>
            </w:r>
          </w:p>
        </w:tc>
        <w:tc>
          <w:tcPr>
            <w:tcW w:w="5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29,031</w:t>
            </w:r>
          </w:p>
        </w:tc>
        <w:tc>
          <w:tcPr>
            <w:tcW w:w="5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Time deposits</w:t>
            </w:r>
          </w:p>
        </w:tc>
        <w:tc>
          <w:tcPr>
            <w:tcW w:w="5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4,751,861</w:t>
            </w:r>
          </w:p>
        </w:tc>
        <w:tc>
          <w:tcPr>
            <w:tcW w:w="500" w:type="dxa"/>
            <w:vAlign w:val="bottom"/>
          </w:tcPr>
          <w:p>
            <w:pPr>
              <w:spacing w:after="0"/>
              <w:rPr>
                <w:sz w:val="18"/>
                <w:szCs w:val="18"/>
                <w:color w:val="auto"/>
              </w:rPr>
            </w:pPr>
          </w:p>
        </w:tc>
        <w:tc>
          <w:tcPr>
            <w:tcW w:w="1000" w:type="dxa"/>
            <w:vAlign w:val="bottom"/>
            <w:gridSpan w:val="2"/>
          </w:tcPr>
          <w:p>
            <w:pPr>
              <w:jc w:val="right"/>
              <w:ind w:right="150"/>
              <w:spacing w:after="0"/>
              <w:rPr>
                <w:sz w:val="20"/>
                <w:szCs w:val="20"/>
                <w:color w:val="auto"/>
              </w:rPr>
            </w:pPr>
            <w:r>
              <w:rPr>
                <w:rFonts w:ascii="Arial" w:cs="Arial" w:eastAsia="Arial" w:hAnsi="Arial"/>
                <w:sz w:val="18"/>
                <w:szCs w:val="18"/>
                <w:color w:val="auto"/>
                <w:w w:val="92"/>
              </w:rPr>
              <w:t>4,519,104</w:t>
            </w:r>
          </w:p>
        </w:tc>
        <w:tc>
          <w:tcPr>
            <w:tcW w:w="5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147,135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82,088</w:t>
            </w:r>
          </w:p>
        </w:tc>
        <w:tc>
          <w:tcPr>
            <w:tcW w:w="4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3,534</w:t>
            </w: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Operating lease obligations</w:t>
            </w:r>
          </w:p>
        </w:tc>
        <w:tc>
          <w:tcPr>
            <w:tcW w:w="5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62,380</w:t>
            </w:r>
          </w:p>
        </w:tc>
        <w:tc>
          <w:tcPr>
            <w:tcW w:w="5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12,305</w:t>
            </w:r>
          </w:p>
        </w:tc>
        <w:tc>
          <w:tcPr>
            <w:tcW w:w="5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18,714</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13,323</w:t>
            </w:r>
          </w:p>
        </w:tc>
        <w:tc>
          <w:tcPr>
            <w:tcW w:w="480" w:type="dxa"/>
            <w:vAlign w:val="bottom"/>
            <w:shd w:val="clear" w:color="auto" w:fill="CCFFCC"/>
          </w:tcPr>
          <w:p>
            <w:pPr>
              <w:spacing w:after="0"/>
              <w:rPr>
                <w:sz w:val="18"/>
                <w:szCs w:val="18"/>
                <w:color w:val="auto"/>
              </w:rPr>
            </w:pP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18,038</w:t>
            </w:r>
          </w:p>
        </w:tc>
      </w:tr>
      <w:tr>
        <w:trPr>
          <w:trHeight w:val="234"/>
        </w:trPr>
        <w:tc>
          <w:tcPr>
            <w:tcW w:w="44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96"/>
              </w:rPr>
              <w:t>US$</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7,065,782</w:t>
            </w:r>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96"/>
              </w:rPr>
              <w:t>US$</w:t>
            </w:r>
          </w:p>
        </w:tc>
        <w:tc>
          <w:tcPr>
            <w:tcW w:w="10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2"/>
              </w:rPr>
              <w:t>5,503,521</w:t>
            </w:r>
          </w:p>
        </w:tc>
        <w:tc>
          <w:tcPr>
            <w:tcW w:w="500" w:type="dxa"/>
            <w:vAlign w:val="bottom"/>
          </w:tcPr>
          <w:p>
            <w:pPr>
              <w:ind w:left="140"/>
              <w:spacing w:after="0"/>
              <w:rPr>
                <w:sz w:val="20"/>
                <w:szCs w:val="20"/>
                <w:color w:val="auto"/>
              </w:rPr>
            </w:pPr>
            <w:r>
              <w:rPr>
                <w:rFonts w:ascii="Arial" w:cs="Arial" w:eastAsia="Arial" w:hAnsi="Arial"/>
                <w:sz w:val="18"/>
                <w:szCs w:val="18"/>
                <w:b w:val="1"/>
                <w:bCs w:val="1"/>
                <w:color w:val="auto"/>
                <w:w w:val="96"/>
              </w:rPr>
              <w:t>US$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770,733</w:t>
            </w:r>
          </w:p>
        </w:tc>
        <w:tc>
          <w:tcPr>
            <w:tcW w:w="80" w:type="dxa"/>
            <w:vAlign w:val="bottom"/>
          </w:tcPr>
          <w:p>
            <w:pPr>
              <w:spacing w:after="0"/>
              <w:rPr>
                <w:sz w:val="20"/>
                <w:szCs w:val="20"/>
                <w:color w:val="auto"/>
              </w:rPr>
            </w:pPr>
          </w:p>
        </w:tc>
        <w:tc>
          <w:tcPr>
            <w:tcW w:w="400" w:type="dxa"/>
            <w:vAlign w:val="bottom"/>
          </w:tcPr>
          <w:p>
            <w:pPr>
              <w:ind w:left="40"/>
              <w:spacing w:after="0"/>
              <w:rPr>
                <w:sz w:val="20"/>
                <w:szCs w:val="20"/>
                <w:color w:val="auto"/>
              </w:rPr>
            </w:pPr>
            <w:r>
              <w:rPr>
                <w:rFonts w:ascii="Arial" w:cs="Arial" w:eastAsia="Arial" w:hAnsi="Arial"/>
                <w:sz w:val="18"/>
                <w:szCs w:val="18"/>
                <w:b w:val="1"/>
                <w:bCs w:val="1"/>
                <w:color w:val="auto"/>
                <w:w w:val="96"/>
              </w:rPr>
              <w:t>US$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5"/>
              </w:rPr>
              <w:t>438,756</w:t>
            </w:r>
          </w:p>
        </w:tc>
        <w:tc>
          <w:tcPr>
            <w:tcW w:w="480" w:type="dxa"/>
            <w:vAlign w:val="bottom"/>
          </w:tcPr>
          <w:p>
            <w:pPr>
              <w:ind w:left="120"/>
              <w:spacing w:after="0"/>
              <w:rPr>
                <w:sz w:val="20"/>
                <w:szCs w:val="20"/>
                <w:color w:val="auto"/>
              </w:rPr>
            </w:pPr>
            <w:r>
              <w:rPr>
                <w:rFonts w:ascii="Arial" w:cs="Arial" w:eastAsia="Arial" w:hAnsi="Arial"/>
                <w:sz w:val="18"/>
                <w:szCs w:val="18"/>
                <w:b w:val="1"/>
                <w:bCs w:val="1"/>
                <w:color w:val="auto"/>
                <w:w w:val="96"/>
              </w:rPr>
              <w:t>US$</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352,772</w:t>
            </w:r>
          </w:p>
        </w:tc>
      </w:tr>
    </w:tbl>
    <w:p>
      <w:pPr>
        <w:spacing w:after="0" w:line="21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Borrowed funds include US$1,089.2 million secured by the collection of BCP’s (including its foreign branches) future inflows from electronic messages sent through the Society for Worldwide Interbank Financial Telecommunications network and utilized within the network to instruct correspondent banks to make a payment of a certain amount to a beneficiary that is not a financial institution.</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Borrowed funds also include US$410.0 million obtained from diverse international financial entities, with maturity due within three years and an interest rate of Libor plus 0.70% during the first year, Libor plus 0.75% during the second year and Libor plus 0.85% during the third year. The syndicated loan, subject to variable interest rate risk, has been hedged through interest rate swap operations for a notional amount of US$410.0 million with the same maturities.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Loans obtained include the obligation to comply with certain covenants which, in our management’s opinion, are being fulfilled at the consolidated balance sheet dates.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5" w:name="page116"/>
    <w:bookmarkEnd w:id="115"/>
    <w:p>
      <w:pPr>
        <w:ind w:firstLine="648"/>
        <w:spacing w:after="0" w:line="277" w:lineRule="auto"/>
        <w:rPr>
          <w:sz w:val="20"/>
          <w:szCs w:val="20"/>
          <w:color w:val="auto"/>
        </w:rPr>
      </w:pPr>
      <w:r>
        <w:rPr>
          <w:rFonts w:ascii="Arial" w:cs="Arial" w:eastAsia="Arial" w:hAnsi="Arial"/>
          <w:sz w:val="18"/>
          <w:szCs w:val="18"/>
          <w:color w:val="auto"/>
        </w:rPr>
        <w:t>BCP has signed an insurance policy with AMBAC Assurance Corporation, which guarantees the timely payment of scheduled principal and certain accrued interest of all of the 2006 and 2007 issuances.</w:t>
      </w:r>
    </w:p>
    <w:p>
      <w:pPr>
        <w:spacing w:after="0" w:line="19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Some of international funds include standard covenants related to financial ratios, use of funds and other administrative matters. In our management’s opinion, these covenants do not limit our operations and we have fully complied with them as of the consolidated balance sheet dates.</w:t>
      </w:r>
    </w:p>
    <w:p>
      <w:pPr>
        <w:spacing w:after="0" w:line="174"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Promotional credit lines include standard covenants related to financial ratios, use of funds and other administrative matters. In our management’s opinion, these covenants do not limit our operations and we have fully complied with them as of the consolidated balance sheet dates.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deposits and obligations are widely diversified with no significant concentrations.</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52" w:lineRule="exact"/>
        <w:rPr>
          <w:sz w:val="20"/>
          <w:szCs w:val="20"/>
          <w:color w:val="auto"/>
        </w:rPr>
      </w:pPr>
    </w:p>
    <w:p>
      <w:pPr>
        <w:ind w:left="660" w:right="8120" w:hanging="652"/>
        <w:spacing w:after="0" w:line="534" w:lineRule="auto"/>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Directors and Senior Management </w:t>
      </w:r>
      <w:r>
        <w:rPr>
          <w:rFonts w:ascii="Arial" w:cs="Arial" w:eastAsia="Arial" w:hAnsi="Arial"/>
          <w:sz w:val="18"/>
          <w:szCs w:val="18"/>
          <w:i w:val="1"/>
          <w:iCs w:val="1"/>
          <w:color w:val="auto"/>
        </w:rPr>
        <w:t>Board of Directors</w:t>
      </w:r>
    </w:p>
    <w:p>
      <w:pPr>
        <w:spacing w:after="0" w:line="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our current directors: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94"/>
        </w:trPr>
        <w:tc>
          <w:tcPr>
            <w:tcW w:w="20" w:type="dxa"/>
            <w:vAlign w:val="bottom"/>
          </w:tcPr>
          <w:p>
            <w:pPr>
              <w:spacing w:after="0"/>
              <w:rPr>
                <w:sz w:val="24"/>
                <w:szCs w:val="24"/>
                <w:color w:val="auto"/>
              </w:rPr>
            </w:pPr>
          </w:p>
        </w:tc>
        <w:tc>
          <w:tcPr>
            <w:tcW w:w="3020" w:type="dxa"/>
            <w:vAlign w:val="bottom"/>
            <w:tcBorders>
              <w:bottom w:val="single" w:sz="8" w:color="auto"/>
            </w:tcBorders>
          </w:tcPr>
          <w:p>
            <w:pPr>
              <w:ind w:left="1280"/>
              <w:spacing w:after="0"/>
              <w:rPr>
                <w:sz w:val="20"/>
                <w:szCs w:val="20"/>
                <w:color w:val="auto"/>
              </w:rPr>
            </w:pPr>
            <w:r>
              <w:rPr>
                <w:rFonts w:ascii="Arial" w:cs="Arial" w:eastAsia="Arial" w:hAnsi="Arial"/>
                <w:sz w:val="18"/>
                <w:szCs w:val="18"/>
                <w:b w:val="1"/>
                <w:bCs w:val="1"/>
                <w:color w:val="auto"/>
              </w:rPr>
              <w:t>Name</w:t>
            </w:r>
          </w:p>
        </w:tc>
        <w:tc>
          <w:tcPr>
            <w:tcW w:w="360" w:type="dxa"/>
            <w:vAlign w:val="bottom"/>
          </w:tcPr>
          <w:p>
            <w:pPr>
              <w:spacing w:after="0"/>
              <w:rPr>
                <w:sz w:val="24"/>
                <w:szCs w:val="2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340" w:type="dxa"/>
            <w:vAlign w:val="bottom"/>
          </w:tcPr>
          <w:p>
            <w:pPr>
              <w:spacing w:after="0"/>
              <w:rPr>
                <w:sz w:val="24"/>
                <w:szCs w:val="24"/>
                <w:color w:val="auto"/>
              </w:rPr>
            </w:pPr>
          </w:p>
        </w:tc>
        <w:tc>
          <w:tcPr>
            <w:tcW w:w="320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Years served as a Director</w:t>
            </w:r>
            <w:r>
              <w:rPr>
                <w:rFonts w:ascii="Arial" w:cs="Arial" w:eastAsia="Arial" w:hAnsi="Arial"/>
                <w:sz w:val="25"/>
                <w:szCs w:val="25"/>
                <w:color w:val="auto"/>
                <w:vertAlign w:val="superscript"/>
              </w:rPr>
              <w:t>(1)</w:t>
            </w:r>
          </w:p>
        </w:tc>
      </w:tr>
      <w:tr>
        <w:trPr>
          <w:trHeight w:val="216"/>
        </w:trPr>
        <w:tc>
          <w:tcPr>
            <w:tcW w:w="20" w:type="dxa"/>
            <w:vAlign w:val="bottom"/>
          </w:tcPr>
          <w:p>
            <w:pPr>
              <w:spacing w:after="0"/>
              <w:rPr>
                <w:sz w:val="18"/>
                <w:szCs w:val="18"/>
                <w:color w:val="auto"/>
              </w:rPr>
            </w:pPr>
          </w:p>
        </w:tc>
        <w:tc>
          <w:tcPr>
            <w:tcW w:w="3020" w:type="dxa"/>
            <w:vAlign w:val="bottom"/>
            <w:shd w:val="clear" w:color="auto" w:fill="C0FFC0"/>
          </w:tcPr>
          <w:p>
            <w:pPr>
              <w:spacing w:after="0"/>
              <w:rPr>
                <w:sz w:val="20"/>
                <w:szCs w:val="20"/>
                <w:color w:val="auto"/>
              </w:rPr>
            </w:pPr>
            <w:r>
              <w:rPr>
                <w:rFonts w:ascii="Arial" w:cs="Arial" w:eastAsia="Arial" w:hAnsi="Arial"/>
                <w:sz w:val="18"/>
                <w:szCs w:val="18"/>
                <w:color w:val="auto"/>
              </w:rPr>
              <w:t>Dionisio Romero Paoletti</w:t>
            </w:r>
          </w:p>
        </w:tc>
        <w:tc>
          <w:tcPr>
            <w:tcW w:w="360" w:type="dxa"/>
            <w:vAlign w:val="bottom"/>
            <w:shd w:val="clear" w:color="auto" w:fill="C0FFC0"/>
          </w:tcPr>
          <w:p>
            <w:pPr>
              <w:spacing w:after="0"/>
              <w:rPr>
                <w:sz w:val="18"/>
                <w:szCs w:val="18"/>
                <w:color w:val="auto"/>
              </w:rPr>
            </w:pPr>
          </w:p>
        </w:tc>
        <w:tc>
          <w:tcPr>
            <w:tcW w:w="174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89"/>
              </w:rPr>
              <w:t>Chairman</w:t>
            </w:r>
          </w:p>
        </w:tc>
        <w:tc>
          <w:tcPr>
            <w:tcW w:w="3540" w:type="dxa"/>
            <w:vAlign w:val="bottom"/>
            <w:gridSpan w:val="2"/>
            <w:shd w:val="clear" w:color="auto" w:fill="C0FFC0"/>
          </w:tcPr>
          <w:p>
            <w:pPr>
              <w:jc w:val="center"/>
              <w:ind w:left="250"/>
              <w:spacing w:after="0"/>
              <w:rPr>
                <w:sz w:val="20"/>
                <w:szCs w:val="20"/>
                <w:color w:val="auto"/>
              </w:rPr>
            </w:pPr>
            <w:r>
              <w:rPr>
                <w:rFonts w:ascii="Arial" w:cs="Arial" w:eastAsia="Arial" w:hAnsi="Arial"/>
                <w:sz w:val="18"/>
                <w:szCs w:val="18"/>
                <w:color w:val="auto"/>
                <w:w w:val="79"/>
              </w:rPr>
              <w:t>6</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Raimundo Morales</w:t>
            </w:r>
          </w:p>
        </w:tc>
        <w:tc>
          <w:tcPr>
            <w:tcW w:w="3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3"/>
              </w:rPr>
              <w:t>Vice Chairman</w:t>
            </w:r>
          </w:p>
        </w:tc>
        <w:tc>
          <w:tcPr>
            <w:tcW w:w="354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2</w:t>
            </w:r>
          </w:p>
        </w:tc>
      </w:tr>
      <w:tr>
        <w:trPr>
          <w:trHeight w:val="216"/>
        </w:trPr>
        <w:tc>
          <w:tcPr>
            <w:tcW w:w="20" w:type="dxa"/>
            <w:vAlign w:val="bottom"/>
          </w:tcPr>
          <w:p>
            <w:pPr>
              <w:spacing w:after="0"/>
              <w:rPr>
                <w:sz w:val="18"/>
                <w:szCs w:val="18"/>
                <w:color w:val="auto"/>
              </w:rPr>
            </w:pPr>
          </w:p>
        </w:tc>
        <w:tc>
          <w:tcPr>
            <w:tcW w:w="3020" w:type="dxa"/>
            <w:vAlign w:val="bottom"/>
            <w:shd w:val="clear" w:color="auto" w:fill="C0FFC0"/>
          </w:tcPr>
          <w:p>
            <w:pPr>
              <w:spacing w:after="0"/>
              <w:rPr>
                <w:sz w:val="20"/>
                <w:szCs w:val="20"/>
                <w:color w:val="auto"/>
              </w:rPr>
            </w:pPr>
            <w:r>
              <w:rPr>
                <w:rFonts w:ascii="Arial" w:cs="Arial" w:eastAsia="Arial" w:hAnsi="Arial"/>
                <w:sz w:val="18"/>
                <w:szCs w:val="18"/>
                <w:color w:val="auto"/>
              </w:rPr>
              <w:t>Fernando Fort</w:t>
            </w:r>
          </w:p>
        </w:tc>
        <w:tc>
          <w:tcPr>
            <w:tcW w:w="360" w:type="dxa"/>
            <w:vAlign w:val="bottom"/>
            <w:shd w:val="clear" w:color="auto" w:fill="C0FFC0"/>
          </w:tcPr>
          <w:p>
            <w:pPr>
              <w:spacing w:after="0"/>
              <w:rPr>
                <w:sz w:val="18"/>
                <w:szCs w:val="18"/>
                <w:color w:val="auto"/>
              </w:rPr>
            </w:pPr>
          </w:p>
        </w:tc>
        <w:tc>
          <w:tcPr>
            <w:tcW w:w="174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shd w:val="clear" w:color="auto" w:fill="C0FFC0"/>
          </w:tcPr>
          <w:p>
            <w:pPr>
              <w:jc w:val="center"/>
              <w:ind w:left="230"/>
              <w:spacing w:after="0"/>
              <w:rPr>
                <w:sz w:val="20"/>
                <w:szCs w:val="20"/>
                <w:color w:val="auto"/>
              </w:rPr>
            </w:pPr>
            <w:r>
              <w:rPr>
                <w:rFonts w:ascii="Arial" w:cs="Arial" w:eastAsia="Arial" w:hAnsi="Arial"/>
                <w:sz w:val="18"/>
                <w:szCs w:val="18"/>
                <w:color w:val="auto"/>
                <w:w w:val="89"/>
              </w:rPr>
              <w:t>28</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Reynaldo Llosa</w:t>
            </w:r>
          </w:p>
        </w:tc>
        <w:tc>
          <w:tcPr>
            <w:tcW w:w="3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27</w:t>
            </w:r>
          </w:p>
        </w:tc>
      </w:tr>
      <w:tr>
        <w:trPr>
          <w:trHeight w:val="216"/>
        </w:trPr>
        <w:tc>
          <w:tcPr>
            <w:tcW w:w="20" w:type="dxa"/>
            <w:vAlign w:val="bottom"/>
          </w:tcPr>
          <w:p>
            <w:pPr>
              <w:spacing w:after="0"/>
              <w:rPr>
                <w:sz w:val="18"/>
                <w:szCs w:val="18"/>
                <w:color w:val="auto"/>
              </w:rPr>
            </w:pPr>
          </w:p>
        </w:tc>
        <w:tc>
          <w:tcPr>
            <w:tcW w:w="3020" w:type="dxa"/>
            <w:vAlign w:val="bottom"/>
            <w:shd w:val="clear" w:color="auto" w:fill="C0FFC0"/>
          </w:tcPr>
          <w:p>
            <w:pPr>
              <w:spacing w:after="0"/>
              <w:rPr>
                <w:sz w:val="20"/>
                <w:szCs w:val="20"/>
                <w:color w:val="auto"/>
              </w:rPr>
            </w:pPr>
            <w:r>
              <w:rPr>
                <w:rFonts w:ascii="Arial" w:cs="Arial" w:eastAsia="Arial" w:hAnsi="Arial"/>
                <w:sz w:val="18"/>
                <w:szCs w:val="18"/>
                <w:color w:val="auto"/>
              </w:rPr>
              <w:t>Juan Carlos Verme</w:t>
            </w:r>
          </w:p>
        </w:tc>
        <w:tc>
          <w:tcPr>
            <w:tcW w:w="360" w:type="dxa"/>
            <w:vAlign w:val="bottom"/>
            <w:shd w:val="clear" w:color="auto" w:fill="C0FFC0"/>
          </w:tcPr>
          <w:p>
            <w:pPr>
              <w:spacing w:after="0"/>
              <w:rPr>
                <w:sz w:val="18"/>
                <w:szCs w:val="18"/>
                <w:color w:val="auto"/>
              </w:rPr>
            </w:pPr>
          </w:p>
        </w:tc>
        <w:tc>
          <w:tcPr>
            <w:tcW w:w="174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shd w:val="clear" w:color="auto" w:fill="C0FFC0"/>
          </w:tcPr>
          <w:p>
            <w:pPr>
              <w:jc w:val="center"/>
              <w:ind w:left="230"/>
              <w:spacing w:after="0"/>
              <w:rPr>
                <w:sz w:val="20"/>
                <w:szCs w:val="20"/>
                <w:color w:val="auto"/>
              </w:rPr>
            </w:pPr>
            <w:r>
              <w:rPr>
                <w:rFonts w:ascii="Arial" w:cs="Arial" w:eastAsia="Arial" w:hAnsi="Arial"/>
                <w:sz w:val="18"/>
                <w:szCs w:val="18"/>
                <w:color w:val="auto"/>
                <w:w w:val="89"/>
              </w:rPr>
              <w:t>20</w:t>
            </w:r>
          </w:p>
        </w:tc>
      </w:tr>
      <w:tr>
        <w:trPr>
          <w:trHeight w:val="216"/>
        </w:trPr>
        <w:tc>
          <w:tcPr>
            <w:tcW w:w="2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Luis Enrique Yarur</w:t>
            </w:r>
          </w:p>
        </w:tc>
        <w:tc>
          <w:tcPr>
            <w:tcW w:w="360" w:type="dxa"/>
            <w:vAlign w:val="bottom"/>
          </w:tcPr>
          <w:p>
            <w:pPr>
              <w:spacing w:after="0"/>
              <w:rPr>
                <w:sz w:val="18"/>
                <w:szCs w:val="18"/>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14</w:t>
            </w:r>
          </w:p>
        </w:tc>
      </w:tr>
      <w:tr>
        <w:trPr>
          <w:trHeight w:val="216"/>
        </w:trPr>
        <w:tc>
          <w:tcPr>
            <w:tcW w:w="20" w:type="dxa"/>
            <w:vAlign w:val="bottom"/>
          </w:tcPr>
          <w:p>
            <w:pPr>
              <w:spacing w:after="0"/>
              <w:rPr>
                <w:sz w:val="18"/>
                <w:szCs w:val="18"/>
                <w:color w:val="auto"/>
              </w:rPr>
            </w:pPr>
          </w:p>
        </w:tc>
        <w:tc>
          <w:tcPr>
            <w:tcW w:w="3020" w:type="dxa"/>
            <w:vAlign w:val="bottom"/>
            <w:shd w:val="clear" w:color="auto" w:fill="C0FFC0"/>
          </w:tcPr>
          <w:p>
            <w:pPr>
              <w:spacing w:after="0"/>
              <w:rPr>
                <w:sz w:val="20"/>
                <w:szCs w:val="20"/>
                <w:color w:val="auto"/>
              </w:rPr>
            </w:pPr>
            <w:r>
              <w:rPr>
                <w:rFonts w:ascii="Arial" w:cs="Arial" w:eastAsia="Arial" w:hAnsi="Arial"/>
                <w:sz w:val="18"/>
                <w:szCs w:val="18"/>
                <w:color w:val="auto"/>
              </w:rPr>
              <w:t>Felipe Ortiz de Zevallos</w:t>
            </w:r>
          </w:p>
        </w:tc>
        <w:tc>
          <w:tcPr>
            <w:tcW w:w="360" w:type="dxa"/>
            <w:vAlign w:val="bottom"/>
            <w:shd w:val="clear" w:color="auto" w:fill="C0FFC0"/>
          </w:tcPr>
          <w:p>
            <w:pPr>
              <w:spacing w:after="0"/>
              <w:rPr>
                <w:sz w:val="18"/>
                <w:szCs w:val="18"/>
                <w:color w:val="auto"/>
              </w:rPr>
            </w:pPr>
          </w:p>
        </w:tc>
        <w:tc>
          <w:tcPr>
            <w:tcW w:w="174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shd w:val="clear" w:color="auto" w:fill="C0FFC0"/>
          </w:tcPr>
          <w:p>
            <w:pPr>
              <w:jc w:val="center"/>
              <w:ind w:left="250"/>
              <w:spacing w:after="0"/>
              <w:rPr>
                <w:sz w:val="20"/>
                <w:szCs w:val="20"/>
                <w:color w:val="auto"/>
              </w:rPr>
            </w:pPr>
            <w:r>
              <w:rPr>
                <w:rFonts w:ascii="Arial" w:cs="Arial" w:eastAsia="Arial" w:hAnsi="Arial"/>
                <w:sz w:val="18"/>
                <w:szCs w:val="18"/>
                <w:color w:val="auto"/>
                <w:w w:val="79"/>
              </w:rPr>
              <w:t>5</w:t>
            </w:r>
          </w:p>
        </w:tc>
      </w:tr>
      <w:tr>
        <w:trPr>
          <w:trHeight w:val="230"/>
        </w:trPr>
        <w:tc>
          <w:tcPr>
            <w:tcW w:w="2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Arial" w:cs="Arial" w:eastAsia="Arial" w:hAnsi="Arial"/>
                <w:sz w:val="18"/>
                <w:szCs w:val="18"/>
                <w:color w:val="auto"/>
              </w:rPr>
              <w:t>Germán Suárez</w:t>
            </w:r>
          </w:p>
        </w:tc>
        <w:tc>
          <w:tcPr>
            <w:tcW w:w="36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3540" w:type="dxa"/>
            <w:vAlign w:val="bottom"/>
            <w:gridSpan w:val="2"/>
          </w:tcPr>
          <w:p>
            <w:pPr>
              <w:jc w:val="center"/>
              <w:ind w:left="250"/>
              <w:spacing w:after="0"/>
              <w:rPr>
                <w:sz w:val="20"/>
                <w:szCs w:val="20"/>
                <w:color w:val="auto"/>
              </w:rPr>
            </w:pPr>
            <w:r>
              <w:rPr>
                <w:rFonts w:ascii="Arial" w:cs="Arial" w:eastAsia="Arial" w:hAnsi="Arial"/>
                <w:sz w:val="18"/>
                <w:szCs w:val="18"/>
                <w:color w:val="auto"/>
                <w:w w:val="79"/>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55225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(1)  Of Credicorp, our subsidiaries and their predecessors as of December 31, 2009.</w:t>
      </w:r>
    </w:p>
    <w:p>
      <w:pPr>
        <w:spacing w:after="0" w:line="25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Dionisio Romero Paoletti </w:t>
      </w:r>
      <w:r>
        <w:rPr>
          <w:rFonts w:ascii="Arial" w:cs="Arial" w:eastAsia="Arial" w:hAnsi="Arial"/>
          <w:sz w:val="17"/>
          <w:szCs w:val="17"/>
          <w:color w:val="auto"/>
        </w:rPr>
        <w:t>is the Chairman of the Board of Directors and Chief Executive Officer. He is an economist from Brown University with a</w:t>
      </w:r>
      <w:r>
        <w:rPr>
          <w:rFonts w:ascii="Arial" w:cs="Arial" w:eastAsia="Arial" w:hAnsi="Arial"/>
          <w:sz w:val="17"/>
          <w:szCs w:val="17"/>
          <w:i w:val="1"/>
          <w:iCs w:val="1"/>
          <w:color w:val="auto"/>
        </w:rPr>
        <w:t xml:space="preserve"> </w:t>
      </w:r>
      <w:r>
        <w:rPr>
          <w:rFonts w:ascii="Arial" w:cs="Arial" w:eastAsia="Arial" w:hAnsi="Arial"/>
          <w:sz w:val="17"/>
          <w:szCs w:val="17"/>
          <w:color w:val="auto"/>
        </w:rPr>
        <w:t>Master’s degree in Business Administration from Stanford University. Mr. Romero P. has served as a board member of Banco de Crédito since 2003 and was appointed Vice Chairman in 2008. Mr. Romero P. has also been the Chairman of Grupo Romero’s companies and has been Vice Chairman of the Board of Inversiones Centenario and Director of Cementos Pacasmayo since March 2005. Mr. Romero P. was appointed as Chairman of our Board and of the Board of Banco de Crédito in March 2009. He is the son of Mr. Dionisio Romero Seminario.</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Raimundo Morales </w:t>
      </w:r>
      <w:r>
        <w:rPr>
          <w:rFonts w:ascii="Arial" w:cs="Arial" w:eastAsia="Arial" w:hAnsi="Arial"/>
          <w:sz w:val="18"/>
          <w:szCs w:val="18"/>
          <w:color w:val="auto"/>
        </w:rPr>
        <w:t>has been the Vice Chairman of the Board of Directors since April 2008. Prior to being elected to the Board of Directors,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Chief Operating Officer and General Manager of BCP, having joined BCP in 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the General Manager in 1990. Mr. Morales received his Master’s degree in Finance from the Wharton School of Business in the United States.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6" w:name="page117"/>
    <w:bookmarkEnd w:id="116"/>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Fernando Fort </w:t>
      </w:r>
      <w:r>
        <w:rPr>
          <w:rFonts w:ascii="Arial" w:cs="Arial" w:eastAsia="Arial" w:hAnsi="Arial"/>
          <w:sz w:val="16"/>
          <w:szCs w:val="16"/>
          <w:color w:val="auto"/>
        </w:rPr>
        <w:t>is a lawyer and partner at the law firm of Fort Bertorini Godoy Pollari &amp; Carcelen Abogados S.A. Mr. Fort served as a director of</w:t>
      </w:r>
      <w:r>
        <w:rPr>
          <w:rFonts w:ascii="Arial" w:cs="Arial" w:eastAsia="Arial" w:hAnsi="Arial"/>
          <w:sz w:val="16"/>
          <w:szCs w:val="16"/>
          <w:i w:val="1"/>
          <w:iCs w:val="1"/>
          <w:color w:val="auto"/>
        </w:rPr>
        <w:t xml:space="preserve"> </w:t>
      </w:r>
      <w:r>
        <w:rPr>
          <w:rFonts w:ascii="Arial" w:cs="Arial" w:eastAsia="Arial" w:hAnsi="Arial"/>
          <w:sz w:val="16"/>
          <w:szCs w:val="16"/>
          <w:color w:val="auto"/>
        </w:rPr>
        <w:t>Banco de Crédito del Perú from 1979 to 1987 and from March 1990 to the present. Since March 2009, he has served on our Board of Directors and on the board of directors of ASB, BCB and BCP’s subsidiaries. Mr. Fort also serves as a director on the Board of Inversiones Centenario and Edelnor S.A.A.</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i w:val="1"/>
          <w:iCs w:val="1"/>
          <w:color w:val="auto"/>
        </w:rPr>
        <w:t xml:space="preserve">Reynaldo Llosa </w:t>
      </w:r>
      <w:r>
        <w:rPr>
          <w:rFonts w:ascii="Arial" w:cs="Arial" w:eastAsia="Arial" w:hAnsi="Arial"/>
          <w:sz w:val="17"/>
          <w:szCs w:val="17"/>
          <w:color w:val="auto"/>
        </w:rPr>
        <w:t>is a business manager and since August 1995 has been a director on our board of directors and on the boards of ASB, BCB, Pacífico</w:t>
      </w:r>
      <w:r>
        <w:rPr>
          <w:rFonts w:ascii="Arial" w:cs="Arial" w:eastAsia="Arial" w:hAnsi="Arial"/>
          <w:sz w:val="17"/>
          <w:szCs w:val="17"/>
          <w:i w:val="1"/>
          <w:iCs w:val="1"/>
          <w:color w:val="auto"/>
        </w:rPr>
        <w:t xml:space="preserve"> </w:t>
      </w:r>
      <w:r>
        <w:rPr>
          <w:rFonts w:ascii="Arial" w:cs="Arial" w:eastAsia="Arial" w:hAnsi="Arial"/>
          <w:sz w:val="17"/>
          <w:szCs w:val="17"/>
          <w:color w:val="auto"/>
        </w:rPr>
        <w:t>Peruano Suiza and BCP’s subsidiaries. He has also been a director of BCP from 1980 to October 1987 and from March 1990 to the present. Mr. Llosa is the main partner and general manager of F.N. Jones S.R. Ltda. and serves as a Director on the boards of Edelnor S.A.A. and Distrilima.</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i w:val="1"/>
          <w:iCs w:val="1"/>
          <w:color w:val="auto"/>
        </w:rPr>
        <w:t xml:space="preserve">Juan Carlos Verme </w:t>
      </w:r>
      <w:r>
        <w:rPr>
          <w:rFonts w:ascii="Arial" w:cs="Arial" w:eastAsia="Arial" w:hAnsi="Arial"/>
          <w:sz w:val="16"/>
          <w:szCs w:val="16"/>
          <w:color w:val="auto"/>
        </w:rPr>
        <w:t>is a businessman and has served on the Board of Directors since August 1995. He has served on the board directors of BCP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March 1990 and is also on the board of directors of ASB and BCB. Mr. Verme is Chairman of Inversiones Centenario and he also serves as a member of the Board of some of BCP’s subsidiaries (Creditítulos S.A., Credifondo S.A.C., and Solución Financiera de Crédito del Perú S.A). He is a director of the Asamblea General de Asociados del Patronato del Museo de Arte de Lima (the General Assembly of Patron Members of the Lima Art Museum).</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 xml:space="preserve">Luis Enrique Yarur </w:t>
      </w:r>
      <w:r>
        <w:rPr>
          <w:rFonts w:ascii="Arial" w:cs="Arial" w:eastAsia="Arial" w:hAnsi="Arial"/>
          <w:sz w:val="17"/>
          <w:szCs w:val="17"/>
          <w:color w:val="auto"/>
        </w:rPr>
        <w:t>is a businessman with an undergraduate degree in law and graduate degrees in economics and management. He has served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Board of Directors since October 2002 as well as the board of directors of BCP since February 1995. Mr. Yarur is Chairman of the Board of Empresas Juan Yarur S. A. C., Banco de Crédito e Inversiones of Chile, BCI Seguros Generales S.A, BCI Seguros de Vida S.A., Chairman of Empresas Jordan S.A. and Vice-Chairman of Empresas Lourdes S.A. He is Vice-President of the Asociación de Bancos e Instituciones Financieras A. G., a member of the International Advisory Board IESE, España and director of the Bolsa de Comercio de Santiago.</w:t>
      </w:r>
    </w:p>
    <w:p>
      <w:pPr>
        <w:spacing w:after="0" w:line="20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Felipe Ortiz de Zevallos </w:t>
      </w:r>
      <w:r>
        <w:rPr>
          <w:rFonts w:ascii="Arial" w:cs="Arial" w:eastAsia="Arial" w:hAnsi="Arial"/>
          <w:sz w:val="18"/>
          <w:szCs w:val="18"/>
          <w:color w:val="auto"/>
        </w:rPr>
        <w:t>is an industrial engineer with a Master’s degree in Management Science from Rochester University and a degree in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from Harvard Business School. Mr. Ortiz de Zevallos has served on the Board of Directors since March 2005. He also serves as a director on the boards of BCP, Grupo Apoyo (where he is the Chairman), Compañía de Minas Buenaventura S.A., Sociedad Minera el Brocal S.A.A., AC Capitales SAFI, HTA Perú SAC, and AC Pública. From September 2006 until March 2009, Felipe Ortiz de Zevallos was Peru’s Ambassador to the United States. Prior to becoming Peru’s Ambassador to the United States, Mr. Zevallos served as the President of Universidad del Pacífico in Lima (elected for the period 2004-2009).</w:t>
      </w:r>
    </w:p>
    <w:p>
      <w:pPr>
        <w:spacing w:after="0" w:line="22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Germán Suárez </w:t>
      </w:r>
      <w:r>
        <w:rPr>
          <w:rFonts w:ascii="Arial" w:cs="Arial" w:eastAsia="Arial" w:hAnsi="Arial"/>
          <w:sz w:val="18"/>
          <w:szCs w:val="18"/>
          <w:color w:val="auto"/>
        </w:rPr>
        <w:t>is an economist with a Master’s degree in Economics from Columbia University. Mr. Suárez was elected to the Board of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2005. Mr. Suárez was President and Chairman of the Board of Banco Central de Reserva del Perú from 1992 to 2001, and serves as a director on the boards of BCP and Compañía de Minas Buenaventura S.A.</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Dawna L. Ferguson is Credicorp’s Secretary. Fernando Palao was our Assistant Secretary until December 31, 2009 and Mario Ferrari was appointed as the new Assistant Secretary. Credicorp’s resident representative in Bermuda is Nicholas G. Trollope.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i w:val="1"/>
          <w:iCs w:val="1"/>
          <w:color w:val="auto"/>
        </w:rPr>
        <w:t>Executive Officers</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Pursuant to Credicorp’s bye-laws, the Board of Directors has the power to delegate its power over day-to-day management to one or more directors, officers, employees or agents. The following table sets forth information concerning our principal executive officers.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87"/>
              </w:rPr>
              <w:t>Years Served as</w:t>
            </w:r>
          </w:p>
        </w:tc>
      </w:tr>
      <w:tr>
        <w:trPr>
          <w:trHeight w:val="241"/>
        </w:trPr>
        <w:tc>
          <w:tcPr>
            <w:tcW w:w="20" w:type="dxa"/>
            <w:vAlign w:val="bottom"/>
          </w:tcPr>
          <w:p>
            <w:pPr>
              <w:spacing w:after="0"/>
              <w:rPr>
                <w:sz w:val="20"/>
                <w:szCs w:val="20"/>
                <w:color w:val="auto"/>
              </w:rPr>
            </w:pPr>
          </w:p>
        </w:tc>
        <w:tc>
          <w:tcPr>
            <w:tcW w:w="256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Name</w:t>
            </w:r>
          </w:p>
        </w:tc>
        <w:tc>
          <w:tcPr>
            <w:tcW w:w="500" w:type="dxa"/>
            <w:vAlign w:val="bottom"/>
          </w:tcPr>
          <w:p>
            <w:pPr>
              <w:spacing w:after="0"/>
              <w:rPr>
                <w:sz w:val="20"/>
                <w:szCs w:val="20"/>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Position</w:t>
            </w:r>
          </w:p>
        </w:tc>
        <w:tc>
          <w:tcPr>
            <w:tcW w:w="500" w:type="dxa"/>
            <w:vAlign w:val="bottom"/>
          </w:tcPr>
          <w:p>
            <w:pPr>
              <w:spacing w:after="0"/>
              <w:rPr>
                <w:sz w:val="20"/>
                <w:szCs w:val="20"/>
                <w:color w:val="auto"/>
              </w:rPr>
            </w:pPr>
          </w:p>
        </w:tc>
        <w:tc>
          <w:tcPr>
            <w:tcW w:w="2580" w:type="dxa"/>
            <w:vAlign w:val="bottom"/>
            <w:tcBorders>
              <w:bottom w:val="single" w:sz="8" w:color="auto"/>
            </w:tcBorders>
          </w:tcPr>
          <w:p>
            <w:pPr>
              <w:jc w:val="center"/>
              <w:spacing w:after="0" w:line="234" w:lineRule="exact"/>
              <w:rPr>
                <w:sz w:val="20"/>
                <w:szCs w:val="20"/>
                <w:color w:val="auto"/>
              </w:rPr>
            </w:pPr>
            <w:r>
              <w:rPr>
                <w:rFonts w:ascii="Arial" w:cs="Arial" w:eastAsia="Arial" w:hAnsi="Arial"/>
                <w:sz w:val="18"/>
                <w:szCs w:val="18"/>
                <w:b w:val="1"/>
                <w:bCs w:val="1"/>
                <w:color w:val="auto"/>
                <w:w w:val="89"/>
              </w:rPr>
              <w:t>an Officer</w:t>
            </w:r>
            <w:r>
              <w:rPr>
                <w:rFonts w:ascii="Arial" w:cs="Arial" w:eastAsia="Arial" w:hAnsi="Arial"/>
                <w:sz w:val="25"/>
                <w:szCs w:val="25"/>
                <w:color w:val="auto"/>
                <w:w w:val="89"/>
                <w:vertAlign w:val="superscript"/>
              </w:rPr>
              <w:t>(1)</w:t>
            </w:r>
          </w:p>
        </w:tc>
      </w:tr>
      <w:tr>
        <w:trPr>
          <w:trHeight w:val="216"/>
        </w:trPr>
        <w:tc>
          <w:tcPr>
            <w:tcW w:w="20" w:type="dxa"/>
            <w:vAlign w:val="bottom"/>
          </w:tcPr>
          <w:p>
            <w:pPr>
              <w:spacing w:after="0"/>
              <w:rPr>
                <w:sz w:val="18"/>
                <w:szCs w:val="18"/>
                <w:color w:val="auto"/>
              </w:rPr>
            </w:pPr>
          </w:p>
        </w:tc>
        <w:tc>
          <w:tcPr>
            <w:tcW w:w="2560" w:type="dxa"/>
            <w:vAlign w:val="bottom"/>
            <w:shd w:val="clear" w:color="auto" w:fill="C0FFC0"/>
          </w:tcPr>
          <w:p>
            <w:pPr>
              <w:spacing w:after="0"/>
              <w:rPr>
                <w:sz w:val="20"/>
                <w:szCs w:val="20"/>
                <w:color w:val="auto"/>
              </w:rPr>
            </w:pPr>
            <w:r>
              <w:rPr>
                <w:rFonts w:ascii="Arial" w:cs="Arial" w:eastAsia="Arial" w:hAnsi="Arial"/>
                <w:sz w:val="18"/>
                <w:szCs w:val="18"/>
                <w:color w:val="auto"/>
              </w:rPr>
              <w:t>Dionisio Romero P.</w:t>
            </w:r>
          </w:p>
        </w:tc>
        <w:tc>
          <w:tcPr>
            <w:tcW w:w="500" w:type="dxa"/>
            <w:vAlign w:val="bottom"/>
            <w:shd w:val="clear" w:color="auto" w:fill="C0FFC0"/>
          </w:tcPr>
          <w:p>
            <w:pPr>
              <w:spacing w:after="0"/>
              <w:rPr>
                <w:sz w:val="18"/>
                <w:szCs w:val="18"/>
                <w:color w:val="auto"/>
              </w:rPr>
            </w:pPr>
          </w:p>
        </w:tc>
        <w:tc>
          <w:tcPr>
            <w:tcW w:w="412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3"/>
              </w:rPr>
              <w:t>Chief Executive Officer</w:t>
            </w:r>
          </w:p>
        </w:tc>
        <w:tc>
          <w:tcPr>
            <w:tcW w:w="3080" w:type="dxa"/>
            <w:vAlign w:val="bottom"/>
            <w:gridSpan w:val="2"/>
            <w:shd w:val="clear" w:color="auto" w:fill="C0FFC0"/>
          </w:tcPr>
          <w:p>
            <w:pPr>
              <w:jc w:val="center"/>
              <w:ind w:left="410"/>
              <w:spacing w:after="0"/>
              <w:rPr>
                <w:sz w:val="20"/>
                <w:szCs w:val="20"/>
                <w:color w:val="auto"/>
              </w:rPr>
            </w:pPr>
            <w:r>
              <w:rPr>
                <w:rFonts w:ascii="Arial" w:cs="Arial" w:eastAsia="Arial" w:hAnsi="Arial"/>
                <w:sz w:val="18"/>
                <w:szCs w:val="18"/>
                <w:color w:val="auto"/>
                <w:w w:val="99"/>
              </w:rPr>
              <w:t>1</w:t>
            </w: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Walter Bayly</w:t>
            </w:r>
          </w:p>
        </w:tc>
        <w:tc>
          <w:tcPr>
            <w:tcW w:w="500" w:type="dxa"/>
            <w:vAlign w:val="bottom"/>
          </w:tcPr>
          <w:p>
            <w:pPr>
              <w:spacing w:after="0"/>
              <w:rPr>
                <w:sz w:val="18"/>
                <w:szCs w:val="18"/>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88"/>
              </w:rPr>
              <w:t>General Manager</w:t>
            </w:r>
          </w:p>
        </w:tc>
        <w:tc>
          <w:tcPr>
            <w:tcW w:w="30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17</w:t>
            </w:r>
          </w:p>
        </w:tc>
      </w:tr>
      <w:tr>
        <w:trPr>
          <w:trHeight w:val="216"/>
        </w:trPr>
        <w:tc>
          <w:tcPr>
            <w:tcW w:w="20" w:type="dxa"/>
            <w:vAlign w:val="bottom"/>
          </w:tcPr>
          <w:p>
            <w:pPr>
              <w:spacing w:after="0"/>
              <w:rPr>
                <w:sz w:val="18"/>
                <w:szCs w:val="18"/>
                <w:color w:val="auto"/>
              </w:rPr>
            </w:pPr>
          </w:p>
        </w:tc>
        <w:tc>
          <w:tcPr>
            <w:tcW w:w="2560" w:type="dxa"/>
            <w:vAlign w:val="bottom"/>
            <w:shd w:val="clear" w:color="auto" w:fill="C0FFC0"/>
          </w:tcPr>
          <w:p>
            <w:pPr>
              <w:spacing w:after="0"/>
              <w:rPr>
                <w:sz w:val="20"/>
                <w:szCs w:val="20"/>
                <w:color w:val="auto"/>
              </w:rPr>
            </w:pPr>
            <w:r>
              <w:rPr>
                <w:rFonts w:ascii="Arial" w:cs="Arial" w:eastAsia="Arial" w:hAnsi="Arial"/>
                <w:sz w:val="18"/>
                <w:szCs w:val="18"/>
                <w:color w:val="auto"/>
              </w:rPr>
              <w:t>Alvaro Correa</w:t>
            </w:r>
          </w:p>
        </w:tc>
        <w:tc>
          <w:tcPr>
            <w:tcW w:w="500" w:type="dxa"/>
            <w:vAlign w:val="bottom"/>
            <w:shd w:val="clear" w:color="auto" w:fill="C0FFC0"/>
          </w:tcPr>
          <w:p>
            <w:pPr>
              <w:spacing w:after="0"/>
              <w:rPr>
                <w:sz w:val="18"/>
                <w:szCs w:val="18"/>
                <w:color w:val="auto"/>
              </w:rPr>
            </w:pPr>
          </w:p>
        </w:tc>
        <w:tc>
          <w:tcPr>
            <w:tcW w:w="4120" w:type="dxa"/>
            <w:vAlign w:val="bottom"/>
            <w:shd w:val="clear" w:color="auto" w:fill="C0FFC0"/>
          </w:tcPr>
          <w:p>
            <w:pPr>
              <w:jc w:val="center"/>
              <w:spacing w:after="0"/>
              <w:rPr>
                <w:sz w:val="20"/>
                <w:szCs w:val="20"/>
                <w:color w:val="auto"/>
              </w:rPr>
            </w:pPr>
            <w:r>
              <w:rPr>
                <w:rFonts w:ascii="Arial" w:cs="Arial" w:eastAsia="Arial" w:hAnsi="Arial"/>
                <w:sz w:val="18"/>
                <w:szCs w:val="18"/>
                <w:color w:val="auto"/>
                <w:w w:val="94"/>
              </w:rPr>
              <w:t>Chief Financial Officer</w:t>
            </w:r>
          </w:p>
        </w:tc>
        <w:tc>
          <w:tcPr>
            <w:tcW w:w="3080" w:type="dxa"/>
            <w:vAlign w:val="bottom"/>
            <w:gridSpan w:val="2"/>
            <w:shd w:val="clear" w:color="auto" w:fill="C0FFC0"/>
          </w:tcPr>
          <w:p>
            <w:pPr>
              <w:jc w:val="center"/>
              <w:ind w:left="410"/>
              <w:spacing w:after="0"/>
              <w:rPr>
                <w:sz w:val="20"/>
                <w:szCs w:val="20"/>
                <w:color w:val="auto"/>
              </w:rPr>
            </w:pPr>
            <w:r>
              <w:rPr>
                <w:rFonts w:ascii="Arial" w:cs="Arial" w:eastAsia="Arial" w:hAnsi="Arial"/>
                <w:sz w:val="18"/>
                <w:szCs w:val="18"/>
                <w:color w:val="auto"/>
                <w:w w:val="89"/>
              </w:rPr>
              <w:t>13</w:t>
            </w:r>
          </w:p>
        </w:tc>
      </w:tr>
      <w:tr>
        <w:trPr>
          <w:trHeight w:val="230"/>
        </w:trPr>
        <w:tc>
          <w:tcPr>
            <w:tcW w:w="20" w:type="dxa"/>
            <w:vAlign w:val="bottom"/>
          </w:tcPr>
          <w:p>
            <w:pPr>
              <w:spacing w:after="0"/>
              <w:rPr>
                <w:sz w:val="20"/>
                <w:szCs w:val="20"/>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David Saettone</w:t>
            </w:r>
          </w:p>
        </w:tc>
        <w:tc>
          <w:tcPr>
            <w:tcW w:w="500" w:type="dxa"/>
            <w:vAlign w:val="bottom"/>
          </w:tcPr>
          <w:p>
            <w:pPr>
              <w:spacing w:after="0"/>
              <w:rPr>
                <w:sz w:val="20"/>
                <w:szCs w:val="20"/>
                <w:color w:val="auto"/>
              </w:rPr>
            </w:pPr>
          </w:p>
        </w:tc>
        <w:tc>
          <w:tcPr>
            <w:tcW w:w="4120" w:type="dxa"/>
            <w:vAlign w:val="bottom"/>
          </w:tcPr>
          <w:p>
            <w:pPr>
              <w:jc w:val="center"/>
              <w:spacing w:after="0"/>
              <w:rPr>
                <w:sz w:val="20"/>
                <w:szCs w:val="20"/>
                <w:color w:val="auto"/>
              </w:rPr>
            </w:pPr>
            <w:r>
              <w:rPr>
                <w:rFonts w:ascii="Arial" w:cs="Arial" w:eastAsia="Arial" w:hAnsi="Arial"/>
                <w:sz w:val="18"/>
                <w:szCs w:val="18"/>
                <w:color w:val="auto"/>
                <w:w w:val="93"/>
              </w:rPr>
              <w:t>Chief Insurance Officer</w:t>
            </w:r>
          </w:p>
        </w:tc>
        <w:tc>
          <w:tcPr>
            <w:tcW w:w="3080" w:type="dxa"/>
            <w:vAlign w:val="bottom"/>
            <w:gridSpan w:val="2"/>
          </w:tcPr>
          <w:p>
            <w:pPr>
              <w:jc w:val="center"/>
              <w:ind w:left="410"/>
              <w:spacing w:after="0"/>
              <w:rPr>
                <w:sz w:val="20"/>
                <w:szCs w:val="20"/>
                <w:color w:val="auto"/>
              </w:rPr>
            </w:pPr>
            <w:r>
              <w:rPr>
                <w:rFonts w:ascii="Arial" w:cs="Arial" w:eastAsia="Arial" w:hAnsi="Arial"/>
                <w:sz w:val="18"/>
                <w:szCs w:val="18"/>
                <w:color w:val="auto"/>
                <w:w w:val="89"/>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654304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4304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80"/>
        <w:spacing w:after="0"/>
        <w:rPr>
          <w:sz w:val="20"/>
          <w:szCs w:val="20"/>
          <w:color w:val="auto"/>
        </w:rPr>
      </w:pPr>
      <w:r>
        <w:rPr>
          <w:rFonts w:ascii="Arial" w:cs="Arial" w:eastAsia="Arial" w:hAnsi="Arial"/>
          <w:sz w:val="18"/>
          <w:szCs w:val="18"/>
          <w:color w:val="auto"/>
        </w:rPr>
        <w:t>(1)  Of Credicorp, our subsidiaries and their predecessors as of December 31, 2009.</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Walter Bayly </w:t>
      </w:r>
      <w:r>
        <w:rPr>
          <w:rFonts w:ascii="Arial" w:cs="Arial" w:eastAsia="Arial" w:hAnsi="Arial"/>
          <w:sz w:val="16"/>
          <w:szCs w:val="16"/>
          <w:color w:val="auto"/>
        </w:rPr>
        <w:t>was named General Manager of Credicorp and BCP in October 2007, effective April 2008. Since April 2004, he was Chief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and the Executive Vice President of Planning and Finance of BCP. Previously, Mr. Bayly held various other management positions within BCP, which included managing the Wholesale Banking Group as well as other areas of BCP. Mr. Bayly joined BCP in 1993, after three years at Casa Bolsa México where he was Partner and Managing Director in Corporate Finance. Prior to that, he was with Citibank in Lima, New York, México, and Caracas for a period of ten years, where he worked primarily in the corporate finance and loan syndication groups. Mr. Bayly received a Bachelor’s degree in Business Administration from Universidad del Pacífico in Lima, Peru, and a Master’s degree in Management from Arthur D. Little Management in Cambridge, Massachusetts.</w:t>
      </w:r>
    </w:p>
    <w:p>
      <w:pPr>
        <w:spacing w:after="0" w:line="19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Alvaro Correa was named </w:t>
      </w:r>
      <w:r>
        <w:rPr>
          <w:rFonts w:ascii="Arial" w:cs="Arial" w:eastAsia="Arial" w:hAnsi="Arial"/>
          <w:sz w:val="17"/>
          <w:szCs w:val="17"/>
          <w:color w:val="auto"/>
        </w:rPr>
        <w:t>Chief Financial Officer and the Executive Vice President of Planning and Finance of BCP in October 2007, effective</w:t>
      </w:r>
      <w:r>
        <w:rPr>
          <w:rFonts w:ascii="Arial" w:cs="Arial" w:eastAsia="Arial" w:hAnsi="Arial"/>
          <w:sz w:val="17"/>
          <w:szCs w:val="17"/>
          <w:i w:val="1"/>
          <w:iCs w:val="1"/>
          <w:color w:val="auto"/>
        </w:rPr>
        <w:t xml:space="preserve"> </w:t>
      </w:r>
      <w:r>
        <w:rPr>
          <w:rFonts w:ascii="Arial" w:cs="Arial" w:eastAsia="Arial" w:hAnsi="Arial"/>
          <w:sz w:val="17"/>
          <w:szCs w:val="17"/>
          <w:color w:val="auto"/>
        </w:rPr>
        <w:t>April 2008. Mr. Correa is an industrial engineer from the Pontificia Universidad Católica del Perú. He also holds a Master’s degree in Business Administration from Harvard Business School. In 1997, he joined BCP as Retail Risk Manager, later serving as IT Solution Manager under the Systems and Organization Division. During the last three years, Mr. Correa served as General Manager of ASB, Credicorp Securities and BCP’s Miami agency.</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David Saettone </w:t>
      </w:r>
      <w:r>
        <w:rPr>
          <w:rFonts w:ascii="Arial" w:cs="Arial" w:eastAsia="Arial" w:hAnsi="Arial"/>
          <w:sz w:val="18"/>
          <w:szCs w:val="18"/>
          <w:color w:val="auto"/>
        </w:rPr>
        <w:t>is Chief Insurance Officer and the Chief Executive Officer of PPS. He is an economist with a Master’s degree and Ph.D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Princeton University. He was the General Manager of BCB and Chief of the Gabinete de Asesores y Unidad de Coordinación de Préstamos Sectoriales of the Economy and Finance Office, Perú. Mr. Saettone was also Manager of the BCP’s corporate finance area.</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amount of compensation paid to all directors and executive officers (including our executive officers listed above and four additional executive officers of BCP) for 2009 was US$12.6 million. We do not disclose to our shareholders or otherwise make available to the public information as to the compensation of its individual directors or executive officers.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indicated in note 3(w) to the Credicorp Consolidated Financial Statements, Credicorp has granted stock appreciation rights (SARs) to certain key executives and employees who have at least one year service to Credicorp or any of our subsidiaries. At the grant date and in each one of the subsequent three years, the granted SARs may be exercised up to 25% of all SARs granted in the plan. The SARs expire after eight years.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color w:val="auto"/>
        </w:rPr>
        <w:t>The number of outstanding SARs and its exercise price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ind w:left="1500"/>
              <w:spacing w:after="0"/>
              <w:rPr>
                <w:sz w:val="20"/>
                <w:szCs w:val="20"/>
                <w:color w:val="auto"/>
              </w:rPr>
            </w:pPr>
            <w:r>
              <w:rPr>
                <w:rFonts w:ascii="Arial" w:cs="Arial" w:eastAsia="Arial" w:hAnsi="Arial"/>
                <w:sz w:val="18"/>
                <w:szCs w:val="18"/>
                <w:b w:val="1"/>
                <w:bCs w:val="1"/>
                <w:color w:val="auto"/>
              </w:rPr>
              <w:t>Year</w:t>
            </w:r>
          </w:p>
        </w:tc>
        <w:tc>
          <w:tcPr>
            <w:tcW w:w="200" w:type="dxa"/>
            <w:vAlign w:val="bottom"/>
          </w:tcPr>
          <w:p>
            <w:pPr>
              <w:spacing w:after="0"/>
              <w:rPr>
                <w:sz w:val="20"/>
                <w:szCs w:val="20"/>
                <w:color w:val="auto"/>
              </w:rPr>
            </w:pPr>
          </w:p>
        </w:tc>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Number of Outstanding SARs granted</w:t>
            </w:r>
          </w:p>
        </w:tc>
        <w:tc>
          <w:tcPr>
            <w:tcW w:w="2840" w:type="dxa"/>
            <w:vAlign w:val="bottom"/>
            <w:gridSpan w:val="2"/>
          </w:tcPr>
          <w:p>
            <w:pPr>
              <w:ind w:left="500"/>
              <w:spacing w:after="0"/>
              <w:rPr>
                <w:sz w:val="20"/>
                <w:szCs w:val="20"/>
                <w:color w:val="auto"/>
              </w:rPr>
            </w:pPr>
            <w:r>
              <w:rPr>
                <w:rFonts w:ascii="Arial" w:cs="Arial" w:eastAsia="Arial" w:hAnsi="Arial"/>
                <w:sz w:val="18"/>
                <w:szCs w:val="18"/>
                <w:b w:val="1"/>
                <w:bCs w:val="1"/>
                <w:color w:val="auto"/>
              </w:rPr>
              <w:t>Exercise price in US$</w:t>
            </w:r>
          </w:p>
        </w:tc>
      </w:tr>
      <w:tr>
        <w:trPr>
          <w:trHeight w:val="216"/>
        </w:trPr>
        <w:tc>
          <w:tcPr>
            <w:tcW w:w="3340" w:type="dxa"/>
            <w:vAlign w:val="bottom"/>
            <w:tcBorders>
              <w:top w:val="single" w:sz="8" w:color="auto"/>
            </w:tcBorders>
            <w:shd w:val="clear" w:color="auto" w:fill="CCFFCC"/>
          </w:tcPr>
          <w:p>
            <w:pPr>
              <w:ind w:left="1500"/>
              <w:spacing w:after="0"/>
              <w:rPr>
                <w:sz w:val="20"/>
                <w:szCs w:val="20"/>
                <w:color w:val="auto"/>
              </w:rPr>
            </w:pPr>
            <w:r>
              <w:rPr>
                <w:rFonts w:ascii="Arial" w:cs="Arial" w:eastAsia="Arial" w:hAnsi="Arial"/>
                <w:sz w:val="18"/>
                <w:szCs w:val="18"/>
                <w:color w:val="auto"/>
              </w:rPr>
              <w:t>2002</w:t>
            </w:r>
          </w:p>
        </w:tc>
        <w:tc>
          <w:tcPr>
            <w:tcW w:w="200" w:type="dxa"/>
            <w:vAlign w:val="bottom"/>
            <w:shd w:val="clear" w:color="auto" w:fill="CCFFCC"/>
          </w:tcPr>
          <w:p>
            <w:pPr>
              <w:spacing w:after="0"/>
              <w:rPr>
                <w:sz w:val="18"/>
                <w:szCs w:val="18"/>
                <w:color w:val="auto"/>
              </w:rPr>
            </w:pPr>
          </w:p>
        </w:tc>
        <w:tc>
          <w:tcPr>
            <w:tcW w:w="2940" w:type="dxa"/>
            <w:vAlign w:val="bottom"/>
            <w:tcBorders>
              <w:top w:val="single" w:sz="8" w:color="auto"/>
            </w:tcBorders>
            <w:shd w:val="clear" w:color="auto" w:fill="CCFFCC"/>
          </w:tcPr>
          <w:p>
            <w:pPr>
              <w:jc w:val="center"/>
              <w:ind w:left="110"/>
              <w:spacing w:after="0"/>
              <w:rPr>
                <w:sz w:val="20"/>
                <w:szCs w:val="20"/>
                <w:color w:val="auto"/>
              </w:rPr>
            </w:pPr>
            <w:r>
              <w:rPr>
                <w:rFonts w:ascii="Arial" w:cs="Arial" w:eastAsia="Arial" w:hAnsi="Arial"/>
                <w:sz w:val="18"/>
                <w:szCs w:val="18"/>
                <w:color w:val="auto"/>
                <w:w w:val="90"/>
              </w:rPr>
              <w:t>52,500</w:t>
            </w:r>
          </w:p>
        </w:tc>
        <w:tc>
          <w:tcPr>
            <w:tcW w:w="380" w:type="dxa"/>
            <w:vAlign w:val="bottom"/>
            <w:shd w:val="clear" w:color="auto" w:fill="CCFFCC"/>
          </w:tcPr>
          <w:p>
            <w:pPr>
              <w:spacing w:after="0"/>
              <w:rPr>
                <w:sz w:val="18"/>
                <w:szCs w:val="18"/>
                <w:color w:val="auto"/>
              </w:rPr>
            </w:pPr>
          </w:p>
        </w:tc>
        <w:tc>
          <w:tcPr>
            <w:tcW w:w="2660" w:type="dxa"/>
            <w:vAlign w:val="bottom"/>
            <w:tcBorders>
              <w:top w:val="single" w:sz="8" w:color="auto"/>
            </w:tcBorders>
            <w:shd w:val="clear" w:color="auto" w:fill="CCFFCC"/>
          </w:tcPr>
          <w:p>
            <w:pPr>
              <w:jc w:val="center"/>
              <w:ind w:left="90"/>
              <w:spacing w:after="0"/>
              <w:rPr>
                <w:sz w:val="20"/>
                <w:szCs w:val="20"/>
                <w:color w:val="auto"/>
              </w:rPr>
            </w:pPr>
            <w:r>
              <w:rPr>
                <w:rFonts w:ascii="Arial" w:cs="Arial" w:eastAsia="Arial" w:hAnsi="Arial"/>
                <w:sz w:val="18"/>
                <w:szCs w:val="18"/>
                <w:color w:val="auto"/>
                <w:w w:val="91"/>
              </w:rPr>
              <w:t>5.98</w:t>
            </w:r>
          </w:p>
        </w:tc>
        <w:tc>
          <w:tcPr>
            <w:tcW w:w="180" w:type="dxa"/>
            <w:vAlign w:val="bottom"/>
            <w:shd w:val="clear" w:color="auto" w:fill="CCFFCC"/>
          </w:tcPr>
          <w:p>
            <w:pPr>
              <w:spacing w:after="0"/>
              <w:rPr>
                <w:sz w:val="18"/>
                <w:szCs w:val="18"/>
                <w:color w:val="auto"/>
              </w:rPr>
            </w:pPr>
          </w:p>
        </w:tc>
      </w:tr>
      <w:tr>
        <w:trPr>
          <w:trHeight w:val="216"/>
        </w:trPr>
        <w:tc>
          <w:tcPr>
            <w:tcW w:w="3340" w:type="dxa"/>
            <w:vAlign w:val="bottom"/>
          </w:tcPr>
          <w:p>
            <w:pPr>
              <w:ind w:left="1500"/>
              <w:spacing w:after="0"/>
              <w:rPr>
                <w:sz w:val="20"/>
                <w:szCs w:val="20"/>
                <w:color w:val="auto"/>
              </w:rPr>
            </w:pPr>
            <w:r>
              <w:rPr>
                <w:rFonts w:ascii="Arial" w:cs="Arial" w:eastAsia="Arial" w:hAnsi="Arial"/>
                <w:sz w:val="18"/>
                <w:szCs w:val="18"/>
                <w:color w:val="auto"/>
              </w:rPr>
              <w:t>2003</w:t>
            </w:r>
          </w:p>
        </w:tc>
        <w:tc>
          <w:tcPr>
            <w:tcW w:w="3140" w:type="dxa"/>
            <w:vAlign w:val="bottom"/>
            <w:gridSpan w:val="2"/>
          </w:tcPr>
          <w:p>
            <w:pPr>
              <w:jc w:val="center"/>
              <w:ind w:left="310"/>
              <w:spacing w:after="0"/>
              <w:rPr>
                <w:sz w:val="20"/>
                <w:szCs w:val="20"/>
                <w:color w:val="auto"/>
              </w:rPr>
            </w:pPr>
            <w:r>
              <w:rPr>
                <w:rFonts w:ascii="Arial" w:cs="Arial" w:eastAsia="Arial" w:hAnsi="Arial"/>
                <w:sz w:val="18"/>
                <w:szCs w:val="18"/>
                <w:color w:val="auto"/>
                <w:w w:val="90"/>
              </w:rPr>
              <w:t>96,900</w:t>
            </w:r>
          </w:p>
        </w:tc>
        <w:tc>
          <w:tcPr>
            <w:tcW w:w="380" w:type="dxa"/>
            <w:vAlign w:val="bottom"/>
          </w:tcPr>
          <w:p>
            <w:pPr>
              <w:spacing w:after="0"/>
              <w:rPr>
                <w:sz w:val="18"/>
                <w:szCs w:val="18"/>
                <w:color w:val="auto"/>
              </w:rPr>
            </w:pPr>
          </w:p>
        </w:tc>
        <w:tc>
          <w:tcPr>
            <w:tcW w:w="2660" w:type="dxa"/>
            <w:vAlign w:val="bottom"/>
          </w:tcPr>
          <w:p>
            <w:pPr>
              <w:jc w:val="center"/>
              <w:ind w:left="90"/>
              <w:spacing w:after="0"/>
              <w:rPr>
                <w:sz w:val="20"/>
                <w:szCs w:val="20"/>
                <w:color w:val="auto"/>
              </w:rPr>
            </w:pPr>
            <w:r>
              <w:rPr>
                <w:rFonts w:ascii="Arial" w:cs="Arial" w:eastAsia="Arial" w:hAnsi="Arial"/>
                <w:sz w:val="18"/>
                <w:szCs w:val="18"/>
                <w:color w:val="auto"/>
                <w:w w:val="91"/>
              </w:rPr>
              <w:t>7.17</w:t>
            </w:r>
          </w:p>
        </w:tc>
        <w:tc>
          <w:tcPr>
            <w:tcW w:w="180" w:type="dxa"/>
            <w:vAlign w:val="bottom"/>
          </w:tcPr>
          <w:p>
            <w:pPr>
              <w:spacing w:after="0"/>
              <w:rPr>
                <w:sz w:val="18"/>
                <w:szCs w:val="18"/>
                <w:color w:val="auto"/>
              </w:rPr>
            </w:pPr>
          </w:p>
        </w:tc>
      </w:tr>
      <w:tr>
        <w:trPr>
          <w:trHeight w:val="216"/>
        </w:trPr>
        <w:tc>
          <w:tcPr>
            <w:tcW w:w="3340" w:type="dxa"/>
            <w:vAlign w:val="bottom"/>
            <w:shd w:val="clear" w:color="auto" w:fill="CCFFCC"/>
          </w:tcPr>
          <w:p>
            <w:pPr>
              <w:ind w:left="1500"/>
              <w:spacing w:after="0"/>
              <w:rPr>
                <w:sz w:val="20"/>
                <w:szCs w:val="20"/>
                <w:color w:val="auto"/>
              </w:rPr>
            </w:pPr>
            <w:r>
              <w:rPr>
                <w:rFonts w:ascii="Arial" w:cs="Arial" w:eastAsia="Arial" w:hAnsi="Arial"/>
                <w:sz w:val="18"/>
                <w:szCs w:val="18"/>
                <w:color w:val="auto"/>
              </w:rPr>
              <w:t>2004</w:t>
            </w:r>
          </w:p>
        </w:tc>
        <w:tc>
          <w:tcPr>
            <w:tcW w:w="3140" w:type="dxa"/>
            <w:vAlign w:val="bottom"/>
            <w:gridSpan w:val="2"/>
            <w:shd w:val="clear" w:color="auto" w:fill="CCFFCC"/>
          </w:tcPr>
          <w:p>
            <w:pPr>
              <w:jc w:val="center"/>
              <w:ind w:left="310"/>
              <w:spacing w:after="0"/>
              <w:rPr>
                <w:sz w:val="20"/>
                <w:szCs w:val="20"/>
                <w:color w:val="auto"/>
              </w:rPr>
            </w:pPr>
            <w:r>
              <w:rPr>
                <w:rFonts w:ascii="Arial" w:cs="Arial" w:eastAsia="Arial" w:hAnsi="Arial"/>
                <w:sz w:val="18"/>
                <w:szCs w:val="18"/>
                <w:color w:val="auto"/>
                <w:w w:val="89"/>
              </w:rPr>
              <w:t>118,750</w:t>
            </w:r>
          </w:p>
        </w:tc>
        <w:tc>
          <w:tcPr>
            <w:tcW w:w="380" w:type="dxa"/>
            <w:vAlign w:val="bottom"/>
            <w:shd w:val="clear" w:color="auto" w:fill="CCFFCC"/>
          </w:tcPr>
          <w:p>
            <w:pPr>
              <w:spacing w:after="0"/>
              <w:rPr>
                <w:sz w:val="18"/>
                <w:szCs w:val="18"/>
                <w:color w:val="auto"/>
              </w:rPr>
            </w:pPr>
          </w:p>
        </w:tc>
        <w:tc>
          <w:tcPr>
            <w:tcW w:w="266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91"/>
              </w:rPr>
              <w:t>9.99</w:t>
            </w:r>
          </w:p>
        </w:tc>
        <w:tc>
          <w:tcPr>
            <w:tcW w:w="180" w:type="dxa"/>
            <w:vAlign w:val="bottom"/>
            <w:shd w:val="clear" w:color="auto" w:fill="CCFFCC"/>
          </w:tcPr>
          <w:p>
            <w:pPr>
              <w:spacing w:after="0"/>
              <w:rPr>
                <w:sz w:val="18"/>
                <w:szCs w:val="18"/>
                <w:color w:val="auto"/>
              </w:rPr>
            </w:pPr>
          </w:p>
        </w:tc>
      </w:tr>
      <w:tr>
        <w:trPr>
          <w:trHeight w:val="216"/>
        </w:trPr>
        <w:tc>
          <w:tcPr>
            <w:tcW w:w="3340" w:type="dxa"/>
            <w:vAlign w:val="bottom"/>
          </w:tcPr>
          <w:p>
            <w:pPr>
              <w:ind w:left="1500"/>
              <w:spacing w:after="0"/>
              <w:rPr>
                <w:sz w:val="20"/>
                <w:szCs w:val="20"/>
                <w:color w:val="auto"/>
              </w:rPr>
            </w:pPr>
            <w:r>
              <w:rPr>
                <w:rFonts w:ascii="Arial" w:cs="Arial" w:eastAsia="Arial" w:hAnsi="Arial"/>
                <w:sz w:val="18"/>
                <w:szCs w:val="18"/>
                <w:color w:val="auto"/>
              </w:rPr>
              <w:t>2005</w:t>
            </w:r>
          </w:p>
        </w:tc>
        <w:tc>
          <w:tcPr>
            <w:tcW w:w="314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155,000</w:t>
            </w:r>
          </w:p>
        </w:tc>
        <w:tc>
          <w:tcPr>
            <w:tcW w:w="380" w:type="dxa"/>
            <w:vAlign w:val="bottom"/>
          </w:tcPr>
          <w:p>
            <w:pPr>
              <w:spacing w:after="0"/>
              <w:rPr>
                <w:sz w:val="18"/>
                <w:szCs w:val="18"/>
                <w:color w:val="auto"/>
              </w:rPr>
            </w:pPr>
          </w:p>
        </w:tc>
        <w:tc>
          <w:tcPr>
            <w:tcW w:w="2660" w:type="dxa"/>
            <w:vAlign w:val="bottom"/>
          </w:tcPr>
          <w:p>
            <w:pPr>
              <w:jc w:val="center"/>
              <w:ind w:left="90"/>
              <w:spacing w:after="0"/>
              <w:rPr>
                <w:sz w:val="20"/>
                <w:szCs w:val="20"/>
                <w:color w:val="auto"/>
              </w:rPr>
            </w:pPr>
            <w:r>
              <w:rPr>
                <w:rFonts w:ascii="Arial" w:cs="Arial" w:eastAsia="Arial" w:hAnsi="Arial"/>
                <w:sz w:val="18"/>
                <w:szCs w:val="18"/>
                <w:color w:val="auto"/>
                <w:w w:val="88"/>
              </w:rPr>
              <w:t>15.00</w:t>
            </w:r>
          </w:p>
        </w:tc>
        <w:tc>
          <w:tcPr>
            <w:tcW w:w="180" w:type="dxa"/>
            <w:vAlign w:val="bottom"/>
          </w:tcPr>
          <w:p>
            <w:pPr>
              <w:spacing w:after="0"/>
              <w:rPr>
                <w:sz w:val="18"/>
                <w:szCs w:val="18"/>
                <w:color w:val="auto"/>
              </w:rPr>
            </w:pPr>
          </w:p>
        </w:tc>
      </w:tr>
      <w:tr>
        <w:trPr>
          <w:trHeight w:val="216"/>
        </w:trPr>
        <w:tc>
          <w:tcPr>
            <w:tcW w:w="3340" w:type="dxa"/>
            <w:vAlign w:val="bottom"/>
            <w:shd w:val="clear" w:color="auto" w:fill="CCFFCC"/>
          </w:tcPr>
          <w:p>
            <w:pPr>
              <w:ind w:left="1500"/>
              <w:spacing w:after="0"/>
              <w:rPr>
                <w:sz w:val="20"/>
                <w:szCs w:val="20"/>
                <w:color w:val="auto"/>
              </w:rPr>
            </w:pPr>
            <w:r>
              <w:rPr>
                <w:rFonts w:ascii="Arial" w:cs="Arial" w:eastAsia="Arial" w:hAnsi="Arial"/>
                <w:sz w:val="18"/>
                <w:szCs w:val="18"/>
                <w:color w:val="auto"/>
              </w:rPr>
              <w:t>2006</w:t>
            </w:r>
          </w:p>
        </w:tc>
        <w:tc>
          <w:tcPr>
            <w:tcW w:w="3140" w:type="dxa"/>
            <w:vAlign w:val="bottom"/>
            <w:gridSpan w:val="2"/>
            <w:shd w:val="clear" w:color="auto" w:fill="CCFFCC"/>
          </w:tcPr>
          <w:p>
            <w:pPr>
              <w:jc w:val="center"/>
              <w:ind w:left="310"/>
              <w:spacing w:after="0"/>
              <w:rPr>
                <w:sz w:val="20"/>
                <w:szCs w:val="20"/>
                <w:color w:val="auto"/>
              </w:rPr>
            </w:pPr>
            <w:r>
              <w:rPr>
                <w:rFonts w:ascii="Arial" w:cs="Arial" w:eastAsia="Arial" w:hAnsi="Arial"/>
                <w:sz w:val="18"/>
                <w:szCs w:val="18"/>
                <w:color w:val="auto"/>
                <w:w w:val="89"/>
              </w:rPr>
              <w:t>226,250</w:t>
            </w:r>
          </w:p>
        </w:tc>
        <w:tc>
          <w:tcPr>
            <w:tcW w:w="380" w:type="dxa"/>
            <w:vAlign w:val="bottom"/>
            <w:shd w:val="clear" w:color="auto" w:fill="CCFFCC"/>
          </w:tcPr>
          <w:p>
            <w:pPr>
              <w:spacing w:after="0"/>
              <w:rPr>
                <w:sz w:val="18"/>
                <w:szCs w:val="18"/>
                <w:color w:val="auto"/>
              </w:rPr>
            </w:pPr>
          </w:p>
        </w:tc>
        <w:tc>
          <w:tcPr>
            <w:tcW w:w="266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8"/>
              </w:rPr>
              <w:t>24.32</w:t>
            </w:r>
          </w:p>
        </w:tc>
        <w:tc>
          <w:tcPr>
            <w:tcW w:w="180" w:type="dxa"/>
            <w:vAlign w:val="bottom"/>
            <w:shd w:val="clear" w:color="auto" w:fill="CCFFCC"/>
          </w:tcPr>
          <w:p>
            <w:pPr>
              <w:spacing w:after="0"/>
              <w:rPr>
                <w:sz w:val="18"/>
                <w:szCs w:val="18"/>
                <w:color w:val="auto"/>
              </w:rPr>
            </w:pPr>
          </w:p>
        </w:tc>
      </w:tr>
      <w:tr>
        <w:trPr>
          <w:trHeight w:val="216"/>
        </w:trPr>
        <w:tc>
          <w:tcPr>
            <w:tcW w:w="3340" w:type="dxa"/>
            <w:vAlign w:val="bottom"/>
          </w:tcPr>
          <w:p>
            <w:pPr>
              <w:ind w:left="1500"/>
              <w:spacing w:after="0"/>
              <w:rPr>
                <w:sz w:val="20"/>
                <w:szCs w:val="20"/>
                <w:color w:val="auto"/>
              </w:rPr>
            </w:pPr>
            <w:r>
              <w:rPr>
                <w:rFonts w:ascii="Arial" w:cs="Arial" w:eastAsia="Arial" w:hAnsi="Arial"/>
                <w:sz w:val="18"/>
                <w:szCs w:val="18"/>
                <w:color w:val="auto"/>
              </w:rPr>
              <w:t>2007</w:t>
            </w:r>
          </w:p>
        </w:tc>
        <w:tc>
          <w:tcPr>
            <w:tcW w:w="3140" w:type="dxa"/>
            <w:vAlign w:val="bottom"/>
            <w:gridSpan w:val="2"/>
          </w:tcPr>
          <w:p>
            <w:pPr>
              <w:jc w:val="center"/>
              <w:ind w:left="310"/>
              <w:spacing w:after="0"/>
              <w:rPr>
                <w:sz w:val="20"/>
                <w:szCs w:val="20"/>
                <w:color w:val="auto"/>
              </w:rPr>
            </w:pPr>
            <w:r>
              <w:rPr>
                <w:rFonts w:ascii="Arial" w:cs="Arial" w:eastAsia="Arial" w:hAnsi="Arial"/>
                <w:sz w:val="18"/>
                <w:szCs w:val="18"/>
                <w:color w:val="auto"/>
                <w:w w:val="89"/>
              </w:rPr>
              <w:t>235,785</w:t>
            </w:r>
          </w:p>
        </w:tc>
        <w:tc>
          <w:tcPr>
            <w:tcW w:w="380" w:type="dxa"/>
            <w:vAlign w:val="bottom"/>
          </w:tcPr>
          <w:p>
            <w:pPr>
              <w:spacing w:after="0"/>
              <w:rPr>
                <w:sz w:val="18"/>
                <w:szCs w:val="18"/>
                <w:color w:val="auto"/>
              </w:rPr>
            </w:pPr>
          </w:p>
        </w:tc>
        <w:tc>
          <w:tcPr>
            <w:tcW w:w="2660" w:type="dxa"/>
            <w:vAlign w:val="bottom"/>
          </w:tcPr>
          <w:p>
            <w:pPr>
              <w:jc w:val="center"/>
              <w:ind w:left="90"/>
              <w:spacing w:after="0"/>
              <w:rPr>
                <w:sz w:val="20"/>
                <w:szCs w:val="20"/>
                <w:color w:val="auto"/>
              </w:rPr>
            </w:pPr>
            <w:r>
              <w:rPr>
                <w:rFonts w:ascii="Arial" w:cs="Arial" w:eastAsia="Arial" w:hAnsi="Arial"/>
                <w:sz w:val="18"/>
                <w:szCs w:val="18"/>
                <w:color w:val="auto"/>
                <w:w w:val="88"/>
              </w:rPr>
              <w:t>24.32</w:t>
            </w:r>
          </w:p>
        </w:tc>
        <w:tc>
          <w:tcPr>
            <w:tcW w:w="180" w:type="dxa"/>
            <w:vAlign w:val="bottom"/>
          </w:tcPr>
          <w:p>
            <w:pPr>
              <w:spacing w:after="0"/>
              <w:rPr>
                <w:sz w:val="18"/>
                <w:szCs w:val="18"/>
                <w:color w:val="auto"/>
              </w:rPr>
            </w:pPr>
          </w:p>
        </w:tc>
      </w:tr>
      <w:tr>
        <w:trPr>
          <w:trHeight w:val="216"/>
        </w:trPr>
        <w:tc>
          <w:tcPr>
            <w:tcW w:w="3340" w:type="dxa"/>
            <w:vAlign w:val="bottom"/>
            <w:shd w:val="clear" w:color="auto" w:fill="CCFFCC"/>
          </w:tcPr>
          <w:p>
            <w:pPr>
              <w:ind w:left="1500"/>
              <w:spacing w:after="0"/>
              <w:rPr>
                <w:sz w:val="20"/>
                <w:szCs w:val="20"/>
                <w:color w:val="auto"/>
              </w:rPr>
            </w:pPr>
            <w:r>
              <w:rPr>
                <w:rFonts w:ascii="Arial" w:cs="Arial" w:eastAsia="Arial" w:hAnsi="Arial"/>
                <w:sz w:val="18"/>
                <w:szCs w:val="18"/>
                <w:color w:val="auto"/>
              </w:rPr>
              <w:t>2008</w:t>
            </w:r>
          </w:p>
        </w:tc>
        <w:tc>
          <w:tcPr>
            <w:tcW w:w="3140" w:type="dxa"/>
            <w:vAlign w:val="bottom"/>
            <w:gridSpan w:val="2"/>
            <w:shd w:val="clear" w:color="auto" w:fill="CCFFCC"/>
          </w:tcPr>
          <w:p>
            <w:pPr>
              <w:jc w:val="center"/>
              <w:ind w:left="310"/>
              <w:spacing w:after="0"/>
              <w:rPr>
                <w:sz w:val="20"/>
                <w:szCs w:val="20"/>
                <w:color w:val="auto"/>
              </w:rPr>
            </w:pPr>
            <w:r>
              <w:rPr>
                <w:rFonts w:ascii="Arial" w:cs="Arial" w:eastAsia="Arial" w:hAnsi="Arial"/>
                <w:sz w:val="18"/>
                <w:szCs w:val="18"/>
                <w:color w:val="auto"/>
                <w:w w:val="89"/>
              </w:rPr>
              <w:t>262,278</w:t>
            </w:r>
          </w:p>
        </w:tc>
        <w:tc>
          <w:tcPr>
            <w:tcW w:w="380" w:type="dxa"/>
            <w:vAlign w:val="bottom"/>
            <w:shd w:val="clear" w:color="auto" w:fill="CCFFCC"/>
          </w:tcPr>
          <w:p>
            <w:pPr>
              <w:spacing w:after="0"/>
              <w:rPr>
                <w:sz w:val="18"/>
                <w:szCs w:val="18"/>
                <w:color w:val="auto"/>
              </w:rPr>
            </w:pPr>
          </w:p>
        </w:tc>
        <w:tc>
          <w:tcPr>
            <w:tcW w:w="266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8"/>
              </w:rPr>
              <w:t>24.32</w:t>
            </w:r>
          </w:p>
        </w:tc>
        <w:tc>
          <w:tcPr>
            <w:tcW w:w="180" w:type="dxa"/>
            <w:vAlign w:val="bottom"/>
            <w:shd w:val="clear" w:color="auto" w:fill="CCFFCC"/>
          </w:tcPr>
          <w:p>
            <w:pPr>
              <w:spacing w:after="0"/>
              <w:rPr>
                <w:sz w:val="18"/>
                <w:szCs w:val="18"/>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Credicorp assumes the payment of the related income tax on behalf of our executives and employees, which corresponds to 30% of the benefit.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Credicorp estimates this income tax over the basis of the liability recorded for the vested benefits.</w:t>
      </w:r>
    </w:p>
    <w:p>
      <w:pPr>
        <w:spacing w:after="0" w:line="23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liabilities recorded for this plan, including the above-mentioned income tax, are included in the consolidated balance sheet caption “Other liabilities – Payroll taxes, salaries and other personnel expenses.”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11(a) to the Credicorp Consolidated Financial Statements. The expenses are recorded in the consolidated income statement caption “Personnel expenses.”</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During 2007, 2008 and 2009, Credicorp signed several contracts with Citigroup by which it acquired certificates linked to the yield of our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Note 7(b) to the Credicorp Consolidated Financial Statements.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 of the SARs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2"/>
          </w:tcPr>
          <w:p>
            <w:pPr>
              <w:jc w:val="right"/>
              <w:ind w:right="530"/>
              <w:spacing w:after="0"/>
              <w:rPr>
                <w:sz w:val="20"/>
                <w:szCs w:val="20"/>
                <w:color w:val="auto"/>
              </w:rPr>
            </w:pPr>
            <w:r>
              <w:rPr>
                <w:rFonts w:ascii="Arial" w:cs="Arial" w:eastAsia="Arial" w:hAnsi="Arial"/>
                <w:sz w:val="18"/>
                <w:szCs w:val="18"/>
                <w:b w:val="1"/>
                <w:bCs w:val="1"/>
                <w:color w:val="auto"/>
              </w:rPr>
              <w:t>2009</w:t>
            </w: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right"/>
              <w:ind w:right="430"/>
              <w:spacing w:after="0"/>
              <w:rPr>
                <w:sz w:val="20"/>
                <w:szCs w:val="20"/>
                <w:color w:val="auto"/>
              </w:rPr>
            </w:pPr>
            <w:r>
              <w:rPr>
                <w:rFonts w:ascii="Arial" w:cs="Arial" w:eastAsia="Arial" w:hAnsi="Arial"/>
                <w:sz w:val="18"/>
                <w:szCs w:val="18"/>
                <w:b w:val="1"/>
                <w:bCs w:val="1"/>
                <w:color w:val="auto"/>
              </w:rPr>
              <w:t>2008</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3340" w:type="dxa"/>
            <w:vAlign w:val="bottom"/>
          </w:tcPr>
          <w:p>
            <w:pPr>
              <w:spacing w:after="0"/>
              <w:rPr>
                <w:sz w:val="17"/>
                <w:szCs w:val="17"/>
                <w:color w:val="auto"/>
              </w:rPr>
            </w:pPr>
          </w:p>
        </w:tc>
        <w:tc>
          <w:tcPr>
            <w:tcW w:w="11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Outstanding</w:t>
            </w: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0"/>
              </w:rPr>
              <w:t>Outstanding</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33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7"/>
              </w:rPr>
              <w:t>SARs</w:t>
            </w:r>
          </w:p>
        </w:tc>
        <w:tc>
          <w:tcPr>
            <w:tcW w:w="240" w:type="dxa"/>
            <w:vAlign w:val="bottom"/>
          </w:tcPr>
          <w:p>
            <w:pPr>
              <w:spacing w:after="0"/>
              <w:rPr>
                <w:sz w:val="20"/>
                <w:szCs w:val="20"/>
                <w:color w:val="auto"/>
              </w:rPr>
            </w:pPr>
          </w:p>
        </w:tc>
        <w:tc>
          <w:tcPr>
            <w:tcW w:w="2520" w:type="dxa"/>
            <w:vAlign w:val="bottom"/>
            <w:gridSpan w:val="2"/>
          </w:tcPr>
          <w:p>
            <w:pPr>
              <w:ind w:left="760"/>
              <w:spacing w:after="0"/>
              <w:rPr>
                <w:sz w:val="20"/>
                <w:szCs w:val="20"/>
                <w:color w:val="auto"/>
              </w:rPr>
            </w:pPr>
            <w:r>
              <w:rPr>
                <w:rFonts w:ascii="Arial" w:cs="Arial" w:eastAsia="Arial" w:hAnsi="Arial"/>
                <w:sz w:val="18"/>
                <w:szCs w:val="18"/>
                <w:b w:val="1"/>
                <w:bCs w:val="1"/>
                <w:color w:val="auto"/>
              </w:rPr>
              <w:t>Vested SARs</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1"/>
              </w:rPr>
              <w:t>SARs</w:t>
            </w:r>
          </w:p>
        </w:tc>
        <w:tc>
          <w:tcPr>
            <w:tcW w:w="200" w:type="dxa"/>
            <w:vAlign w:val="bottom"/>
          </w:tcPr>
          <w:p>
            <w:pPr>
              <w:spacing w:after="0"/>
              <w:rPr>
                <w:sz w:val="20"/>
                <w:szCs w:val="20"/>
                <w:color w:val="auto"/>
              </w:rPr>
            </w:pPr>
          </w:p>
        </w:tc>
        <w:tc>
          <w:tcPr>
            <w:tcW w:w="2600" w:type="dxa"/>
            <w:vAlign w:val="bottom"/>
            <w:gridSpan w:val="3"/>
          </w:tcPr>
          <w:p>
            <w:pPr>
              <w:ind w:left="760"/>
              <w:spacing w:after="0"/>
              <w:rPr>
                <w:sz w:val="20"/>
                <w:szCs w:val="20"/>
                <w:color w:val="auto"/>
              </w:rPr>
            </w:pPr>
            <w:r>
              <w:rPr>
                <w:rFonts w:ascii="Arial" w:cs="Arial" w:eastAsia="Arial" w:hAnsi="Arial"/>
                <w:sz w:val="18"/>
                <w:szCs w:val="18"/>
                <w:b w:val="1"/>
                <w:bCs w:val="1"/>
                <w:color w:val="auto"/>
              </w:rPr>
              <w:t>Vested SARs</w:t>
            </w:r>
          </w:p>
        </w:tc>
      </w:tr>
      <w:tr>
        <w:trPr>
          <w:trHeight w:val="202"/>
        </w:trPr>
        <w:tc>
          <w:tcPr>
            <w:tcW w:w="3340" w:type="dxa"/>
            <w:vAlign w:val="bottom"/>
          </w:tcPr>
          <w:p>
            <w:pPr>
              <w:spacing w:after="0"/>
              <w:rPr>
                <w:sz w:val="17"/>
                <w:szCs w:val="17"/>
                <w:color w:val="auto"/>
              </w:rPr>
            </w:pP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Number</w:t>
            </w:r>
          </w:p>
        </w:tc>
        <w:tc>
          <w:tcPr>
            <w:tcW w:w="240" w:type="dxa"/>
            <w:vAlign w:val="bottom"/>
          </w:tcPr>
          <w:p>
            <w:pPr>
              <w:spacing w:after="0"/>
              <w:rPr>
                <w:sz w:val="17"/>
                <w:szCs w:val="17"/>
                <w:color w:val="auto"/>
              </w:rPr>
            </w:pPr>
          </w:p>
        </w:tc>
        <w:tc>
          <w:tcPr>
            <w:tcW w:w="13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3"/>
              </w:rPr>
              <w:t>Number</w:t>
            </w: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Amount</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3"/>
              </w:rPr>
              <w:t>Number</w:t>
            </w:r>
          </w:p>
        </w:tc>
        <w:tc>
          <w:tcPr>
            <w:tcW w:w="200" w:type="dxa"/>
            <w:vAlign w:val="bottom"/>
          </w:tcPr>
          <w:p>
            <w:pPr>
              <w:spacing w:after="0"/>
              <w:rPr>
                <w:sz w:val="17"/>
                <w:szCs w:val="17"/>
                <w:color w:val="auto"/>
              </w:rPr>
            </w:pPr>
          </w:p>
        </w:tc>
        <w:tc>
          <w:tcPr>
            <w:tcW w:w="128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0"/>
              </w:rPr>
              <w:t>Number</w:t>
            </w:r>
          </w:p>
        </w:tc>
        <w:tc>
          <w:tcPr>
            <w:tcW w:w="12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6"/>
              </w:rPr>
              <w:t>Amount</w:t>
            </w:r>
          </w:p>
        </w:tc>
        <w:tc>
          <w:tcPr>
            <w:tcW w:w="100" w:type="dxa"/>
            <w:vAlign w:val="bottom"/>
          </w:tcPr>
          <w:p>
            <w:pPr>
              <w:spacing w:after="0"/>
              <w:rPr>
                <w:sz w:val="17"/>
                <w:szCs w:val="17"/>
                <w:color w:val="auto"/>
              </w:rPr>
            </w:pPr>
          </w:p>
        </w:tc>
      </w:tr>
      <w:tr>
        <w:trPr>
          <w:trHeight w:val="230"/>
        </w:trPr>
        <w:tc>
          <w:tcPr>
            <w:tcW w:w="3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US$(000)</w:t>
            </w:r>
          </w:p>
        </w:tc>
      </w:tr>
      <w:tr>
        <w:trPr>
          <w:trHeight w:val="216"/>
        </w:trPr>
        <w:tc>
          <w:tcPr>
            <w:tcW w:w="3340" w:type="dxa"/>
            <w:vAlign w:val="bottom"/>
            <w:shd w:val="clear" w:color="auto" w:fill="CCFFCC"/>
          </w:tcPr>
          <w:p>
            <w:pPr>
              <w:spacing w:after="0" w:line="216" w:lineRule="exact"/>
              <w:rPr>
                <w:sz w:val="20"/>
                <w:szCs w:val="20"/>
                <w:color w:val="auto"/>
              </w:rPr>
            </w:pPr>
            <w:r>
              <w:rPr>
                <w:rFonts w:ascii="Arial" w:cs="Arial" w:eastAsia="Arial" w:hAnsi="Arial"/>
                <w:sz w:val="18"/>
                <w:szCs w:val="18"/>
                <w:color w:val="auto"/>
              </w:rPr>
              <w:t>Balance as of January 1</w:t>
            </w:r>
            <w:r>
              <w:rPr>
                <w:rFonts w:ascii="Arial" w:cs="Arial" w:eastAsia="Arial" w:hAnsi="Arial"/>
                <w:sz w:val="25"/>
                <w:szCs w:val="25"/>
                <w:color w:val="auto"/>
                <w:vertAlign w:val="superscript"/>
              </w:rPr>
              <w:t>st</w:t>
            </w:r>
          </w:p>
        </w:tc>
        <w:tc>
          <w:tcPr>
            <w:tcW w:w="116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9"/>
              </w:rPr>
              <w:t>2,215,225</w:t>
            </w:r>
          </w:p>
        </w:tc>
        <w:tc>
          <w:tcPr>
            <w:tcW w:w="16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1,617,818</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0"/>
              </w:rPr>
              <w:t>42,987</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2,134,650</w:t>
            </w:r>
          </w:p>
        </w:tc>
        <w:tc>
          <w:tcPr>
            <w:tcW w:w="14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7"/>
              </w:rPr>
              <w:t>1,537,119</w:t>
            </w:r>
          </w:p>
        </w:tc>
        <w:tc>
          <w:tcPr>
            <w:tcW w:w="122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7"/>
              </w:rPr>
              <w:t>89,602</w:t>
            </w:r>
          </w:p>
        </w:tc>
        <w:tc>
          <w:tcPr>
            <w:tcW w:w="100" w:type="dxa"/>
            <w:vAlign w:val="bottom"/>
            <w:shd w:val="clear" w:color="auto" w:fill="CCFFC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SAR´s modification</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(451,143)</w:t>
            </w:r>
          </w:p>
        </w:tc>
        <w:tc>
          <w:tcPr>
            <w:tcW w:w="16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(451,143)</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7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Granted and vested</w:t>
            </w:r>
          </w:p>
        </w:tc>
        <w:tc>
          <w:tcPr>
            <w:tcW w:w="11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9"/>
              </w:rPr>
              <w:t>-</w:t>
            </w:r>
          </w:p>
        </w:tc>
        <w:tc>
          <w:tcPr>
            <w:tcW w:w="160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89"/>
              </w:rPr>
              <w:t>366,845</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0"/>
              </w:rPr>
              <w:t>19,333</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2"/>
              </w:rPr>
              <w:t>665,500</w:t>
            </w:r>
          </w:p>
        </w:tc>
        <w:tc>
          <w:tcPr>
            <w:tcW w:w="14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89"/>
              </w:rPr>
              <w:t>576,874</w:t>
            </w:r>
          </w:p>
        </w:tc>
        <w:tc>
          <w:tcPr>
            <w:tcW w:w="122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8"/>
              </w:rPr>
              <w:t>9,498</w:t>
            </w:r>
          </w:p>
        </w:tc>
        <w:tc>
          <w:tcPr>
            <w:tcW w:w="100" w:type="dxa"/>
            <w:vAlign w:val="bottom"/>
            <w:shd w:val="clear" w:color="auto" w:fill="CCFFC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Exercised</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0"/>
              </w:rPr>
              <w:t>(495,244)</w:t>
            </w:r>
          </w:p>
        </w:tc>
        <w:tc>
          <w:tcPr>
            <w:tcW w:w="1600" w:type="dxa"/>
            <w:vAlign w:val="bottom"/>
            <w:gridSpan w:val="2"/>
          </w:tcPr>
          <w:p>
            <w:pPr>
              <w:jc w:val="center"/>
              <w:ind w:left="50"/>
              <w:spacing w:after="0"/>
              <w:rPr>
                <w:sz w:val="20"/>
                <w:szCs w:val="20"/>
                <w:color w:val="auto"/>
              </w:rPr>
            </w:pPr>
            <w:r>
              <w:rPr>
                <w:rFonts w:ascii="Arial" w:cs="Arial" w:eastAsia="Arial" w:hAnsi="Arial"/>
                <w:sz w:val="18"/>
                <w:szCs w:val="18"/>
                <w:color w:val="auto"/>
                <w:w w:val="90"/>
              </w:rPr>
              <w:t>(495,244)</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2"/>
              </w:rPr>
              <w:t>(17,761)</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93"/>
              </w:rPr>
              <w:t>(496,175)</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90"/>
              </w:rPr>
              <w:t>(496,175)</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(19,734)</w:t>
            </w:r>
          </w:p>
        </w:tc>
        <w:tc>
          <w:tcPr>
            <w:tcW w:w="100" w:type="dxa"/>
            <w:vAlign w:val="bottom"/>
          </w:tcPr>
          <w:p>
            <w:pPr>
              <w:spacing w:after="0"/>
              <w:rPr>
                <w:sz w:val="18"/>
                <w:szCs w:val="18"/>
                <w:color w:val="auto"/>
              </w:rPr>
            </w:pP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Decrease</w:t>
            </w:r>
          </w:p>
        </w:tc>
        <w:tc>
          <w:tcPr>
            <w:tcW w:w="11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0"/>
              </w:rPr>
              <w:t>(121,375)</w:t>
            </w:r>
          </w:p>
        </w:tc>
        <w:tc>
          <w:tcPr>
            <w:tcW w:w="1600" w:type="dxa"/>
            <w:vAlign w:val="bottom"/>
            <w:gridSpan w:val="2"/>
            <w:shd w:val="clear" w:color="auto" w:fill="CCFFCC"/>
          </w:tcPr>
          <w:p>
            <w:pPr>
              <w:jc w:val="center"/>
              <w:ind w:left="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(88,750)</w:t>
            </w:r>
          </w:p>
        </w:tc>
        <w:tc>
          <w:tcPr>
            <w:tcW w:w="1480" w:type="dxa"/>
            <w:vAlign w:val="bottom"/>
            <w:gridSpan w:val="2"/>
            <w:shd w:val="clear" w:color="auto" w:fill="CCFFCC"/>
          </w:tcPr>
          <w:p>
            <w:pPr>
              <w:jc w:val="center"/>
              <w:ind w:left="9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FFCC"/>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Increase in the option fair value</w:t>
            </w:r>
          </w:p>
        </w:tc>
        <w:tc>
          <w:tcPr>
            <w:tcW w:w="116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60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0"/>
              </w:rPr>
              <w:t>15,929</w:t>
            </w:r>
          </w:p>
        </w:tc>
        <w:tc>
          <w:tcPr>
            <w:tcW w:w="1360" w:type="dxa"/>
            <w:vAlign w:val="bottom"/>
            <w:gridSpan w:val="2"/>
          </w:tcPr>
          <w:p>
            <w:pPr>
              <w:jc w:val="center"/>
              <w:ind w:left="21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center"/>
              <w:ind w:left="90"/>
              <w:spacing w:after="0"/>
              <w:rPr>
                <w:sz w:val="20"/>
                <w:szCs w:val="20"/>
                <w:color w:val="auto"/>
              </w:rPr>
            </w:pPr>
            <w:r>
              <w:rPr>
                <w:rFonts w:ascii="Arial" w:cs="Arial" w:eastAsia="Arial" w:hAnsi="Arial"/>
                <w:sz w:val="18"/>
                <w:szCs w:val="18"/>
                <w:color w:val="auto"/>
                <w:w w:val="89"/>
              </w:rPr>
              <w:t>(36,379)</w:t>
            </w:r>
          </w:p>
        </w:tc>
        <w:tc>
          <w:tcPr>
            <w:tcW w:w="100" w:type="dxa"/>
            <w:vAlign w:val="bottom"/>
          </w:tcPr>
          <w:p>
            <w:pPr>
              <w:spacing w:after="0"/>
              <w:rPr>
                <w:sz w:val="18"/>
                <w:szCs w:val="18"/>
                <w:color w:val="auto"/>
              </w:rPr>
            </w:pP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Balance as of December 31</w:t>
            </w:r>
          </w:p>
        </w:tc>
        <w:tc>
          <w:tcPr>
            <w:tcW w:w="116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9"/>
              </w:rPr>
              <w:t>1,147,463</w:t>
            </w:r>
          </w:p>
        </w:tc>
        <w:tc>
          <w:tcPr>
            <w:tcW w:w="16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1,038,276</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0"/>
              </w:rPr>
              <w:t>60,488</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2,215,225</w:t>
            </w:r>
          </w:p>
        </w:tc>
        <w:tc>
          <w:tcPr>
            <w:tcW w:w="148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9"/>
              </w:rPr>
              <w:t>1,617,818</w:t>
            </w:r>
          </w:p>
        </w:tc>
        <w:tc>
          <w:tcPr>
            <w:tcW w:w="122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7"/>
              </w:rPr>
              <w:t>42,987</w:t>
            </w:r>
          </w:p>
        </w:tc>
        <w:tc>
          <w:tcPr>
            <w:tcW w:w="100" w:type="dxa"/>
            <w:vAlign w:val="bottom"/>
            <w:shd w:val="clear" w:color="auto" w:fill="CCFFCC"/>
          </w:tcPr>
          <w:p>
            <w:pPr>
              <w:spacing w:after="0"/>
              <w:rPr>
                <w:sz w:val="18"/>
                <w:szCs w:val="18"/>
                <w:color w:val="auto"/>
              </w:rPr>
            </w:pPr>
          </w:p>
        </w:tc>
      </w:tr>
      <w:tr>
        <w:trPr>
          <w:trHeight w:val="608"/>
        </w:trPr>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0" w:type="dxa"/>
            <w:vAlign w:val="bottom"/>
            <w:gridSpan w:val="2"/>
          </w:tcPr>
          <w:p>
            <w:pPr>
              <w:jc w:val="right"/>
              <w:ind w:right="170"/>
              <w:spacing w:after="0"/>
              <w:rPr>
                <w:sz w:val="20"/>
                <w:szCs w:val="20"/>
                <w:color w:val="auto"/>
              </w:rPr>
            </w:pPr>
            <w:r>
              <w:rPr>
                <w:rFonts w:ascii="Arial" w:cs="Arial" w:eastAsia="Arial" w:hAnsi="Arial"/>
                <w:sz w:val="18"/>
                <w:szCs w:val="18"/>
                <w:color w:val="auto"/>
              </w:rPr>
              <w:t>115</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33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8"/>
          <w:szCs w:val="18"/>
          <w:color w:val="auto"/>
        </w:rPr>
        <w:t>The following table sets forth the number of SARs vested and the price of such SARs for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Number</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of outstanding SARs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120" w:type="dxa"/>
            <w:vAlign w:val="bottom"/>
          </w:tcPr>
          <w:p>
            <w:pPr>
              <w:spacing w:after="0"/>
              <w:rPr>
                <w:sz w:val="18"/>
                <w:szCs w:val="18"/>
                <w:color w:val="auto"/>
              </w:rPr>
            </w:pPr>
          </w:p>
        </w:tc>
        <w:tc>
          <w:tcPr>
            <w:tcW w:w="17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as of</w:t>
            </w:r>
          </w:p>
        </w:tc>
        <w:tc>
          <w:tcPr>
            <w:tcW w:w="2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Number of Vested SARs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300" w:type="dxa"/>
            <w:vAlign w:val="bottom"/>
          </w:tcPr>
          <w:p>
            <w:pPr>
              <w:jc w:val="center"/>
              <w:spacing w:after="0"/>
              <w:rPr>
                <w:sz w:val="20"/>
                <w:szCs w:val="20"/>
                <w:color w:val="auto"/>
              </w:rPr>
            </w:pPr>
            <w:r>
              <w:rPr>
                <w:rFonts w:ascii="Arial" w:cs="Arial" w:eastAsia="Arial" w:hAnsi="Arial"/>
                <w:sz w:val="18"/>
                <w:szCs w:val="18"/>
                <w:b w:val="1"/>
                <w:bCs w:val="1"/>
                <w:color w:val="auto"/>
                <w:w w:val="89"/>
              </w:rPr>
              <w:t>Insurance</w:t>
            </w:r>
          </w:p>
        </w:tc>
        <w:tc>
          <w:tcPr>
            <w:tcW w:w="120" w:type="dxa"/>
            <w:vAlign w:val="bottom"/>
          </w:tcPr>
          <w:p>
            <w:pPr>
              <w:spacing w:after="0"/>
              <w:rPr>
                <w:sz w:val="20"/>
                <w:szCs w:val="20"/>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2009</w:t>
            </w:r>
          </w:p>
        </w:tc>
        <w:tc>
          <w:tcPr>
            <w:tcW w:w="24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as of December 31</w:t>
            </w:r>
          </w:p>
        </w:tc>
        <w:tc>
          <w:tcPr>
            <w:tcW w:w="220" w:type="dxa"/>
            <w:vAlign w:val="bottom"/>
          </w:tcPr>
          <w:p>
            <w:pPr>
              <w:spacing w:after="0"/>
              <w:rPr>
                <w:sz w:val="20"/>
                <w:szCs w:val="20"/>
                <w:color w:val="auto"/>
              </w:rPr>
            </w:pPr>
          </w:p>
        </w:tc>
        <w:tc>
          <w:tcPr>
            <w:tcW w:w="2540" w:type="dxa"/>
            <w:vAlign w:val="bottom"/>
            <w:gridSpan w:val="3"/>
          </w:tcPr>
          <w:p>
            <w:pPr>
              <w:ind w:left="680"/>
              <w:spacing w:after="0"/>
              <w:rPr>
                <w:sz w:val="20"/>
                <w:szCs w:val="20"/>
                <w:color w:val="auto"/>
              </w:rPr>
            </w:pPr>
            <w:r>
              <w:rPr>
                <w:rFonts w:ascii="Arial" w:cs="Arial" w:eastAsia="Arial" w:hAnsi="Arial"/>
                <w:sz w:val="18"/>
                <w:szCs w:val="18"/>
                <w:b w:val="1"/>
                <w:bCs w:val="1"/>
                <w:color w:val="auto"/>
              </w:rPr>
              <w:t>Exercise price</w:t>
            </w:r>
          </w:p>
        </w:tc>
      </w:tr>
      <w:tr>
        <w:trPr>
          <w:trHeight w:val="234"/>
        </w:trPr>
        <w:tc>
          <w:tcPr>
            <w:tcW w:w="4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340" w:type="dxa"/>
            <w:vAlign w:val="bottom"/>
            <w:tcBorders>
              <w:top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28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2009</w:t>
            </w:r>
          </w:p>
        </w:tc>
        <w:tc>
          <w:tcPr>
            <w:tcW w:w="116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r>
      <w:tr>
        <w:trPr>
          <w:trHeight w:val="198"/>
        </w:trPr>
        <w:tc>
          <w:tcPr>
            <w:tcW w:w="4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2001</w:t>
            </w:r>
          </w:p>
        </w:tc>
        <w:tc>
          <w:tcPr>
            <w:tcW w:w="170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87"/>
              </w:rPr>
              <w:t>60,000</w:t>
            </w:r>
          </w:p>
        </w:tc>
        <w:tc>
          <w:tcPr>
            <w:tcW w:w="220" w:type="dxa"/>
            <w:vAlign w:val="bottom"/>
            <w:shd w:val="clear" w:color="auto" w:fill="CCFFCC"/>
          </w:tcPr>
          <w:p>
            <w:pPr>
              <w:spacing w:after="0"/>
              <w:rPr>
                <w:sz w:val="18"/>
                <w:szCs w:val="18"/>
                <w:color w:val="auto"/>
              </w:rPr>
            </w:pPr>
          </w:p>
        </w:tc>
        <w:tc>
          <w:tcPr>
            <w:tcW w:w="128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US$ 4.30</w:t>
            </w:r>
          </w:p>
        </w:tc>
        <w:tc>
          <w:tcPr>
            <w:tcW w:w="1260" w:type="dxa"/>
            <w:vAlign w:val="bottom"/>
            <w:gridSpan w:val="2"/>
            <w:shd w:val="clear" w:color="auto" w:fill="CCFFCC"/>
          </w:tcPr>
          <w:p>
            <w:pPr>
              <w:ind w:left="320"/>
              <w:spacing w:after="0"/>
              <w:rPr>
                <w:sz w:val="20"/>
                <w:szCs w:val="20"/>
                <w:color w:val="auto"/>
              </w:rPr>
            </w:pPr>
            <w:r>
              <w:rPr>
                <w:rFonts w:ascii="Arial" w:cs="Arial" w:eastAsia="Arial" w:hAnsi="Arial"/>
                <w:sz w:val="18"/>
                <w:szCs w:val="18"/>
                <w:color w:val="auto"/>
              </w:rPr>
              <w:t>US$ 4.80</w:t>
            </w:r>
          </w:p>
        </w:tc>
      </w:tr>
      <w:tr>
        <w:trPr>
          <w:trHeight w:val="216"/>
        </w:trPr>
        <w:tc>
          <w:tcPr>
            <w:tcW w:w="430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1700" w:type="dxa"/>
            <w:vAlign w:val="bottom"/>
            <w:gridSpan w:val="2"/>
          </w:tcPr>
          <w:p>
            <w:pPr>
              <w:jc w:val="center"/>
              <w:ind w:left="150"/>
              <w:spacing w:after="0"/>
              <w:rPr>
                <w:sz w:val="20"/>
                <w:szCs w:val="20"/>
                <w:color w:val="auto"/>
              </w:rPr>
            </w:pPr>
            <w:r>
              <w:rPr>
                <w:rFonts w:ascii="Arial" w:cs="Arial" w:eastAsia="Arial" w:hAnsi="Arial"/>
                <w:sz w:val="18"/>
                <w:szCs w:val="18"/>
                <w:color w:val="auto"/>
                <w:w w:val="90"/>
              </w:rPr>
              <w:t>52,500</w:t>
            </w:r>
          </w:p>
        </w:tc>
        <w:tc>
          <w:tcPr>
            <w:tcW w:w="200" w:type="dxa"/>
            <w:vAlign w:val="bottom"/>
          </w:tcPr>
          <w:p>
            <w:pPr>
              <w:spacing w:after="0"/>
              <w:rPr>
                <w:sz w:val="18"/>
                <w:szCs w:val="18"/>
                <w:color w:val="auto"/>
              </w:rPr>
            </w:pP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87"/>
              </w:rPr>
              <w:t>52,500</w:t>
            </w:r>
          </w:p>
        </w:tc>
        <w:tc>
          <w:tcPr>
            <w:tcW w:w="134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60,000</w:t>
            </w:r>
          </w:p>
        </w:tc>
        <w:tc>
          <w:tcPr>
            <w:tcW w:w="1500" w:type="dxa"/>
            <w:vAlign w:val="bottom"/>
            <w:gridSpan w:val="2"/>
          </w:tcPr>
          <w:p>
            <w:pPr>
              <w:jc w:val="center"/>
              <w:ind w:left="70"/>
              <w:spacing w:after="0"/>
              <w:rPr>
                <w:sz w:val="20"/>
                <w:szCs w:val="20"/>
                <w:color w:val="auto"/>
              </w:rPr>
            </w:pPr>
            <w:r>
              <w:rPr>
                <w:rFonts w:ascii="Arial" w:cs="Arial" w:eastAsia="Arial" w:hAnsi="Arial"/>
                <w:sz w:val="18"/>
                <w:szCs w:val="18"/>
                <w:color w:val="auto"/>
                <w:w w:val="85"/>
              </w:rPr>
              <w:t>5.98</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85"/>
              </w:rPr>
              <w:t>6.48</w:t>
            </w:r>
          </w:p>
        </w:tc>
        <w:tc>
          <w:tcPr>
            <w:tcW w:w="100" w:type="dxa"/>
            <w:vAlign w:val="bottom"/>
          </w:tcPr>
          <w:p>
            <w:pPr>
              <w:spacing w:after="0"/>
              <w:rPr>
                <w:sz w:val="18"/>
                <w:szCs w:val="18"/>
                <w:color w:val="auto"/>
              </w:rPr>
            </w:pPr>
          </w:p>
        </w:tc>
      </w:tr>
      <w:tr>
        <w:trPr>
          <w:trHeight w:val="216"/>
        </w:trPr>
        <w:tc>
          <w:tcPr>
            <w:tcW w:w="4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2003</w:t>
            </w:r>
          </w:p>
        </w:tc>
        <w:tc>
          <w:tcPr>
            <w:tcW w:w="170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90"/>
              </w:rPr>
              <w:t>96,900</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7"/>
              </w:rPr>
              <w:t>96,900</w:t>
            </w:r>
          </w:p>
        </w:tc>
        <w:tc>
          <w:tcPr>
            <w:tcW w:w="134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92"/>
              </w:rPr>
              <w:t>134,900</w:t>
            </w:r>
          </w:p>
        </w:tc>
        <w:tc>
          <w:tcPr>
            <w:tcW w:w="15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85"/>
              </w:rPr>
              <w:t>7.17</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85"/>
              </w:rPr>
              <w:t>7.67</w:t>
            </w:r>
          </w:p>
        </w:tc>
        <w:tc>
          <w:tcPr>
            <w:tcW w:w="100" w:type="dxa"/>
            <w:vAlign w:val="bottom"/>
            <w:shd w:val="clear" w:color="auto" w:fill="CCFFCC"/>
          </w:tcPr>
          <w:p>
            <w:pPr>
              <w:spacing w:after="0"/>
              <w:rPr>
                <w:sz w:val="18"/>
                <w:szCs w:val="18"/>
                <w:color w:val="auto"/>
              </w:rPr>
            </w:pPr>
          </w:p>
        </w:tc>
      </w:tr>
      <w:tr>
        <w:trPr>
          <w:trHeight w:val="216"/>
        </w:trPr>
        <w:tc>
          <w:tcPr>
            <w:tcW w:w="430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7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118,750</w:t>
            </w:r>
          </w:p>
        </w:tc>
        <w:tc>
          <w:tcPr>
            <w:tcW w:w="200" w:type="dxa"/>
            <w:vAlign w:val="bottom"/>
          </w:tcPr>
          <w:p>
            <w:pPr>
              <w:spacing w:after="0"/>
              <w:rPr>
                <w:sz w:val="18"/>
                <w:szCs w:val="18"/>
                <w:color w:val="auto"/>
              </w:rPr>
            </w:pPr>
          </w:p>
        </w:tc>
        <w:tc>
          <w:tcPr>
            <w:tcW w:w="1120" w:type="dxa"/>
            <w:vAlign w:val="bottom"/>
          </w:tcPr>
          <w:p>
            <w:pPr>
              <w:jc w:val="center"/>
              <w:ind w:left="50"/>
              <w:spacing w:after="0"/>
              <w:rPr>
                <w:sz w:val="20"/>
                <w:szCs w:val="20"/>
                <w:color w:val="auto"/>
              </w:rPr>
            </w:pPr>
            <w:r>
              <w:rPr>
                <w:rFonts w:ascii="Arial" w:cs="Arial" w:eastAsia="Arial" w:hAnsi="Arial"/>
                <w:sz w:val="18"/>
                <w:szCs w:val="18"/>
                <w:color w:val="auto"/>
                <w:w w:val="89"/>
              </w:rPr>
              <w:t>118,750</w:t>
            </w:r>
          </w:p>
        </w:tc>
        <w:tc>
          <w:tcPr>
            <w:tcW w:w="134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185,950</w:t>
            </w:r>
          </w:p>
        </w:tc>
        <w:tc>
          <w:tcPr>
            <w:tcW w:w="1500" w:type="dxa"/>
            <w:vAlign w:val="bottom"/>
            <w:gridSpan w:val="2"/>
          </w:tcPr>
          <w:p>
            <w:pPr>
              <w:jc w:val="center"/>
              <w:ind w:left="70"/>
              <w:spacing w:after="0"/>
              <w:rPr>
                <w:sz w:val="20"/>
                <w:szCs w:val="20"/>
                <w:color w:val="auto"/>
              </w:rPr>
            </w:pPr>
            <w:r>
              <w:rPr>
                <w:rFonts w:ascii="Arial" w:cs="Arial" w:eastAsia="Arial" w:hAnsi="Arial"/>
                <w:sz w:val="18"/>
                <w:szCs w:val="18"/>
                <w:color w:val="auto"/>
                <w:w w:val="85"/>
              </w:rPr>
              <w:t>9.99</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3"/>
              </w:rPr>
              <w:t>10.49</w:t>
            </w:r>
          </w:p>
        </w:tc>
        <w:tc>
          <w:tcPr>
            <w:tcW w:w="100" w:type="dxa"/>
            <w:vAlign w:val="bottom"/>
          </w:tcPr>
          <w:p>
            <w:pPr>
              <w:spacing w:after="0"/>
              <w:rPr>
                <w:sz w:val="18"/>
                <w:szCs w:val="18"/>
                <w:color w:val="auto"/>
              </w:rPr>
            </w:pPr>
          </w:p>
        </w:tc>
      </w:tr>
      <w:tr>
        <w:trPr>
          <w:trHeight w:val="216"/>
        </w:trPr>
        <w:tc>
          <w:tcPr>
            <w:tcW w:w="4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2005</w:t>
            </w:r>
          </w:p>
        </w:tc>
        <w:tc>
          <w:tcPr>
            <w:tcW w:w="170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155,000</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92"/>
              </w:rPr>
              <w:t>155,000</w:t>
            </w:r>
          </w:p>
        </w:tc>
        <w:tc>
          <w:tcPr>
            <w:tcW w:w="134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92"/>
              </w:rPr>
              <w:t>241,700</w:t>
            </w:r>
          </w:p>
        </w:tc>
        <w:tc>
          <w:tcPr>
            <w:tcW w:w="15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93"/>
              </w:rPr>
              <w:t>15.00</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3"/>
              </w:rPr>
              <w:t>15.50</w:t>
            </w:r>
          </w:p>
        </w:tc>
        <w:tc>
          <w:tcPr>
            <w:tcW w:w="100" w:type="dxa"/>
            <w:vAlign w:val="bottom"/>
            <w:shd w:val="clear" w:color="auto" w:fill="CCFFCC"/>
          </w:tcPr>
          <w:p>
            <w:pPr>
              <w:spacing w:after="0"/>
              <w:rPr>
                <w:sz w:val="18"/>
                <w:szCs w:val="18"/>
                <w:color w:val="auto"/>
              </w:rPr>
            </w:pPr>
          </w:p>
        </w:tc>
      </w:tr>
      <w:tr>
        <w:trPr>
          <w:trHeight w:val="216"/>
        </w:trPr>
        <w:tc>
          <w:tcPr>
            <w:tcW w:w="43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70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226,250</w:t>
            </w:r>
          </w:p>
        </w:tc>
        <w:tc>
          <w:tcPr>
            <w:tcW w:w="200" w:type="dxa"/>
            <w:vAlign w:val="bottom"/>
          </w:tcPr>
          <w:p>
            <w:pPr>
              <w:spacing w:after="0"/>
              <w:rPr>
                <w:sz w:val="18"/>
                <w:szCs w:val="18"/>
                <w:color w:val="auto"/>
              </w:rPr>
            </w:pP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2"/>
              </w:rPr>
              <w:t>226,250</w:t>
            </w:r>
          </w:p>
        </w:tc>
        <w:tc>
          <w:tcPr>
            <w:tcW w:w="1340" w:type="dxa"/>
            <w:vAlign w:val="bottom"/>
            <w:gridSpan w:val="2"/>
          </w:tcPr>
          <w:p>
            <w:pPr>
              <w:jc w:val="center"/>
              <w:ind w:left="250"/>
              <w:spacing w:after="0"/>
              <w:rPr>
                <w:sz w:val="20"/>
                <w:szCs w:val="20"/>
                <w:color w:val="auto"/>
              </w:rPr>
            </w:pPr>
            <w:r>
              <w:rPr>
                <w:rFonts w:ascii="Arial" w:cs="Arial" w:eastAsia="Arial" w:hAnsi="Arial"/>
                <w:sz w:val="18"/>
                <w:szCs w:val="18"/>
                <w:color w:val="auto"/>
                <w:w w:val="92"/>
              </w:rPr>
              <w:t>327,784</w:t>
            </w:r>
          </w:p>
        </w:tc>
        <w:tc>
          <w:tcPr>
            <w:tcW w:w="150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24.32</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3"/>
              </w:rPr>
              <w:t>24.82</w:t>
            </w:r>
          </w:p>
        </w:tc>
        <w:tc>
          <w:tcPr>
            <w:tcW w:w="100" w:type="dxa"/>
            <w:vAlign w:val="bottom"/>
          </w:tcPr>
          <w:p>
            <w:pPr>
              <w:spacing w:after="0"/>
              <w:rPr>
                <w:sz w:val="18"/>
                <w:szCs w:val="18"/>
                <w:color w:val="auto"/>
              </w:rPr>
            </w:pPr>
          </w:p>
        </w:tc>
      </w:tr>
      <w:tr>
        <w:trPr>
          <w:trHeight w:val="216"/>
        </w:trPr>
        <w:tc>
          <w:tcPr>
            <w:tcW w:w="43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2007</w:t>
            </w:r>
          </w:p>
        </w:tc>
        <w:tc>
          <w:tcPr>
            <w:tcW w:w="170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235,785</w:t>
            </w:r>
          </w:p>
        </w:tc>
        <w:tc>
          <w:tcPr>
            <w:tcW w:w="200" w:type="dxa"/>
            <w:vAlign w:val="bottom"/>
            <w:shd w:val="clear" w:color="auto" w:fill="CCFFCC"/>
          </w:tcPr>
          <w:p>
            <w:pPr>
              <w:spacing w:after="0"/>
              <w:rPr>
                <w:sz w:val="18"/>
                <w:szCs w:val="18"/>
                <w:color w:val="auto"/>
              </w:rPr>
            </w:pPr>
          </w:p>
        </w:tc>
        <w:tc>
          <w:tcPr>
            <w:tcW w:w="112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92"/>
              </w:rPr>
              <w:t>214,831</w:t>
            </w:r>
          </w:p>
        </w:tc>
        <w:tc>
          <w:tcPr>
            <w:tcW w:w="1340" w:type="dxa"/>
            <w:vAlign w:val="bottom"/>
            <w:gridSpan w:val="2"/>
            <w:shd w:val="clear" w:color="auto" w:fill="CCFFCC"/>
          </w:tcPr>
          <w:p>
            <w:pPr>
              <w:jc w:val="center"/>
              <w:ind w:left="250"/>
              <w:spacing w:after="0"/>
              <w:rPr>
                <w:sz w:val="20"/>
                <w:szCs w:val="20"/>
                <w:color w:val="auto"/>
              </w:rPr>
            </w:pPr>
            <w:r>
              <w:rPr>
                <w:rFonts w:ascii="Arial" w:cs="Arial" w:eastAsia="Arial" w:hAnsi="Arial"/>
                <w:sz w:val="18"/>
                <w:szCs w:val="18"/>
                <w:color w:val="auto"/>
                <w:w w:val="92"/>
              </w:rPr>
              <w:t>320,859</w:t>
            </w:r>
          </w:p>
        </w:tc>
        <w:tc>
          <w:tcPr>
            <w:tcW w:w="1500" w:type="dxa"/>
            <w:vAlign w:val="bottom"/>
            <w:gridSpan w:val="2"/>
            <w:shd w:val="clear" w:color="auto" w:fill="CCFFCC"/>
          </w:tcPr>
          <w:p>
            <w:pPr>
              <w:jc w:val="center"/>
              <w:ind w:left="70"/>
              <w:spacing w:after="0"/>
              <w:rPr>
                <w:sz w:val="20"/>
                <w:szCs w:val="20"/>
                <w:color w:val="auto"/>
              </w:rPr>
            </w:pPr>
            <w:r>
              <w:rPr>
                <w:rFonts w:ascii="Arial" w:cs="Arial" w:eastAsia="Arial" w:hAnsi="Arial"/>
                <w:sz w:val="18"/>
                <w:szCs w:val="18"/>
                <w:color w:val="auto"/>
                <w:w w:val="93"/>
              </w:rPr>
              <w:t>24.32</w:t>
            </w:r>
          </w:p>
        </w:tc>
        <w:tc>
          <w:tcPr>
            <w:tcW w:w="1160" w:type="dxa"/>
            <w:vAlign w:val="bottom"/>
            <w:shd w:val="clear" w:color="auto" w:fill="CCFFCC"/>
          </w:tcPr>
          <w:p>
            <w:pPr>
              <w:jc w:val="center"/>
              <w:ind w:left="50"/>
              <w:spacing w:after="0"/>
              <w:rPr>
                <w:sz w:val="20"/>
                <w:szCs w:val="20"/>
                <w:color w:val="auto"/>
              </w:rPr>
            </w:pPr>
            <w:r>
              <w:rPr>
                <w:rFonts w:ascii="Arial" w:cs="Arial" w:eastAsia="Arial" w:hAnsi="Arial"/>
                <w:sz w:val="18"/>
                <w:szCs w:val="18"/>
                <w:color w:val="auto"/>
                <w:w w:val="93"/>
              </w:rPr>
              <w:t>48.00</w:t>
            </w:r>
          </w:p>
        </w:tc>
        <w:tc>
          <w:tcPr>
            <w:tcW w:w="100" w:type="dxa"/>
            <w:vAlign w:val="bottom"/>
            <w:shd w:val="clear" w:color="auto" w:fill="CCFFCC"/>
          </w:tcPr>
          <w:p>
            <w:pPr>
              <w:spacing w:after="0"/>
              <w:rPr>
                <w:sz w:val="18"/>
                <w:szCs w:val="18"/>
                <w:color w:val="auto"/>
              </w:rPr>
            </w:pPr>
          </w:p>
        </w:tc>
      </w:tr>
      <w:tr>
        <w:trPr>
          <w:trHeight w:val="223"/>
        </w:trPr>
        <w:tc>
          <w:tcPr>
            <w:tcW w:w="43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9"/>
              </w:rPr>
              <w:t>262,278</w:t>
            </w:r>
          </w:p>
        </w:tc>
        <w:tc>
          <w:tcPr>
            <w:tcW w:w="200" w:type="dxa"/>
            <w:vAlign w:val="bottom"/>
          </w:tcPr>
          <w:p>
            <w:pPr>
              <w:spacing w:after="0"/>
              <w:rPr>
                <w:sz w:val="19"/>
                <w:szCs w:val="19"/>
                <w:color w:val="auto"/>
              </w:rPr>
            </w:pP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174,045</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2"/>
              </w:rPr>
              <w:t>286,625</w:t>
            </w:r>
          </w:p>
        </w:tc>
        <w:tc>
          <w:tcPr>
            <w:tcW w:w="1500" w:type="dxa"/>
            <w:vAlign w:val="bottom"/>
            <w:gridSpan w:val="2"/>
          </w:tcPr>
          <w:p>
            <w:pPr>
              <w:jc w:val="center"/>
              <w:ind w:left="70"/>
              <w:spacing w:after="0"/>
              <w:rPr>
                <w:sz w:val="20"/>
                <w:szCs w:val="20"/>
                <w:color w:val="auto"/>
              </w:rPr>
            </w:pPr>
            <w:r>
              <w:rPr>
                <w:rFonts w:ascii="Arial" w:cs="Arial" w:eastAsia="Arial" w:hAnsi="Arial"/>
                <w:sz w:val="18"/>
                <w:szCs w:val="18"/>
                <w:color w:val="auto"/>
                <w:w w:val="93"/>
              </w:rPr>
              <w:t>24.32</w:t>
            </w:r>
          </w:p>
        </w:tc>
        <w:tc>
          <w:tcPr>
            <w:tcW w:w="1160" w:type="dxa"/>
            <w:vAlign w:val="bottom"/>
          </w:tcPr>
          <w:p>
            <w:pPr>
              <w:jc w:val="center"/>
              <w:ind w:left="50"/>
              <w:spacing w:after="0"/>
              <w:rPr>
                <w:sz w:val="20"/>
                <w:szCs w:val="20"/>
                <w:color w:val="auto"/>
              </w:rPr>
            </w:pPr>
            <w:r>
              <w:rPr>
                <w:rFonts w:ascii="Arial" w:cs="Arial" w:eastAsia="Arial" w:hAnsi="Arial"/>
                <w:sz w:val="18"/>
                <w:szCs w:val="18"/>
                <w:color w:val="auto"/>
                <w:w w:val="93"/>
              </w:rPr>
              <w:t>72.04</w:t>
            </w:r>
          </w:p>
        </w:tc>
        <w:tc>
          <w:tcPr>
            <w:tcW w:w="100" w:type="dxa"/>
            <w:vAlign w:val="bottom"/>
          </w:tcPr>
          <w:p>
            <w:pPr>
              <w:spacing w:after="0"/>
              <w:rPr>
                <w:sz w:val="19"/>
                <w:szCs w:val="19"/>
                <w:color w:val="auto"/>
              </w:rPr>
            </w:pPr>
          </w:p>
        </w:tc>
      </w:tr>
      <w:tr>
        <w:trPr>
          <w:trHeight w:val="223"/>
        </w:trPr>
        <w:tc>
          <w:tcPr>
            <w:tcW w:w="43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580" w:type="dxa"/>
            <w:vAlign w:val="bottom"/>
            <w:tcBorders>
              <w:bottom w:val="single" w:sz="8" w:color="auto"/>
            </w:tcBorders>
            <w:shd w:val="clear" w:color="auto" w:fill="CCFFCC"/>
          </w:tcPr>
          <w:p>
            <w:pPr>
              <w:jc w:val="center"/>
              <w:ind w:left="50"/>
              <w:spacing w:after="0"/>
              <w:rPr>
                <w:sz w:val="20"/>
                <w:szCs w:val="20"/>
                <w:color w:val="auto"/>
              </w:rPr>
            </w:pPr>
            <w:r>
              <w:rPr>
                <w:rFonts w:ascii="Arial" w:cs="Arial" w:eastAsia="Arial" w:hAnsi="Arial"/>
                <w:sz w:val="18"/>
                <w:szCs w:val="18"/>
                <w:color w:val="auto"/>
                <w:w w:val="89"/>
              </w:rPr>
              <w:t>1,147,463</w:t>
            </w:r>
          </w:p>
        </w:tc>
        <w:tc>
          <w:tcPr>
            <w:tcW w:w="20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center"/>
              <w:ind w:left="30"/>
              <w:spacing w:after="0"/>
              <w:rPr>
                <w:sz w:val="20"/>
                <w:szCs w:val="20"/>
                <w:color w:val="auto"/>
              </w:rPr>
            </w:pPr>
            <w:r>
              <w:rPr>
                <w:rFonts w:ascii="Arial" w:cs="Arial" w:eastAsia="Arial" w:hAnsi="Arial"/>
                <w:sz w:val="18"/>
                <w:szCs w:val="18"/>
                <w:color w:val="auto"/>
                <w:w w:val="89"/>
              </w:rPr>
              <w:t>1,038,276</w:t>
            </w:r>
          </w:p>
        </w:tc>
        <w:tc>
          <w:tcPr>
            <w:tcW w:w="22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auto"/>
            </w:tcBorders>
            <w:shd w:val="clear" w:color="auto" w:fill="CCFFCC"/>
          </w:tcPr>
          <w:p>
            <w:pPr>
              <w:jc w:val="center"/>
              <w:ind w:left="30"/>
              <w:spacing w:after="0"/>
              <w:rPr>
                <w:sz w:val="20"/>
                <w:szCs w:val="20"/>
                <w:color w:val="auto"/>
              </w:rPr>
            </w:pPr>
            <w:r>
              <w:rPr>
                <w:rFonts w:ascii="Arial" w:cs="Arial" w:eastAsia="Arial" w:hAnsi="Arial"/>
                <w:sz w:val="18"/>
                <w:szCs w:val="18"/>
                <w:color w:val="auto"/>
                <w:w w:val="89"/>
              </w:rPr>
              <w:t>1,617,818</w:t>
            </w:r>
          </w:p>
        </w:tc>
        <w:tc>
          <w:tcPr>
            <w:tcW w:w="220" w:type="dxa"/>
            <w:vAlign w:val="bottom"/>
            <w:tcBorders>
              <w:bottom w:val="single" w:sz="8" w:color="CCFFCC"/>
            </w:tcBorders>
            <w:shd w:val="clear" w:color="auto" w:fill="CCFFCC"/>
          </w:tcPr>
          <w:p>
            <w:pPr>
              <w:spacing w:after="0"/>
              <w:rPr>
                <w:sz w:val="19"/>
                <w:szCs w:val="19"/>
                <w:color w:val="auto"/>
              </w:rPr>
            </w:pPr>
          </w:p>
        </w:tc>
        <w:tc>
          <w:tcPr>
            <w:tcW w:w="1280" w:type="dxa"/>
            <w:vAlign w:val="bottom"/>
            <w:tcBorders>
              <w:bottom w:val="single" w:sz="8" w:color="CCFFCC"/>
            </w:tcBorders>
            <w:shd w:val="clear" w:color="auto" w:fill="CCFFCC"/>
          </w:tcPr>
          <w:p>
            <w:pPr>
              <w:spacing w:after="0"/>
              <w:rPr>
                <w:sz w:val="19"/>
                <w:szCs w:val="19"/>
                <w:color w:val="auto"/>
              </w:rPr>
            </w:pPr>
          </w:p>
        </w:tc>
        <w:tc>
          <w:tcPr>
            <w:tcW w:w="116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r>
    </w:tbl>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April, 2009, Credicorp implemented a new share base payment plan for certain key executives and employees. Under the new plan, Credicorp shares will be granted to certain key executives and employees who have at least one year of service to Credicorp or any of our subsidiaries. Beginning on April 28, 2009, and in each of the subsequent three years thereafter, granted shares will be vested up to 33.3% of all granted shares. Credicorp also determined that SARs granted until December 2008 under the prior SARs program (as explained above) will remain in force, with certain modifications, until they expire.</w:t>
      </w:r>
    </w:p>
    <w:p>
      <w:pPr>
        <w:spacing w:after="0" w:line="200" w:lineRule="exact"/>
        <w:rPr>
          <w:sz w:val="20"/>
          <w:szCs w:val="20"/>
          <w:color w:val="auto"/>
        </w:rPr>
      </w:pPr>
    </w:p>
    <w:p>
      <w:pPr>
        <w:spacing w:after="0" w:line="254"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management is the responsibility of its Board of Directors, which, pursuant to Credicorp’s bye-laws, is comprised of eight members. Directors need not be shareholders. Directors are elected and their remuneration is determined at Annual General Shareholders’ Meetings. Directors hold office for three-year terms. The date of expiration of our current Board of Directors is March 31, 2011. Our current directors have no benefits in addition to the remuneration agreed at the Annual General Shareholders’ Meetings. They also do not have any benefits that could be enjoyed at the termination of their service terms.</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Credicorp’s bye-laws, the required quorum for business to take place during a Board meeting shall be a majority of the Directors of the Company. The Board has the power to appoint any person as Director to fill a vacancy on the Board for the remainder of the period as a result of the death, disability, disqualification or resignation of any Director. A resolution in writing signed by all Directors shall be as valid as if had been passed at a meeting duly called and constituted</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Credicorp’s audit committee is responsible for assisting in the recommendation of independent auditors to be appointed at the Annual General Shareholders’ Meeting and reviewing the scope of internal and external audits. The Audit Committee also reviews compliance with internal control systems, reviews our annual and quarterly financial statements before their presentation to regulatory bodies and maintains the integrity of the preparation of audits. The current members of the Audit Committee are Mr. Reynaldo Llosa (Chairman) and Mr. Germán Suárez (financial expert), who designated Mr. Benedicto Cigüeñas as advisor.</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Audit Committee has also been assigned by the Board of Directors to oversee the internal audit departments at all its subsidiaries.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0" w:name="page121"/>
    <w:bookmarkEnd w:id="120"/>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December 31, 2009, Credicorp had 20,148 full time employees, distributed as set forth in the following table:</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4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b w:val="1"/>
                <w:bCs w:val="1"/>
                <w:color w:val="auto"/>
                <w:w w:val="96"/>
              </w:rPr>
              <w:t>At December 31,</w:t>
            </w:r>
          </w:p>
        </w:tc>
        <w:tc>
          <w:tcPr>
            <w:tcW w:w="12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46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2007</w:t>
            </w:r>
          </w:p>
        </w:tc>
        <w:tc>
          <w:tcPr>
            <w:tcW w:w="180" w:type="dxa"/>
            <w:vAlign w:val="bottom"/>
          </w:tcPr>
          <w:p>
            <w:pPr>
              <w:spacing w:after="0"/>
              <w:rPr>
                <w:sz w:val="19"/>
                <w:szCs w:val="19"/>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9"/>
                <w:szCs w:val="19"/>
                <w:color w:val="auto"/>
              </w:rPr>
            </w:pPr>
          </w:p>
        </w:tc>
      </w:tr>
      <w:tr>
        <w:trPr>
          <w:trHeight w:val="216"/>
        </w:trPr>
        <w:tc>
          <w:tcPr>
            <w:tcW w:w="5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i w:val="1"/>
                <w:iCs w:val="1"/>
                <w:color w:val="auto"/>
                <w:w w:val="82"/>
              </w:rPr>
              <w:t>(Full-time employees)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12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8"/>
              </w:rPr>
              <w:t>9,593</w:t>
            </w:r>
          </w:p>
        </w:tc>
        <w:tc>
          <w:tcPr>
            <w:tcW w:w="1440" w:type="dxa"/>
            <w:vAlign w:val="bottom"/>
            <w:gridSpan w:val="2"/>
            <w:shd w:val="clear" w:color="auto" w:fill="CCFFCC"/>
          </w:tcPr>
          <w:p>
            <w:pPr>
              <w:jc w:val="center"/>
              <w:ind w:left="190"/>
              <w:spacing w:after="0"/>
              <w:rPr>
                <w:sz w:val="20"/>
                <w:szCs w:val="20"/>
                <w:color w:val="auto"/>
              </w:rPr>
            </w:pPr>
            <w:r>
              <w:rPr>
                <w:rFonts w:ascii="Arial" w:cs="Arial" w:eastAsia="Arial" w:hAnsi="Arial"/>
                <w:sz w:val="18"/>
                <w:szCs w:val="18"/>
                <w:color w:val="auto"/>
                <w:w w:val="87"/>
              </w:rPr>
              <w:t>11,654</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16,748</w:t>
            </w:r>
          </w:p>
        </w:tc>
        <w:tc>
          <w:tcPr>
            <w:tcW w:w="80" w:type="dxa"/>
            <w:vAlign w:val="bottom"/>
            <w:shd w:val="clear" w:color="auto" w:fill="CCFFC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PPS</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8"/>
              </w:rPr>
              <w:t>1,665</w:t>
            </w:r>
          </w:p>
        </w:tc>
        <w:tc>
          <w:tcPr>
            <w:tcW w:w="144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2,306</w:t>
            </w: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2,567</w:t>
            </w:r>
          </w:p>
        </w:tc>
        <w:tc>
          <w:tcPr>
            <w:tcW w:w="80" w:type="dxa"/>
            <w:vAlign w:val="bottom"/>
          </w:tcPr>
          <w:p>
            <w:pPr>
              <w:spacing w:after="0"/>
              <w:rPr>
                <w:sz w:val="18"/>
                <w:szCs w:val="18"/>
                <w:color w:val="auto"/>
              </w:rPr>
            </w:pPr>
          </w:p>
        </w:tc>
      </w:tr>
      <w:tr>
        <w:trPr>
          <w:trHeight w:val="216"/>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ASHC</w:t>
            </w: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65</w:t>
            </w:r>
          </w:p>
        </w:tc>
        <w:tc>
          <w:tcPr>
            <w:tcW w:w="1440" w:type="dxa"/>
            <w:vAlign w:val="bottom"/>
            <w:gridSpan w:val="2"/>
            <w:shd w:val="clear" w:color="auto" w:fill="CCFFCC"/>
          </w:tcPr>
          <w:p>
            <w:pPr>
              <w:jc w:val="center"/>
              <w:ind w:left="210"/>
              <w:spacing w:after="0"/>
              <w:rPr>
                <w:sz w:val="20"/>
                <w:szCs w:val="20"/>
                <w:color w:val="auto"/>
              </w:rPr>
            </w:pPr>
            <w:r>
              <w:rPr>
                <w:rFonts w:ascii="Arial" w:cs="Arial" w:eastAsia="Arial" w:hAnsi="Arial"/>
                <w:sz w:val="18"/>
                <w:szCs w:val="18"/>
                <w:color w:val="auto"/>
                <w:w w:val="89"/>
              </w:rPr>
              <w:t>73</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74</w:t>
            </w:r>
          </w:p>
        </w:tc>
        <w:tc>
          <w:tcPr>
            <w:tcW w:w="80" w:type="dxa"/>
            <w:vAlign w:val="bottom"/>
            <w:shd w:val="clear" w:color="auto" w:fill="CCFFC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Prima AFP</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8"/>
              </w:rPr>
              <w:t>1,464</w:t>
            </w:r>
          </w:p>
        </w:tc>
        <w:tc>
          <w:tcPr>
            <w:tcW w:w="1440" w:type="dxa"/>
            <w:vAlign w:val="bottom"/>
            <w:gridSpan w:val="2"/>
          </w:tcPr>
          <w:p>
            <w:pPr>
              <w:jc w:val="center"/>
              <w:ind w:left="190"/>
              <w:spacing w:after="0"/>
              <w:rPr>
                <w:sz w:val="20"/>
                <w:szCs w:val="20"/>
                <w:color w:val="auto"/>
              </w:rPr>
            </w:pPr>
            <w:r>
              <w:rPr>
                <w:rFonts w:ascii="Arial" w:cs="Arial" w:eastAsia="Arial" w:hAnsi="Arial"/>
                <w:sz w:val="18"/>
                <w:szCs w:val="18"/>
                <w:color w:val="auto"/>
                <w:w w:val="88"/>
              </w:rPr>
              <w:t>1,015</w:t>
            </w: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6"/>
              </w:rPr>
              <w:t>750</w:t>
            </w:r>
          </w:p>
        </w:tc>
        <w:tc>
          <w:tcPr>
            <w:tcW w:w="80" w:type="dxa"/>
            <w:vAlign w:val="bottom"/>
          </w:tcPr>
          <w:p>
            <w:pPr>
              <w:spacing w:after="0"/>
              <w:rPr>
                <w:sz w:val="18"/>
                <w:szCs w:val="18"/>
                <w:color w:val="auto"/>
              </w:rPr>
            </w:pPr>
          </w:p>
        </w:tc>
      </w:tr>
      <w:tr>
        <w:trPr>
          <w:trHeight w:val="216"/>
        </w:trPr>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12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3"/>
              </w:rPr>
              <w:t>350</w:t>
            </w:r>
          </w:p>
        </w:tc>
        <w:tc>
          <w:tcPr>
            <w:tcW w:w="1440" w:type="dxa"/>
            <w:vAlign w:val="bottom"/>
            <w:gridSpan w:val="2"/>
            <w:shd w:val="clear" w:color="auto" w:fill="CCFFCC"/>
          </w:tcPr>
          <w:p>
            <w:pPr>
              <w:jc w:val="center"/>
              <w:ind w:left="190"/>
              <w:spacing w:after="0"/>
              <w:rPr>
                <w:sz w:val="20"/>
                <w:szCs w:val="20"/>
                <w:color w:val="auto"/>
              </w:rPr>
            </w:pPr>
            <w:r>
              <w:rPr>
                <w:rFonts w:ascii="Arial" w:cs="Arial" w:eastAsia="Arial" w:hAnsi="Arial"/>
                <w:sz w:val="18"/>
                <w:szCs w:val="18"/>
                <w:color w:val="auto"/>
                <w:w w:val="93"/>
              </w:rPr>
              <w:t>430</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9</w:t>
            </w:r>
          </w:p>
        </w:tc>
        <w:tc>
          <w:tcPr>
            <w:tcW w:w="80" w:type="dxa"/>
            <w:vAlign w:val="bottom"/>
            <w:shd w:val="clear" w:color="auto" w:fill="CCFFCC"/>
          </w:tcPr>
          <w:p>
            <w:pPr>
              <w:spacing w:after="0"/>
              <w:rPr>
                <w:sz w:val="18"/>
                <w:szCs w:val="18"/>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Total Credicorp</w:t>
            </w: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87"/>
              </w:rPr>
              <w:t>13,137</w:t>
            </w:r>
          </w:p>
        </w:tc>
        <w:tc>
          <w:tcPr>
            <w:tcW w:w="1440" w:type="dxa"/>
            <w:vAlign w:val="bottom"/>
            <w:gridSpan w:val="2"/>
          </w:tcPr>
          <w:p>
            <w:pPr>
              <w:jc w:val="center"/>
              <w:ind w:left="210"/>
              <w:spacing w:after="0"/>
              <w:rPr>
                <w:sz w:val="20"/>
                <w:szCs w:val="20"/>
                <w:color w:val="auto"/>
              </w:rPr>
            </w:pPr>
            <w:r>
              <w:rPr>
                <w:rFonts w:ascii="Arial" w:cs="Arial" w:eastAsia="Arial" w:hAnsi="Arial"/>
                <w:sz w:val="18"/>
                <w:szCs w:val="18"/>
                <w:color w:val="auto"/>
                <w:w w:val="90"/>
              </w:rPr>
              <w:t>15,478</w:t>
            </w:r>
          </w:p>
        </w:tc>
        <w:tc>
          <w:tcPr>
            <w:tcW w:w="2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20,148</w:t>
            </w:r>
          </w:p>
        </w:tc>
        <w:tc>
          <w:tcPr>
            <w:tcW w:w="80" w:type="dxa"/>
            <w:vAlign w:val="bottom"/>
          </w:tcPr>
          <w:p>
            <w:pPr>
              <w:spacing w:after="0"/>
              <w:rPr>
                <w:sz w:val="20"/>
                <w:szCs w:val="20"/>
                <w:color w:val="auto"/>
              </w:rPr>
            </w:pPr>
          </w:p>
        </w:tc>
      </w:tr>
    </w:tbl>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All bank employees in Peru are given the option of belonging to an employee union. These employee unions are collectively represented by the Federación de Empleados Bancarios (the Federation of Banking Employees or FEB). In order to negotiate a collective agreement on behalf of its members, FEB must have as members over 50% of all Peruvian banking employees. Because the representation of banking employees members of FEB declined to below 50%, the most recent collective bargaining agreement, which expired on June 30, 1995, was not renewed.</w:t>
      </w:r>
    </w:p>
    <w:p>
      <w:pPr>
        <w:spacing w:after="0" w:line="19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BCP was granted permission by the Peruvian Ministry of Labor to cancel the registration of BCP’s union in 1996 due to limited participation. As of December 31, 2009, no BCP employees belonged to a union. The last strike by union employees occurred in 1991 and did not interfere with BCP’s operations.</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As of February 5, 2010, the Romero family owned 14.17 million (15.01%) of our common shares. While Mr. Luis Enrique Yarur does not individually own in excess of 1% of Credicorp's shares, he is a controlling shareholder of Banco de Chile e Inversiones (BCI), which owns 1.67 million ( 1.77%) of Credicorp’s common shares. None of our other directors or executive officers beneficially own more than 1% of our common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7. Major Shareholders and Related Party Transactions—(A) Major Shareholders.” Other members of the Board of Directors that own our common shares are Mr. Raimundo Morales, Mr. Fernando Fort, Mr. Reynaldo Llosa, Mr. Juan Carlos Verme, Mr. Felipe Ortiz de Zevallos and Mr. Germán Suárez. Each of these directors own less than 1% of our total outstanding common shares.</w:t>
      </w:r>
    </w:p>
    <w:p>
      <w:pPr>
        <w:spacing w:after="0" w:line="200" w:lineRule="exact"/>
        <w:rPr>
          <w:sz w:val="20"/>
          <w:szCs w:val="20"/>
          <w:color w:val="auto"/>
        </w:rPr>
      </w:pPr>
    </w:p>
    <w:p>
      <w:pPr>
        <w:spacing w:after="0" w:line="25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52"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2009, Credicorp had issued 94,382,317 common shares, of which 14,620,845 were held by ASHC. Under Bermuda law, ASHC has the right to vote the common shares it owns. In order to restructure long term holdings, substantially all of our common shares held by BCP and PPS were transferred to ASHC in April 2004.</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1" w:name="page122"/>
    <w:bookmarkEnd w:id="121"/>
    <w:p>
      <w:pPr>
        <w:ind w:firstLine="648"/>
        <w:spacing w:after="0" w:line="277" w:lineRule="auto"/>
        <w:rPr>
          <w:sz w:val="20"/>
          <w:szCs w:val="20"/>
          <w:color w:val="auto"/>
        </w:rPr>
      </w:pPr>
      <w:r>
        <w:rPr>
          <w:rFonts w:ascii="Arial" w:cs="Arial" w:eastAsia="Arial" w:hAnsi="Arial"/>
          <w:sz w:val="18"/>
          <w:szCs w:val="18"/>
          <w:color w:val="auto"/>
        </w:rPr>
        <w:t>The table below provides details about the percentage of Credicorp’s common shares owned by holders of 5% or more of our total common shares, as of February 5, 2010.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980" w:type="dxa"/>
            <w:vAlign w:val="bottom"/>
            <w:tcBorders>
              <w:bottom w:val="single" w:sz="8" w:color="auto"/>
            </w:tcBorders>
          </w:tcPr>
          <w:p>
            <w:pPr>
              <w:ind w:left="3720"/>
              <w:spacing w:after="0"/>
              <w:rPr>
                <w:sz w:val="20"/>
                <w:szCs w:val="20"/>
                <w:color w:val="auto"/>
              </w:rPr>
            </w:pPr>
            <w:r>
              <w:rPr>
                <w:rFonts w:ascii="Arial" w:cs="Arial" w:eastAsia="Arial" w:hAnsi="Arial"/>
                <w:sz w:val="18"/>
                <w:szCs w:val="18"/>
                <w:b w:val="1"/>
                <w:bCs w:val="1"/>
                <w:color w:val="auto"/>
              </w:rPr>
              <w:t>Owner</w:t>
            </w:r>
          </w:p>
        </w:tc>
        <w:tc>
          <w:tcPr>
            <w:tcW w:w="120" w:type="dxa"/>
            <w:vAlign w:val="bottom"/>
          </w:tcPr>
          <w:p>
            <w:pPr>
              <w:spacing w:after="0"/>
              <w:rPr>
                <w:sz w:val="20"/>
                <w:szCs w:val="20"/>
                <w:color w:val="auto"/>
              </w:rPr>
            </w:pPr>
          </w:p>
        </w:tc>
        <w:tc>
          <w:tcPr>
            <w:tcW w:w="150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5"/>
              </w:rPr>
              <w:t>Common Shares</w:t>
            </w:r>
          </w:p>
        </w:tc>
        <w:tc>
          <w:tcPr>
            <w:tcW w:w="220" w:type="dxa"/>
            <w:vAlign w:val="bottom"/>
          </w:tcPr>
          <w:p>
            <w:pPr>
              <w:spacing w:after="0"/>
              <w:rPr>
                <w:sz w:val="20"/>
                <w:szCs w:val="20"/>
                <w:color w:val="auto"/>
              </w:rPr>
            </w:pPr>
          </w:p>
        </w:tc>
        <w:tc>
          <w:tcPr>
            <w:tcW w:w="1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88"/>
              </w:rPr>
              <w:t>Percent of Class(1)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Atlantic Security Holding Corporation (2)</w:t>
            </w:r>
          </w:p>
        </w:tc>
        <w:tc>
          <w:tcPr>
            <w:tcW w:w="162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8"/>
              </w:rPr>
              <w:t>14,620,845</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8"/>
              </w:rPr>
              <w:t>15.49%</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Romero family (3)</w:t>
            </w:r>
          </w:p>
        </w:tc>
        <w:tc>
          <w:tcPr>
            <w:tcW w:w="1620" w:type="dxa"/>
            <w:vAlign w:val="bottom"/>
            <w:gridSpan w:val="2"/>
          </w:tcPr>
          <w:p>
            <w:pPr>
              <w:jc w:val="center"/>
              <w:ind w:left="170"/>
              <w:spacing w:after="0"/>
              <w:rPr>
                <w:sz w:val="20"/>
                <w:szCs w:val="20"/>
                <w:color w:val="auto"/>
              </w:rPr>
            </w:pPr>
            <w:r>
              <w:rPr>
                <w:rFonts w:ascii="Arial" w:cs="Arial" w:eastAsia="Arial" w:hAnsi="Arial"/>
                <w:sz w:val="18"/>
                <w:szCs w:val="18"/>
                <w:color w:val="auto"/>
                <w:w w:val="88"/>
              </w:rPr>
              <w:t>14,167,331</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15.01%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FFCC"/>
          </w:tcPr>
          <w:p>
            <w:pPr>
              <w:spacing w:after="0"/>
              <w:rPr>
                <w:sz w:val="20"/>
                <w:szCs w:val="20"/>
                <w:color w:val="auto"/>
              </w:rPr>
            </w:pPr>
            <w:r>
              <w:rPr>
                <w:rFonts w:ascii="Arial" w:cs="Arial" w:eastAsia="Arial" w:hAnsi="Arial"/>
                <w:sz w:val="18"/>
                <w:szCs w:val="18"/>
                <w:color w:val="auto"/>
              </w:rPr>
              <w:t>AFP Integra</w:t>
            </w:r>
          </w:p>
        </w:tc>
        <w:tc>
          <w:tcPr>
            <w:tcW w:w="162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9"/>
              </w:rPr>
              <w:t>6,635,516</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7.03%</w:t>
            </w:r>
          </w:p>
        </w:tc>
        <w:tc>
          <w:tcPr>
            <w:tcW w:w="100" w:type="dxa"/>
            <w:vAlign w:val="bottom"/>
            <w:shd w:val="clear" w:color="auto" w:fill="CCFFCC"/>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Prima AFP</w:t>
            </w:r>
          </w:p>
        </w:tc>
        <w:tc>
          <w:tcPr>
            <w:tcW w:w="1620" w:type="dxa"/>
            <w:vAlign w:val="bottom"/>
            <w:gridSpan w:val="2"/>
          </w:tcPr>
          <w:p>
            <w:pPr>
              <w:jc w:val="center"/>
              <w:ind w:left="170"/>
              <w:spacing w:after="0"/>
              <w:rPr>
                <w:sz w:val="20"/>
                <w:szCs w:val="20"/>
                <w:color w:val="auto"/>
              </w:rPr>
            </w:pPr>
            <w:r>
              <w:rPr>
                <w:rFonts w:ascii="Arial" w:cs="Arial" w:eastAsia="Arial" w:hAnsi="Arial"/>
                <w:sz w:val="18"/>
                <w:szCs w:val="18"/>
                <w:color w:val="auto"/>
                <w:w w:val="89"/>
              </w:rPr>
              <w:t>5,657,373</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5.99%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82689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81" w:lineRule="exact"/>
        <w:rPr>
          <w:sz w:val="20"/>
          <w:szCs w:val="20"/>
          <w:color w:val="auto"/>
        </w:rPr>
      </w:pPr>
    </w:p>
    <w:p>
      <w:pPr>
        <w:ind w:left="300" w:hanging="292"/>
        <w:spacing w:after="0"/>
        <w:tabs>
          <w:tab w:leader="none" w:pos="3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a percentage of issued and outstanding shares (including shares held by ASHC).</w:t>
      </w:r>
    </w:p>
    <w:p>
      <w:pPr>
        <w:spacing w:after="0" w:line="252" w:lineRule="exact"/>
        <w:rPr>
          <w:rFonts w:ascii="Arial" w:cs="Arial" w:eastAsia="Arial" w:hAnsi="Arial"/>
          <w:sz w:val="18"/>
          <w:szCs w:val="18"/>
          <w:color w:val="auto"/>
        </w:rPr>
      </w:pPr>
    </w:p>
    <w:p>
      <w:pPr>
        <w:jc w:val="both"/>
        <w:ind w:firstLine="8"/>
        <w:spacing w:after="0" w:line="259" w:lineRule="auto"/>
        <w:tabs>
          <w:tab w:leader="none" w:pos="33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As of February 5, 2010, Atlantic Security Bank (a subsidiary of ASHC) held 4,398,289 shares of Credicorp on behalf of clients as part of the Private Banking Services that ASB provides, and which shares are purchased or sold based on client instruction. Clients can decide at any time to exercise their voting power in any Shareholders’ Meeting. ASB does not have the power to dispose of these shares. Because the shares are held by ASB on behalf of clients, which have the power to vote the shares, ASHC disclaims beneficial ownership of the shares</w:t>
      </w:r>
    </w:p>
    <w:p>
      <w:pPr>
        <w:spacing w:after="0" w:line="213" w:lineRule="exact"/>
        <w:rPr>
          <w:rFonts w:ascii="Arial" w:cs="Arial" w:eastAsia="Arial" w:hAnsi="Arial"/>
          <w:sz w:val="18"/>
          <w:szCs w:val="18"/>
          <w:color w:val="auto"/>
        </w:rPr>
      </w:pPr>
    </w:p>
    <w:p>
      <w:pPr>
        <w:ind w:firstLine="8"/>
        <w:spacing w:after="0" w:line="277" w:lineRule="auto"/>
        <w:tabs>
          <w:tab w:leader="none" w:pos="306"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Includes common shares directly or indirectly owned by Dionisio Romero Paoletti and his family or companies owned or controlled by him. Mr. Romero P. is the Chairman of the Board.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Approximately 18.19% of Credicorp’s total issued and outstanding common shares are currently held in 2,774 individual accounts with Cavali, a Peruvian securities clearing company.</w:t>
      </w:r>
    </w:p>
    <w:p>
      <w:pPr>
        <w:spacing w:after="0" w:line="19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February 5, 2010, 79,761,472 of common shares of Credicorp (excluding the 14,620,845 shares held by ASHC) were outstanding, of which approximately 64.48% were held in the United States. There were approximately 78 registered holders of Credicorp’s common shares in the United States. Because many of these common shares were held by brokers or other nominees, and because of the impracticability of obtaining accurate residence information for all beneficial shareholders, the number of registered holders in the United States is not a representative figure of the beneficial holders or of the residence of beneficial holders. Credicorp is neither directly nor indirectly controlled by another corporation or by any foreign government.</w:t>
      </w:r>
    </w:p>
    <w:p>
      <w:pPr>
        <w:spacing w:after="0" w:line="200" w:lineRule="exact"/>
        <w:rPr>
          <w:sz w:val="20"/>
          <w:szCs w:val="20"/>
          <w:color w:val="auto"/>
        </w:rPr>
      </w:pPr>
    </w:p>
    <w:p>
      <w:pPr>
        <w:spacing w:after="0" w:line="224"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2"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Bermuda law, Credicorp is not subject to any restrictions on transactions with affiliates, other than such restrictions as are applicable to Bermuda companies generally. Credicorp’s bye-laws provide that a director may not vote with respect to any contract or proposed contract or arrangement in which that director has an interest or a conflict of interest. Credicorp has not engaged in any transactions with related parties except through our subsidiaries.</w:t>
      </w:r>
    </w:p>
    <w:p>
      <w:pPr>
        <w:spacing w:after="0" w:line="17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consolidated financial statements as of December 31, 2007, 2008 and 2009 include transactions with related parties. For its 2007, 2008 and 2009 consolidated financial statements, Credicorp defines related parties as (i) related companies, (ii) its Board of Directors, (iii) its key executives (defined as the management of our holdings) and (iv) enterprises that are controlled by these individuals or entities through majority shareholding or their role as chairman or principal executive officer in those companies.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8"/>
          <w:szCs w:val="18"/>
          <w:color w:val="auto"/>
        </w:rPr>
        <w:t>The following table shows Credicorp’s main transactions with related companies as of December 31, 2007, 2008 and 2009.</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8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Related companies</w:t>
            </w: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0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89"/>
              </w:rPr>
              <w:t>2008</w:t>
            </w:r>
          </w:p>
        </w:tc>
        <w:tc>
          <w:tcPr>
            <w:tcW w:w="180" w:type="dxa"/>
            <w:vAlign w:val="bottom"/>
          </w:tcPr>
          <w:p>
            <w:pPr>
              <w:spacing w:after="0"/>
              <w:rPr>
                <w:sz w:val="20"/>
                <w:szCs w:val="20"/>
                <w:color w:val="auto"/>
              </w:rPr>
            </w:pPr>
          </w:p>
        </w:tc>
        <w:tc>
          <w:tcPr>
            <w:tcW w:w="12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i w:val="1"/>
                <w:iCs w:val="1"/>
                <w:color w:val="auto"/>
                <w:w w:val="95"/>
              </w:rPr>
              <w:t>(U.S. Dollars in</w:t>
            </w:r>
          </w:p>
        </w:tc>
        <w:tc>
          <w:tcPr>
            <w:tcW w:w="1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3"/>
          </w:tcPr>
          <w:p>
            <w:pPr>
              <w:jc w:val="center"/>
              <w:ind w:right="180"/>
              <w:spacing w:after="0"/>
              <w:rPr>
                <w:sz w:val="20"/>
                <w:szCs w:val="20"/>
                <w:color w:val="auto"/>
              </w:rPr>
            </w:pPr>
            <w:r>
              <w:rPr>
                <w:rFonts w:ascii="Arial" w:cs="Arial" w:eastAsia="Arial" w:hAnsi="Arial"/>
                <w:sz w:val="18"/>
                <w:szCs w:val="18"/>
                <w:i w:val="1"/>
                <w:iCs w:val="1"/>
                <w:color w:val="auto"/>
                <w:w w:val="89"/>
              </w:rPr>
              <w:t>thousands)</w:t>
            </w: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8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w:t>
            </w: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3"/>
              </w:rPr>
              <w:t>94,102</w:t>
            </w: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ind w:left="440"/>
              <w:spacing w:after="0"/>
              <w:rPr>
                <w:sz w:val="20"/>
                <w:szCs w:val="20"/>
                <w:color w:val="auto"/>
              </w:rPr>
            </w:pPr>
            <w:r>
              <w:rPr>
                <w:rFonts w:ascii="Arial" w:cs="Arial" w:eastAsia="Arial" w:hAnsi="Arial"/>
                <w:sz w:val="18"/>
                <w:szCs w:val="18"/>
                <w:color w:val="auto"/>
                <w:w w:val="85"/>
              </w:rPr>
              <w:t>US$</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89"/>
              </w:rPr>
              <w:t>143,855</w:t>
            </w:r>
          </w:p>
        </w:tc>
        <w:tc>
          <w:tcPr>
            <w:tcW w:w="680" w:type="dxa"/>
            <w:vAlign w:val="bottom"/>
            <w:shd w:val="clear" w:color="auto" w:fill="CCFFCC"/>
          </w:tcPr>
          <w:p>
            <w:pPr>
              <w:ind w:left="360"/>
              <w:spacing w:after="0"/>
              <w:rPr>
                <w:sz w:val="20"/>
                <w:szCs w:val="20"/>
                <w:color w:val="auto"/>
              </w:rPr>
            </w:pPr>
            <w:r>
              <w:rPr>
                <w:rFonts w:ascii="Arial" w:cs="Arial" w:eastAsia="Arial" w:hAnsi="Arial"/>
                <w:sz w:val="18"/>
                <w:szCs w:val="18"/>
                <w:color w:val="auto"/>
                <w:w w:val="85"/>
              </w:rPr>
              <w:t>US$</w:t>
            </w: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9"/>
              </w:rPr>
              <w:t>214,182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8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90,396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63,782</w:t>
            </w:r>
          </w:p>
        </w:tc>
        <w:tc>
          <w:tcPr>
            <w:tcW w:w="6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92,747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860" w:type="dxa"/>
            <w:vAlign w:val="bottom"/>
            <w:shd w:val="clear" w:color="auto" w:fill="CCFFCC"/>
          </w:tcPr>
          <w:p>
            <w:pPr>
              <w:spacing w:after="0"/>
              <w:rPr>
                <w:sz w:val="18"/>
                <w:szCs w:val="18"/>
                <w:color w:val="auto"/>
              </w:rPr>
            </w:pPr>
          </w:p>
        </w:tc>
        <w:tc>
          <w:tcPr>
            <w:tcW w:w="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3"/>
              </w:rPr>
              <w:t>31,689</w:t>
            </w: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34,669</w:t>
            </w:r>
          </w:p>
        </w:tc>
        <w:tc>
          <w:tcPr>
            <w:tcW w:w="6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Contingent credits</w:t>
            </w:r>
          </w:p>
        </w:tc>
        <w:tc>
          <w:tcPr>
            <w:tcW w:w="8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w w:val="83"/>
              </w:rPr>
              <w:t>14,026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23,574</w:t>
            </w:r>
          </w:p>
        </w:tc>
        <w:tc>
          <w:tcPr>
            <w:tcW w:w="6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20,122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related to loans</w:t>
            </w:r>
          </w:p>
        </w:tc>
        <w:tc>
          <w:tcPr>
            <w:tcW w:w="86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2,288</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2,889</w:t>
            </w:r>
          </w:p>
        </w:tc>
        <w:tc>
          <w:tcPr>
            <w:tcW w:w="6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 related to deposits</w:t>
            </w: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2,669</w:t>
            </w:r>
          </w:p>
        </w:tc>
        <w:tc>
          <w:tcPr>
            <w:tcW w:w="68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86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1,673</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FFCC"/>
          </w:tcPr>
          <w:p>
            <w:pPr>
              <w:spacing w:after="0"/>
              <w:rPr>
                <w:sz w:val="18"/>
                <w:szCs w:val="18"/>
                <w:color w:val="auto"/>
              </w:rPr>
            </w:pP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Derivatives at fair value</w:t>
            </w:r>
          </w:p>
        </w:tc>
        <w:tc>
          <w:tcPr>
            <w:tcW w:w="86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4,179</w:t>
            </w:r>
          </w:p>
        </w:tc>
        <w:tc>
          <w:tcPr>
            <w:tcW w:w="6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Other income</w:t>
            </w:r>
          </w:p>
        </w:tc>
        <w:tc>
          <w:tcPr>
            <w:tcW w:w="8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1,192</w:t>
            </w:r>
          </w:p>
        </w:tc>
        <w:tc>
          <w:tcPr>
            <w:tcW w:w="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ind w:left="440"/>
              <w:spacing w:after="0"/>
              <w:rPr>
                <w:sz w:val="20"/>
                <w:szCs w:val="20"/>
                <w:color w:val="auto"/>
              </w:rPr>
            </w:pPr>
            <w:r>
              <w:rPr>
                <w:rFonts w:ascii="Arial" w:cs="Arial" w:eastAsia="Arial" w:hAnsi="Arial"/>
                <w:sz w:val="18"/>
                <w:szCs w:val="18"/>
                <w:color w:val="auto"/>
                <w:w w:val="85"/>
              </w:rPr>
              <w:t>US$</w:t>
            </w:r>
          </w:p>
        </w:tc>
        <w:tc>
          <w:tcPr>
            <w:tcW w:w="7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2,533</w:t>
            </w:r>
          </w:p>
        </w:tc>
        <w:tc>
          <w:tcPr>
            <w:tcW w:w="680" w:type="dxa"/>
            <w:vAlign w:val="bottom"/>
            <w:shd w:val="clear" w:color="auto" w:fill="CCFFCC"/>
          </w:tcPr>
          <w:p>
            <w:pPr>
              <w:ind w:left="360"/>
              <w:spacing w:after="0"/>
              <w:rPr>
                <w:sz w:val="20"/>
                <w:szCs w:val="20"/>
                <w:color w:val="auto"/>
              </w:rPr>
            </w:pPr>
            <w:r>
              <w:rPr>
                <w:rFonts w:ascii="Arial" w:cs="Arial" w:eastAsia="Arial" w:hAnsi="Arial"/>
                <w:sz w:val="18"/>
                <w:szCs w:val="18"/>
                <w:color w:val="auto"/>
                <w:w w:val="85"/>
              </w:rPr>
              <w:t>US$</w:t>
            </w:r>
          </w:p>
        </w:tc>
        <w:tc>
          <w:tcPr>
            <w:tcW w:w="6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Credicorp made these loans, contingent operations and derivative contracts with related parties in the ordinary course of business and in accordance with the normal market terms available to other customers. Outstanding loan balances at the year-end are granted by collateral given by the related party. The loans to related companies as of December 31, 2009 have maturity dates ranging between January 2010 and November 2018 and an accrued annual interest average of 5.5% (and as of December 31, 2008 had a maturity between February 2009 and July 2017 and an accrued annual interest average of 7.98%). As of December 31, 2009, there was no provision for doubtful debts due to related parties (US$1.2 million as of December 31, 2008 and US$0.2 million as of December 31, 2007). This amount is established based on an assessment performed on a continuous basis on the financial position of the related party and the market in which it operates. The increase registered in 2009 in relation to the level of direct loans in 2008 was mainly explained by additional financing granted to five entities Agrícola del Chira S.A., Centro Empresarial El Derby S.A., Inversiones Centenario S.A., Alicorp S.A. y Sucroalcolera del Chira S.A.</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2007, 2008 and 2009, Credicorp’s directors, officers and employees had been involved, directly and indirectly, in credit transactions with certain subsidiaries, as permitted by Peruvian Law No. 26702. This law regulates and limits certain transactions with employees, directors and officers of banks and insurance companies in Peru. As of December 31, 2007, 2008 and 2009, direct loans to employees, directors and key management of Credicorp amounted to US$85.1 million, US$116.3 million and US$133.3 million, respectively. These loans are paid monthly and earn interest at rates that are similar to market rates for comparable loans.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does not grant directors or key personnel loans that are guaranteed with its shares or shares of its other companies.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3" w:name="page124"/>
    <w:bookmarkEnd w:id="123"/>
    <w:p>
      <w:pPr>
        <w:ind w:left="660"/>
        <w:spacing w:after="0"/>
        <w:rPr>
          <w:sz w:val="20"/>
          <w:szCs w:val="20"/>
          <w:color w:val="auto"/>
        </w:rPr>
      </w:pPr>
      <w:r>
        <w:rPr>
          <w:rFonts w:ascii="Arial" w:cs="Arial" w:eastAsia="Arial" w:hAnsi="Arial"/>
          <w:sz w:val="18"/>
          <w:szCs w:val="18"/>
          <w:color w:val="auto"/>
        </w:rPr>
        <w:t>Credicorp’s key executives’ compensation as of December 31, 2007, 2008 and 2009 was comprised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36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9"/>
              </w:rPr>
              <w:t>2008</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i w:val="1"/>
                <w:iCs w:val="1"/>
                <w:color w:val="auto"/>
                <w:w w:val="94"/>
              </w:rPr>
              <w:t>(U.S. Dollars in</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i w:val="1"/>
                <w:iCs w:val="1"/>
                <w:color w:val="auto"/>
                <w:w w:val="87"/>
              </w:rPr>
              <w:t>thousands)</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Stock appreciation rights</w:t>
            </w:r>
          </w:p>
        </w:tc>
        <w:tc>
          <w:tcPr>
            <w:tcW w:w="116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7"/>
              </w:rPr>
              <w:t>27,113</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7"/>
              </w:rPr>
              <w:t>27,362</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8"/>
              </w:rPr>
              <w:t>4,720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Salaries</w:t>
            </w:r>
          </w:p>
        </w:tc>
        <w:tc>
          <w:tcPr>
            <w:tcW w:w="1160" w:type="dxa"/>
            <w:vAlign w:val="bottom"/>
          </w:tcPr>
          <w:p>
            <w:pPr>
              <w:jc w:val="center"/>
              <w:ind w:left="30"/>
              <w:spacing w:after="0"/>
              <w:rPr>
                <w:sz w:val="20"/>
                <w:szCs w:val="20"/>
                <w:color w:val="auto"/>
              </w:rPr>
            </w:pPr>
            <w:r>
              <w:rPr>
                <w:rFonts w:ascii="Arial" w:cs="Arial" w:eastAsia="Arial" w:hAnsi="Arial"/>
                <w:sz w:val="18"/>
                <w:szCs w:val="18"/>
                <w:color w:val="auto"/>
                <w:w w:val="88"/>
              </w:rPr>
              <w:t>5,535</w:t>
            </w:r>
          </w:p>
        </w:tc>
        <w:tc>
          <w:tcPr>
            <w:tcW w:w="1360" w:type="dxa"/>
            <w:vAlign w:val="bottom"/>
            <w:gridSpan w:val="2"/>
          </w:tcPr>
          <w:p>
            <w:pPr>
              <w:jc w:val="center"/>
              <w:ind w:left="230"/>
              <w:spacing w:after="0"/>
              <w:rPr>
                <w:sz w:val="20"/>
                <w:szCs w:val="20"/>
                <w:color w:val="auto"/>
              </w:rPr>
            </w:pPr>
            <w:r>
              <w:rPr>
                <w:rFonts w:ascii="Arial" w:cs="Arial" w:eastAsia="Arial" w:hAnsi="Arial"/>
                <w:sz w:val="18"/>
                <w:szCs w:val="18"/>
                <w:color w:val="auto"/>
                <w:w w:val="88"/>
              </w:rPr>
              <w:t>5,625</w:t>
            </w:r>
          </w:p>
        </w:tc>
        <w:tc>
          <w:tcPr>
            <w:tcW w:w="220" w:type="dxa"/>
            <w:vAlign w:val="bottom"/>
          </w:tcPr>
          <w:p>
            <w:pPr>
              <w:spacing w:after="0"/>
              <w:rPr>
                <w:sz w:val="18"/>
                <w:szCs w:val="18"/>
                <w:color w:val="auto"/>
              </w:rPr>
            </w:pPr>
          </w:p>
        </w:tc>
        <w:tc>
          <w:tcPr>
            <w:tcW w:w="1140" w:type="dxa"/>
            <w:vAlign w:val="bottom"/>
          </w:tcPr>
          <w:p>
            <w:pPr>
              <w:jc w:val="center"/>
              <w:ind w:left="10"/>
              <w:spacing w:after="0"/>
              <w:rPr>
                <w:sz w:val="20"/>
                <w:szCs w:val="20"/>
                <w:color w:val="auto"/>
              </w:rPr>
            </w:pPr>
            <w:r>
              <w:rPr>
                <w:rFonts w:ascii="Arial" w:cs="Arial" w:eastAsia="Arial" w:hAnsi="Arial"/>
                <w:sz w:val="18"/>
                <w:szCs w:val="18"/>
                <w:color w:val="auto"/>
                <w:w w:val="88"/>
              </w:rPr>
              <w:t>4,717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Director compensation</w:t>
            </w:r>
          </w:p>
        </w:tc>
        <w:tc>
          <w:tcPr>
            <w:tcW w:w="1160" w:type="dxa"/>
            <w:vAlign w:val="bottom"/>
            <w:shd w:val="clear" w:color="auto" w:fill="CCFFCC"/>
          </w:tcPr>
          <w:p>
            <w:pPr>
              <w:jc w:val="center"/>
              <w:ind w:left="30"/>
              <w:spacing w:after="0"/>
              <w:rPr>
                <w:sz w:val="20"/>
                <w:szCs w:val="20"/>
                <w:color w:val="auto"/>
              </w:rPr>
            </w:pPr>
            <w:r>
              <w:rPr>
                <w:rFonts w:ascii="Arial" w:cs="Arial" w:eastAsia="Arial" w:hAnsi="Arial"/>
                <w:sz w:val="18"/>
                <w:szCs w:val="18"/>
                <w:color w:val="auto"/>
                <w:w w:val="88"/>
              </w:rPr>
              <w:t>1,162</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8"/>
              </w:rPr>
              <w:t>1,303</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8"/>
              </w:rPr>
              <w:t>1,698</w:t>
            </w:r>
          </w:p>
        </w:tc>
        <w:tc>
          <w:tcPr>
            <w:tcW w:w="100" w:type="dxa"/>
            <w:vAlign w:val="bottom"/>
            <w:shd w:val="clear" w:color="auto" w:fill="CCFFCC"/>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0"/>
              </w:rPr>
              <w:t>12,947</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8,209</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8"/>
              </w:rPr>
              <w:t>1,415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16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0"/>
              </w:rPr>
              <w:t>46,757</w:t>
            </w:r>
          </w:p>
        </w:tc>
        <w:tc>
          <w:tcPr>
            <w:tcW w:w="136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7"/>
              </w:rPr>
              <w:t>42,499</w:t>
            </w: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7"/>
              </w:rPr>
              <w:t>12,550</w:t>
            </w:r>
          </w:p>
        </w:tc>
        <w:tc>
          <w:tcPr>
            <w:tcW w:w="100" w:type="dxa"/>
            <w:vAlign w:val="bottom"/>
            <w:shd w:val="clear" w:color="auto" w:fill="CCFFCC"/>
          </w:tcPr>
          <w:p>
            <w:pPr>
              <w:spacing w:after="0"/>
              <w:rPr>
                <w:sz w:val="18"/>
                <w:szCs w:val="18"/>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key executives’ compensation comprises all the payments received by them, including the taxes that we assumed.</w:t>
      </w:r>
    </w:p>
    <w:p>
      <w:pPr>
        <w:spacing w:after="0" w:line="200" w:lineRule="exact"/>
        <w:rPr>
          <w:sz w:val="20"/>
          <w:szCs w:val="20"/>
          <w:color w:val="auto"/>
        </w:rPr>
      </w:pPr>
    </w:p>
    <w:p>
      <w:pPr>
        <w:spacing w:after="0" w:line="291" w:lineRule="exact"/>
        <w:rPr>
          <w:sz w:val="20"/>
          <w:szCs w:val="20"/>
          <w:color w:val="auto"/>
        </w:rPr>
      </w:pPr>
    </w:p>
    <w:p>
      <w:pPr>
        <w:ind w:left="660" w:right="8260" w:hanging="652"/>
        <w:spacing w:after="0" w:line="564" w:lineRule="auto"/>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4" w:name="page125"/>
    <w:bookmarkEnd w:id="124"/>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52" w:lineRule="exact"/>
        <w:rPr>
          <w:sz w:val="20"/>
          <w:szCs w:val="20"/>
          <w:color w:val="auto"/>
        </w:rPr>
      </w:pPr>
    </w:p>
    <w:p>
      <w:pPr>
        <w:ind w:left="660" w:right="6260" w:hanging="652"/>
        <w:spacing w:after="0" w:line="534" w:lineRule="auto"/>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i w:val="1"/>
          <w:iCs w:val="1"/>
          <w:color w:val="auto"/>
        </w:rPr>
        <w:t>Consolidated Financial Statements</w:t>
      </w:r>
    </w:p>
    <w:p>
      <w:pPr>
        <w:spacing w:after="0" w:line="1" w:lineRule="exact"/>
        <w:rPr>
          <w:rFonts w:ascii="Arial" w:cs="Arial" w:eastAsia="Arial" w:hAnsi="Arial"/>
          <w:sz w:val="18"/>
          <w:szCs w:val="18"/>
          <w:b w:val="1"/>
          <w:bCs w:val="1"/>
          <w:color w:val="auto"/>
        </w:rPr>
      </w:pPr>
    </w:p>
    <w:p>
      <w:pPr>
        <w:ind w:left="660" w:right="8120"/>
        <w:spacing w:after="0" w:line="532"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18. Financial Statements.”</w:t>
      </w:r>
      <w:r>
        <w:rPr>
          <w:rFonts w:ascii="Arial" w:cs="Arial" w:eastAsia="Arial" w:hAnsi="Arial"/>
          <w:sz w:val="18"/>
          <w:szCs w:val="18"/>
          <w:i w:val="1"/>
          <w:iCs w:val="1"/>
          <w:color w:val="auto"/>
        </w:rPr>
        <w:t xml:space="preserve"> Legal Proceedings</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along with our subsidiaries, are involved in certain legal proceedings that arise in the normal course of conducting business. We do not believe that any liabilities that may result from such proceedings would have a material adverse effect on our financial condition or results of operations, or on the financial condition or results of operations of any of our subsidiaries.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Investigations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we, nor any of our subsidiaries, are involved in any government investigation.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Policy</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Bermuda law, we may declare and pay dividends from time to time so long as after payment of the dividends: (i) we are able to pay our liabilities as they become due, and (ii) the realizable value of our assets is not less than the aggregate value of our liabilities, issued share capital, and share premium accounts. We cannot make any assurances as to the amount of any dividends or as to whether any dividends will be paid at all, although we currently intend to declare and pay dividends annually, and our Board of Directors currently expects to authorize the payment of an annual dividend to the shareholders of no less than 25% of our consolidated net profits. However, our payment of dividends is subject to Bermuda law and to the discretion of our Board of Directors. The Board’s decision will depend on (i) general business conditions, (ii) our financial performance, (iii) the availability of dividends from our subsidiaries and any restrictions on their payment, and (iv) other factors that the Board may deem relevant.</w:t>
      </w:r>
    </w:p>
    <w:p>
      <w:pPr>
        <w:spacing w:after="0" w:line="20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We rely almost exclusively on dividends from our subsidiaries for the payment of our corporate expenses and for the distribution of dividends to holders of our common shares. Subject to certain reserve and capital adequacy requirements under applicable banking and insurance regulations, we are able to cause our subsidiaries to declare dividends. To the extent our subsidiaries do not have funds available or are otherwise restricted from paying us dividends, our ability to pay dividends on our common shares will be adversely affected. Currently, there are no restrictions on the ability of BCP, ASHC, PPS, or any of our other subsidiaries to pay dividends abroad. In addition, BCP and PPS intend to declare and pay dividends in Nuevos Soles, while we intend to declare and pay dividends in U.S. Dollars. If the value of the Nuevo Sol falls relative to the U.S. Dollar between the date of declaration and the date of payment of dividends, the value of the dividends we pay would be adversely affected.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3. Key Information—(A) Selected Financial Data—Exchange Rates.”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5" w:name="page126"/>
    <w:bookmarkEnd w:id="125"/>
    <w:p>
      <w:pPr>
        <w:ind w:left="660"/>
        <w:spacing w:after="0"/>
        <w:rPr>
          <w:sz w:val="20"/>
          <w:szCs w:val="20"/>
          <w:color w:val="auto"/>
        </w:rPr>
      </w:pPr>
      <w:r>
        <w:rPr>
          <w:rFonts w:ascii="Arial" w:cs="Arial" w:eastAsia="Arial" w:hAnsi="Arial"/>
          <w:sz w:val="18"/>
          <w:szCs w:val="18"/>
          <w:color w:val="auto"/>
        </w:rPr>
        <w:t>The following table shows cash and stock dividends that we paid in the periods indicated: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Stock</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2"/>
          </w:tcPr>
          <w:p>
            <w:pPr>
              <w:spacing w:after="0"/>
              <w:rPr>
                <w:sz w:val="20"/>
                <w:szCs w:val="20"/>
                <w:color w:val="auto"/>
              </w:rPr>
            </w:pPr>
            <w:r>
              <w:rPr>
                <w:rFonts w:ascii="Arial" w:cs="Arial" w:eastAsia="Arial" w:hAnsi="Arial"/>
                <w:sz w:val="18"/>
                <w:szCs w:val="18"/>
                <w:b w:val="1"/>
                <w:bCs w:val="1"/>
                <w:color w:val="auto"/>
                <w:w w:val="99"/>
              </w:rPr>
              <w:t>Number of Shares Entitled</w:t>
            </w:r>
          </w:p>
        </w:tc>
        <w:tc>
          <w:tcPr>
            <w:tcW w:w="1460" w:type="dxa"/>
            <w:vAlign w:val="bottom"/>
          </w:tcPr>
          <w:p>
            <w:pPr>
              <w:ind w:left="120"/>
              <w:spacing w:after="0"/>
              <w:rPr>
                <w:sz w:val="20"/>
                <w:szCs w:val="20"/>
                <w:color w:val="auto"/>
              </w:rPr>
            </w:pPr>
            <w:r>
              <w:rPr>
                <w:rFonts w:ascii="Arial" w:cs="Arial" w:eastAsia="Arial" w:hAnsi="Arial"/>
                <w:sz w:val="18"/>
                <w:szCs w:val="18"/>
                <w:b w:val="1"/>
                <w:bCs w:val="1"/>
                <w:color w:val="auto"/>
                <w:w w:val="97"/>
              </w:rPr>
              <w:t>Cash Dividends</w:t>
            </w:r>
          </w:p>
        </w:tc>
        <w:tc>
          <w:tcPr>
            <w:tcW w:w="220" w:type="dxa"/>
            <w:vAlign w:val="bottom"/>
          </w:tcPr>
          <w:p>
            <w:pPr>
              <w:spacing w:after="0"/>
              <w:rPr>
                <w:sz w:val="18"/>
                <w:szCs w:val="18"/>
                <w:color w:val="auto"/>
              </w:rPr>
            </w:pPr>
          </w:p>
        </w:tc>
        <w:tc>
          <w:tcPr>
            <w:tcW w:w="1520" w:type="dxa"/>
            <w:vAlign w:val="bottom"/>
            <w:gridSpan w:val="2"/>
          </w:tcPr>
          <w:p>
            <w:pPr>
              <w:ind w:left="320"/>
              <w:spacing w:after="0"/>
              <w:rPr>
                <w:sz w:val="20"/>
                <w:szCs w:val="20"/>
                <w:color w:val="auto"/>
              </w:rPr>
            </w:pPr>
            <w:r>
              <w:rPr>
                <w:rFonts w:ascii="Arial" w:cs="Arial" w:eastAsia="Arial" w:hAnsi="Arial"/>
                <w:sz w:val="18"/>
                <w:szCs w:val="18"/>
                <w:b w:val="1"/>
                <w:bCs w:val="1"/>
                <w:color w:val="auto"/>
              </w:rPr>
              <w:t>Dividends</w:t>
            </w:r>
          </w:p>
        </w:tc>
      </w:tr>
      <w:tr>
        <w:trPr>
          <w:trHeight w:val="241"/>
        </w:trPr>
        <w:tc>
          <w:tcPr>
            <w:tcW w:w="20" w:type="dxa"/>
            <w:vAlign w:val="bottom"/>
          </w:tcPr>
          <w:p>
            <w:pPr>
              <w:spacing w:after="0"/>
              <w:rPr>
                <w:sz w:val="20"/>
                <w:szCs w:val="20"/>
                <w:color w:val="auto"/>
              </w:rPr>
            </w:pPr>
          </w:p>
        </w:tc>
        <w:tc>
          <w:tcPr>
            <w:tcW w:w="5820" w:type="dxa"/>
            <w:vAlign w:val="bottom"/>
            <w:tcBorders>
              <w:bottom w:val="single" w:sz="8" w:color="auto"/>
            </w:tcBorders>
          </w:tcPr>
          <w:p>
            <w:pPr>
              <w:jc w:val="right"/>
              <w:ind w:right="1850"/>
              <w:spacing w:after="0"/>
              <w:rPr>
                <w:sz w:val="20"/>
                <w:szCs w:val="20"/>
                <w:color w:val="auto"/>
              </w:rPr>
            </w:pPr>
            <w:r>
              <w:rPr>
                <w:rFonts w:ascii="Arial" w:cs="Arial" w:eastAsia="Arial" w:hAnsi="Arial"/>
                <w:sz w:val="18"/>
                <w:szCs w:val="18"/>
                <w:b w:val="1"/>
                <w:bCs w:val="1"/>
                <w:color w:val="auto"/>
              </w:rPr>
              <w:t>Year ended December 31,</w:t>
            </w:r>
          </w:p>
        </w:tc>
        <w:tc>
          <w:tcPr>
            <w:tcW w:w="120" w:type="dxa"/>
            <w:vAlign w:val="bottom"/>
          </w:tcPr>
          <w:p>
            <w:pPr>
              <w:spacing w:after="0"/>
              <w:rPr>
                <w:sz w:val="20"/>
                <w:szCs w:val="20"/>
                <w:color w:val="auto"/>
              </w:rPr>
            </w:pPr>
          </w:p>
        </w:tc>
        <w:tc>
          <w:tcPr>
            <w:tcW w:w="2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to Dividends</w:t>
            </w:r>
          </w:p>
        </w:tc>
        <w:tc>
          <w:tcPr>
            <w:tcW w:w="220" w:type="dxa"/>
            <w:vAlign w:val="bottom"/>
          </w:tcPr>
          <w:p>
            <w:pPr>
              <w:spacing w:after="0"/>
              <w:rPr>
                <w:sz w:val="20"/>
                <w:szCs w:val="20"/>
                <w:color w:val="auto"/>
              </w:rPr>
            </w:pPr>
          </w:p>
        </w:tc>
        <w:tc>
          <w:tcPr>
            <w:tcW w:w="14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Per Share</w:t>
            </w:r>
          </w:p>
        </w:tc>
        <w:tc>
          <w:tcPr>
            <w:tcW w:w="220" w:type="dxa"/>
            <w:vAlign w:val="bottom"/>
          </w:tcPr>
          <w:p>
            <w:pPr>
              <w:spacing w:after="0"/>
              <w:rPr>
                <w:sz w:val="20"/>
                <w:szCs w:val="20"/>
                <w:color w:val="auto"/>
              </w:rPr>
            </w:pPr>
          </w:p>
        </w:tc>
        <w:tc>
          <w:tcPr>
            <w:tcW w:w="1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Per Share</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1999</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US$ 0.20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jc w:val="right"/>
              <w:ind w:right="5390"/>
              <w:spacing w:after="0"/>
              <w:rPr>
                <w:sz w:val="20"/>
                <w:szCs w:val="20"/>
                <w:color w:val="auto"/>
              </w:rPr>
            </w:pPr>
            <w:r>
              <w:rPr>
                <w:rFonts w:ascii="Arial" w:cs="Arial" w:eastAsia="Arial" w:hAnsi="Arial"/>
                <w:sz w:val="18"/>
                <w:szCs w:val="18"/>
                <w:color w:val="auto"/>
                <w:w w:val="79"/>
              </w:rPr>
              <w:t>2000</w:t>
            </w:r>
          </w:p>
        </w:tc>
        <w:tc>
          <w:tcPr>
            <w:tcW w:w="2160" w:type="dxa"/>
            <w:vAlign w:val="bottom"/>
            <w:gridSpan w:val="2"/>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US$ 0.10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2001</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US$ 0.10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jc w:val="right"/>
              <w:ind w:right="5390"/>
              <w:spacing w:after="0"/>
              <w:rPr>
                <w:sz w:val="20"/>
                <w:szCs w:val="20"/>
                <w:color w:val="auto"/>
              </w:rPr>
            </w:pPr>
            <w:r>
              <w:rPr>
                <w:rFonts w:ascii="Arial" w:cs="Arial" w:eastAsia="Arial" w:hAnsi="Arial"/>
                <w:sz w:val="18"/>
                <w:szCs w:val="18"/>
                <w:color w:val="auto"/>
                <w:w w:val="79"/>
              </w:rPr>
              <w:t>2002</w:t>
            </w:r>
          </w:p>
        </w:tc>
        <w:tc>
          <w:tcPr>
            <w:tcW w:w="2160" w:type="dxa"/>
            <w:vAlign w:val="bottom"/>
            <w:gridSpan w:val="2"/>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US$ 0.40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2003</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US$ 0.30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jc w:val="right"/>
              <w:ind w:right="5390"/>
              <w:spacing w:after="0"/>
              <w:rPr>
                <w:sz w:val="20"/>
                <w:szCs w:val="20"/>
                <w:color w:val="auto"/>
              </w:rPr>
            </w:pPr>
            <w:r>
              <w:rPr>
                <w:rFonts w:ascii="Arial" w:cs="Arial" w:eastAsia="Arial" w:hAnsi="Arial"/>
                <w:sz w:val="18"/>
                <w:szCs w:val="18"/>
                <w:color w:val="auto"/>
                <w:w w:val="79"/>
              </w:rPr>
              <w:t>2004</w:t>
            </w:r>
          </w:p>
        </w:tc>
        <w:tc>
          <w:tcPr>
            <w:tcW w:w="2160" w:type="dxa"/>
            <w:vAlign w:val="bottom"/>
            <w:gridSpan w:val="2"/>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US$ 0.40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2005</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US$ 0.80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jc w:val="right"/>
              <w:ind w:right="5390"/>
              <w:spacing w:after="0"/>
              <w:rPr>
                <w:sz w:val="20"/>
                <w:szCs w:val="20"/>
                <w:color w:val="auto"/>
              </w:rPr>
            </w:pPr>
            <w:r>
              <w:rPr>
                <w:rFonts w:ascii="Arial" w:cs="Arial" w:eastAsia="Arial" w:hAnsi="Arial"/>
                <w:sz w:val="18"/>
                <w:szCs w:val="18"/>
                <w:color w:val="auto"/>
                <w:w w:val="79"/>
              </w:rPr>
              <w:t>2006</w:t>
            </w:r>
          </w:p>
        </w:tc>
        <w:tc>
          <w:tcPr>
            <w:tcW w:w="2160" w:type="dxa"/>
            <w:vAlign w:val="bottom"/>
            <w:gridSpan w:val="2"/>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US$ 1.10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2007</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US$ 1.30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tcPr>
          <w:p>
            <w:pPr>
              <w:jc w:val="right"/>
              <w:ind w:right="5390"/>
              <w:spacing w:after="0"/>
              <w:rPr>
                <w:sz w:val="20"/>
                <w:szCs w:val="20"/>
                <w:color w:val="auto"/>
              </w:rPr>
            </w:pPr>
            <w:r>
              <w:rPr>
                <w:rFonts w:ascii="Arial" w:cs="Arial" w:eastAsia="Arial" w:hAnsi="Arial"/>
                <w:sz w:val="18"/>
                <w:szCs w:val="18"/>
                <w:color w:val="auto"/>
                <w:w w:val="79"/>
              </w:rPr>
              <w:t>2008</w:t>
            </w:r>
          </w:p>
        </w:tc>
        <w:tc>
          <w:tcPr>
            <w:tcW w:w="2160" w:type="dxa"/>
            <w:vAlign w:val="bottom"/>
            <w:gridSpan w:val="2"/>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tcPr>
          <w:p>
            <w:pPr>
              <w:spacing w:after="0"/>
              <w:rPr>
                <w:sz w:val="18"/>
                <w:szCs w:val="18"/>
                <w:color w:val="auto"/>
              </w:rPr>
            </w:pPr>
          </w:p>
        </w:tc>
        <w:tc>
          <w:tcPr>
            <w:tcW w:w="1460" w:type="dxa"/>
            <w:vAlign w:val="bottom"/>
          </w:tcPr>
          <w:p>
            <w:pPr>
              <w:ind w:left="440"/>
              <w:spacing w:after="0"/>
              <w:rPr>
                <w:sz w:val="20"/>
                <w:szCs w:val="20"/>
                <w:color w:val="auto"/>
              </w:rPr>
            </w:pPr>
            <w:r>
              <w:rPr>
                <w:rFonts w:ascii="Arial" w:cs="Arial" w:eastAsia="Arial" w:hAnsi="Arial"/>
                <w:sz w:val="18"/>
                <w:szCs w:val="18"/>
                <w:color w:val="auto"/>
              </w:rPr>
              <w:t>US$ 1.50</w:t>
            </w:r>
          </w:p>
        </w:tc>
        <w:tc>
          <w:tcPr>
            <w:tcW w:w="1640" w:type="dxa"/>
            <w:vAlign w:val="bottom"/>
            <w:gridSpan w:val="2"/>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jc w:val="right"/>
              <w:ind w:right="5390"/>
              <w:spacing w:after="0"/>
              <w:rPr>
                <w:sz w:val="20"/>
                <w:szCs w:val="20"/>
                <w:color w:val="auto"/>
              </w:rPr>
            </w:pPr>
            <w:r>
              <w:rPr>
                <w:rFonts w:ascii="Arial" w:cs="Arial" w:eastAsia="Arial" w:hAnsi="Arial"/>
                <w:sz w:val="18"/>
                <w:szCs w:val="18"/>
                <w:color w:val="auto"/>
                <w:w w:val="79"/>
              </w:rPr>
              <w:t>2009</w:t>
            </w:r>
          </w:p>
        </w:tc>
        <w:tc>
          <w:tcPr>
            <w:tcW w:w="216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94,382,317</w:t>
            </w:r>
          </w:p>
        </w:tc>
        <w:tc>
          <w:tcPr>
            <w:tcW w:w="220" w:type="dxa"/>
            <w:vAlign w:val="bottom"/>
            <w:shd w:val="clear" w:color="auto" w:fill="CCFFCC"/>
          </w:tcPr>
          <w:p>
            <w:pPr>
              <w:spacing w:after="0"/>
              <w:rPr>
                <w:sz w:val="18"/>
                <w:szCs w:val="18"/>
                <w:color w:val="auto"/>
              </w:rPr>
            </w:pPr>
          </w:p>
        </w:tc>
        <w:tc>
          <w:tcPr>
            <w:tcW w:w="146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US$ 1.70</w:t>
            </w:r>
          </w:p>
        </w:tc>
        <w:tc>
          <w:tcPr>
            <w:tcW w:w="1640" w:type="dxa"/>
            <w:vAlign w:val="bottom"/>
            <w:gridSpan w:val="2"/>
            <w:shd w:val="clear" w:color="auto" w:fill="CCFFCC"/>
          </w:tcPr>
          <w:p>
            <w:pPr>
              <w:jc w:val="right"/>
              <w:ind w:right="4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FFCC"/>
          </w:tcPr>
          <w:p>
            <w:pPr>
              <w:spacing w:after="0"/>
              <w:rPr>
                <w:sz w:val="18"/>
                <w:szCs w:val="18"/>
                <w:color w:val="auto"/>
              </w:rPr>
            </w:pP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February 24, 2010, our Board of Directors declared a cash dividend of US$1.70 per common share held at the close of business on April 16, 2010. This dividend was distributed on May 11, 2010.</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6" w:name="page127"/>
    <w:bookmarkEnd w:id="126"/>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52"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Price History of Credicorp’s Stock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shares have been traded on the New York Stock Exchange since October 25, 1995 under the symbol BAP. Our common shares also trade on the Lima Stock Exchange. They are quoted in U.S. Dollars on both the New York Stock Exchange and the Lima Stock Exchange. The table below sets forth, for the periods indicated, the reported high and low closing prices and average daily trading volume for our common shares on the New York Stock Exchange.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50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0"/>
                <w:szCs w:val="20"/>
                <w:color w:val="auto"/>
              </w:rPr>
            </w:pPr>
          </w:p>
        </w:tc>
        <w:tc>
          <w:tcPr>
            <w:tcW w:w="14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Volume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US$ 28.81</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US$ 14.41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82,338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2006</w:t>
            </w:r>
          </w:p>
        </w:tc>
        <w:tc>
          <w:tcPr>
            <w:tcW w:w="1500" w:type="dxa"/>
            <w:vAlign w:val="bottom"/>
          </w:tcPr>
          <w:p>
            <w:pPr>
              <w:ind w:left="440"/>
              <w:spacing w:after="0"/>
              <w:rPr>
                <w:sz w:val="20"/>
                <w:szCs w:val="20"/>
                <w:color w:val="auto"/>
              </w:rPr>
            </w:pPr>
            <w:r>
              <w:rPr>
                <w:rFonts w:ascii="Arial" w:cs="Arial" w:eastAsia="Arial" w:hAnsi="Arial"/>
                <w:sz w:val="18"/>
                <w:szCs w:val="18"/>
                <w:color w:val="auto"/>
              </w:rPr>
              <w:t>US$ 45.42</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US$ 21.88</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176,388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US$ 76.81</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US$ 38.04</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279,602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2008</w:t>
            </w:r>
          </w:p>
        </w:tc>
        <w:tc>
          <w:tcPr>
            <w:tcW w:w="1500" w:type="dxa"/>
            <w:vAlign w:val="bottom"/>
          </w:tcPr>
          <w:p>
            <w:pPr>
              <w:ind w:left="440"/>
              <w:spacing w:after="0"/>
              <w:rPr>
                <w:sz w:val="20"/>
                <w:szCs w:val="20"/>
                <w:color w:val="auto"/>
              </w:rPr>
            </w:pPr>
            <w:r>
              <w:rPr>
                <w:rFonts w:ascii="Arial" w:cs="Arial" w:eastAsia="Arial" w:hAnsi="Arial"/>
                <w:sz w:val="18"/>
                <w:szCs w:val="18"/>
                <w:color w:val="auto"/>
              </w:rPr>
              <w:t>US$ 86.19</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US$ 30.23</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399,661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US$ 78.35</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US$ 32.91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359,807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1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tcPr>
          <w:p>
            <w:pPr>
              <w:ind w:left="440"/>
              <w:spacing w:after="0"/>
              <w:rPr>
                <w:sz w:val="20"/>
                <w:szCs w:val="20"/>
                <w:color w:val="auto"/>
              </w:rPr>
            </w:pPr>
            <w:r>
              <w:rPr>
                <w:rFonts w:ascii="Arial" w:cs="Arial" w:eastAsia="Arial" w:hAnsi="Arial"/>
                <w:sz w:val="18"/>
                <w:szCs w:val="18"/>
                <w:color w:val="auto"/>
              </w:rPr>
              <w:t>US$ 80.25</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US$ 69.99</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366,249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US$ 86.19</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US$ 75.01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340,571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500" w:type="dxa"/>
            <w:vAlign w:val="bottom"/>
          </w:tcPr>
          <w:p>
            <w:pPr>
              <w:ind w:left="440"/>
              <w:spacing w:after="0"/>
              <w:rPr>
                <w:sz w:val="20"/>
                <w:szCs w:val="20"/>
                <w:color w:val="auto"/>
              </w:rPr>
            </w:pPr>
            <w:r>
              <w:rPr>
                <w:rFonts w:ascii="Arial" w:cs="Arial" w:eastAsia="Arial" w:hAnsi="Arial"/>
                <w:sz w:val="18"/>
                <w:szCs w:val="18"/>
                <w:color w:val="auto"/>
              </w:rPr>
              <w:t>US$ 81.33</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US$ 55.64</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421,241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US$ 60.68</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US$ 30.23</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469,019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2009</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US$ 53.02</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US$ 34.58</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503,904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500" w:type="dxa"/>
            <w:vAlign w:val="bottom"/>
          </w:tcPr>
          <w:p>
            <w:pPr>
              <w:ind w:left="440"/>
              <w:spacing w:after="0"/>
              <w:rPr>
                <w:sz w:val="20"/>
                <w:szCs w:val="20"/>
                <w:color w:val="auto"/>
              </w:rPr>
            </w:pPr>
            <w:r>
              <w:rPr>
                <w:rFonts w:ascii="Arial" w:cs="Arial" w:eastAsia="Arial" w:hAnsi="Arial"/>
                <w:sz w:val="18"/>
                <w:szCs w:val="18"/>
                <w:color w:val="auto"/>
              </w:rPr>
              <w:t>US$ 61.52</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US$ 45.83</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408,861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US$ 76.26</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US$ 54.81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264,382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500" w:type="dxa"/>
            <w:vAlign w:val="bottom"/>
          </w:tcPr>
          <w:p>
            <w:pPr>
              <w:ind w:left="440"/>
              <w:spacing w:after="0"/>
              <w:rPr>
                <w:sz w:val="20"/>
                <w:szCs w:val="20"/>
                <w:color w:val="auto"/>
              </w:rPr>
            </w:pPr>
            <w:r>
              <w:rPr>
                <w:rFonts w:ascii="Arial" w:cs="Arial" w:eastAsia="Arial" w:hAnsi="Arial"/>
                <w:sz w:val="18"/>
                <w:szCs w:val="18"/>
                <w:color w:val="auto"/>
              </w:rPr>
              <w:t>US$ 78.35</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US$ 66.70</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269,604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1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tcPr>
          <w:p>
            <w:pPr>
              <w:ind w:left="440"/>
              <w:spacing w:after="0"/>
              <w:rPr>
                <w:sz w:val="20"/>
                <w:szCs w:val="20"/>
                <w:color w:val="auto"/>
              </w:rPr>
            </w:pPr>
            <w:r>
              <w:rPr>
                <w:rFonts w:ascii="Arial" w:cs="Arial" w:eastAsia="Arial" w:hAnsi="Arial"/>
                <w:sz w:val="18"/>
                <w:szCs w:val="18"/>
                <w:color w:val="auto"/>
              </w:rPr>
              <w:t>US$ 86.48</w:t>
            </w:r>
          </w:p>
        </w:tc>
        <w:tc>
          <w:tcPr>
            <w:tcW w:w="260" w:type="dxa"/>
            <w:vAlign w:val="bottom"/>
          </w:tcPr>
          <w:p>
            <w:pPr>
              <w:spacing w:after="0"/>
              <w:rPr>
                <w:sz w:val="18"/>
                <w:szCs w:val="18"/>
                <w:color w:val="auto"/>
              </w:rPr>
            </w:pPr>
          </w:p>
        </w:tc>
        <w:tc>
          <w:tcPr>
            <w:tcW w:w="1460" w:type="dxa"/>
            <w:vAlign w:val="bottom"/>
          </w:tcPr>
          <w:p>
            <w:pPr>
              <w:ind w:left="400"/>
              <w:spacing w:after="0"/>
              <w:rPr>
                <w:sz w:val="20"/>
                <w:szCs w:val="20"/>
                <w:color w:val="auto"/>
              </w:rPr>
            </w:pPr>
            <w:r>
              <w:rPr>
                <w:rFonts w:ascii="Arial" w:cs="Arial" w:eastAsia="Arial" w:hAnsi="Arial"/>
                <w:sz w:val="18"/>
                <w:szCs w:val="18"/>
                <w:color w:val="auto"/>
              </w:rPr>
              <w:t>US$ 70.46</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89"/>
              </w:rPr>
              <w:t>205,535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 (through June 14)</w:t>
            </w:r>
          </w:p>
        </w:tc>
        <w:tc>
          <w:tcPr>
            <w:tcW w:w="1500" w:type="dxa"/>
            <w:vAlign w:val="bottom"/>
            <w:shd w:val="clear" w:color="auto" w:fill="CCFFCC"/>
          </w:tcPr>
          <w:p>
            <w:pPr>
              <w:ind w:left="440"/>
              <w:spacing w:after="0"/>
              <w:rPr>
                <w:sz w:val="20"/>
                <w:szCs w:val="20"/>
                <w:color w:val="auto"/>
              </w:rPr>
            </w:pPr>
            <w:r>
              <w:rPr>
                <w:rFonts w:ascii="Arial" w:cs="Arial" w:eastAsia="Arial" w:hAnsi="Arial"/>
                <w:sz w:val="18"/>
                <w:szCs w:val="18"/>
                <w:color w:val="auto"/>
              </w:rPr>
              <w:t>US$ 93.22</w:t>
            </w: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ind w:left="400"/>
              <w:spacing w:after="0"/>
              <w:rPr>
                <w:sz w:val="20"/>
                <w:szCs w:val="20"/>
                <w:color w:val="auto"/>
              </w:rPr>
            </w:pPr>
            <w:r>
              <w:rPr>
                <w:rFonts w:ascii="Arial" w:cs="Arial" w:eastAsia="Arial" w:hAnsi="Arial"/>
                <w:sz w:val="18"/>
                <w:szCs w:val="18"/>
                <w:color w:val="auto"/>
              </w:rPr>
              <w:t>US$ 78.39</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89"/>
              </w:rPr>
              <w:t>225,722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 Bloomberg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27" w:name="page128"/>
    <w:bookmarkEnd w:id="127"/>
    <w:p>
      <w:pPr>
        <w:ind w:right="20" w:firstLine="648"/>
        <w:spacing w:after="0" w:line="277"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our common shares on the Lima Stock Exchange.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Daily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High</w:t>
            </w:r>
          </w:p>
        </w:tc>
        <w:tc>
          <w:tcPr>
            <w:tcW w:w="260" w:type="dxa"/>
            <w:vAlign w:val="bottom"/>
          </w:tcPr>
          <w:p>
            <w:pPr>
              <w:spacing w:after="0"/>
              <w:rPr>
                <w:sz w:val="20"/>
                <w:szCs w:val="20"/>
                <w:color w:val="auto"/>
              </w:rPr>
            </w:pPr>
          </w:p>
        </w:tc>
        <w:tc>
          <w:tcPr>
            <w:tcW w:w="1460" w:type="dxa"/>
            <w:vAlign w:val="bottom"/>
          </w:tcPr>
          <w:p>
            <w:pPr>
              <w:ind w:left="560"/>
              <w:spacing w:after="0"/>
              <w:rPr>
                <w:sz w:val="20"/>
                <w:szCs w:val="20"/>
                <w:color w:val="auto"/>
              </w:rPr>
            </w:pPr>
            <w:r>
              <w:rPr>
                <w:rFonts w:ascii="Arial" w:cs="Arial" w:eastAsia="Arial" w:hAnsi="Arial"/>
                <w:sz w:val="18"/>
                <w:szCs w:val="18"/>
                <w:b w:val="1"/>
                <w:bCs w:val="1"/>
                <w:color w:val="auto"/>
              </w:rPr>
              <w:t>Low</w:t>
            </w:r>
          </w:p>
        </w:tc>
        <w:tc>
          <w:tcPr>
            <w:tcW w:w="220" w:type="dxa"/>
            <w:vAlign w:val="bottom"/>
          </w:tcPr>
          <w:p>
            <w:pPr>
              <w:spacing w:after="0"/>
              <w:rPr>
                <w:sz w:val="20"/>
                <w:szCs w:val="20"/>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Volume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19"/>
                <w:szCs w:val="19"/>
                <w:color w:val="auto"/>
              </w:rPr>
            </w:pPr>
          </w:p>
        </w:tc>
        <w:tc>
          <w:tcPr>
            <w:tcW w:w="150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i w:val="1"/>
                <w:iCs w:val="1"/>
                <w:color w:val="auto"/>
              </w:rPr>
              <w:t>(U.S. Dollars)</w:t>
            </w:r>
          </w:p>
        </w:tc>
        <w:tc>
          <w:tcPr>
            <w:tcW w:w="220" w:type="dxa"/>
            <w:vAlign w:val="bottom"/>
            <w:tcBorders>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2005</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28.99</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14.33</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15,744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2006</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45.58</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38.27</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16,950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76.48</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38.24</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22,553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2008</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86.00</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31.01</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15,386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77.95</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33.21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11,713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1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80.12</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70.00</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10,460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84.80</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73.54</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12,763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81.50</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56.20</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17,033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60.40</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31.01</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20,598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2009</w:t>
            </w: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53.10</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34.90</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0"/>
              </w:rPr>
              <w:t>16,530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61.59</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45.75</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12,652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75.71</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54.54</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3"/>
              </w:rPr>
              <w:t>7,704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77.95</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67.41</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10,599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15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500" w:type="dxa"/>
            <w:vAlign w:val="bottom"/>
          </w:tcPr>
          <w:p>
            <w:pPr>
              <w:jc w:val="right"/>
              <w:ind w:right="390"/>
              <w:spacing w:after="0"/>
              <w:rPr>
                <w:sz w:val="20"/>
                <w:szCs w:val="20"/>
                <w:color w:val="auto"/>
              </w:rPr>
            </w:pPr>
            <w:r>
              <w:rPr>
                <w:rFonts w:ascii="Arial" w:cs="Arial" w:eastAsia="Arial" w:hAnsi="Arial"/>
                <w:sz w:val="18"/>
                <w:szCs w:val="18"/>
                <w:color w:val="auto"/>
              </w:rPr>
              <w:t>86.60</w:t>
            </w:r>
          </w:p>
        </w:tc>
        <w:tc>
          <w:tcPr>
            <w:tcW w:w="1720" w:type="dxa"/>
            <w:vAlign w:val="bottom"/>
            <w:gridSpan w:val="2"/>
          </w:tcPr>
          <w:p>
            <w:pPr>
              <w:ind w:left="840"/>
              <w:spacing w:after="0"/>
              <w:rPr>
                <w:sz w:val="20"/>
                <w:szCs w:val="20"/>
                <w:color w:val="auto"/>
              </w:rPr>
            </w:pPr>
            <w:r>
              <w:rPr>
                <w:rFonts w:ascii="Arial" w:cs="Arial" w:eastAsia="Arial" w:hAnsi="Arial"/>
                <w:sz w:val="18"/>
                <w:szCs w:val="18"/>
                <w:color w:val="auto"/>
              </w:rPr>
              <w:t>70.86</w:t>
            </w:r>
          </w:p>
        </w:tc>
        <w:tc>
          <w:tcPr>
            <w:tcW w:w="1700" w:type="dxa"/>
            <w:vAlign w:val="bottom"/>
            <w:gridSpan w:val="2"/>
          </w:tcPr>
          <w:p>
            <w:pPr>
              <w:jc w:val="center"/>
              <w:ind w:left="230"/>
              <w:spacing w:after="0"/>
              <w:rPr>
                <w:sz w:val="20"/>
                <w:szCs w:val="20"/>
                <w:color w:val="auto"/>
              </w:rPr>
            </w:pPr>
            <w:r>
              <w:rPr>
                <w:rFonts w:ascii="Arial" w:cs="Arial" w:eastAsia="Arial" w:hAnsi="Arial"/>
                <w:sz w:val="18"/>
                <w:szCs w:val="18"/>
                <w:color w:val="auto"/>
                <w:w w:val="90"/>
              </w:rPr>
              <w:t>10,624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 (through June 14)</w:t>
            </w:r>
          </w:p>
        </w:tc>
        <w:tc>
          <w:tcPr>
            <w:tcW w:w="1500" w:type="dxa"/>
            <w:vAlign w:val="bottom"/>
            <w:shd w:val="clear" w:color="auto" w:fill="CCFFCC"/>
          </w:tcPr>
          <w:p>
            <w:pPr>
              <w:jc w:val="right"/>
              <w:ind w:right="390"/>
              <w:spacing w:after="0"/>
              <w:rPr>
                <w:sz w:val="20"/>
                <w:szCs w:val="20"/>
                <w:color w:val="auto"/>
              </w:rPr>
            </w:pPr>
            <w:r>
              <w:rPr>
                <w:rFonts w:ascii="Arial" w:cs="Arial" w:eastAsia="Arial" w:hAnsi="Arial"/>
                <w:sz w:val="18"/>
                <w:szCs w:val="18"/>
                <w:color w:val="auto"/>
              </w:rPr>
              <w:t>93.00</w:t>
            </w:r>
          </w:p>
        </w:tc>
        <w:tc>
          <w:tcPr>
            <w:tcW w:w="17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78.50</w:t>
            </w:r>
          </w:p>
        </w:tc>
        <w:tc>
          <w:tcPr>
            <w:tcW w:w="1700" w:type="dxa"/>
            <w:vAlign w:val="bottom"/>
            <w:gridSpan w:val="2"/>
            <w:shd w:val="clear" w:color="auto" w:fill="CCFFCC"/>
          </w:tcPr>
          <w:p>
            <w:pPr>
              <w:jc w:val="center"/>
              <w:ind w:left="230"/>
              <w:spacing w:after="0"/>
              <w:rPr>
                <w:sz w:val="20"/>
                <w:szCs w:val="20"/>
                <w:color w:val="auto"/>
              </w:rPr>
            </w:pPr>
            <w:r>
              <w:rPr>
                <w:rFonts w:ascii="Arial" w:cs="Arial" w:eastAsia="Arial" w:hAnsi="Arial"/>
                <w:sz w:val="18"/>
                <w:szCs w:val="18"/>
                <w:color w:val="auto"/>
                <w:w w:val="93"/>
              </w:rPr>
              <w:t>5,535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Bloomberg</w:t>
      </w:r>
    </w:p>
    <w:p>
      <w:pPr>
        <w:spacing w:after="0" w:line="24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 below sets forth, for the indicated months, the reported high and low closing prices for our common shares on the New York Stock Exchange.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8100" w:type="dxa"/>
            <w:vAlign w:val="bottom"/>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20"/>
              <w:spacing w:after="0"/>
              <w:rPr>
                <w:sz w:val="20"/>
                <w:szCs w:val="20"/>
                <w:color w:val="auto"/>
              </w:rPr>
            </w:pPr>
            <w:r>
              <w:rPr>
                <w:rFonts w:ascii="Arial" w:cs="Arial" w:eastAsia="Arial" w:hAnsi="Arial"/>
                <w:sz w:val="18"/>
                <w:szCs w:val="18"/>
                <w:i w:val="1"/>
                <w:iCs w:val="1"/>
                <w:color w:val="auto"/>
                <w:w w:val="97"/>
              </w:rPr>
              <w:t>(U.S.</w:t>
            </w:r>
          </w:p>
        </w:tc>
        <w:tc>
          <w:tcPr>
            <w:tcW w:w="1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0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December</w:t>
            </w:r>
          </w:p>
        </w:tc>
        <w:tc>
          <w:tcPr>
            <w:tcW w:w="1060" w:type="dxa"/>
            <w:vAlign w:val="bottom"/>
          </w:tcPr>
          <w:p>
            <w:pPr>
              <w:jc w:val="right"/>
              <w:spacing w:after="0"/>
              <w:rPr>
                <w:sz w:val="20"/>
                <w:szCs w:val="20"/>
                <w:color w:val="auto"/>
              </w:rPr>
            </w:pPr>
            <w:r>
              <w:rPr>
                <w:rFonts w:ascii="Arial" w:cs="Arial" w:eastAsia="Arial" w:hAnsi="Arial"/>
                <w:sz w:val="18"/>
                <w:szCs w:val="18"/>
                <w:color w:val="auto"/>
              </w:rPr>
              <w:t>75.53</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10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January</w:t>
            </w:r>
          </w:p>
        </w:tc>
        <w:tc>
          <w:tcPr>
            <w:tcW w:w="1060" w:type="dxa"/>
            <w:vAlign w:val="bottom"/>
          </w:tcPr>
          <w:p>
            <w:pPr>
              <w:jc w:val="right"/>
              <w:spacing w:after="0"/>
              <w:rPr>
                <w:sz w:val="20"/>
                <w:szCs w:val="20"/>
                <w:color w:val="auto"/>
              </w:rPr>
            </w:pPr>
            <w:r>
              <w:rPr>
                <w:rFonts w:ascii="Arial" w:cs="Arial" w:eastAsia="Arial" w:hAnsi="Arial"/>
                <w:sz w:val="18"/>
                <w:szCs w:val="18"/>
                <w:color w:val="auto"/>
              </w:rPr>
              <w:t>77.08</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70.46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February</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77.47</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71.41</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March</w:t>
            </w:r>
          </w:p>
        </w:tc>
        <w:tc>
          <w:tcPr>
            <w:tcW w:w="1060" w:type="dxa"/>
            <w:vAlign w:val="bottom"/>
          </w:tcPr>
          <w:p>
            <w:pPr>
              <w:jc w:val="right"/>
              <w:spacing w:after="0"/>
              <w:rPr>
                <w:sz w:val="20"/>
                <w:szCs w:val="20"/>
                <w:color w:val="auto"/>
              </w:rPr>
            </w:pPr>
            <w:r>
              <w:rPr>
                <w:rFonts w:ascii="Arial" w:cs="Arial" w:eastAsia="Arial" w:hAnsi="Arial"/>
                <w:sz w:val="18"/>
                <w:szCs w:val="18"/>
                <w:color w:val="auto"/>
              </w:rPr>
              <w:t>86.48</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77.03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April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90.37</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85.93</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May</w:t>
            </w:r>
          </w:p>
        </w:tc>
        <w:tc>
          <w:tcPr>
            <w:tcW w:w="1060" w:type="dxa"/>
            <w:vAlign w:val="bottom"/>
          </w:tcPr>
          <w:p>
            <w:pPr>
              <w:jc w:val="right"/>
              <w:spacing w:after="0"/>
              <w:rPr>
                <w:sz w:val="20"/>
                <w:szCs w:val="20"/>
                <w:color w:val="auto"/>
              </w:rPr>
            </w:pPr>
            <w:r>
              <w:rPr>
                <w:rFonts w:ascii="Arial" w:cs="Arial" w:eastAsia="Arial" w:hAnsi="Arial"/>
                <w:sz w:val="18"/>
                <w:szCs w:val="18"/>
                <w:color w:val="auto"/>
              </w:rPr>
              <w:t>89.40</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78.39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June (through June 14)</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93.22</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87.58</w:t>
            </w:r>
          </w:p>
        </w:tc>
        <w:tc>
          <w:tcPr>
            <w:tcW w:w="10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Bloomberg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8" w:name="page129"/>
    <w:bookmarkEnd w:id="128"/>
    <w:p>
      <w:pPr>
        <w:ind w:left="66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our common shares on the Lima Stock Exchange.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2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High</w:t>
            </w:r>
          </w:p>
        </w:tc>
        <w:tc>
          <w:tcPr>
            <w:tcW w:w="4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16"/>
        </w:trPr>
        <w:tc>
          <w:tcPr>
            <w:tcW w:w="8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Arial" w:cs="Arial" w:eastAsia="Arial" w:hAnsi="Arial"/>
                <w:sz w:val="18"/>
                <w:szCs w:val="18"/>
                <w:i w:val="1"/>
                <w:iCs w:val="1"/>
                <w:color w:val="auto"/>
                <w:w w:val="97"/>
              </w:rPr>
              <w:t>(U.S.</w:t>
            </w:r>
          </w:p>
        </w:tc>
        <w:tc>
          <w:tcPr>
            <w:tcW w:w="1700" w:type="dxa"/>
            <w:vAlign w:val="bottom"/>
            <w:gridSpan w:val="2"/>
          </w:tcPr>
          <w:p>
            <w:pPr>
              <w:spacing w:after="0"/>
              <w:rPr>
                <w:sz w:val="20"/>
                <w:szCs w:val="20"/>
                <w:color w:val="auto"/>
              </w:rPr>
            </w:pPr>
            <w:r>
              <w:rPr>
                <w:rFonts w:ascii="Arial" w:cs="Arial" w:eastAsia="Arial" w:hAnsi="Arial"/>
                <w:sz w:val="18"/>
                <w:szCs w:val="18"/>
                <w:i w:val="1"/>
                <w:iCs w:val="1"/>
                <w:color w:val="auto"/>
              </w:rPr>
              <w:t>Dollars)</w:t>
            </w: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2009</w:t>
            </w:r>
          </w:p>
        </w:tc>
        <w:tc>
          <w:tcPr>
            <w:tcW w:w="10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December</w:t>
            </w:r>
          </w:p>
        </w:tc>
        <w:tc>
          <w:tcPr>
            <w:tcW w:w="1060" w:type="dxa"/>
            <w:vAlign w:val="bottom"/>
          </w:tcPr>
          <w:p>
            <w:pPr>
              <w:jc w:val="right"/>
              <w:spacing w:after="0"/>
              <w:rPr>
                <w:sz w:val="20"/>
                <w:szCs w:val="20"/>
                <w:color w:val="auto"/>
              </w:rPr>
            </w:pPr>
            <w:r>
              <w:rPr>
                <w:rFonts w:ascii="Arial" w:cs="Arial" w:eastAsia="Arial" w:hAnsi="Arial"/>
                <w:sz w:val="18"/>
                <w:szCs w:val="18"/>
                <w:color w:val="auto"/>
              </w:rPr>
              <w:t>74.92</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70.95</w:t>
            </w: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2010</w:t>
            </w:r>
          </w:p>
        </w:tc>
        <w:tc>
          <w:tcPr>
            <w:tcW w:w="10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January</w:t>
            </w:r>
          </w:p>
        </w:tc>
        <w:tc>
          <w:tcPr>
            <w:tcW w:w="1060" w:type="dxa"/>
            <w:vAlign w:val="bottom"/>
          </w:tcPr>
          <w:p>
            <w:pPr>
              <w:jc w:val="right"/>
              <w:spacing w:after="0"/>
              <w:rPr>
                <w:sz w:val="20"/>
                <w:szCs w:val="20"/>
                <w:color w:val="auto"/>
              </w:rPr>
            </w:pPr>
            <w:r>
              <w:rPr>
                <w:rFonts w:ascii="Arial" w:cs="Arial" w:eastAsia="Arial" w:hAnsi="Arial"/>
                <w:sz w:val="18"/>
                <w:szCs w:val="18"/>
                <w:color w:val="auto"/>
              </w:rPr>
              <w:t>76.76</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70.86</w:t>
            </w: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February</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77.33</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71.83</w:t>
            </w:r>
          </w:p>
        </w:tc>
        <w:tc>
          <w:tcPr>
            <w:tcW w:w="100" w:type="dxa"/>
            <w:vAlign w:val="bottom"/>
            <w:shd w:val="clear" w:color="auto" w:fill="CCFFCC"/>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March</w:t>
            </w:r>
          </w:p>
        </w:tc>
        <w:tc>
          <w:tcPr>
            <w:tcW w:w="1060" w:type="dxa"/>
            <w:vAlign w:val="bottom"/>
          </w:tcPr>
          <w:p>
            <w:pPr>
              <w:jc w:val="right"/>
              <w:spacing w:after="0"/>
              <w:rPr>
                <w:sz w:val="20"/>
                <w:szCs w:val="20"/>
                <w:color w:val="auto"/>
              </w:rPr>
            </w:pPr>
            <w:r>
              <w:rPr>
                <w:rFonts w:ascii="Arial" w:cs="Arial" w:eastAsia="Arial" w:hAnsi="Arial"/>
                <w:sz w:val="18"/>
                <w:szCs w:val="18"/>
                <w:color w:val="auto"/>
              </w:rPr>
              <w:t>86.60</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76.99</w:t>
            </w: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April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90.00</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85.45</w:t>
            </w:r>
          </w:p>
        </w:tc>
        <w:tc>
          <w:tcPr>
            <w:tcW w:w="100" w:type="dxa"/>
            <w:vAlign w:val="bottom"/>
            <w:shd w:val="clear" w:color="auto" w:fill="CCFFCC"/>
          </w:tcPr>
          <w:p>
            <w:pPr>
              <w:spacing w:after="0"/>
              <w:rPr>
                <w:sz w:val="18"/>
                <w:szCs w:val="18"/>
                <w:color w:val="auto"/>
              </w:rPr>
            </w:pPr>
          </w:p>
        </w:tc>
      </w:tr>
      <w:tr>
        <w:trPr>
          <w:trHeight w:val="216"/>
        </w:trPr>
        <w:tc>
          <w:tcPr>
            <w:tcW w:w="8120" w:type="dxa"/>
            <w:vAlign w:val="bottom"/>
          </w:tcPr>
          <w:p>
            <w:pPr>
              <w:ind w:left="180"/>
              <w:spacing w:after="0"/>
              <w:rPr>
                <w:sz w:val="20"/>
                <w:szCs w:val="20"/>
                <w:color w:val="auto"/>
              </w:rPr>
            </w:pPr>
            <w:r>
              <w:rPr>
                <w:rFonts w:ascii="Arial" w:cs="Arial" w:eastAsia="Arial" w:hAnsi="Arial"/>
                <w:sz w:val="18"/>
                <w:szCs w:val="18"/>
                <w:color w:val="auto"/>
              </w:rPr>
              <w:t>May</w:t>
            </w:r>
          </w:p>
        </w:tc>
        <w:tc>
          <w:tcPr>
            <w:tcW w:w="1060" w:type="dxa"/>
            <w:vAlign w:val="bottom"/>
          </w:tcPr>
          <w:p>
            <w:pPr>
              <w:jc w:val="right"/>
              <w:spacing w:after="0"/>
              <w:rPr>
                <w:sz w:val="20"/>
                <w:szCs w:val="20"/>
                <w:color w:val="auto"/>
              </w:rPr>
            </w:pPr>
            <w:r>
              <w:rPr>
                <w:rFonts w:ascii="Arial" w:cs="Arial" w:eastAsia="Arial" w:hAnsi="Arial"/>
                <w:sz w:val="18"/>
                <w:szCs w:val="18"/>
                <w:color w:val="auto"/>
              </w:rPr>
              <w:t>88.60</w:t>
            </w:r>
          </w:p>
        </w:tc>
        <w:tc>
          <w:tcPr>
            <w:tcW w:w="2140" w:type="dxa"/>
            <w:vAlign w:val="bottom"/>
            <w:gridSpan w:val="3"/>
          </w:tcPr>
          <w:p>
            <w:pPr>
              <w:ind w:left="1240"/>
              <w:spacing w:after="0"/>
              <w:rPr>
                <w:sz w:val="20"/>
                <w:szCs w:val="20"/>
                <w:color w:val="auto"/>
              </w:rPr>
            </w:pPr>
            <w:r>
              <w:rPr>
                <w:rFonts w:ascii="Arial" w:cs="Arial" w:eastAsia="Arial" w:hAnsi="Arial"/>
                <w:sz w:val="18"/>
                <w:szCs w:val="18"/>
                <w:color w:val="auto"/>
              </w:rPr>
              <w:t>78.50</w:t>
            </w:r>
          </w:p>
        </w:tc>
        <w:tc>
          <w:tcPr>
            <w:tcW w:w="100" w:type="dxa"/>
            <w:vAlign w:val="bottom"/>
          </w:tcPr>
          <w:p>
            <w:pPr>
              <w:spacing w:after="0"/>
              <w:rPr>
                <w:sz w:val="18"/>
                <w:szCs w:val="18"/>
                <w:color w:val="auto"/>
              </w:rPr>
            </w:pPr>
          </w:p>
        </w:tc>
      </w:tr>
      <w:tr>
        <w:trPr>
          <w:trHeight w:val="216"/>
        </w:trPr>
        <w:tc>
          <w:tcPr>
            <w:tcW w:w="81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June (through June 14)</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93.00</w:t>
            </w:r>
          </w:p>
        </w:tc>
        <w:tc>
          <w:tcPr>
            <w:tcW w:w="2140" w:type="dxa"/>
            <w:vAlign w:val="bottom"/>
            <w:gridSpan w:val="3"/>
            <w:shd w:val="clear" w:color="auto" w:fill="CCFFCC"/>
          </w:tcPr>
          <w:p>
            <w:pPr>
              <w:ind w:left="1240"/>
              <w:spacing w:after="0"/>
              <w:rPr>
                <w:sz w:val="20"/>
                <w:szCs w:val="20"/>
                <w:color w:val="auto"/>
              </w:rPr>
            </w:pPr>
            <w:r>
              <w:rPr>
                <w:rFonts w:ascii="Arial" w:cs="Arial" w:eastAsia="Arial" w:hAnsi="Arial"/>
                <w:sz w:val="18"/>
                <w:szCs w:val="18"/>
                <w:color w:val="auto"/>
              </w:rPr>
              <w:t>87.60</w:t>
            </w:r>
          </w:p>
        </w:tc>
        <w:tc>
          <w:tcPr>
            <w:tcW w:w="100" w:type="dxa"/>
            <w:vAlign w:val="bottom"/>
            <w:shd w:val="clear" w:color="auto" w:fill="CCFFC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4662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Source: Bloomberg</w:t>
      </w:r>
    </w:p>
    <w:p>
      <w:pPr>
        <w:spacing w:after="0" w:line="24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June 14 2010, the last sale price of our common shares on the New York Stock Exchange was US$92.95 per share. On June 14, 2010, the closing price of our common shares on the Lima Stock Exchange was US$93.00.</w:t>
      </w:r>
    </w:p>
    <w:p>
      <w:pPr>
        <w:spacing w:after="0" w:line="200" w:lineRule="exact"/>
        <w:rPr>
          <w:sz w:val="20"/>
          <w:szCs w:val="20"/>
          <w:color w:val="auto"/>
        </w:rPr>
      </w:pPr>
    </w:p>
    <w:p>
      <w:pPr>
        <w:spacing w:after="0" w:line="237" w:lineRule="exact"/>
        <w:rPr>
          <w:sz w:val="20"/>
          <w:szCs w:val="20"/>
          <w:color w:val="auto"/>
        </w:rPr>
      </w:pPr>
    </w:p>
    <w:p>
      <w:pPr>
        <w:ind w:left="660" w:right="9240" w:hanging="652"/>
        <w:spacing w:after="0" w:line="664" w:lineRule="auto"/>
        <w:tabs>
          <w:tab w:leader="none" w:pos="66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Plan of Distribution </w:t>
      </w:r>
      <w:r>
        <w:rPr>
          <w:rFonts w:ascii="Arial" w:cs="Arial" w:eastAsia="Arial" w:hAnsi="Arial"/>
          <w:sz w:val="16"/>
          <w:szCs w:val="16"/>
          <w:color w:val="auto"/>
        </w:rPr>
        <w:t>Not applicable.</w:t>
      </w:r>
    </w:p>
    <w:p>
      <w:pPr>
        <w:spacing w:after="0" w:line="143" w:lineRule="exact"/>
        <w:rPr>
          <w:rFonts w:ascii="Arial" w:cs="Arial" w:eastAsia="Arial" w:hAnsi="Arial"/>
          <w:sz w:val="16"/>
          <w:szCs w:val="16"/>
          <w:b w:val="1"/>
          <w:bCs w:val="1"/>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Lima Stock Exchange</w:t>
      </w:r>
    </w:p>
    <w:p>
      <w:pPr>
        <w:spacing w:after="0" w:line="200" w:lineRule="exact"/>
        <w:rPr>
          <w:sz w:val="20"/>
          <w:szCs w:val="20"/>
          <w:color w:val="auto"/>
        </w:rPr>
      </w:pPr>
    </w:p>
    <w:p>
      <w:pPr>
        <w:spacing w:after="0" w:line="291" w:lineRule="exact"/>
        <w:rPr>
          <w:sz w:val="20"/>
          <w:szCs w:val="20"/>
          <w:color w:val="auto"/>
        </w:rPr>
      </w:pPr>
    </w:p>
    <w:p>
      <w:pPr>
        <w:ind w:left="1320" w:hanging="650"/>
        <w:spacing w:after="0"/>
        <w:tabs>
          <w:tab w:leader="none" w:pos="13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Trading</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2009, there were 257 companies listed on the Bolsa de Valores de Lima (Lima Stock Exchange). The Lima Stock Exchange is Peru’s only securities exchange and was established in 1970. Trading on the Lima Stock Exchange is primarily done on an electronic trading system that became operational in August 1995. Trading hours are Monday through Friday as follows: 9:00 a.m.-9:30 a.m. (pre-market ordering); 9:30 a.m.-1:30 p.m. (trading); and 1:30 p.m.-2:00 p.m. (after market sales). Equity securities may also be traded in an open outcry auction floor session, which was the exclusive method of trading equity securities prior to the introduction of electronic trading. Nearly 100% of all transactions on the Lima Stock Exchange currently take place on the electronic system.</w:t>
      </w:r>
    </w:p>
    <w:p>
      <w:pPr>
        <w:spacing w:after="0" w:line="22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Transactions during both the open outcry and the electronic sessions are executed through brokerage firms and stock brokers on behalf of their clients. Brokers submit their orders in strict accordance with written instructions, following the chronological order in which they were received. The orders specify the type of security ordered or offered as well as the amounts and the price of the sale or purchase. In general, share prices are permitted to increase or decrease up to 15% for Peruvian companies, and up to 30% for foreign companies, within a single trading day.</w:t>
      </w:r>
    </w:p>
    <w:p>
      <w:pPr>
        <w:spacing w:after="0" w:line="19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Peruvian stock market capitalization increased, in U.S. Dollar terms, by 80.0% in 2005, 65.8% in 2006, and 80.3% in 2007. It decreased by 47.1% in 2008 as a result of the global economic crisis. It rebounded in 2009, growing by 87.5%, although it did not return to the record highs set in October 2007.</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9" w:name="page130"/>
    <w:bookmarkEnd w:id="129"/>
    <w:p>
      <w:pPr>
        <w:jc w:val="both"/>
        <w:ind w:firstLine="648"/>
        <w:spacing w:after="0" w:line="264" w:lineRule="auto"/>
        <w:rPr>
          <w:sz w:val="20"/>
          <w:szCs w:val="20"/>
          <w:color w:val="auto"/>
        </w:rPr>
      </w:pPr>
      <w:r>
        <w:rPr>
          <w:rFonts w:ascii="Arial" w:cs="Arial" w:eastAsia="Arial" w:hAnsi="Arial"/>
          <w:sz w:val="18"/>
          <w:szCs w:val="18"/>
          <w:color w:val="auto"/>
        </w:rPr>
        <w:t>Traded volume in 2009 was considerably lower than in 2007-2008, and was quite close to the 2006 figure. The accumulated total for 2009 was US$5,710 million, with 70.1% relating to cash trading in equity securities, 18.6% to cash trading in fixed-income securities, 11.0% to repo transactions, 0.1% to primary placements, and the remaining 0.1%, to securities lending.</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Indice General de la Bolsa de Valores de Lima (the General Index of the Lima Stock Exchange or IGBVL) increased, in U.S. dollar terms, 60.5% in 2004, 24.6% in 2005, 186.9% in 2006, and 45.6% in 2007. It decreased 61.5% in 2008, but increased 101.0% in 2009.</w:t>
      </w:r>
    </w:p>
    <w:p>
      <w:pPr>
        <w:spacing w:after="0" w:line="200" w:lineRule="exact"/>
        <w:rPr>
          <w:sz w:val="20"/>
          <w:szCs w:val="20"/>
          <w:color w:val="auto"/>
        </w:rPr>
      </w:pPr>
    </w:p>
    <w:p>
      <w:pPr>
        <w:spacing w:after="0" w:line="237" w:lineRule="exact"/>
        <w:rPr>
          <w:sz w:val="20"/>
          <w:szCs w:val="20"/>
          <w:color w:val="auto"/>
        </w:rPr>
      </w:pPr>
    </w:p>
    <w:p>
      <w:pPr>
        <w:ind w:left="1300" w:hanging="657"/>
        <w:spacing w:after="0"/>
        <w:tabs>
          <w:tab w:leader="none" w:pos="13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Market Regulation</w:t>
      </w:r>
    </w:p>
    <w:p>
      <w:pPr>
        <w:spacing w:after="0" w:line="25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Securities Market Law (Legislative Decree 861) addresses matters such as transparency and disclosure, takeovers and corporate actions, capital market instruments and operations, the securities markets and broker-dealers, and risk rating agencies. CONASEV, a governmental entity reporting to Peru’s Ministry of Economy and Finance, was given additional responsibilities relating to the supervision, regulation, and development of the securities market, while the Lima Stock Exchange and its member firms were given the status of self-regulatory organizations. Additionally, a unified system of guarantees and capital requirements was established for the Lima Stock Exchange and its member firms.</w:t>
      </w:r>
    </w:p>
    <w:p>
      <w:pPr>
        <w:spacing w:after="0" w:line="20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CONASEV is governed by a nine-member board appointed by the government. CONASEV has broad regulatory powers. These powers include studying, promoting, and making rules for the securities market, supervising its participants, and approving the registration of public offerings of securities.</w:t>
      </w:r>
    </w:p>
    <w:p>
      <w:pPr>
        <w:spacing w:after="0" w:line="15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CONASEV supervises the securities markets and the dissemination of information to investors. It also (i) governs the operations of the Public Registry of Securities and Brokers, (ii) regulates mutual funds and their management companies, (iii) monitors compliance with accounting regulations by companies under its supervision as well as the accuracy of financial statements and (iv) registers and supervises auditors who provide accounting services to those companies under CONASEV’s supervision.</w:t>
      </w:r>
    </w:p>
    <w:p>
      <w:pPr>
        <w:spacing w:after="0" w:line="21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On August 22, 1995, CONASEV approved regulations governing the public offering of securities in Peru by entities organized outside of Peru and, for the first time, authorized foreign companies to be listed on the Lima Stock Exchange. On October 25, 1995, we became the first non-Peruvian company to list our shares on the Lima Stock Exchange.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 4. Information on the Company—(B) Business Overview—(11) Supervision and Regulation.”</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Securities Market Law, the Lima Stock Exchange must maintain a guarantee fund that is funded by its member firms. The actual contributions to be made by the 21 member firms of the Lima Stock Exchange are based on volume traded over the exchange. At present, the fund has approximately S/.28 million (US$9.75 million). In addition to the guarantee fund managed by the Lima Stock Exchange, each member firm is required to maintain a guarantee for operations carried on outside the exchange in favor of CONASEV. Such guarantees are generally established through stand-by letters of credit issued by local banks.</w:t>
      </w:r>
    </w:p>
    <w:p>
      <w:pPr>
        <w:spacing w:after="0" w:line="200" w:lineRule="exact"/>
        <w:rPr>
          <w:sz w:val="20"/>
          <w:szCs w:val="20"/>
          <w:color w:val="auto"/>
        </w:rPr>
      </w:pPr>
    </w:p>
    <w:p>
      <w:pPr>
        <w:spacing w:after="0" w:line="254" w:lineRule="exact"/>
        <w:rPr>
          <w:sz w:val="20"/>
          <w:szCs w:val="20"/>
          <w:color w:val="auto"/>
        </w:rPr>
      </w:pPr>
    </w:p>
    <w:p>
      <w:pPr>
        <w:ind w:left="660" w:right="9180" w:hanging="652"/>
        <w:spacing w:after="0" w:line="725" w:lineRule="auto"/>
        <w:tabs>
          <w:tab w:leader="none" w:pos="660" w:val="left"/>
        </w:tabs>
        <w:numPr>
          <w:ilvl w:val="0"/>
          <w:numId w:val="13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spacing w:after="0" w:line="119" w:lineRule="exact"/>
        <w:rPr>
          <w:rFonts w:ascii="Arial" w:cs="Arial" w:eastAsia="Arial" w:hAnsi="Arial"/>
          <w:sz w:val="15"/>
          <w:szCs w:val="15"/>
          <w:b w:val="1"/>
          <w:bCs w:val="1"/>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right="9160" w:hanging="652"/>
        <w:spacing w:after="0" w:line="664" w:lineRule="auto"/>
        <w:tabs>
          <w:tab w:leader="none" w:pos="66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0" w:name="page131"/>
    <w:bookmarkEnd w:id="130"/>
    <w:p>
      <w:pPr>
        <w:spacing w:after="0"/>
        <w:tabs>
          <w:tab w:leader="none" w:pos="960" w:val="left"/>
        </w:tabs>
        <w:rPr>
          <w:sz w:val="20"/>
          <w:szCs w:val="20"/>
          <w:color w:val="auto"/>
        </w:rPr>
      </w:pPr>
      <w:r>
        <w:rPr>
          <w:rFonts w:ascii="Arial" w:cs="Arial" w:eastAsia="Arial" w:hAnsi="Arial"/>
          <w:sz w:val="18"/>
          <w:szCs w:val="18"/>
          <w:b w:val="1"/>
          <w:bCs w:val="1"/>
          <w:color w:val="auto"/>
        </w:rPr>
        <w:t>ITEM 10.</w:t>
        <w:tab/>
        <w:t>ADDITIONAL INFORMATION</w:t>
      </w:r>
    </w:p>
    <w:p>
      <w:pPr>
        <w:spacing w:after="0" w:line="252" w:lineRule="exact"/>
        <w:rPr>
          <w:sz w:val="20"/>
          <w:szCs w:val="20"/>
          <w:color w:val="auto"/>
        </w:rPr>
      </w:pPr>
    </w:p>
    <w:p>
      <w:pPr>
        <w:jc w:val="both"/>
        <w:ind w:left="660" w:right="9660" w:hanging="652"/>
        <w:spacing w:after="0" w:line="664" w:lineRule="auto"/>
        <w:tabs>
          <w:tab w:leader="none" w:pos="66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43" w:lineRule="exact"/>
        <w:rPr>
          <w:rFonts w:ascii="Arial" w:cs="Arial" w:eastAsia="Arial" w:hAnsi="Arial"/>
          <w:sz w:val="16"/>
          <w:szCs w:val="16"/>
          <w:b w:val="1"/>
          <w:bCs w:val="1"/>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10. Additional Information—Memorandum and Articles of Incorporation” from our Annual Report on Form 20-F dated June 27, 2003 is incorporated herein by reference.</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our Annual General Shareholders’ Meeting held on March 31, 2005, we adopted an amendment to our bye-laws that increased the number of our directors from six to eight. In addition, we also removed provisions that established a classified board structure with staggered terms, adopting instead fixed three-year terms to be served until the end of the Annual General Shareholders’ Meeting for the year in which the three-year period expires. These amendments were primarily adopted to give more stability to our administration and to give AFPs, whose ownership of our common shares has steadily increased (</w:t>
      </w:r>
      <w:r>
        <w:rPr>
          <w:rFonts w:ascii="Arial" w:cs="Arial" w:eastAsia="Arial" w:hAnsi="Arial"/>
          <w:sz w:val="17"/>
          <w:szCs w:val="17"/>
          <w:i w:val="1"/>
          <w:iCs w:val="1"/>
          <w:color w:val="auto"/>
        </w:rPr>
        <w:t>see</w:t>
      </w:r>
      <w:r>
        <w:rPr>
          <w:rFonts w:ascii="Arial" w:cs="Arial" w:eastAsia="Arial" w:hAnsi="Arial"/>
          <w:sz w:val="17"/>
          <w:szCs w:val="17"/>
          <w:color w:val="auto"/>
        </w:rPr>
        <w:t xml:space="preserve"> “Item 7. Major Shareholders and Related Party Transactions—(A) Major Shareholders”), direct representation on our Board of Directors. Directors were also elected to two newly created directorships to represent pension funds.</w:t>
      </w:r>
    </w:p>
    <w:p>
      <w:pPr>
        <w:spacing w:after="0" w:line="200" w:lineRule="exact"/>
        <w:rPr>
          <w:sz w:val="20"/>
          <w:szCs w:val="20"/>
          <w:color w:val="auto"/>
        </w:rPr>
      </w:pPr>
    </w:p>
    <w:p>
      <w:pPr>
        <w:spacing w:after="0" w:line="245"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the date hereof, we have not, nor have our subsidiaries, entered into any material contracts.</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been designated as a non-resident for Bermuda exchange control purposes, and therefore, there are no restrictions on our ability to transfer non-Bermuda funds in and out of Bermuda or to pay dividends to United States residents who are holders of our common shares.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almost exclusively on dividends from BCP, ASHC, PPS, and our other subsidiaries for the payment of dividends to holders of our common shares. To the extent our subsidiaries are restricted by law from paying us dividends, our ability to pay dividends on our common shares will be adversely affected.</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present our financial statements and pay dividends in U.S. Dollars. BCP and PPS prepare their financial statements and pay dividends in Nuevos Soles. If the value of the Nuevo Sol were to fall relative to the U.S. Dollar between the date of declaration and the date of payment of dividends, the value of the dividends we receive from our subsidiaries would be adversely affected. On an overall basis, the Peruvian currency has appreciated against the US. Dollar during the last decade.</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substantially all of the customers of BCP, ASHC and PPS are located in Peru, as of December 31, 2009, approximately 59% of BCP’s loan portfolio, 100% of ASHC’s loan portfolio, and 88.6% of PPS’s premiums were denominated in U.S. Dollars. Most of the borrowers or insureds of these three companies use Nuevo Soles. Therefore, a devaluation of the Nuevo Sol would effectively increase the cost to the borrower of repaying its loans and the cost to the insured of making its premium payments. As a result, devaluation could lead to more nonperforming loans or unpaid premiums for BCP, ASHC and PPS.</w:t>
      </w:r>
    </w:p>
    <w:p>
      <w:pPr>
        <w:spacing w:after="0" w:line="21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One circumstance that could lead to a devaluation is a decline in Peruvian foreign reserves to inadequate levels. Although the current level of Peru’s foreign reserves compares favorably with those of other Latin American countries, there can be no assurance that Peru will be able to maintain adequate foreign reserves to meet its foreign currency-denominated obligations or that Peru will not devalue its currency should its foreign reserves decline. </w:t>
      </w:r>
      <w:r>
        <w:rPr>
          <w:rFonts w:ascii="Arial" w:cs="Arial" w:eastAsia="Arial" w:hAnsi="Arial"/>
          <w:sz w:val="16"/>
          <w:szCs w:val="16"/>
          <w:i w:val="1"/>
          <w:iCs w:val="1"/>
          <w:color w:val="auto"/>
        </w:rPr>
        <w:t>See</w:t>
      </w:r>
      <w:r>
        <w:rPr>
          <w:rFonts w:ascii="Arial" w:cs="Arial" w:eastAsia="Arial" w:hAnsi="Arial"/>
          <w:sz w:val="16"/>
          <w:szCs w:val="16"/>
          <w:color w:val="auto"/>
        </w:rPr>
        <w:t xml:space="preserve"> “Item</w:t>
      </w:r>
    </w:p>
    <w:p>
      <w:pPr>
        <w:ind w:left="5580" w:right="4100" w:hanging="5572"/>
        <w:spacing w:after="0" w:line="715" w:lineRule="auto"/>
        <w:tabs>
          <w:tab w:leader="none" w:pos="18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Information on the Company—(B) Business Overview—(9) Peruvian Government and Economy.”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31" w:name="page132"/>
    <w:bookmarkEnd w:id="131"/>
    <w:p>
      <w:pPr>
        <w:jc w:val="both"/>
        <w:ind w:firstLine="648"/>
        <w:spacing w:after="0" w:line="259" w:lineRule="auto"/>
        <w:rPr>
          <w:sz w:val="20"/>
          <w:szCs w:val="20"/>
          <w:color w:val="auto"/>
        </w:rPr>
      </w:pPr>
      <w:r>
        <w:rPr>
          <w:rFonts w:ascii="Arial" w:cs="Arial" w:eastAsia="Arial" w:hAnsi="Arial"/>
          <w:sz w:val="18"/>
          <w:szCs w:val="18"/>
          <w:color w:val="auto"/>
        </w:rPr>
        <w:t>Since March 1991, there have been no exchange rate controls in Peru and all foreign exchange transactions are based on free market exchange rates. Current Peruvian regulations on foreign investment allow the foreign holders of equity shares of Peruvian companies to receive and repatriate 100% of the cash dividends distributed by the company. These investors are allowed to purchase foreign exchange at free market exchange rates through any member of the Peruvian banking system.</w:t>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5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that we must pay or our shareholders must pay with respect to their shares. We have obtained an assurance from the Minister of Finance of Bermuda under the Exempted Undertakings Tax Protection Act 1966 that, in the event that any legislation is enacted in Bermuda imposing any tax on profits or income, or on any capital asset, gain, or appreciation or any tax in the nature of an estate duty or inheritance tax, such tax shall not, until March 28, 2016, be applicable to us or to any of our operations or to our shares, debentures, or other obligations. This assurance, however, does not cover any tax applicable to persons ordinarily resident in Bermuda or to any taxes that we must pay with respect to real property that we own or lease in Bermuda.</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an exempted company, we are liable to pay in Bermuda an annual government fee based upon our authorized share capital and the premium on our issued common shares, which amounted to approximately US$18,670 in 2009.</w:t>
      </w:r>
    </w:p>
    <w:p>
      <w:pPr>
        <w:spacing w:after="0" w:line="200" w:lineRule="exact"/>
        <w:rPr>
          <w:sz w:val="20"/>
          <w:szCs w:val="20"/>
          <w:color w:val="auto"/>
        </w:rPr>
      </w:pPr>
    </w:p>
    <w:p>
      <w:pPr>
        <w:spacing w:after="0" w:line="237" w:lineRule="exact"/>
        <w:rPr>
          <w:sz w:val="20"/>
          <w:szCs w:val="20"/>
          <w:color w:val="auto"/>
        </w:rPr>
      </w:pPr>
    </w:p>
    <w:p>
      <w:pPr>
        <w:ind w:left="660" w:right="8500" w:hanging="652"/>
        <w:spacing w:after="0" w:line="564" w:lineRule="auto"/>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spacing w:after="0" w:line="188" w:lineRule="exact"/>
        <w:rPr>
          <w:rFonts w:ascii="Arial" w:cs="Arial" w:eastAsia="Arial" w:hAnsi="Arial"/>
          <w:sz w:val="18"/>
          <w:szCs w:val="18"/>
          <w:b w:val="1"/>
          <w:bCs w:val="1"/>
          <w:color w:val="auto"/>
        </w:rPr>
      </w:pPr>
    </w:p>
    <w:p>
      <w:pPr>
        <w:ind w:left="660" w:right="9100" w:hanging="652"/>
        <w:spacing w:after="0" w:line="664" w:lineRule="auto"/>
        <w:tabs>
          <w:tab w:leader="none" w:pos="66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43" w:lineRule="exact"/>
        <w:rPr>
          <w:rFonts w:ascii="Arial" w:cs="Arial" w:eastAsia="Arial" w:hAnsi="Arial"/>
          <w:sz w:val="16"/>
          <w:szCs w:val="16"/>
          <w:b w:val="1"/>
          <w:bCs w:val="1"/>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documents referred to in this Annual Report are available for inspection at our registered office.</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right="8940" w:hanging="652"/>
        <w:spacing w:after="0" w:line="664" w:lineRule="auto"/>
        <w:tabs>
          <w:tab w:leader="none" w:pos="66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tab/>
        <w:t>QUANTITATIVE AND QUALITATIVE DISCLOSURES ABOUT MARKET RISK</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By their nature, our activities involve principally the use of financial instruments, including derivatives. We accept deposits from customers at both fixed and floating rates for various periods and seek to earn above-average interest margins by investing these funds in high-quality assets. We seek to increase these margins by consolidating short-term funds and lending for longer periods at higher rates, while maintaining sufficient liquidity to meet all claims that might fall due.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seek to raise interest margins by obtaining above-average market margins, net of allowances, through lending to commercial and retail borrowers with a range of credit products. Such exposures involve not only on-balance sheet loans and advances; the Group also enters into guarantees and other commitments such as letters of credit and performance.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take positions in traded and over-the-counter instruments, including derivatives, to take advantage of short-term market movements in equities, bonds, currency and interest rates.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2" w:name="page133"/>
    <w:bookmarkEnd w:id="132"/>
    <w:p>
      <w:pPr>
        <w:jc w:val="both"/>
        <w:ind w:firstLine="648"/>
        <w:spacing w:after="0" w:line="259" w:lineRule="auto"/>
        <w:rPr>
          <w:sz w:val="20"/>
          <w:szCs w:val="20"/>
          <w:color w:val="auto"/>
        </w:rPr>
      </w:pPr>
      <w:r>
        <w:rPr>
          <w:rFonts w:ascii="Arial" w:cs="Arial" w:eastAsia="Arial" w:hAnsi="Arial"/>
          <w:sz w:val="18"/>
          <w:szCs w:val="18"/>
          <w:color w:val="auto"/>
        </w:rPr>
        <w:t>In this sense, risk is inherent in our activities but it is managed through a process of ongoing identification, measurement, and monitoring, subject to risk limits and other controls. This process of risk management is critical to our continuing profitability, and each individual within our company is accountable for the risk exposures relating to his or her responsibilities. We are exposed to operating risk, credit risk, liquidity risk, and market risk, the latter being subdivided into trading and non-trading risk.</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independent risk control process does not include business risks such as changes in the environment, technology, or industry. These risks are monitored through our strategic planning process.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Management Structure</w:t>
      </w:r>
    </w:p>
    <w:p>
      <w:pPr>
        <w:spacing w:after="0" w:line="25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board of directors and the boards of each subsidiary are ultimately responsible for identifying and controlling risks; however, there are separate independent bodies in the major subsidiaries (BCP, PPS, and ASHC) responsible for managing and monitoring risks, as further explained bellow:</w:t>
      </w:r>
    </w:p>
    <w:p>
      <w:pPr>
        <w:spacing w:after="0" w:line="15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i w:val="1"/>
          <w:iCs w:val="1"/>
          <w:color w:val="auto"/>
        </w:rPr>
        <w:t xml:space="preserve">Board of Directors: </w:t>
      </w:r>
      <w:r>
        <w:rPr>
          <w:rFonts w:ascii="Arial" w:cs="Arial" w:eastAsia="Arial" w:hAnsi="Arial"/>
          <w:sz w:val="16"/>
          <w:szCs w:val="16"/>
          <w:color w:val="auto"/>
        </w:rPr>
        <w:t>The board of directors of each major subsidiary is responsible for the overall risk management approach and for the approval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policies and strategies currently in place. The Board provides written principles for overall risk management, as well as written policies covering specific areas, such as foreign exchange risk, interest rate risk, credit risk, and risk relating to the use of derivative and non-derivative financial instruments.</w:t>
      </w:r>
    </w:p>
    <w:p>
      <w:pPr>
        <w:spacing w:after="0" w:line="17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Risk Management Committee: </w:t>
      </w:r>
      <w:r>
        <w:rPr>
          <w:rFonts w:ascii="Arial" w:cs="Arial" w:eastAsia="Arial" w:hAnsi="Arial"/>
          <w:sz w:val="18"/>
          <w:szCs w:val="18"/>
          <w:color w:val="auto"/>
        </w:rPr>
        <w:t>The Risk Management Committee of each major subsidiary is responsible for the strategy used for mitigating risks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setting forth the overall principles, policies, and limits for the different types of risks; it is also responsible for monitoring fundamental risk issues and for managing and monitoring the relevant risk decisions.</w:t>
      </w:r>
    </w:p>
    <w:p>
      <w:pPr>
        <w:spacing w:after="0" w:line="20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Risk Management Department: </w:t>
      </w:r>
      <w:r>
        <w:rPr>
          <w:rFonts w:ascii="Arial" w:cs="Arial" w:eastAsia="Arial" w:hAnsi="Arial"/>
          <w:sz w:val="16"/>
          <w:szCs w:val="16"/>
          <w:color w:val="auto"/>
        </w:rPr>
        <w:t>The Risk Management Department of each major subsidiary is responsible for developing, implementing, and</w:t>
      </w:r>
      <w:r>
        <w:rPr>
          <w:rFonts w:ascii="Arial" w:cs="Arial" w:eastAsia="Arial" w:hAnsi="Arial"/>
          <w:sz w:val="16"/>
          <w:szCs w:val="16"/>
          <w:i w:val="1"/>
          <w:iCs w:val="1"/>
          <w:color w:val="auto"/>
        </w:rPr>
        <w:t xml:space="preserve"> </w:t>
      </w:r>
      <w:r>
        <w:rPr>
          <w:rFonts w:ascii="Arial" w:cs="Arial" w:eastAsia="Arial" w:hAnsi="Arial"/>
          <w:sz w:val="16"/>
          <w:szCs w:val="16"/>
          <w:color w:val="auto"/>
        </w:rPr>
        <w:t>improving, on a continuous basis, our risk management infrastructure by adopting and incorporating global best practices and following established policies.</w:t>
      </w:r>
    </w:p>
    <w:p>
      <w:pPr>
        <w:spacing w:after="0" w:line="15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Internal Audit: </w:t>
      </w:r>
      <w:r>
        <w:rPr>
          <w:rFonts w:ascii="Arial" w:cs="Arial" w:eastAsia="Arial" w:hAnsi="Arial"/>
          <w:sz w:val="18"/>
          <w:szCs w:val="18"/>
          <w:color w:val="auto"/>
        </w:rPr>
        <w:t>Risk management processes throughout our organization are monitored by the internal audit function, which examines both the</w:t>
      </w:r>
      <w:r>
        <w:rPr>
          <w:rFonts w:ascii="Arial" w:cs="Arial" w:eastAsia="Arial" w:hAnsi="Arial"/>
          <w:sz w:val="18"/>
          <w:szCs w:val="18"/>
          <w:i w:val="1"/>
          <w:iCs w:val="1"/>
          <w:color w:val="auto"/>
        </w:rPr>
        <w:t xml:space="preserve"> </w:t>
      </w:r>
      <w:r>
        <w:rPr>
          <w:rFonts w:ascii="Arial" w:cs="Arial" w:eastAsia="Arial" w:hAnsi="Arial"/>
          <w:sz w:val="18"/>
          <w:szCs w:val="18"/>
          <w:color w:val="auto"/>
        </w:rPr>
        <w:t>adequacy of the procedures and our compliance with them. Internal Audit discusses the results of all assessments with management, and reports its findings and recommendations to our Audit Committee and Board of Directors.</w:t>
      </w:r>
    </w:p>
    <w:p>
      <w:pPr>
        <w:spacing w:after="0" w:line="20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i w:val="1"/>
          <w:iCs w:val="1"/>
          <w:color w:val="auto"/>
        </w:rPr>
        <w:t xml:space="preserve">Treasury and Foreign Exchange Departments: </w:t>
      </w:r>
      <w:r>
        <w:rPr>
          <w:rFonts w:ascii="Arial" w:cs="Arial" w:eastAsia="Arial" w:hAnsi="Arial"/>
          <w:sz w:val="18"/>
          <w:szCs w:val="18"/>
          <w:color w:val="auto"/>
        </w:rPr>
        <w:t>Our Treasury Department is responsible for managing our assets and liabilities and our overall</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structure. It is also primarily responsible for managing funding and liquidity risks and for managing the investment, forward, and spot portfolios. It also assumes the related liquidity, interest rate, and exchange rate risks, under the policies and limits that are in effect.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Measurement and Reporting Systems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risks are measured using a method which reflects both the expected losses likely to arise in normal circumstances and the unexpected losses, which are an estimate of the ultimate actual loss based on statistical models. The models make use of probabilities derived from historical experience, adjusted to reflect the economic environment. We also examine worst-case scenarios that might arise in the event that extreme and unlikely events do, in fact, occur.</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Monitoring and controlling risks are primarily performed based on limits that we establish. These limits reflect our business strategy, the market environment, and the level of risk that we are willing to accept. In addition, we monitor and measure our overall risk-bearing capacity relative to our aggregate risk exposure across all risk types and activities.</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Information compiled from all our subsidiaries is examined and processed in order to analyze, control, and identify risks early on. This information is presented and explained to the Board of Directors, the Risk Management Committee, and all of our other relevant members. The report typically includes aggregate credit exposure, credit metric forecasts, hold limit exceptions, VaR (Value at Risk), liquidity ratios, and risk profile changes. Our senior management periodically assesses the fair value of our investments and the appropriateness of the allowance for credit losses.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3" w:name="page134"/>
    <w:bookmarkEnd w:id="133"/>
    <w:p>
      <w:pPr>
        <w:ind w:left="660"/>
        <w:spacing w:after="0"/>
        <w:rPr>
          <w:sz w:val="20"/>
          <w:szCs w:val="20"/>
          <w:color w:val="auto"/>
        </w:rPr>
      </w:pPr>
      <w:r>
        <w:rPr>
          <w:rFonts w:ascii="Arial" w:cs="Arial" w:eastAsia="Arial" w:hAnsi="Arial"/>
          <w:sz w:val="18"/>
          <w:szCs w:val="18"/>
          <w:i w:val="1"/>
          <w:iCs w:val="1"/>
          <w:color w:val="auto"/>
        </w:rPr>
        <w:t>Risk Mitigation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part of our overall risk management, we use derivatives and other instruments to manage exposures resulting from interest rates, foreign currencies, equity risk, and credit risk.</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risk profile is assessed before entering into hedge transactions, which are authorized by the appropriate level of seniority within the Group. The effectiveness of hedges is assessed by the Risk Management Department (based on economic considerations rather than the IFRS hedge accounting regulations). The effectiveness of all the hedge relationships is monitored by the unit monthly. When a hedge is found to be ineffective, we will enter into a new hedge relationship to mitigate risk on a continuous basis.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actively use collateral to reduce credit risks.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Excessive Risk Concentration</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regions that have similar economic, political or other conditions. Concentrations indicate the relative sensitivity of the Group’s performance to developments affecting a particular industry or geographical location.</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order to avoid excessive concentrations of risk, Credicorp’s policies and procedures include specific guidelines to focus on maintaining a diversified portfolio. Identified concentrations of credit risks are controlled and managed accordingly.</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 Risk</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take on exposure to market risks, which is the risk that the fair value or future cash flows of a financial instrument will fluctuate because of changes in market prices. Market risks arise from open positions in interest rates, currency, commodities, or equity products—all of which are exposed to general and specific market movements and changes in the level of volatility of prices such as interest rates, credit spreads, foreign exchange rates, and equity prices. Due to the nature of our current activities, commodity price risk is not applicable.</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separate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20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Trading portfolios include those liquid positions arising from market-making transactions where Credicorp acts as principal with clients or with the market. Non-trading portfolios consist of relatively illiquid positions, mainly banking assets and liabilities (deposits and loans) and non-trading investments (available-for-sale).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Liability Management (ALM).</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 Book</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trading book is made up of liquid investment instruments. The trading book is characterized for having liquid positions in equities, bonds, foreign currencies and derivatives. Some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 The major measurement technique used to measure and control market risk is Value at Risk (VaR).</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4" w:name="page135"/>
    <w:bookmarkEnd w:id="134"/>
    <w:p>
      <w:pPr>
        <w:jc w:val="both"/>
        <w:ind w:firstLine="648"/>
        <w:spacing w:after="0" w:line="264" w:lineRule="auto"/>
        <w:rPr>
          <w:sz w:val="20"/>
          <w:szCs w:val="20"/>
          <w:color w:val="auto"/>
        </w:rPr>
      </w:pPr>
      <w:r>
        <w:rPr>
          <w:rFonts w:ascii="Arial" w:cs="Arial" w:eastAsia="Arial" w:hAnsi="Arial"/>
          <w:sz w:val="18"/>
          <w:szCs w:val="18"/>
          <w:color w:val="auto"/>
        </w:rPr>
        <w:t>We apply VaR to trading portfolios to estimate the market risk of positions held and the maximum losses that are expected, based upon a number of assumptions for various changes in market conditions. Our Risk Management Committee sets limits on the level of risk that may be accepted and reviews these levels daily.</w:t>
      </w:r>
    </w:p>
    <w:p>
      <w:pPr>
        <w:spacing w:after="0" w:line="20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VaR is a statistically-based estimate of the potential loss on the current portfolio due to adverse market movements. It expresses the “maximum” amount we might lose, but only to a certain level of confidence (99 percent). There is therefore a specified statistical probability (1 percent) that actual loss could be greater than the VaR estimate. The VaR model assumes a certain “holding period” until positions can be closed (1 day - 10 days). The time horizon used to calculate VaR is one day; however, the one-day VAR is amplified to a 10-day time frame and calculated multiplying the one-day VaR by the square root of 10. Results are presented in the tables below. The assessment of past movements is based on historical one-year data. We apply these historical changes in rates directly to our current positions (a method known as historical simulation).</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660"/>
              <w:spacing w:after="0"/>
              <w:rPr>
                <w:sz w:val="20"/>
                <w:szCs w:val="20"/>
                <w:color w:val="auto"/>
              </w:rPr>
            </w:pPr>
            <w:r>
              <w:rPr>
                <w:rFonts w:ascii="Arial" w:cs="Arial" w:eastAsia="Arial" w:hAnsi="Arial"/>
                <w:sz w:val="18"/>
                <w:szCs w:val="18"/>
                <w:color w:val="auto"/>
                <w:w w:val="94"/>
              </w:rPr>
              <w:t>As of December 31, 2009 and 2008, our VaR by type of asset was as follows: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66"/>
        </w:trPr>
        <w:tc>
          <w:tcPr>
            <w:tcW w:w="65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2009</w:t>
            </w:r>
          </w:p>
        </w:tc>
        <w:tc>
          <w:tcPr>
            <w:tcW w:w="13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4"/>
                <w:szCs w:val="24"/>
                <w:color w:val="auto"/>
              </w:rPr>
            </w:pPr>
          </w:p>
        </w:tc>
      </w:tr>
      <w:tr>
        <w:trPr>
          <w:trHeight w:val="216"/>
        </w:trPr>
        <w:tc>
          <w:tcPr>
            <w:tcW w:w="650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18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9"/>
              </w:rPr>
              <w:t>2</w:t>
            </w:r>
          </w:p>
        </w:tc>
        <w:tc>
          <w:tcPr>
            <w:tcW w:w="136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9"/>
              </w:rPr>
              <w:t>55</w:t>
            </w:r>
          </w:p>
        </w:tc>
        <w:tc>
          <w:tcPr>
            <w:tcW w:w="80" w:type="dxa"/>
            <w:vAlign w:val="bottom"/>
            <w:shd w:val="clear" w:color="auto" w:fill="CCFFC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Mutual funds</w:t>
            </w: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1,034</w:t>
            </w:r>
          </w:p>
        </w:tc>
        <w:tc>
          <w:tcPr>
            <w:tcW w:w="80" w:type="dxa"/>
            <w:vAlign w:val="bottom"/>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Fixed income</w:t>
            </w:r>
          </w:p>
        </w:tc>
        <w:tc>
          <w:tcPr>
            <w:tcW w:w="12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3"/>
              </w:rPr>
              <w:t>1,142</w:t>
            </w:r>
          </w:p>
        </w:tc>
        <w:tc>
          <w:tcPr>
            <w:tcW w:w="136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4"/>
              </w:rPr>
              <w:t>1,116</w:t>
            </w:r>
          </w:p>
        </w:tc>
        <w:tc>
          <w:tcPr>
            <w:tcW w:w="80" w:type="dxa"/>
            <w:vAlign w:val="bottom"/>
            <w:shd w:val="clear" w:color="auto" w:fill="CCFFC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Derivatives</w:t>
            </w: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3"/>
              </w:rPr>
              <w:t>2,541</w:t>
            </w:r>
          </w:p>
        </w:tc>
        <w:tc>
          <w:tcPr>
            <w:tcW w:w="136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w:t>
            </w:r>
          </w:p>
        </w:tc>
        <w:tc>
          <w:tcPr>
            <w:tcW w:w="12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3"/>
              </w:rPr>
              <w:t>2,269</w:t>
            </w:r>
          </w:p>
        </w:tc>
        <w:tc>
          <w:tcPr>
            <w:tcW w:w="136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93"/>
              </w:rPr>
              <w:t>1,064</w:t>
            </w:r>
          </w:p>
        </w:tc>
        <w:tc>
          <w:tcPr>
            <w:tcW w:w="80" w:type="dxa"/>
            <w:vAlign w:val="bottom"/>
            <w:shd w:val="clear" w:color="auto" w:fill="CCFFCC"/>
          </w:tcPr>
          <w:p>
            <w:pPr>
              <w:spacing w:after="0"/>
              <w:rPr>
                <w:sz w:val="18"/>
                <w:szCs w:val="18"/>
                <w:color w:val="auto"/>
              </w:rPr>
            </w:pPr>
          </w:p>
        </w:tc>
      </w:tr>
      <w:tr>
        <w:trPr>
          <w:trHeight w:val="459"/>
        </w:trPr>
        <w:tc>
          <w:tcPr>
            <w:tcW w:w="6500" w:type="dxa"/>
            <w:vAlign w:val="bottom"/>
          </w:tcPr>
          <w:p>
            <w:pPr>
              <w:ind w:left="660"/>
              <w:spacing w:after="0"/>
              <w:rPr>
                <w:sz w:val="20"/>
                <w:szCs w:val="20"/>
                <w:color w:val="auto"/>
              </w:rPr>
            </w:pPr>
            <w:r>
              <w:rPr>
                <w:rFonts w:ascii="Arial" w:cs="Arial" w:eastAsia="Arial" w:hAnsi="Arial"/>
                <w:sz w:val="18"/>
                <w:szCs w:val="18"/>
                <w:color w:val="auto"/>
              </w:rPr>
              <w:t>As of December 31, 2009 and 2008, our VaR by risk type is as follows:</w:t>
            </w: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66"/>
        </w:trPr>
        <w:tc>
          <w:tcPr>
            <w:tcW w:w="650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2009</w:t>
            </w:r>
          </w:p>
        </w:tc>
        <w:tc>
          <w:tcPr>
            <w:tcW w:w="136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89"/>
              </w:rPr>
              <w:t>2008</w:t>
            </w:r>
          </w:p>
        </w:tc>
        <w:tc>
          <w:tcPr>
            <w:tcW w:w="80" w:type="dxa"/>
            <w:vAlign w:val="bottom"/>
          </w:tcPr>
          <w:p>
            <w:pPr>
              <w:spacing w:after="0"/>
              <w:rPr>
                <w:sz w:val="24"/>
                <w:szCs w:val="24"/>
                <w:color w:val="auto"/>
              </w:rPr>
            </w:pPr>
          </w:p>
        </w:tc>
      </w:tr>
      <w:tr>
        <w:trPr>
          <w:trHeight w:val="216"/>
        </w:trPr>
        <w:tc>
          <w:tcPr>
            <w:tcW w:w="6500" w:type="dxa"/>
            <w:vAlign w:val="bottom"/>
          </w:tcPr>
          <w:p>
            <w:pPr>
              <w:spacing w:after="0"/>
              <w:rPr>
                <w:sz w:val="18"/>
                <w:szCs w:val="18"/>
                <w:color w:val="auto"/>
              </w:rPr>
            </w:pPr>
          </w:p>
        </w:tc>
        <w:tc>
          <w:tcPr>
            <w:tcW w:w="12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180" w:type="dxa"/>
            <w:vAlign w:val="bottom"/>
          </w:tcPr>
          <w:p>
            <w:pPr>
              <w:spacing w:after="0"/>
              <w:rPr>
                <w:sz w:val="18"/>
                <w:szCs w:val="18"/>
                <w:color w:val="auto"/>
              </w:rPr>
            </w:pPr>
          </w:p>
        </w:tc>
        <w:tc>
          <w:tcPr>
            <w:tcW w:w="1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12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86"/>
              </w:rPr>
              <w:t>985</w:t>
            </w:r>
          </w:p>
        </w:tc>
        <w:tc>
          <w:tcPr>
            <w:tcW w:w="136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6"/>
              </w:rPr>
              <w:t>579</w:t>
            </w:r>
          </w:p>
        </w:tc>
        <w:tc>
          <w:tcPr>
            <w:tcW w:w="80" w:type="dxa"/>
            <w:vAlign w:val="bottom"/>
            <w:shd w:val="clear" w:color="auto" w:fill="CCFFCC"/>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Interest rate risk</w:t>
            </w: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3"/>
              </w:rPr>
              <w:t>1,802</w:t>
            </w:r>
          </w:p>
        </w:tc>
        <w:tc>
          <w:tcPr>
            <w:tcW w:w="136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1,063</w:t>
            </w:r>
          </w:p>
        </w:tc>
        <w:tc>
          <w:tcPr>
            <w:tcW w:w="80" w:type="dxa"/>
            <w:vAlign w:val="bottom"/>
          </w:tcPr>
          <w:p>
            <w:pPr>
              <w:spacing w:after="0"/>
              <w:rPr>
                <w:sz w:val="18"/>
                <w:szCs w:val="18"/>
                <w:color w:val="auto"/>
              </w:rPr>
            </w:pPr>
          </w:p>
        </w:tc>
      </w:tr>
      <w:tr>
        <w:trPr>
          <w:trHeight w:val="216"/>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1200" w:type="dxa"/>
            <w:vAlign w:val="bottom"/>
            <w:shd w:val="clear" w:color="auto" w:fill="CCFFCC"/>
          </w:tcPr>
          <w:p>
            <w:pPr>
              <w:jc w:val="center"/>
              <w:ind w:left="10"/>
              <w:spacing w:after="0"/>
              <w:rPr>
                <w:sz w:val="20"/>
                <w:szCs w:val="20"/>
                <w:color w:val="auto"/>
              </w:rPr>
            </w:pPr>
            <w:r>
              <w:rPr>
                <w:rFonts w:ascii="Arial" w:cs="Arial" w:eastAsia="Arial" w:hAnsi="Arial"/>
                <w:sz w:val="18"/>
                <w:szCs w:val="18"/>
                <w:color w:val="auto"/>
                <w:w w:val="99"/>
              </w:rPr>
              <w:t>1</w:t>
            </w:r>
          </w:p>
        </w:tc>
        <w:tc>
          <w:tcPr>
            <w:tcW w:w="1360" w:type="dxa"/>
            <w:vAlign w:val="bottom"/>
            <w:gridSpan w:val="2"/>
            <w:shd w:val="clear" w:color="auto" w:fill="CCFFCC"/>
          </w:tcPr>
          <w:p>
            <w:pPr>
              <w:jc w:val="center"/>
              <w:ind w:left="170"/>
              <w:spacing w:after="0"/>
              <w:rPr>
                <w:sz w:val="20"/>
                <w:szCs w:val="20"/>
                <w:color w:val="auto"/>
              </w:rPr>
            </w:pPr>
            <w:r>
              <w:rPr>
                <w:rFonts w:ascii="Arial" w:cs="Arial" w:eastAsia="Arial" w:hAnsi="Arial"/>
                <w:sz w:val="18"/>
                <w:szCs w:val="18"/>
                <w:color w:val="auto"/>
                <w:w w:val="86"/>
              </w:rPr>
              <w:t>850</w:t>
            </w:r>
          </w:p>
        </w:tc>
        <w:tc>
          <w:tcPr>
            <w:tcW w:w="80" w:type="dxa"/>
            <w:vAlign w:val="bottom"/>
            <w:shd w:val="clear" w:color="auto" w:fill="CCFFCC"/>
          </w:tcPr>
          <w:p>
            <w:pPr>
              <w:spacing w:after="0"/>
              <w:rPr>
                <w:sz w:val="18"/>
                <w:szCs w:val="18"/>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Consolidated VaR by risk type</w:t>
            </w:r>
          </w:p>
        </w:tc>
        <w:tc>
          <w:tcPr>
            <w:tcW w:w="1200" w:type="dxa"/>
            <w:vAlign w:val="bottom"/>
          </w:tcPr>
          <w:p>
            <w:pPr>
              <w:jc w:val="center"/>
              <w:ind w:left="10"/>
              <w:spacing w:after="0"/>
              <w:rPr>
                <w:sz w:val="20"/>
                <w:szCs w:val="20"/>
                <w:color w:val="auto"/>
              </w:rPr>
            </w:pPr>
            <w:r>
              <w:rPr>
                <w:rFonts w:ascii="Arial" w:cs="Arial" w:eastAsia="Arial" w:hAnsi="Arial"/>
                <w:sz w:val="18"/>
                <w:szCs w:val="18"/>
                <w:color w:val="auto"/>
                <w:w w:val="93"/>
              </w:rPr>
              <w:t>2,269</w:t>
            </w:r>
          </w:p>
        </w:tc>
        <w:tc>
          <w:tcPr>
            <w:tcW w:w="1360" w:type="dxa"/>
            <w:vAlign w:val="bottom"/>
            <w:gridSpan w:val="2"/>
          </w:tcPr>
          <w:p>
            <w:pPr>
              <w:jc w:val="center"/>
              <w:ind w:left="170"/>
              <w:spacing w:after="0"/>
              <w:rPr>
                <w:sz w:val="20"/>
                <w:szCs w:val="20"/>
                <w:color w:val="auto"/>
              </w:rPr>
            </w:pPr>
            <w:r>
              <w:rPr>
                <w:rFonts w:ascii="Arial" w:cs="Arial" w:eastAsia="Arial" w:hAnsi="Arial"/>
                <w:sz w:val="18"/>
                <w:szCs w:val="18"/>
                <w:color w:val="auto"/>
                <w:w w:val="93"/>
              </w:rPr>
              <w:t>1,604</w:t>
            </w:r>
          </w:p>
        </w:tc>
        <w:tc>
          <w:tcPr>
            <w:tcW w:w="80" w:type="dxa"/>
            <w:vAlign w:val="bottom"/>
          </w:tcPr>
          <w:p>
            <w:pPr>
              <w:spacing w:after="0"/>
              <w:rPr>
                <w:sz w:val="20"/>
                <w:szCs w:val="20"/>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ALM Book</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management of risks associated with long-term and structural positions is called Asset and Liability Management (ALM). Non-trading portfolios which comprise the ALM Book are exposed to different sensitivities that can deteriorate the value of our assets relative to our liabilities and hence can reduce our net worth.</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Risk</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rate risk arises from the possibility that changes in interest rates will affect future cash flows or the fair value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We are exposed to both fair value interest rate risk and cash flow interest rate risk. Interest margins may increase as a result of such changes but may also decrease in the event that unexpected movements arise. The Board sets limits on the level of mismatch of interest rate re-pricing that may be undertaken. This level is monitored daily by Treasury Department.</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5" w:name="page136"/>
    <w:bookmarkEnd w:id="135"/>
    <w:p>
      <w:pPr>
        <w:ind w:left="660"/>
        <w:spacing w:after="0"/>
        <w:rPr>
          <w:sz w:val="20"/>
          <w:szCs w:val="20"/>
          <w:color w:val="auto"/>
        </w:rPr>
      </w:pPr>
      <w:r>
        <w:rPr>
          <w:rFonts w:ascii="Arial" w:cs="Arial" w:eastAsia="Arial" w:hAnsi="Arial"/>
          <w:sz w:val="18"/>
          <w:szCs w:val="18"/>
          <w:i w:val="1"/>
          <w:iCs w:val="1"/>
          <w:color w:val="auto"/>
        </w:rPr>
        <w:t>Re-pricing Gap</w:t>
      </w:r>
    </w:p>
    <w:p>
      <w:pPr>
        <w:spacing w:after="0" w:line="25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Gap analysis comprises aggregating re-pricing timeframes into buckets and checking if each bucket nets to zero. Different bucketing schemes may be used. An interest rate gap is simply a positive or negative net re-pricing timeframe for one of the buckets.</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table below summarizes our exposure to interest rate risks. It includes our financial instruments at carrying amounts, categorized by the earlier of contractual re-pricing or maturity dates: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 December 31, 2009</w:t>
            </w:r>
          </w:p>
        </w:tc>
        <w:tc>
          <w:tcPr>
            <w:tcW w:w="1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26"/>
        </w:trPr>
        <w:tc>
          <w:tcPr>
            <w:tcW w:w="2640" w:type="dxa"/>
            <w:vAlign w:val="bottom"/>
          </w:tcPr>
          <w:p>
            <w:pPr>
              <w:spacing w:after="0"/>
              <w:rPr>
                <w:sz w:val="10"/>
                <w:szCs w:val="10"/>
                <w:color w:val="auto"/>
              </w:rPr>
            </w:pPr>
          </w:p>
        </w:tc>
        <w:tc>
          <w:tcPr>
            <w:tcW w:w="1380" w:type="dxa"/>
            <w:vAlign w:val="bottom"/>
          </w:tcPr>
          <w:p>
            <w:pPr>
              <w:jc w:val="center"/>
              <w:ind w:right="148"/>
              <w:spacing w:after="0" w:line="126" w:lineRule="exact"/>
              <w:rPr>
                <w:sz w:val="20"/>
                <w:szCs w:val="20"/>
                <w:color w:val="auto"/>
              </w:rPr>
            </w:pPr>
            <w:r>
              <w:rPr>
                <w:rFonts w:ascii="Arial" w:cs="Arial" w:eastAsia="Arial" w:hAnsi="Arial"/>
                <w:sz w:val="14"/>
                <w:szCs w:val="14"/>
                <w:b w:val="1"/>
                <w:bCs w:val="1"/>
                <w:color w:val="auto"/>
                <w:w w:val="92"/>
              </w:rPr>
              <w:t>Up to 1</w:t>
            </w:r>
          </w:p>
        </w:tc>
        <w:tc>
          <w:tcPr>
            <w:tcW w:w="1260" w:type="dxa"/>
            <w:vAlign w:val="bottom"/>
          </w:tcPr>
          <w:p>
            <w:pPr>
              <w:jc w:val="center"/>
              <w:ind w:right="208"/>
              <w:spacing w:after="0" w:line="126" w:lineRule="exact"/>
              <w:rPr>
                <w:sz w:val="20"/>
                <w:szCs w:val="20"/>
                <w:color w:val="auto"/>
              </w:rPr>
            </w:pPr>
            <w:r>
              <w:rPr>
                <w:rFonts w:ascii="Arial" w:cs="Arial" w:eastAsia="Arial" w:hAnsi="Arial"/>
                <w:sz w:val="14"/>
                <w:szCs w:val="14"/>
                <w:b w:val="1"/>
                <w:bCs w:val="1"/>
                <w:color w:val="auto"/>
                <w:w w:val="92"/>
              </w:rPr>
              <w:t>1 to 3</w:t>
            </w:r>
          </w:p>
        </w:tc>
        <w:tc>
          <w:tcPr>
            <w:tcW w:w="1240" w:type="dxa"/>
            <w:vAlign w:val="bottom"/>
          </w:tcPr>
          <w:p>
            <w:pPr>
              <w:jc w:val="center"/>
              <w:ind w:right="168"/>
              <w:spacing w:after="0" w:line="126" w:lineRule="exact"/>
              <w:rPr>
                <w:sz w:val="20"/>
                <w:szCs w:val="20"/>
                <w:color w:val="auto"/>
              </w:rPr>
            </w:pPr>
            <w:r>
              <w:rPr>
                <w:rFonts w:ascii="Arial" w:cs="Arial" w:eastAsia="Arial" w:hAnsi="Arial"/>
                <w:sz w:val="14"/>
                <w:szCs w:val="14"/>
                <w:b w:val="1"/>
                <w:bCs w:val="1"/>
                <w:color w:val="auto"/>
                <w:w w:val="90"/>
              </w:rPr>
              <w:t>3 to 12</w:t>
            </w:r>
          </w:p>
        </w:tc>
        <w:tc>
          <w:tcPr>
            <w:tcW w:w="1280" w:type="dxa"/>
            <w:vAlign w:val="bottom"/>
          </w:tcPr>
          <w:p>
            <w:pPr>
              <w:jc w:val="right"/>
              <w:ind w:right="368"/>
              <w:spacing w:after="0" w:line="126" w:lineRule="exact"/>
              <w:rPr>
                <w:sz w:val="20"/>
                <w:szCs w:val="20"/>
                <w:color w:val="auto"/>
              </w:rPr>
            </w:pPr>
            <w:r>
              <w:rPr>
                <w:rFonts w:ascii="Arial" w:cs="Arial" w:eastAsia="Arial" w:hAnsi="Arial"/>
                <w:sz w:val="14"/>
                <w:szCs w:val="14"/>
                <w:b w:val="1"/>
                <w:bCs w:val="1"/>
                <w:color w:val="auto"/>
              </w:rPr>
              <w:t>1 to 5 years</w:t>
            </w:r>
          </w:p>
        </w:tc>
        <w:tc>
          <w:tcPr>
            <w:tcW w:w="1200" w:type="dxa"/>
            <w:vAlign w:val="bottom"/>
          </w:tcPr>
          <w:p>
            <w:pPr>
              <w:jc w:val="center"/>
              <w:ind w:right="208"/>
              <w:spacing w:after="0" w:line="126" w:lineRule="exact"/>
              <w:rPr>
                <w:sz w:val="20"/>
                <w:szCs w:val="20"/>
                <w:color w:val="auto"/>
              </w:rPr>
            </w:pPr>
            <w:r>
              <w:rPr>
                <w:rFonts w:ascii="Arial" w:cs="Arial" w:eastAsia="Arial" w:hAnsi="Arial"/>
                <w:sz w:val="14"/>
                <w:szCs w:val="14"/>
                <w:b w:val="1"/>
                <w:bCs w:val="1"/>
                <w:color w:val="auto"/>
                <w:w w:val="96"/>
              </w:rPr>
              <w:t>More than 5</w:t>
            </w:r>
          </w:p>
        </w:tc>
        <w:tc>
          <w:tcPr>
            <w:tcW w:w="1280" w:type="dxa"/>
            <w:vAlign w:val="bottom"/>
          </w:tcPr>
          <w:p>
            <w:pPr>
              <w:jc w:val="center"/>
              <w:ind w:right="208"/>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040" w:type="dxa"/>
            <w:vAlign w:val="bottom"/>
          </w:tcPr>
          <w:p>
            <w:pPr>
              <w:jc w:val="center"/>
              <w:ind w:right="48"/>
              <w:spacing w:after="0" w:line="126"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0"/>
                <w:szCs w:val="10"/>
                <w:color w:val="auto"/>
              </w:rPr>
            </w:pPr>
          </w:p>
        </w:tc>
      </w:tr>
      <w:tr>
        <w:trPr>
          <w:trHeight w:val="153"/>
        </w:trPr>
        <w:tc>
          <w:tcPr>
            <w:tcW w:w="2640" w:type="dxa"/>
            <w:vAlign w:val="bottom"/>
          </w:tcPr>
          <w:p>
            <w:pPr>
              <w:spacing w:after="0"/>
              <w:rPr>
                <w:sz w:val="13"/>
                <w:szCs w:val="13"/>
                <w:color w:val="auto"/>
              </w:rPr>
            </w:pPr>
          </w:p>
        </w:tc>
        <w:tc>
          <w:tcPr>
            <w:tcW w:w="138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3"/>
              </w:rPr>
              <w:t>month</w:t>
            </w:r>
          </w:p>
        </w:tc>
        <w:tc>
          <w:tcPr>
            <w:tcW w:w="126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90"/>
              </w:rPr>
              <w:t>months</w:t>
            </w:r>
          </w:p>
        </w:tc>
        <w:tc>
          <w:tcPr>
            <w:tcW w:w="1240" w:type="dxa"/>
            <w:vAlign w:val="bottom"/>
          </w:tcPr>
          <w:p>
            <w:pPr>
              <w:jc w:val="center"/>
              <w:ind w:right="188"/>
              <w:spacing w:after="0" w:line="153" w:lineRule="exact"/>
              <w:rPr>
                <w:sz w:val="20"/>
                <w:szCs w:val="20"/>
                <w:color w:val="auto"/>
              </w:rPr>
            </w:pPr>
            <w:r>
              <w:rPr>
                <w:rFonts w:ascii="Arial" w:cs="Arial" w:eastAsia="Arial" w:hAnsi="Arial"/>
                <w:sz w:val="14"/>
                <w:szCs w:val="14"/>
                <w:b w:val="1"/>
                <w:bCs w:val="1"/>
                <w:color w:val="auto"/>
                <w:w w:val="90"/>
              </w:rPr>
              <w:t>months</w:t>
            </w:r>
          </w:p>
        </w:tc>
        <w:tc>
          <w:tcPr>
            <w:tcW w:w="1280" w:type="dxa"/>
            <w:vAlign w:val="bottom"/>
          </w:tcPr>
          <w:p>
            <w:pPr>
              <w:spacing w:after="0"/>
              <w:rPr>
                <w:sz w:val="13"/>
                <w:szCs w:val="13"/>
                <w:color w:val="auto"/>
              </w:rPr>
            </w:pPr>
          </w:p>
        </w:tc>
        <w:tc>
          <w:tcPr>
            <w:tcW w:w="120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87"/>
              </w:rPr>
              <w:t>years</w:t>
            </w:r>
          </w:p>
        </w:tc>
        <w:tc>
          <w:tcPr>
            <w:tcW w:w="1280" w:type="dxa"/>
            <w:vAlign w:val="bottom"/>
          </w:tcPr>
          <w:p>
            <w:pPr>
              <w:jc w:val="center"/>
              <w:ind w:right="208"/>
              <w:spacing w:after="0" w:line="153" w:lineRule="exact"/>
              <w:rPr>
                <w:sz w:val="20"/>
                <w:szCs w:val="20"/>
                <w:color w:val="auto"/>
              </w:rPr>
            </w:pPr>
            <w:r>
              <w:rPr>
                <w:rFonts w:ascii="Arial" w:cs="Arial" w:eastAsia="Arial" w:hAnsi="Arial"/>
                <w:sz w:val="14"/>
                <w:szCs w:val="14"/>
                <w:b w:val="1"/>
                <w:bCs w:val="1"/>
                <w:color w:val="auto"/>
                <w:w w:val="94"/>
              </w:rPr>
              <w:t>bearing</w:t>
            </w: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2640" w:type="dxa"/>
            <w:vAlign w:val="bottom"/>
          </w:tcPr>
          <w:p>
            <w:pPr>
              <w:spacing w:after="0"/>
              <w:rPr>
                <w:sz w:val="14"/>
                <w:szCs w:val="14"/>
                <w:color w:val="auto"/>
              </w:rPr>
            </w:pPr>
          </w:p>
        </w:tc>
        <w:tc>
          <w:tcPr>
            <w:tcW w:w="1380" w:type="dxa"/>
            <w:vAlign w:val="bottom"/>
          </w:tcPr>
          <w:p>
            <w:pPr>
              <w:jc w:val="center"/>
              <w:ind w:right="148"/>
              <w:spacing w:after="0"/>
              <w:rPr>
                <w:sz w:val="20"/>
                <w:szCs w:val="20"/>
                <w:color w:val="auto"/>
              </w:rPr>
            </w:pPr>
            <w:r>
              <w:rPr>
                <w:rFonts w:ascii="Arial" w:cs="Arial" w:eastAsia="Arial" w:hAnsi="Arial"/>
                <w:sz w:val="14"/>
                <w:szCs w:val="14"/>
                <w:color w:val="auto"/>
                <w:w w:val="93"/>
              </w:rPr>
              <w:t>US$(000)</w:t>
            </w:r>
          </w:p>
        </w:tc>
        <w:tc>
          <w:tcPr>
            <w:tcW w:w="1260" w:type="dxa"/>
            <w:vAlign w:val="bottom"/>
          </w:tcPr>
          <w:p>
            <w:pPr>
              <w:jc w:val="center"/>
              <w:ind w:right="228"/>
              <w:spacing w:after="0"/>
              <w:rPr>
                <w:sz w:val="20"/>
                <w:szCs w:val="20"/>
                <w:color w:val="auto"/>
              </w:rPr>
            </w:pPr>
            <w:r>
              <w:rPr>
                <w:rFonts w:ascii="Arial" w:cs="Arial" w:eastAsia="Arial" w:hAnsi="Arial"/>
                <w:sz w:val="14"/>
                <w:szCs w:val="14"/>
                <w:color w:val="auto"/>
                <w:w w:val="93"/>
              </w:rPr>
              <w:t>US$(000)</w:t>
            </w:r>
          </w:p>
        </w:tc>
        <w:tc>
          <w:tcPr>
            <w:tcW w:w="1240" w:type="dxa"/>
            <w:vAlign w:val="bottom"/>
          </w:tcPr>
          <w:p>
            <w:pPr>
              <w:jc w:val="center"/>
              <w:ind w:right="168"/>
              <w:spacing w:after="0"/>
              <w:rPr>
                <w:sz w:val="20"/>
                <w:szCs w:val="20"/>
                <w:color w:val="auto"/>
              </w:rPr>
            </w:pPr>
            <w:r>
              <w:rPr>
                <w:rFonts w:ascii="Arial" w:cs="Arial" w:eastAsia="Arial" w:hAnsi="Arial"/>
                <w:sz w:val="14"/>
                <w:szCs w:val="14"/>
                <w:color w:val="auto"/>
                <w:w w:val="93"/>
              </w:rPr>
              <w:t>US$(000)</w:t>
            </w:r>
          </w:p>
        </w:tc>
        <w:tc>
          <w:tcPr>
            <w:tcW w:w="1280" w:type="dxa"/>
            <w:vAlign w:val="bottom"/>
          </w:tcPr>
          <w:p>
            <w:pPr>
              <w:jc w:val="right"/>
              <w:ind w:right="428"/>
              <w:spacing w:after="0"/>
              <w:rPr>
                <w:sz w:val="20"/>
                <w:szCs w:val="20"/>
                <w:color w:val="auto"/>
              </w:rPr>
            </w:pPr>
            <w:r>
              <w:rPr>
                <w:rFonts w:ascii="Arial" w:cs="Arial" w:eastAsia="Arial" w:hAnsi="Arial"/>
                <w:sz w:val="14"/>
                <w:szCs w:val="14"/>
                <w:color w:val="auto"/>
              </w:rPr>
              <w:t>US$(000)</w:t>
            </w:r>
          </w:p>
        </w:tc>
        <w:tc>
          <w:tcPr>
            <w:tcW w:w="1200" w:type="dxa"/>
            <w:vAlign w:val="bottom"/>
          </w:tcPr>
          <w:p>
            <w:pPr>
              <w:jc w:val="center"/>
              <w:ind w:right="208"/>
              <w:spacing w:after="0"/>
              <w:rPr>
                <w:sz w:val="20"/>
                <w:szCs w:val="20"/>
                <w:color w:val="auto"/>
              </w:rPr>
            </w:pPr>
            <w:r>
              <w:rPr>
                <w:rFonts w:ascii="Arial" w:cs="Arial" w:eastAsia="Arial" w:hAnsi="Arial"/>
                <w:sz w:val="14"/>
                <w:szCs w:val="14"/>
                <w:color w:val="auto"/>
                <w:w w:val="93"/>
              </w:rPr>
              <w:t>US$(000)</w:t>
            </w:r>
          </w:p>
        </w:tc>
        <w:tc>
          <w:tcPr>
            <w:tcW w:w="1280" w:type="dxa"/>
            <w:vAlign w:val="bottom"/>
          </w:tcPr>
          <w:p>
            <w:pPr>
              <w:jc w:val="center"/>
              <w:ind w:right="208"/>
              <w:spacing w:after="0"/>
              <w:rPr>
                <w:sz w:val="20"/>
                <w:szCs w:val="20"/>
                <w:color w:val="auto"/>
              </w:rPr>
            </w:pPr>
            <w:r>
              <w:rPr>
                <w:rFonts w:ascii="Arial" w:cs="Arial" w:eastAsia="Arial" w:hAnsi="Arial"/>
                <w:sz w:val="14"/>
                <w:szCs w:val="14"/>
                <w:color w:val="auto"/>
                <w:w w:val="93"/>
              </w:rPr>
              <w:t>US$(000)</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38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120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2,745,587</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70,616</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81,969</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938,486</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3,836,658</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494,937</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1,009,295</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1,009,704</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1,254,765</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928,562</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453,117</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5,150,380</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1,739,632</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3,144,271</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2,142,219</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3,176,243</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1,028,915</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11,231,280</w:t>
            </w: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Assets designated at fair value through</w:t>
            </w:r>
          </w:p>
        </w:tc>
        <w:tc>
          <w:tcPr>
            <w:tcW w:w="138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profit and loss</w:t>
            </w:r>
          </w:p>
        </w:tc>
        <w:tc>
          <w:tcPr>
            <w:tcW w:w="13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258</w:t>
            </w:r>
          </w:p>
        </w:tc>
        <w:tc>
          <w:tcPr>
            <w:tcW w:w="12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310</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1,657</w:t>
            </w:r>
          </w:p>
        </w:tc>
        <w:tc>
          <w:tcPr>
            <w:tcW w:w="120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3,565</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129,880</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135,670</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121,338</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121,338</w:t>
            </w: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Accounts receivable from re-insurers and</w:t>
            </w:r>
          </w:p>
        </w:tc>
        <w:tc>
          <w:tcPr>
            <w:tcW w:w="138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co-insurers</w:t>
            </w:r>
          </w:p>
        </w:tc>
        <w:tc>
          <w:tcPr>
            <w:tcW w:w="13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137,098</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137,098</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1,415,683</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1,415,683</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4,890,156</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4,224,440</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3,234,202</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4,432,665</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1,961,042</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3,195,602</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22,028,107</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4,025,133</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3,716,882</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2,711,965</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311,252</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28,601</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3,297,995</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14,091,828</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310,694</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633,874</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10,208</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128,643</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57,835</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26,184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1,167,438</w:t>
            </w: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Liabilities designated at fair value through</w:t>
            </w:r>
          </w:p>
        </w:tc>
        <w:tc>
          <w:tcPr>
            <w:tcW w:w="138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20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10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profit or loss</w:t>
            </w:r>
          </w:p>
        </w:tc>
        <w:tc>
          <w:tcPr>
            <w:tcW w:w="13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FFCC"/>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rPr>
                <w:sz w:val="20"/>
                <w:szCs w:val="20"/>
                <w:color w:val="auto"/>
              </w:rPr>
            </w:pPr>
            <w:r>
              <w:rPr>
                <w:rFonts w:ascii="Arial" w:cs="Arial" w:eastAsia="Arial" w:hAnsi="Arial"/>
                <w:sz w:val="14"/>
                <w:szCs w:val="14"/>
                <w:color w:val="auto"/>
              </w:rPr>
              <w:t>48,009</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48,009</w:t>
            </w: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Technical, insurance claims reserves and</w:t>
            </w:r>
          </w:p>
        </w:tc>
        <w:tc>
          <w:tcPr>
            <w:tcW w:w="1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2640" w:type="dxa"/>
            <w:vAlign w:val="bottom"/>
          </w:tcPr>
          <w:p>
            <w:pPr>
              <w:spacing w:after="0"/>
              <w:rPr>
                <w:sz w:val="20"/>
                <w:szCs w:val="20"/>
                <w:color w:val="auto"/>
              </w:rPr>
            </w:pPr>
            <w:r>
              <w:rPr>
                <w:rFonts w:ascii="Arial" w:cs="Arial" w:eastAsia="Arial" w:hAnsi="Arial"/>
                <w:sz w:val="14"/>
                <w:szCs w:val="14"/>
                <w:color w:val="auto"/>
              </w:rPr>
              <w:t>reserves for unearned premiums</w:t>
            </w:r>
          </w:p>
        </w:tc>
        <w:tc>
          <w:tcPr>
            <w:tcW w:w="1380" w:type="dxa"/>
            <w:vAlign w:val="bottom"/>
          </w:tcPr>
          <w:p>
            <w:pPr>
              <w:jc w:val="right"/>
              <w:ind w:right="148"/>
              <w:spacing w:after="0"/>
              <w:rPr>
                <w:sz w:val="20"/>
                <w:szCs w:val="20"/>
                <w:color w:val="auto"/>
              </w:rPr>
            </w:pPr>
            <w:r>
              <w:rPr>
                <w:rFonts w:ascii="Arial" w:cs="Arial" w:eastAsia="Arial" w:hAnsi="Arial"/>
                <w:sz w:val="14"/>
                <w:szCs w:val="14"/>
                <w:color w:val="auto"/>
              </w:rPr>
              <w:t>39,932</w:t>
            </w:r>
          </w:p>
        </w:tc>
        <w:tc>
          <w:tcPr>
            <w:tcW w:w="1260" w:type="dxa"/>
            <w:vAlign w:val="bottom"/>
          </w:tcPr>
          <w:p>
            <w:pPr>
              <w:jc w:val="right"/>
              <w:ind w:right="128"/>
              <w:spacing w:after="0"/>
              <w:rPr>
                <w:sz w:val="20"/>
                <w:szCs w:val="20"/>
                <w:color w:val="auto"/>
              </w:rPr>
            </w:pPr>
            <w:r>
              <w:rPr>
                <w:rFonts w:ascii="Arial" w:cs="Arial" w:eastAsia="Arial" w:hAnsi="Arial"/>
                <w:sz w:val="14"/>
                <w:szCs w:val="14"/>
                <w:color w:val="auto"/>
              </w:rPr>
              <w:t>24,949</w:t>
            </w:r>
          </w:p>
        </w:tc>
        <w:tc>
          <w:tcPr>
            <w:tcW w:w="1240" w:type="dxa"/>
            <w:vAlign w:val="bottom"/>
          </w:tcPr>
          <w:p>
            <w:pPr>
              <w:jc w:val="right"/>
              <w:ind w:right="108"/>
              <w:spacing w:after="0"/>
              <w:rPr>
                <w:sz w:val="20"/>
                <w:szCs w:val="20"/>
                <w:color w:val="auto"/>
              </w:rPr>
            </w:pPr>
            <w:r>
              <w:rPr>
                <w:rFonts w:ascii="Arial" w:cs="Arial" w:eastAsia="Arial" w:hAnsi="Arial"/>
                <w:sz w:val="14"/>
                <w:szCs w:val="14"/>
                <w:color w:val="auto"/>
              </w:rPr>
              <w:t>112,373</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164,216</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367,552</w:t>
            </w:r>
          </w:p>
        </w:tc>
        <w:tc>
          <w:tcPr>
            <w:tcW w:w="1280" w:type="dxa"/>
            <w:vAlign w:val="bottom"/>
          </w:tcPr>
          <w:p>
            <w:pPr>
              <w:jc w:val="right"/>
              <w:ind w:right="148"/>
              <w:spacing w:after="0"/>
              <w:rPr>
                <w:sz w:val="20"/>
                <w:szCs w:val="20"/>
                <w:color w:val="auto"/>
              </w:rPr>
            </w:pPr>
            <w:r>
              <w:rPr>
                <w:rFonts w:ascii="Arial" w:cs="Arial" w:eastAsia="Arial" w:hAnsi="Arial"/>
                <w:sz w:val="14"/>
                <w:szCs w:val="14"/>
                <w:color w:val="auto"/>
              </w:rPr>
              <w:t>309,769</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1,018,791</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Borrowed funds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953,461</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2,815</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13,385</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93,177</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26,383</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1,089,221</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5,880</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18,768</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71,627</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448,803</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728,653</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13,291</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1,287,022</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liabilities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822,446</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822,446</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2,503,352</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2,503,352</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5,335,100</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b w:val="1"/>
                <w:bCs w:val="1"/>
                <w:color w:val="auto"/>
              </w:rPr>
              <w:t>4,397,288</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2,919,558</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1,146,091</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b w:val="1"/>
                <w:bCs w:val="1"/>
                <w:color w:val="auto"/>
              </w:rPr>
              <w:t>1,209,024</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b w:val="1"/>
                <w:bCs w:val="1"/>
                <w:color w:val="auto"/>
              </w:rPr>
              <w:t>7,021,046</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22,028,107</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1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assets</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2,094,179</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1,574,953</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976,153</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1,152,853</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67,810</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5,865,948</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Derivatives liabilities</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957,368</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1,238,661</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1,221,097</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2,042,343</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406,479</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5,865,948</w:t>
            </w:r>
          </w:p>
        </w:tc>
      </w:tr>
      <w:tr>
        <w:trPr>
          <w:trHeight w:val="149"/>
        </w:trPr>
        <w:tc>
          <w:tcPr>
            <w:tcW w:w="2640" w:type="dxa"/>
            <w:vAlign w:val="bottom"/>
            <w:shd w:val="clear" w:color="auto" w:fill="CCFFCC"/>
          </w:tcPr>
          <w:p>
            <w:pPr>
              <w:spacing w:after="0"/>
              <w:rPr>
                <w:sz w:val="12"/>
                <w:szCs w:val="12"/>
                <w:color w:val="auto"/>
              </w:rPr>
            </w:pP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1,136,811</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336,292</w:t>
            </w:r>
          </w:p>
        </w:tc>
        <w:tc>
          <w:tcPr>
            <w:tcW w:w="124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(244,944)</w:t>
            </w:r>
          </w:p>
        </w:tc>
        <w:tc>
          <w:tcPr>
            <w:tcW w:w="1280" w:type="dxa"/>
            <w:vAlign w:val="bottom"/>
            <w:shd w:val="clear" w:color="auto" w:fill="CCFFCC"/>
          </w:tcPr>
          <w:p>
            <w:pPr>
              <w:jc w:val="right"/>
              <w:ind w:right="88"/>
              <w:spacing w:after="0" w:line="149" w:lineRule="exact"/>
              <w:rPr>
                <w:sz w:val="20"/>
                <w:szCs w:val="20"/>
                <w:color w:val="auto"/>
              </w:rPr>
            </w:pPr>
            <w:r>
              <w:rPr>
                <w:rFonts w:ascii="Arial" w:cs="Arial" w:eastAsia="Arial" w:hAnsi="Arial"/>
                <w:sz w:val="14"/>
                <w:szCs w:val="14"/>
                <w:color w:val="auto"/>
              </w:rPr>
              <w:t>(889,490)</w:t>
            </w:r>
          </w:p>
        </w:tc>
        <w:tc>
          <w:tcPr>
            <w:tcW w:w="1200" w:type="dxa"/>
            <w:vAlign w:val="bottom"/>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(338,669)</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3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781,867</w:t>
            </w:r>
          </w:p>
        </w:tc>
        <w:tc>
          <w:tcPr>
            <w:tcW w:w="12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163,444</w:t>
            </w:r>
          </w:p>
        </w:tc>
        <w:tc>
          <w:tcPr>
            <w:tcW w:w="124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69,700</w:t>
            </w:r>
          </w:p>
        </w:tc>
        <w:tc>
          <w:tcPr>
            <w:tcW w:w="128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2,397,084</w:t>
            </w:r>
          </w:p>
        </w:tc>
        <w:tc>
          <w:tcPr>
            <w:tcW w:w="120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413,349</w:t>
            </w:r>
          </w:p>
        </w:tc>
        <w:tc>
          <w:tcPr>
            <w:tcW w:w="1280" w:type="dxa"/>
            <w:vAlign w:val="bottom"/>
          </w:tcPr>
          <w:p>
            <w:pPr>
              <w:jc w:val="right"/>
              <w:ind w:right="88"/>
              <w:spacing w:after="0" w:line="149" w:lineRule="exact"/>
              <w:rPr>
                <w:sz w:val="20"/>
                <w:szCs w:val="20"/>
                <w:color w:val="auto"/>
              </w:rPr>
            </w:pPr>
            <w:r>
              <w:rPr>
                <w:rFonts w:ascii="Arial" w:cs="Arial" w:eastAsia="Arial" w:hAnsi="Arial"/>
                <w:sz w:val="14"/>
                <w:szCs w:val="14"/>
                <w:color w:val="auto"/>
              </w:rPr>
              <w:t>(3,825,444)</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13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781,867</w:t>
            </w:r>
          </w:p>
        </w:tc>
        <w:tc>
          <w:tcPr>
            <w:tcW w:w="1260" w:type="dxa"/>
            <w:vAlign w:val="bottom"/>
            <w:shd w:val="clear" w:color="auto" w:fill="CCFFCC"/>
          </w:tcPr>
          <w:p>
            <w:pPr>
              <w:jc w:val="right"/>
              <w:ind w:right="128"/>
              <w:spacing w:after="0" w:line="149" w:lineRule="exact"/>
              <w:rPr>
                <w:sz w:val="20"/>
                <w:szCs w:val="20"/>
                <w:color w:val="auto"/>
              </w:rPr>
            </w:pPr>
            <w:r>
              <w:rPr>
                <w:rFonts w:ascii="Arial" w:cs="Arial" w:eastAsia="Arial" w:hAnsi="Arial"/>
                <w:sz w:val="14"/>
                <w:szCs w:val="14"/>
                <w:color w:val="auto"/>
              </w:rPr>
              <w:t>945,311</w:t>
            </w:r>
          </w:p>
        </w:tc>
        <w:tc>
          <w:tcPr>
            <w:tcW w:w="124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1,015,011</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3,412,095</w:t>
            </w:r>
          </w:p>
        </w:tc>
        <w:tc>
          <w:tcPr>
            <w:tcW w:w="1200" w:type="dxa"/>
            <w:vAlign w:val="bottom"/>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3,825,444</w:t>
            </w:r>
          </w:p>
        </w:tc>
        <w:tc>
          <w:tcPr>
            <w:tcW w:w="1280" w:type="dxa"/>
            <w:vAlign w:val="bottom"/>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9" w:right="239"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78"/>
        </w:trPr>
        <w:tc>
          <w:tcPr>
            <w:tcW w:w="264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4"/>
              </w:rPr>
              <w:t>As of December 31, 2008</w:t>
            </w:r>
          </w:p>
        </w:tc>
        <w:tc>
          <w:tcPr>
            <w:tcW w:w="10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640" w:type="dxa"/>
            <w:vAlign w:val="bottom"/>
          </w:tcPr>
          <w:p>
            <w:pPr>
              <w:spacing w:after="0"/>
              <w:rPr>
                <w:sz w:val="10"/>
                <w:szCs w:val="10"/>
                <w:color w:val="auto"/>
              </w:rPr>
            </w:pPr>
          </w:p>
        </w:tc>
        <w:tc>
          <w:tcPr>
            <w:tcW w:w="1260" w:type="dxa"/>
            <w:vAlign w:val="bottom"/>
          </w:tcPr>
          <w:p>
            <w:pPr>
              <w:jc w:val="center"/>
              <w:ind w:right="28"/>
              <w:spacing w:after="0" w:line="126" w:lineRule="exact"/>
              <w:rPr>
                <w:sz w:val="20"/>
                <w:szCs w:val="20"/>
                <w:color w:val="auto"/>
              </w:rPr>
            </w:pPr>
            <w:r>
              <w:rPr>
                <w:rFonts w:ascii="Arial" w:cs="Arial" w:eastAsia="Arial" w:hAnsi="Arial"/>
                <w:sz w:val="14"/>
                <w:szCs w:val="14"/>
                <w:b w:val="1"/>
                <w:bCs w:val="1"/>
                <w:color w:val="auto"/>
                <w:w w:val="92"/>
              </w:rPr>
              <w:t>Up to 1</w:t>
            </w:r>
          </w:p>
        </w:tc>
        <w:tc>
          <w:tcPr>
            <w:tcW w:w="128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1 to 3</w:t>
            </w:r>
          </w:p>
        </w:tc>
        <w:tc>
          <w:tcPr>
            <w:tcW w:w="980" w:type="dxa"/>
            <w:vAlign w:val="bottom"/>
          </w:tcPr>
          <w:p>
            <w:pPr>
              <w:jc w:val="center"/>
              <w:ind w:left="148"/>
              <w:spacing w:after="0" w:line="126" w:lineRule="exact"/>
              <w:rPr>
                <w:sz w:val="20"/>
                <w:szCs w:val="20"/>
                <w:color w:val="auto"/>
              </w:rPr>
            </w:pPr>
            <w:r>
              <w:rPr>
                <w:rFonts w:ascii="Arial" w:cs="Arial" w:eastAsia="Arial" w:hAnsi="Arial"/>
                <w:sz w:val="14"/>
                <w:szCs w:val="14"/>
                <w:b w:val="1"/>
                <w:bCs w:val="1"/>
                <w:color w:val="auto"/>
                <w:w w:val="90"/>
              </w:rPr>
              <w:t>3 to 12</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1 to 5 years</w:t>
            </w:r>
          </w:p>
        </w:tc>
        <w:tc>
          <w:tcPr>
            <w:tcW w:w="1080" w:type="dxa"/>
            <w:vAlign w:val="bottom"/>
          </w:tcPr>
          <w:p>
            <w:pPr>
              <w:jc w:val="center"/>
              <w:ind w:right="88"/>
              <w:spacing w:after="0" w:line="126" w:lineRule="exact"/>
              <w:rPr>
                <w:sz w:val="20"/>
                <w:szCs w:val="20"/>
                <w:color w:val="auto"/>
              </w:rPr>
            </w:pPr>
            <w:r>
              <w:rPr>
                <w:rFonts w:ascii="Arial" w:cs="Arial" w:eastAsia="Arial" w:hAnsi="Arial"/>
                <w:sz w:val="14"/>
                <w:szCs w:val="14"/>
                <w:b w:val="1"/>
                <w:bCs w:val="1"/>
                <w:color w:val="auto"/>
                <w:w w:val="96"/>
              </w:rPr>
              <w:t>More than 5</w:t>
            </w:r>
          </w:p>
        </w:tc>
        <w:tc>
          <w:tcPr>
            <w:tcW w:w="130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2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2640" w:type="dxa"/>
            <w:vAlign w:val="bottom"/>
          </w:tcPr>
          <w:p>
            <w:pPr>
              <w:spacing w:after="0"/>
              <w:rPr>
                <w:sz w:val="13"/>
                <w:szCs w:val="13"/>
                <w:color w:val="auto"/>
              </w:rPr>
            </w:pPr>
          </w:p>
        </w:tc>
        <w:tc>
          <w:tcPr>
            <w:tcW w:w="126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3"/>
              </w:rPr>
              <w:t>month</w:t>
            </w: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months</w:t>
            </w:r>
          </w:p>
        </w:tc>
        <w:tc>
          <w:tcPr>
            <w:tcW w:w="980" w:type="dxa"/>
            <w:vAlign w:val="bottom"/>
          </w:tcPr>
          <w:p>
            <w:pPr>
              <w:jc w:val="center"/>
              <w:ind w:left="128"/>
              <w:spacing w:after="0" w:line="153" w:lineRule="exact"/>
              <w:rPr>
                <w:sz w:val="20"/>
                <w:szCs w:val="20"/>
                <w:color w:val="auto"/>
              </w:rPr>
            </w:pPr>
            <w:r>
              <w:rPr>
                <w:rFonts w:ascii="Arial" w:cs="Arial" w:eastAsia="Arial" w:hAnsi="Arial"/>
                <w:sz w:val="14"/>
                <w:szCs w:val="14"/>
                <w:b w:val="1"/>
                <w:bCs w:val="1"/>
                <w:color w:val="auto"/>
                <w:w w:val="90"/>
              </w:rPr>
              <w:t>months</w:t>
            </w:r>
          </w:p>
        </w:tc>
        <w:tc>
          <w:tcPr>
            <w:tcW w:w="1640" w:type="dxa"/>
            <w:vAlign w:val="bottom"/>
            <w:vMerge w:val="continue"/>
          </w:tcPr>
          <w:p>
            <w:pPr>
              <w:spacing w:after="0"/>
              <w:rPr>
                <w:sz w:val="13"/>
                <w:szCs w:val="13"/>
                <w:color w:val="auto"/>
              </w:rPr>
            </w:pPr>
          </w:p>
        </w:tc>
        <w:tc>
          <w:tcPr>
            <w:tcW w:w="108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87"/>
              </w:rPr>
              <w:t>years</w:t>
            </w: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bearing</w:t>
            </w: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14"/>
                <w:szCs w:val="14"/>
                <w:color w:val="auto"/>
              </w:rPr>
            </w:pPr>
          </w:p>
        </w:tc>
        <w:tc>
          <w:tcPr>
            <w:tcW w:w="1260" w:type="dxa"/>
            <w:vAlign w:val="bottom"/>
          </w:tcPr>
          <w:p>
            <w:pPr>
              <w:jc w:val="center"/>
              <w:ind w:right="28"/>
              <w:spacing w:after="0"/>
              <w:rPr>
                <w:sz w:val="20"/>
                <w:szCs w:val="20"/>
                <w:color w:val="auto"/>
              </w:rPr>
            </w:pPr>
            <w:r>
              <w:rPr>
                <w:rFonts w:ascii="Arial" w:cs="Arial" w:eastAsia="Arial" w:hAnsi="Arial"/>
                <w:sz w:val="14"/>
                <w:szCs w:val="14"/>
                <w:color w:val="auto"/>
                <w:w w:val="93"/>
              </w:rPr>
              <w:t>US$(000)</w:t>
            </w:r>
          </w:p>
        </w:tc>
        <w:tc>
          <w:tcPr>
            <w:tcW w:w="1280" w:type="dxa"/>
            <w:vAlign w:val="bottom"/>
          </w:tcPr>
          <w:p>
            <w:pPr>
              <w:jc w:val="center"/>
              <w:ind w:right="8"/>
              <w:spacing w:after="0"/>
              <w:rPr>
                <w:sz w:val="20"/>
                <w:szCs w:val="20"/>
                <w:color w:val="auto"/>
              </w:rPr>
            </w:pPr>
            <w:r>
              <w:rPr>
                <w:rFonts w:ascii="Arial" w:cs="Arial" w:eastAsia="Arial" w:hAnsi="Arial"/>
                <w:sz w:val="14"/>
                <w:szCs w:val="14"/>
                <w:color w:val="auto"/>
                <w:w w:val="93"/>
              </w:rPr>
              <w:t>US$(000)</w:t>
            </w:r>
          </w:p>
        </w:tc>
        <w:tc>
          <w:tcPr>
            <w:tcW w:w="980" w:type="dxa"/>
            <w:vAlign w:val="bottom"/>
          </w:tcPr>
          <w:p>
            <w:pPr>
              <w:jc w:val="center"/>
              <w:ind w:left="148"/>
              <w:spacing w:after="0"/>
              <w:rPr>
                <w:sz w:val="20"/>
                <w:szCs w:val="20"/>
                <w:color w:val="auto"/>
              </w:rPr>
            </w:pPr>
            <w:r>
              <w:rPr>
                <w:rFonts w:ascii="Arial" w:cs="Arial" w:eastAsia="Arial" w:hAnsi="Arial"/>
                <w:sz w:val="14"/>
                <w:szCs w:val="14"/>
                <w:color w:val="auto"/>
                <w:w w:val="93"/>
              </w:rPr>
              <w:t>US$(000)</w:t>
            </w:r>
          </w:p>
        </w:tc>
        <w:tc>
          <w:tcPr>
            <w:tcW w:w="1640" w:type="dxa"/>
            <w:vAlign w:val="bottom"/>
          </w:tcPr>
          <w:p>
            <w:pPr>
              <w:jc w:val="center"/>
              <w:ind w:left="8"/>
              <w:spacing w:after="0"/>
              <w:rPr>
                <w:sz w:val="20"/>
                <w:szCs w:val="20"/>
                <w:color w:val="auto"/>
              </w:rPr>
            </w:pPr>
            <w:r>
              <w:rPr>
                <w:rFonts w:ascii="Arial" w:cs="Arial" w:eastAsia="Arial" w:hAnsi="Arial"/>
                <w:sz w:val="14"/>
                <w:szCs w:val="14"/>
                <w:color w:val="auto"/>
                <w:w w:val="93"/>
              </w:rPr>
              <w:t>US$(000)</w:t>
            </w:r>
          </w:p>
        </w:tc>
        <w:tc>
          <w:tcPr>
            <w:tcW w:w="1080" w:type="dxa"/>
            <w:vAlign w:val="bottom"/>
          </w:tcPr>
          <w:p>
            <w:pPr>
              <w:jc w:val="center"/>
              <w:ind w:right="88"/>
              <w:spacing w:after="0"/>
              <w:rPr>
                <w:sz w:val="20"/>
                <w:szCs w:val="20"/>
                <w:color w:val="auto"/>
              </w:rPr>
            </w:pPr>
            <w:r>
              <w:rPr>
                <w:rFonts w:ascii="Arial" w:cs="Arial" w:eastAsia="Arial" w:hAnsi="Arial"/>
                <w:sz w:val="14"/>
                <w:szCs w:val="14"/>
                <w:color w:val="auto"/>
                <w:w w:val="93"/>
              </w:rPr>
              <w:t>US$(000)</w:t>
            </w: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1260" w:type="dxa"/>
            <w:vAlign w:val="bottom"/>
            <w:shd w:val="clear" w:color="auto" w:fill="CCFFCC"/>
          </w:tcPr>
          <w:p>
            <w:pPr>
              <w:spacing w:after="0"/>
              <w:rPr>
                <w:sz w:val="12"/>
                <w:szCs w:val="12"/>
                <w:color w:val="auto"/>
              </w:rPr>
            </w:pPr>
          </w:p>
        </w:tc>
        <w:tc>
          <w:tcPr>
            <w:tcW w:w="1280" w:type="dxa"/>
            <w:vAlign w:val="bottom"/>
            <w:shd w:val="clear" w:color="auto" w:fill="CCFFCC"/>
          </w:tcPr>
          <w:p>
            <w:pPr>
              <w:spacing w:after="0"/>
              <w:rPr>
                <w:sz w:val="12"/>
                <w:szCs w:val="12"/>
                <w:color w:val="auto"/>
              </w:rPr>
            </w:pPr>
          </w:p>
        </w:tc>
        <w:tc>
          <w:tcPr>
            <w:tcW w:w="980" w:type="dxa"/>
            <w:vAlign w:val="bottom"/>
            <w:shd w:val="clear" w:color="auto" w:fill="CCFFCC"/>
          </w:tcPr>
          <w:p>
            <w:pPr>
              <w:spacing w:after="0"/>
              <w:rPr>
                <w:sz w:val="12"/>
                <w:szCs w:val="12"/>
                <w:color w:val="auto"/>
              </w:rPr>
            </w:pPr>
          </w:p>
        </w:tc>
        <w:tc>
          <w:tcPr>
            <w:tcW w:w="164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1300" w:type="dxa"/>
            <w:vAlign w:val="bottom"/>
            <w:shd w:val="clear" w:color="auto" w:fill="CCFFCC"/>
          </w:tcPr>
          <w:p>
            <w:pPr>
              <w:spacing w:after="0"/>
              <w:rPr>
                <w:sz w:val="12"/>
                <w:szCs w:val="12"/>
                <w:color w:val="auto"/>
              </w:rPr>
            </w:pPr>
          </w:p>
        </w:tc>
        <w:tc>
          <w:tcPr>
            <w:tcW w:w="11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2,455,413</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196,588</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88"/>
              </w:rPr>
              <w:t>46,536</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88"/>
              </w:rPr>
              <w:t>10,218</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1,057,416</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3,766,171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818,153</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1,208,344</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90"/>
              </w:rPr>
              <w:t>988,796</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542,759</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1,139,201</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289,585</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89"/>
              </w:rPr>
              <w:t>4,986,838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2,038,457</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3"/>
              </w:rPr>
              <w:t>2,412,234</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3"/>
              </w:rPr>
              <w:t>2,274,854</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3"/>
              </w:rPr>
              <w:t>2,992,480</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604,016</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1"/>
              </w:rPr>
              <w:t>10,322,041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Assets designated at fair value through</w:t>
            </w:r>
          </w:p>
        </w:tc>
        <w:tc>
          <w:tcPr>
            <w:tcW w:w="126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64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13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profit and loss</w:t>
            </w:r>
          </w:p>
        </w:tc>
        <w:tc>
          <w:tcPr>
            <w:tcW w:w="126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4"/>
              </w:rPr>
              <w:t>249</w:t>
            </w:r>
          </w:p>
        </w:tc>
        <w:tc>
          <w:tcPr>
            <w:tcW w:w="980" w:type="dxa"/>
            <w:vAlign w:val="bottom"/>
            <w:shd w:val="clear" w:color="auto" w:fill="CCFFCC"/>
          </w:tcPr>
          <w:p>
            <w:pPr>
              <w:jc w:val="center"/>
              <w:ind w:left="248"/>
              <w:spacing w:after="0"/>
              <w:rPr>
                <w:sz w:val="20"/>
                <w:szCs w:val="20"/>
                <w:color w:val="auto"/>
              </w:rPr>
            </w:pPr>
            <w:r>
              <w:rPr>
                <w:rFonts w:ascii="Arial" w:cs="Arial" w:eastAsia="Arial" w:hAnsi="Arial"/>
                <w:sz w:val="14"/>
                <w:szCs w:val="14"/>
                <w:color w:val="auto"/>
                <w:w w:val="94"/>
              </w:rPr>
              <w:t>329</w:t>
            </w:r>
          </w:p>
        </w:tc>
        <w:tc>
          <w:tcPr>
            <w:tcW w:w="1640" w:type="dxa"/>
            <w:vAlign w:val="bottom"/>
            <w:shd w:val="clear" w:color="auto" w:fill="CCFFCC"/>
          </w:tcPr>
          <w:p>
            <w:pPr>
              <w:jc w:val="center"/>
              <w:ind w:left="108"/>
              <w:spacing w:after="0"/>
              <w:rPr>
                <w:sz w:val="20"/>
                <w:szCs w:val="20"/>
                <w:color w:val="auto"/>
              </w:rPr>
            </w:pPr>
            <w:r>
              <w:rPr>
                <w:rFonts w:ascii="Arial" w:cs="Arial" w:eastAsia="Arial" w:hAnsi="Arial"/>
                <w:sz w:val="14"/>
                <w:szCs w:val="14"/>
                <w:color w:val="auto"/>
                <w:w w:val="94"/>
              </w:rPr>
              <w:t>790</w:t>
            </w:r>
          </w:p>
        </w:tc>
        <w:tc>
          <w:tcPr>
            <w:tcW w:w="108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1"/>
              </w:rPr>
              <w:t>1,954</w:t>
            </w:r>
          </w:p>
        </w:tc>
        <w:tc>
          <w:tcPr>
            <w:tcW w:w="130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4"/>
              </w:rPr>
              <w:t>134,623</w:t>
            </w:r>
          </w:p>
        </w:tc>
        <w:tc>
          <w:tcPr>
            <w:tcW w:w="1140" w:type="dxa"/>
            <w:vAlign w:val="bottom"/>
            <w:shd w:val="clear" w:color="auto" w:fill="CCFFCC"/>
          </w:tcPr>
          <w:p>
            <w:pPr>
              <w:jc w:val="center"/>
              <w:ind w:left="28"/>
              <w:spacing w:after="0"/>
              <w:rPr>
                <w:sz w:val="20"/>
                <w:szCs w:val="20"/>
                <w:color w:val="auto"/>
              </w:rPr>
            </w:pPr>
            <w:r>
              <w:rPr>
                <w:rFonts w:ascii="Arial" w:cs="Arial" w:eastAsia="Arial" w:hAnsi="Arial"/>
                <w:sz w:val="14"/>
                <w:szCs w:val="14"/>
                <w:color w:val="auto"/>
                <w:w w:val="94"/>
              </w:rPr>
              <w:t>137,945</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0"/>
              </w:rPr>
              <w:t>111,561</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6"/>
              </w:rPr>
              <w:t>111,561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Accounts receivable from re-insurers and</w:t>
            </w:r>
          </w:p>
        </w:tc>
        <w:tc>
          <w:tcPr>
            <w:tcW w:w="126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64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13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co-insurers</w:t>
            </w:r>
          </w:p>
        </w:tc>
        <w:tc>
          <w:tcPr>
            <w:tcW w:w="126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center"/>
              <w:ind w:left="2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FFCC"/>
          </w:tcPr>
          <w:p>
            <w:pPr>
              <w:jc w:val="center"/>
              <w:ind w:lef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4"/>
              </w:rPr>
              <w:t>165,144</w:t>
            </w:r>
          </w:p>
        </w:tc>
        <w:tc>
          <w:tcPr>
            <w:tcW w:w="1140" w:type="dxa"/>
            <w:vAlign w:val="bottom"/>
            <w:shd w:val="clear" w:color="auto" w:fill="CCFFCC"/>
          </w:tcPr>
          <w:p>
            <w:pPr>
              <w:jc w:val="center"/>
              <w:ind w:left="28"/>
              <w:spacing w:after="0"/>
              <w:rPr>
                <w:sz w:val="20"/>
                <w:szCs w:val="20"/>
                <w:color w:val="auto"/>
              </w:rPr>
            </w:pPr>
            <w:r>
              <w:rPr>
                <w:rFonts w:ascii="Arial" w:cs="Arial" w:eastAsia="Arial" w:hAnsi="Arial"/>
                <w:sz w:val="14"/>
                <w:szCs w:val="14"/>
                <w:color w:val="auto"/>
                <w:w w:val="94"/>
              </w:rPr>
              <w:t>165,144</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1,331,369</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1,331,369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5,312,023</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3,817,415</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3,310,515</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b w:val="1"/>
                <w:bCs w:val="1"/>
                <w:color w:val="auto"/>
                <w:w w:val="93"/>
              </w:rPr>
              <w:t>3,546,247</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1,745,171</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3,089,698</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20,821,069</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9"/>
              </w:rPr>
              <w:t>4,114,430</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3,268,610</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93"/>
              </w:rPr>
              <w:t>2,991,905</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321,984</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39,979</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3,213,529</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1"/>
              </w:rPr>
              <w:t>13,950,437</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4"/>
              </w:rPr>
              <w:t>178,539</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745,155</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0"/>
              </w:rPr>
              <w:t>197,935</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88"/>
              </w:rPr>
              <w:t>11,705</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3"/>
              </w:rPr>
              <w:t>32,544</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14,113</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1,179,991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Accounts payable to re-insurers and co-</w:t>
            </w:r>
          </w:p>
        </w:tc>
        <w:tc>
          <w:tcPr>
            <w:tcW w:w="1260" w:type="dxa"/>
            <w:vAlign w:val="bottom"/>
            <w:shd w:val="clear" w:color="auto" w:fill="CCFFCC"/>
          </w:tcPr>
          <w:p>
            <w:pPr>
              <w:spacing w:after="0"/>
              <w:rPr>
                <w:sz w:val="11"/>
                <w:szCs w:val="11"/>
                <w:color w:val="auto"/>
              </w:rPr>
            </w:pPr>
          </w:p>
        </w:tc>
        <w:tc>
          <w:tcPr>
            <w:tcW w:w="12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164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1300" w:type="dxa"/>
            <w:vAlign w:val="bottom"/>
            <w:shd w:val="clear" w:color="auto" w:fill="CCFFCC"/>
          </w:tcPr>
          <w:p>
            <w:pPr>
              <w:spacing w:after="0"/>
              <w:rPr>
                <w:sz w:val="11"/>
                <w:szCs w:val="11"/>
                <w:color w:val="auto"/>
              </w:rPr>
            </w:pPr>
          </w:p>
        </w:tc>
        <w:tc>
          <w:tcPr>
            <w:tcW w:w="11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shd w:val="clear" w:color="auto" w:fill="CCFFCC"/>
          </w:tcPr>
          <w:p>
            <w:pPr>
              <w:spacing w:after="0"/>
              <w:rPr>
                <w:sz w:val="20"/>
                <w:szCs w:val="20"/>
                <w:color w:val="auto"/>
              </w:rPr>
            </w:pPr>
            <w:r>
              <w:rPr>
                <w:rFonts w:ascii="Arial" w:cs="Arial" w:eastAsia="Arial" w:hAnsi="Arial"/>
                <w:sz w:val="14"/>
                <w:szCs w:val="14"/>
                <w:color w:val="auto"/>
              </w:rPr>
              <w:t>insurers</w:t>
            </w:r>
          </w:p>
        </w:tc>
        <w:tc>
          <w:tcPr>
            <w:tcW w:w="126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84"/>
              </w:rPr>
              <w:t>-</w:t>
            </w:r>
          </w:p>
        </w:tc>
        <w:tc>
          <w:tcPr>
            <w:tcW w:w="128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center"/>
              <w:ind w:left="24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FFCC"/>
          </w:tcPr>
          <w:p>
            <w:pPr>
              <w:jc w:val="center"/>
              <w:ind w:lef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center"/>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3"/>
              </w:rPr>
              <w:t>55,841</w:t>
            </w:r>
          </w:p>
        </w:tc>
        <w:tc>
          <w:tcPr>
            <w:tcW w:w="1140" w:type="dxa"/>
            <w:vAlign w:val="bottom"/>
            <w:shd w:val="clear" w:color="auto" w:fill="CCFFCC"/>
          </w:tcPr>
          <w:p>
            <w:pPr>
              <w:jc w:val="center"/>
              <w:ind w:left="28"/>
              <w:spacing w:after="0"/>
              <w:rPr>
                <w:sz w:val="20"/>
                <w:szCs w:val="20"/>
                <w:color w:val="auto"/>
              </w:rPr>
            </w:pPr>
            <w:r>
              <w:rPr>
                <w:rFonts w:ascii="Arial" w:cs="Arial" w:eastAsia="Arial" w:hAnsi="Arial"/>
                <w:sz w:val="14"/>
                <w:szCs w:val="14"/>
                <w:color w:val="auto"/>
                <w:w w:val="93"/>
              </w:rPr>
              <w:t>55,841</w:t>
            </w: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640" w:type="dxa"/>
            <w:vAlign w:val="bottom"/>
          </w:tcPr>
          <w:p>
            <w:pPr>
              <w:spacing w:after="0" w:line="130" w:lineRule="exact"/>
              <w:rPr>
                <w:sz w:val="20"/>
                <w:szCs w:val="20"/>
                <w:color w:val="auto"/>
              </w:rPr>
            </w:pPr>
            <w:r>
              <w:rPr>
                <w:rFonts w:ascii="Arial" w:cs="Arial" w:eastAsia="Arial" w:hAnsi="Arial"/>
                <w:sz w:val="14"/>
                <w:szCs w:val="14"/>
                <w:color w:val="auto"/>
              </w:rPr>
              <w:t>Technical, insurance claims reserves and</w:t>
            </w:r>
          </w:p>
        </w:tc>
        <w:tc>
          <w:tcPr>
            <w:tcW w:w="12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640" w:type="dxa"/>
            <w:vAlign w:val="bottom"/>
          </w:tcPr>
          <w:p>
            <w:pPr>
              <w:spacing w:after="0"/>
              <w:rPr>
                <w:sz w:val="20"/>
                <w:szCs w:val="20"/>
                <w:color w:val="auto"/>
              </w:rPr>
            </w:pPr>
            <w:r>
              <w:rPr>
                <w:rFonts w:ascii="Arial" w:cs="Arial" w:eastAsia="Arial" w:hAnsi="Arial"/>
                <w:sz w:val="14"/>
                <w:szCs w:val="14"/>
                <w:color w:val="auto"/>
              </w:rPr>
              <w:t>reserves for unearned premiums</w:t>
            </w:r>
          </w:p>
        </w:tc>
        <w:tc>
          <w:tcPr>
            <w:tcW w:w="1260" w:type="dxa"/>
            <w:vAlign w:val="bottom"/>
          </w:tcPr>
          <w:p>
            <w:pPr>
              <w:jc w:val="center"/>
              <w:spacing w:after="0"/>
              <w:rPr>
                <w:sz w:val="20"/>
                <w:szCs w:val="20"/>
                <w:color w:val="auto"/>
              </w:rPr>
            </w:pPr>
            <w:r>
              <w:rPr>
                <w:rFonts w:ascii="Arial" w:cs="Arial" w:eastAsia="Arial" w:hAnsi="Arial"/>
                <w:sz w:val="14"/>
                <w:szCs w:val="14"/>
                <w:color w:val="auto"/>
                <w:w w:val="93"/>
              </w:rPr>
              <w:t>31,254</w:t>
            </w: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19,357</w:t>
            </w:r>
          </w:p>
        </w:tc>
        <w:tc>
          <w:tcPr>
            <w:tcW w:w="980" w:type="dxa"/>
            <w:vAlign w:val="bottom"/>
          </w:tcPr>
          <w:p>
            <w:pPr>
              <w:jc w:val="center"/>
              <w:ind w:left="248"/>
              <w:spacing w:after="0"/>
              <w:rPr>
                <w:sz w:val="20"/>
                <w:szCs w:val="20"/>
                <w:color w:val="auto"/>
              </w:rPr>
            </w:pPr>
            <w:r>
              <w:rPr>
                <w:rFonts w:ascii="Arial" w:cs="Arial" w:eastAsia="Arial" w:hAnsi="Arial"/>
                <w:sz w:val="14"/>
                <w:szCs w:val="14"/>
                <w:color w:val="auto"/>
                <w:w w:val="88"/>
              </w:rPr>
              <w:t>86,935</w:t>
            </w:r>
          </w:p>
        </w:tc>
        <w:tc>
          <w:tcPr>
            <w:tcW w:w="1640" w:type="dxa"/>
            <w:vAlign w:val="bottom"/>
          </w:tcPr>
          <w:p>
            <w:pPr>
              <w:jc w:val="center"/>
              <w:ind w:left="108"/>
              <w:spacing w:after="0"/>
              <w:rPr>
                <w:sz w:val="20"/>
                <w:szCs w:val="20"/>
                <w:color w:val="auto"/>
              </w:rPr>
            </w:pPr>
            <w:r>
              <w:rPr>
                <w:rFonts w:ascii="Arial" w:cs="Arial" w:eastAsia="Arial" w:hAnsi="Arial"/>
                <w:sz w:val="14"/>
                <w:szCs w:val="14"/>
                <w:color w:val="auto"/>
                <w:w w:val="90"/>
              </w:rPr>
              <w:t>148,437</w:t>
            </w:r>
          </w:p>
        </w:tc>
        <w:tc>
          <w:tcPr>
            <w:tcW w:w="1080" w:type="dxa"/>
            <w:vAlign w:val="bottom"/>
          </w:tcPr>
          <w:p>
            <w:pPr>
              <w:jc w:val="center"/>
              <w:spacing w:after="0"/>
              <w:rPr>
                <w:sz w:val="20"/>
                <w:szCs w:val="20"/>
                <w:color w:val="auto"/>
              </w:rPr>
            </w:pPr>
            <w:r>
              <w:rPr>
                <w:rFonts w:ascii="Arial" w:cs="Arial" w:eastAsia="Arial" w:hAnsi="Arial"/>
                <w:sz w:val="14"/>
                <w:szCs w:val="14"/>
                <w:color w:val="auto"/>
                <w:w w:val="90"/>
              </w:rPr>
              <w:t>331,697</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350,090</w:t>
            </w:r>
          </w:p>
        </w:tc>
        <w:tc>
          <w:tcPr>
            <w:tcW w:w="1140" w:type="dxa"/>
            <w:vAlign w:val="bottom"/>
          </w:tcPr>
          <w:p>
            <w:pPr>
              <w:jc w:val="center"/>
              <w:ind w:left="28"/>
              <w:spacing w:after="0"/>
              <w:rPr>
                <w:sz w:val="20"/>
                <w:szCs w:val="20"/>
                <w:color w:val="auto"/>
              </w:rPr>
            </w:pPr>
            <w:r>
              <w:rPr>
                <w:rFonts w:ascii="Arial" w:cs="Arial" w:eastAsia="Arial" w:hAnsi="Arial"/>
                <w:sz w:val="14"/>
                <w:szCs w:val="14"/>
                <w:color w:val="auto"/>
                <w:w w:val="94"/>
              </w:rPr>
              <w:t>967,770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Borrowed funds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1,008,997</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1"/>
              </w:rPr>
              <w:t>2,474</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88"/>
              </w:rPr>
              <w:t>11,762</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88"/>
              </w:rPr>
              <w:t>81,871</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45,612</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89"/>
              </w:rPr>
              <w:t>1,150,716</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4"/>
              </w:rPr>
              <w:t>817</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88"/>
              </w:rPr>
              <w:t>63,208</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0"/>
              </w:rPr>
              <w:t>284,577</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428,788</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1"/>
              </w:rPr>
              <w:t>7,840</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94"/>
              </w:rPr>
              <w:t>785,230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liabilities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4"/>
              </w:rPr>
              <w:t>-</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rPr>
              <w:t>-</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rPr>
              <w:t>-</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934,979</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94"/>
              </w:rPr>
              <w:t>934,979</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rPr>
              <w:t>-</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rPr>
              <w:t>-</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3"/>
              </w:rPr>
              <w:t>1,796,105</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1,796,105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5,334,037</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4,035,596</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b w:val="1"/>
                <w:bCs w:val="1"/>
                <w:color w:val="auto"/>
                <w:w w:val="93"/>
              </w:rPr>
              <w:t>3,351,745</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b w:val="1"/>
                <w:bCs w:val="1"/>
                <w:color w:val="auto"/>
                <w:w w:val="90"/>
              </w:rPr>
              <w:t>848,574</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0"/>
              </w:rPr>
              <w:t>878,620</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b w:val="1"/>
                <w:bCs w:val="1"/>
                <w:color w:val="auto"/>
                <w:w w:val="93"/>
              </w:rPr>
              <w:t>6,372,497</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b w:val="1"/>
                <w:bCs w:val="1"/>
                <w:color w:val="auto"/>
                <w:w w:val="91"/>
              </w:rPr>
              <w:t>20,821,069</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12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assets</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2,499,906</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1,295,838</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90"/>
              </w:rPr>
              <w:t>590,446</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0"/>
              </w:rPr>
              <w:t>469,276</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293,100</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89"/>
              </w:rPr>
              <w:t>5,148,566</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color w:val="auto"/>
              </w:rPr>
              <w:t>Derivatives liabilities</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3"/>
              </w:rPr>
              <w:t>1,618,002</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788,307</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0"/>
              </w:rPr>
              <w:t>834,589</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3"/>
              </w:rPr>
              <w:t>1,471,042</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436,626</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9"/>
              </w:rPr>
              <w:t>5,148,566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rPr>
                <w:sz w:val="12"/>
                <w:szCs w:val="12"/>
                <w:color w:val="auto"/>
              </w:rPr>
            </w:pP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881,904</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0"/>
              </w:rPr>
              <w:t>507,531</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96"/>
              </w:rPr>
              <w:t>(244,143)</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2"/>
              </w:rPr>
              <w:t>(1,001,766)</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(143,526)</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1260" w:type="dxa"/>
            <w:vAlign w:val="bottom"/>
          </w:tcPr>
          <w:p>
            <w:pPr>
              <w:jc w:val="center"/>
              <w:spacing w:after="0" w:line="149" w:lineRule="exact"/>
              <w:rPr>
                <w:sz w:val="20"/>
                <w:szCs w:val="20"/>
                <w:color w:val="auto"/>
              </w:rPr>
            </w:pPr>
            <w:r>
              <w:rPr>
                <w:rFonts w:ascii="Arial" w:cs="Arial" w:eastAsia="Arial" w:hAnsi="Arial"/>
                <w:sz w:val="14"/>
                <w:szCs w:val="14"/>
                <w:color w:val="auto"/>
                <w:w w:val="94"/>
              </w:rPr>
              <w:t>859,890</w:t>
            </w:r>
          </w:p>
        </w:tc>
        <w:tc>
          <w:tcPr>
            <w:tcW w:w="1280" w:type="dxa"/>
            <w:vAlign w:val="bottom"/>
          </w:tcPr>
          <w:p>
            <w:pPr>
              <w:jc w:val="center"/>
              <w:spacing w:after="0" w:line="149" w:lineRule="exact"/>
              <w:rPr>
                <w:sz w:val="20"/>
                <w:szCs w:val="20"/>
                <w:color w:val="auto"/>
              </w:rPr>
            </w:pPr>
            <w:r>
              <w:rPr>
                <w:rFonts w:ascii="Arial" w:cs="Arial" w:eastAsia="Arial" w:hAnsi="Arial"/>
                <w:sz w:val="14"/>
                <w:szCs w:val="14"/>
                <w:color w:val="auto"/>
                <w:w w:val="90"/>
              </w:rPr>
              <w:t>289,350</w:t>
            </w:r>
          </w:p>
        </w:tc>
        <w:tc>
          <w:tcPr>
            <w:tcW w:w="980" w:type="dxa"/>
            <w:vAlign w:val="bottom"/>
          </w:tcPr>
          <w:p>
            <w:pPr>
              <w:jc w:val="center"/>
              <w:ind w:left="248"/>
              <w:spacing w:after="0" w:line="149" w:lineRule="exact"/>
              <w:rPr>
                <w:sz w:val="20"/>
                <w:szCs w:val="20"/>
                <w:color w:val="auto"/>
              </w:rPr>
            </w:pPr>
            <w:r>
              <w:rPr>
                <w:rFonts w:ascii="Arial" w:cs="Arial" w:eastAsia="Arial" w:hAnsi="Arial"/>
                <w:sz w:val="14"/>
                <w:szCs w:val="14"/>
                <w:color w:val="auto"/>
                <w:w w:val="96"/>
              </w:rPr>
              <w:t>(285,373)</w:t>
            </w:r>
          </w:p>
        </w:tc>
        <w:tc>
          <w:tcPr>
            <w:tcW w:w="164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3"/>
              </w:rPr>
              <w:t>1,695,907</w:t>
            </w:r>
          </w:p>
        </w:tc>
        <w:tc>
          <w:tcPr>
            <w:tcW w:w="1080" w:type="dxa"/>
            <w:vAlign w:val="bottom"/>
          </w:tcPr>
          <w:p>
            <w:pPr>
              <w:jc w:val="center"/>
              <w:spacing w:after="0" w:line="149" w:lineRule="exact"/>
              <w:rPr>
                <w:sz w:val="20"/>
                <w:szCs w:val="20"/>
                <w:color w:val="auto"/>
              </w:rPr>
            </w:pPr>
            <w:r>
              <w:rPr>
                <w:rFonts w:ascii="Arial" w:cs="Arial" w:eastAsia="Arial" w:hAnsi="Arial"/>
                <w:sz w:val="14"/>
                <w:szCs w:val="14"/>
                <w:color w:val="auto"/>
                <w:w w:val="90"/>
              </w:rPr>
              <w:t>723,025</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94"/>
              </w:rPr>
              <w:t>(3,282,799)</w:t>
            </w:r>
          </w:p>
        </w:tc>
        <w:tc>
          <w:tcPr>
            <w:tcW w:w="1140" w:type="dxa"/>
            <w:vAlign w:val="bottom"/>
          </w:tcPr>
          <w:p>
            <w:pPr>
              <w:jc w:val="center"/>
              <w:ind w:left="2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126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4"/>
              </w:rPr>
              <w:t>859,890</w:t>
            </w:r>
          </w:p>
        </w:tc>
        <w:tc>
          <w:tcPr>
            <w:tcW w:w="12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1,149,240</w:t>
            </w:r>
          </w:p>
        </w:tc>
        <w:tc>
          <w:tcPr>
            <w:tcW w:w="980" w:type="dxa"/>
            <w:vAlign w:val="bottom"/>
            <w:shd w:val="clear" w:color="auto" w:fill="CCFFCC"/>
          </w:tcPr>
          <w:p>
            <w:pPr>
              <w:jc w:val="center"/>
              <w:ind w:left="248"/>
              <w:spacing w:after="0" w:line="149" w:lineRule="exact"/>
              <w:rPr>
                <w:sz w:val="20"/>
                <w:szCs w:val="20"/>
                <w:color w:val="auto"/>
              </w:rPr>
            </w:pPr>
            <w:r>
              <w:rPr>
                <w:rFonts w:ascii="Arial" w:cs="Arial" w:eastAsia="Arial" w:hAnsi="Arial"/>
                <w:sz w:val="14"/>
                <w:szCs w:val="14"/>
                <w:color w:val="auto"/>
                <w:w w:val="90"/>
              </w:rPr>
              <w:t>863,867</w:t>
            </w:r>
          </w:p>
        </w:tc>
        <w:tc>
          <w:tcPr>
            <w:tcW w:w="164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3"/>
              </w:rPr>
              <w:t>2,559,774</w:t>
            </w:r>
          </w:p>
        </w:tc>
        <w:tc>
          <w:tcPr>
            <w:tcW w:w="108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93"/>
              </w:rPr>
              <w:t>3,282,799</w:t>
            </w:r>
          </w:p>
        </w:tc>
        <w:tc>
          <w:tcPr>
            <w:tcW w:w="1300" w:type="dxa"/>
            <w:vAlign w:val="bottom"/>
            <w:shd w:val="clear" w:color="auto" w:fill="CCFFCC"/>
          </w:tcPr>
          <w:p>
            <w:pPr>
              <w:jc w:val="center"/>
              <w:spacing w:after="0" w:line="149" w:lineRule="exact"/>
              <w:rPr>
                <w:sz w:val="20"/>
                <w:szCs w:val="20"/>
                <w:color w:val="auto"/>
              </w:rPr>
            </w:pPr>
            <w:r>
              <w:rPr>
                <w:rFonts w:ascii="Arial" w:cs="Arial" w:eastAsia="Arial" w:hAnsi="Arial"/>
                <w:sz w:val="14"/>
                <w:szCs w:val="14"/>
                <w:color w:val="auto"/>
                <w:w w:val="84"/>
              </w:rPr>
              <w:t>-</w:t>
            </w:r>
          </w:p>
        </w:tc>
        <w:tc>
          <w:tcPr>
            <w:tcW w:w="1140" w:type="dxa"/>
            <w:vAlign w:val="bottom"/>
            <w:shd w:val="clear" w:color="auto" w:fill="CCFFCC"/>
          </w:tcPr>
          <w:p>
            <w:pPr>
              <w:jc w:val="center"/>
              <w:ind w:left="2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08" w:right="239" w:bottom="1440" w:gutter="0" w:footer="0" w:header="0"/>
        </w:sectPr>
      </w:pPr>
    </w:p>
    <w:bookmarkStart w:id="138" w:name="page139"/>
    <w:bookmarkEnd w:id="138"/>
    <w:p>
      <w:pPr>
        <w:ind w:left="660"/>
        <w:spacing w:after="0"/>
        <w:rPr>
          <w:sz w:val="20"/>
          <w:szCs w:val="20"/>
          <w:color w:val="auto"/>
        </w:rPr>
      </w:pPr>
      <w:r>
        <w:rPr>
          <w:rFonts w:ascii="Arial" w:cs="Arial" w:eastAsia="Arial" w:hAnsi="Arial"/>
          <w:sz w:val="18"/>
          <w:szCs w:val="18"/>
          <w:i w:val="1"/>
          <w:iCs w:val="1"/>
          <w:color w:val="auto"/>
        </w:rPr>
        <w:t>Sensitivity to Changes in Interest Rates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sensitivity of our consolidated income statement and consolidated statement of comprehensive income (before income tax and minority interest) to a reasonable possible change in interest rates, with all other variables held constant,.</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sensitivity of the consolidated income statement reflects the effect of the assumed changes in interest rates on the net interest income for one year, before income tax and minority interest, based on the floating rate of non-trading financial assets and financial liabilities held at December 31, 2009 and 2008, including the effect of derivatives instruments. The sensitivity of consolidated comprehensive income is calculated by revaluing at various interest rates our fixed rate available-for-sale financial assets, before income tax and minority interest. This analysis includes the effect of any associated hedges and derivatives instruments designated as cash flow hedges:</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241"/>
        </w:trPr>
        <w:tc>
          <w:tcPr>
            <w:tcW w:w="55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w w:val="88"/>
              </w:rPr>
              <w:t>As of December 31, 2009</w:t>
            </w:r>
          </w:p>
        </w:tc>
        <w:tc>
          <w:tcPr>
            <w:tcW w:w="10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5580" w:type="dxa"/>
            <w:vAlign w:val="bottom"/>
          </w:tcPr>
          <w:p>
            <w:pPr>
              <w:spacing w:after="0"/>
              <w:rPr>
                <w:sz w:val="17"/>
                <w:szCs w:val="17"/>
                <w:color w:val="auto"/>
              </w:rPr>
            </w:pPr>
          </w:p>
        </w:tc>
        <w:tc>
          <w:tcPr>
            <w:tcW w:w="1220" w:type="dxa"/>
            <w:vAlign w:val="bottom"/>
            <w:gridSpan w:val="2"/>
          </w:tcPr>
          <w:p>
            <w:pPr>
              <w:jc w:val="right"/>
              <w:ind w:right="90"/>
              <w:spacing w:after="0" w:line="198" w:lineRule="exact"/>
              <w:rPr>
                <w:sz w:val="20"/>
                <w:szCs w:val="20"/>
                <w:color w:val="auto"/>
              </w:rPr>
            </w:pPr>
            <w:r>
              <w:rPr>
                <w:rFonts w:ascii="Arial" w:cs="Arial" w:eastAsia="Arial" w:hAnsi="Arial"/>
                <w:sz w:val="18"/>
                <w:szCs w:val="18"/>
                <w:b w:val="1"/>
                <w:bCs w:val="1"/>
                <w:color w:val="auto"/>
              </w:rPr>
              <w:t>Changes in</w:t>
            </w:r>
          </w:p>
        </w:tc>
        <w:tc>
          <w:tcPr>
            <w:tcW w:w="1680" w:type="dxa"/>
            <w:vAlign w:val="bottom"/>
            <w:gridSpan w:val="2"/>
          </w:tcPr>
          <w:p>
            <w:pPr>
              <w:jc w:val="center"/>
              <w:ind w:left="50"/>
              <w:spacing w:after="0" w:line="198" w:lineRule="exact"/>
              <w:rPr>
                <w:sz w:val="20"/>
                <w:szCs w:val="20"/>
                <w:color w:val="auto"/>
              </w:rPr>
            </w:pPr>
            <w:r>
              <w:rPr>
                <w:rFonts w:ascii="Arial" w:cs="Arial" w:eastAsia="Arial" w:hAnsi="Arial"/>
                <w:sz w:val="18"/>
                <w:szCs w:val="18"/>
                <w:b w:val="1"/>
                <w:bCs w:val="1"/>
                <w:color w:val="auto"/>
                <w:w w:val="87"/>
              </w:rPr>
              <w:t>Sensitivity of</w:t>
            </w:r>
          </w:p>
        </w:tc>
        <w:tc>
          <w:tcPr>
            <w:tcW w:w="1440" w:type="dxa"/>
            <w:vAlign w:val="bottom"/>
            <w:gridSpan w:val="2"/>
          </w:tcPr>
          <w:p>
            <w:pPr>
              <w:jc w:val="center"/>
              <w:ind w:left="70"/>
              <w:spacing w:after="0" w:line="198" w:lineRule="exact"/>
              <w:rPr>
                <w:sz w:val="20"/>
                <w:szCs w:val="20"/>
                <w:color w:val="auto"/>
              </w:rPr>
            </w:pPr>
            <w:r>
              <w:rPr>
                <w:rFonts w:ascii="Arial" w:cs="Arial" w:eastAsia="Arial" w:hAnsi="Arial"/>
                <w:sz w:val="18"/>
                <w:szCs w:val="18"/>
                <w:b w:val="1"/>
                <w:bCs w:val="1"/>
                <w:color w:val="auto"/>
                <w:w w:val="89"/>
              </w:rPr>
              <w:t>Sensitivity of</w:t>
            </w:r>
          </w:p>
        </w:tc>
        <w:tc>
          <w:tcPr>
            <w:tcW w:w="120" w:type="dxa"/>
            <w:vAlign w:val="bottom"/>
          </w:tcPr>
          <w:p>
            <w:pPr>
              <w:spacing w:after="0"/>
              <w:rPr>
                <w:sz w:val="17"/>
                <w:szCs w:val="17"/>
                <w:color w:val="auto"/>
              </w:rPr>
            </w:pPr>
          </w:p>
        </w:tc>
      </w:tr>
      <w:tr>
        <w:trPr>
          <w:trHeight w:val="216"/>
        </w:trPr>
        <w:tc>
          <w:tcPr>
            <w:tcW w:w="5580" w:type="dxa"/>
            <w:vAlign w:val="bottom"/>
          </w:tcPr>
          <w:p>
            <w:pPr>
              <w:spacing w:after="0"/>
              <w:rPr>
                <w:sz w:val="18"/>
                <w:szCs w:val="18"/>
                <w:color w:val="auto"/>
              </w:rPr>
            </w:pPr>
          </w:p>
        </w:tc>
        <w:tc>
          <w:tcPr>
            <w:tcW w:w="122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8"/>
              </w:rPr>
              <w:t>basis points</w:t>
            </w:r>
          </w:p>
        </w:tc>
        <w:tc>
          <w:tcPr>
            <w:tcW w:w="168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86"/>
              </w:rPr>
              <w:t>net income</w:t>
            </w: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6"/>
              </w:rPr>
              <w:t>comprehensive</w:t>
            </w:r>
          </w:p>
        </w:tc>
      </w:tr>
      <w:tr>
        <w:trPr>
          <w:trHeight w:val="220"/>
        </w:trPr>
        <w:tc>
          <w:tcPr>
            <w:tcW w:w="558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income</w:t>
            </w:r>
          </w:p>
        </w:tc>
      </w:tr>
      <w:tr>
        <w:trPr>
          <w:trHeight w:val="230"/>
        </w:trPr>
        <w:tc>
          <w:tcPr>
            <w:tcW w:w="5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jc w:val="center"/>
              <w:ind w:right="310"/>
              <w:spacing w:after="0"/>
              <w:rPr>
                <w:sz w:val="20"/>
                <w:szCs w:val="20"/>
                <w:color w:val="auto"/>
              </w:rPr>
            </w:pPr>
            <w:r>
              <w:rPr>
                <w:rFonts w:ascii="Arial" w:cs="Arial" w:eastAsia="Arial" w:hAnsi="Arial"/>
                <w:sz w:val="18"/>
                <w:szCs w:val="18"/>
                <w:color w:val="auto"/>
                <w:w w:val="90"/>
              </w:rPr>
              <w:t>US$(000)</w:t>
            </w:r>
          </w:p>
        </w:tc>
        <w:tc>
          <w:tcPr>
            <w:tcW w:w="40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8"/>
                <w:szCs w:val="18"/>
                <w:color w:val="auto"/>
                <w:w w:val="93"/>
              </w:rPr>
              <w:t>US$(000)</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5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10,484</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43,174</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U.S. Dollar</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15,727</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64,762</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5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20,969</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86,349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U.S. Dollar</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31,453</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129,523</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5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3,446</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24,856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Peruvian Currency</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5,169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37,284</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58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6,892</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49,711</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Peruvian Currency</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w w:val="92"/>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10,339</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74,567</w:t>
            </w:r>
          </w:p>
        </w:tc>
      </w:tr>
    </w:tbl>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our current interest rate risk profile. This effect, however, does not incorporate actions that would be taken by our management to mitigate the impact of this interest rate risk. In addition, we seek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as well, including an assumption that all positions run to maturity.</w:t>
      </w:r>
    </w:p>
    <w:p>
      <w:pPr>
        <w:spacing w:after="0" w:line="20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Available-for-sale investments, securities, and mutual funds are not considered part of the investment securities for purposes of this sensitivity calculation; however, presented below is a table of how the expected unrealized gain or loss on equity securities and mutual funds responds to changes in market prices of these securities, at the 10%, 25%, and 30% levels: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060" w:type="dxa"/>
            <w:vAlign w:val="bottom"/>
          </w:tcPr>
          <w:p>
            <w:pPr>
              <w:ind w:left="2620"/>
              <w:spacing w:after="0"/>
              <w:rPr>
                <w:sz w:val="20"/>
                <w:szCs w:val="20"/>
                <w:color w:val="auto"/>
              </w:rPr>
            </w:pPr>
            <w:r>
              <w:rPr>
                <w:rFonts w:ascii="Arial" w:cs="Arial" w:eastAsia="Arial" w:hAnsi="Arial"/>
                <w:sz w:val="18"/>
                <w:szCs w:val="18"/>
                <w:b w:val="1"/>
                <w:bCs w:val="1"/>
                <w:color w:val="auto"/>
              </w:rPr>
              <w:t>Market price sensitivity</w:t>
            </w:r>
          </w:p>
        </w:tc>
        <w:tc>
          <w:tcPr>
            <w:tcW w:w="2300" w:type="dxa"/>
            <w:vAlign w:val="bottom"/>
            <w:gridSpan w:val="4"/>
          </w:tcPr>
          <w:p>
            <w:pPr>
              <w:ind w:left="220"/>
              <w:spacing w:after="0"/>
              <w:rPr>
                <w:sz w:val="20"/>
                <w:szCs w:val="20"/>
                <w:color w:val="auto"/>
              </w:rPr>
            </w:pPr>
            <w:r>
              <w:rPr>
                <w:rFonts w:ascii="Arial" w:cs="Arial" w:eastAsia="Arial" w:hAnsi="Arial"/>
                <w:sz w:val="18"/>
                <w:szCs w:val="18"/>
                <w:b w:val="1"/>
                <w:bCs w:val="1"/>
                <w:color w:val="auto"/>
                <w:w w:val="94"/>
              </w:rPr>
              <w:t>Changes in market prices</w:t>
            </w:r>
          </w:p>
        </w:tc>
        <w:tc>
          <w:tcPr>
            <w:tcW w:w="2040" w:type="dxa"/>
            <w:vAlign w:val="bottom"/>
            <w:gridSpan w:val="4"/>
          </w:tcPr>
          <w:p>
            <w:pPr>
              <w:ind w:left="100"/>
              <w:spacing w:after="0"/>
              <w:rPr>
                <w:sz w:val="20"/>
                <w:szCs w:val="20"/>
                <w:color w:val="auto"/>
              </w:rPr>
            </w:pPr>
            <w:r>
              <w:rPr>
                <w:rFonts w:ascii="Arial" w:cs="Arial" w:eastAsia="Arial" w:hAnsi="Arial"/>
                <w:sz w:val="18"/>
                <w:szCs w:val="18"/>
                <w:b w:val="1"/>
                <w:bCs w:val="1"/>
                <w:color w:val="auto"/>
                <w:w w:val="90"/>
              </w:rPr>
              <w:t>As of December 31, 2009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8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ind w:left="200"/>
              <w:spacing w:after="0"/>
              <w:rPr>
                <w:sz w:val="20"/>
                <w:szCs w:val="20"/>
                <w:color w:val="auto"/>
              </w:rPr>
            </w:pPr>
            <w:r>
              <w:rPr>
                <w:rFonts w:ascii="Arial" w:cs="Arial" w:eastAsia="Arial" w:hAnsi="Arial"/>
                <w:sz w:val="18"/>
                <w:szCs w:val="18"/>
                <w:i w:val="1"/>
                <w:iCs w:val="1"/>
                <w:color w:val="auto"/>
              </w:rPr>
              <w:t>US$(000)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8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33,073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Equity securities</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25</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82,683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78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Mutual funds</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17,454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78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43,635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Mutual funds</w:t>
            </w:r>
          </w:p>
        </w:tc>
        <w:tc>
          <w:tcPr>
            <w:tcW w:w="7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52,361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Foreign Exchange Risk</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financial position and cash flows are exposed to foreign currency exchange rates. Management sets limits on the acceptable level of exposure to individual currencies and in total for both overnight and intra-day positions, which are monitored daily.</w:t>
      </w:r>
    </w:p>
    <w:p>
      <w:pPr>
        <w:spacing w:after="0" w:line="19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Foreign currency transactions are made at the free market exchange rates of the countries where our subsidiaries are established. As of December 31, 2009 and 2008, our assets and liabilities by currencies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Peruvian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360" w:type="dxa"/>
            <w:vAlign w:val="bottom"/>
            <w:gridSpan w:val="2"/>
          </w:tcPr>
          <w:p>
            <w:pPr>
              <w:jc w:val="right"/>
              <w:ind w:right="2110"/>
              <w:spacing w:after="0"/>
              <w:rPr>
                <w:sz w:val="20"/>
                <w:szCs w:val="20"/>
                <w:color w:val="auto"/>
              </w:rPr>
            </w:pPr>
            <w:r>
              <w:rPr>
                <w:rFonts w:ascii="Arial" w:cs="Arial" w:eastAsia="Arial" w:hAnsi="Arial"/>
                <w:sz w:val="18"/>
                <w:szCs w:val="18"/>
                <w:b w:val="1"/>
                <w:bCs w:val="1"/>
                <w:color w:val="auto"/>
              </w:rPr>
              <w:t>2009</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U.S. Dollars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currency</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currencies</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US$(000)</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3,094,366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501,769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240,523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3,836,658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2120" w:type="dxa"/>
            <w:vAlign w:val="bottom"/>
            <w:gridSpan w:val="4"/>
            <w:shd w:val="clear" w:color="auto" w:fill="CCFFCC"/>
          </w:tcPr>
          <w:p>
            <w:pPr>
              <w:jc w:val="right"/>
              <w:ind w:right="240"/>
              <w:spacing w:after="0"/>
              <w:rPr>
                <w:sz w:val="20"/>
                <w:szCs w:val="20"/>
                <w:color w:val="auto"/>
              </w:rPr>
            </w:pPr>
            <w:r>
              <w:rPr>
                <w:rFonts w:ascii="Arial" w:cs="Arial" w:eastAsia="Arial" w:hAnsi="Arial"/>
                <w:sz w:val="18"/>
                <w:szCs w:val="18"/>
                <w:color w:val="auto"/>
              </w:rPr>
              <w:t>13,982</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8,920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47,872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2,354,804</w:t>
            </w:r>
          </w:p>
        </w:tc>
        <w:tc>
          <w:tcPr>
            <w:tcW w:w="1140" w:type="dxa"/>
            <w:vAlign w:val="bottom"/>
          </w:tcPr>
          <w:p>
            <w:pPr>
              <w:jc w:val="right"/>
              <w:spacing w:after="0"/>
              <w:rPr>
                <w:sz w:val="20"/>
                <w:szCs w:val="20"/>
                <w:color w:val="auto"/>
              </w:rPr>
            </w:pPr>
            <w:r>
              <w:rPr>
                <w:rFonts w:ascii="Arial" w:cs="Arial" w:eastAsia="Arial" w:hAnsi="Arial"/>
                <w:sz w:val="18"/>
                <w:szCs w:val="18"/>
                <w:color w:val="auto"/>
              </w:rPr>
              <w:t>2,034,768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690,034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5,079,606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2120" w:type="dxa"/>
            <w:vAlign w:val="bottom"/>
            <w:gridSpan w:val="4"/>
            <w:shd w:val="clear" w:color="auto" w:fill="CCFFCC"/>
          </w:tcPr>
          <w:p>
            <w:pPr>
              <w:jc w:val="right"/>
              <w:ind w:right="240"/>
              <w:spacing w:after="0"/>
              <w:rPr>
                <w:sz w:val="20"/>
                <w:szCs w:val="20"/>
                <w:color w:val="auto"/>
              </w:rPr>
            </w:pPr>
            <w:r>
              <w:rPr>
                <w:rFonts w:ascii="Arial" w:cs="Arial" w:eastAsia="Arial" w:hAnsi="Arial"/>
                <w:sz w:val="18"/>
                <w:szCs w:val="18"/>
                <w:color w:val="auto"/>
              </w:rPr>
              <w:t>6,755,563</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4,285,076</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190,641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11,231,280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135,670</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720" w:type="dxa"/>
            <w:vAlign w:val="bottom"/>
            <w:gridSpan w:val="2"/>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507,057</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563,065</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22,977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1,093,099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shd w:val="clear" w:color="auto" w:fill="CCFFCC"/>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12,861,442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7,393,598</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1,192,047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21,447,087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6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2120" w:type="dxa"/>
            <w:vAlign w:val="bottom"/>
            <w:gridSpan w:val="4"/>
          </w:tcPr>
          <w:p>
            <w:pPr>
              <w:jc w:val="right"/>
              <w:ind w:right="180"/>
              <w:spacing w:after="0"/>
              <w:rPr>
                <w:sz w:val="20"/>
                <w:szCs w:val="20"/>
                <w:color w:val="auto"/>
              </w:rPr>
            </w:pPr>
            <w:r>
              <w:rPr>
                <w:rFonts w:ascii="Arial" w:cs="Arial" w:eastAsia="Arial" w:hAnsi="Arial"/>
                <w:sz w:val="18"/>
                <w:szCs w:val="18"/>
                <w:color w:val="auto"/>
              </w:rPr>
              <w:t>(8,156,869)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(5,398,780)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(536,179)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(14,091,828)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212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(2,126,963)</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(128,800)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(896)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(2,256,659)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Financial liabilities designated at fair value through profits and loss</w:t>
            </w:r>
          </w:p>
        </w:tc>
        <w:tc>
          <w:tcPr>
            <w:tcW w:w="2120" w:type="dxa"/>
            <w:vAlign w:val="bottom"/>
            <w:gridSpan w:val="4"/>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212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(612,098)</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(562,739)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(112,185)</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(1,287,022)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Other liabilities</w:t>
            </w:r>
          </w:p>
        </w:tc>
        <w:tc>
          <w:tcPr>
            <w:tcW w:w="720" w:type="dxa"/>
            <w:vAlign w:val="bottom"/>
            <w:gridSpan w:val="2"/>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(1,187,739)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(651,365)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(50,142)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(1,889,246)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18"/>
                <w:szCs w:val="18"/>
                <w:color w:val="auto"/>
              </w:rPr>
            </w:pPr>
          </w:p>
        </w:tc>
        <w:tc>
          <w:tcPr>
            <w:tcW w:w="720" w:type="dxa"/>
            <w:vAlign w:val="bottom"/>
            <w:gridSpan w:val="2"/>
            <w:shd w:val="clear" w:color="auto" w:fill="CCFFCC"/>
          </w:tcPr>
          <w:p>
            <w:pPr>
              <w:spacing w:after="0"/>
              <w:rPr>
                <w:sz w:val="18"/>
                <w:szCs w:val="18"/>
                <w:color w:val="auto"/>
              </w:rPr>
            </w:pP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(12,083,669)</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(6,741,684)</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(699,402)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(19,524,755)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340" w:type="dxa"/>
            <w:vAlign w:val="bottom"/>
            <w:shd w:val="clear" w:color="auto" w:fill="CCFFCC"/>
          </w:tcPr>
          <w:p>
            <w:pPr>
              <w:spacing w:after="0"/>
              <w:rPr>
                <w:sz w:val="2"/>
                <w:szCs w:val="2"/>
                <w:color w:val="auto"/>
              </w:rPr>
            </w:pPr>
          </w:p>
        </w:tc>
        <w:tc>
          <w:tcPr>
            <w:tcW w:w="60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777,773</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651,914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492,645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1,922,332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Forwards position, net</w:t>
            </w:r>
          </w:p>
        </w:tc>
        <w:tc>
          <w:tcPr>
            <w:tcW w:w="720" w:type="dxa"/>
            <w:vAlign w:val="bottom"/>
            <w:gridSpan w:val="2"/>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265,114</w:t>
            </w: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(198,637)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(66,477)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Currency swaps position, net</w:t>
            </w:r>
          </w:p>
        </w:tc>
        <w:tc>
          <w:tcPr>
            <w:tcW w:w="2120" w:type="dxa"/>
            <w:vAlign w:val="bottom"/>
            <w:gridSpan w:val="4"/>
          </w:tcPr>
          <w:p>
            <w:pPr>
              <w:jc w:val="right"/>
              <w:ind w:right="180"/>
              <w:spacing w:after="0"/>
              <w:rPr>
                <w:sz w:val="20"/>
                <w:szCs w:val="20"/>
                <w:color w:val="auto"/>
              </w:rPr>
            </w:pPr>
            <w:r>
              <w:rPr>
                <w:rFonts w:ascii="Arial" w:cs="Arial" w:eastAsia="Arial" w:hAnsi="Arial"/>
                <w:sz w:val="18"/>
                <w:szCs w:val="18"/>
                <w:color w:val="auto"/>
              </w:rPr>
              <w:t>(142,015)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183,598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(41,583)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w w:val="92"/>
              </w:rPr>
              <w:t>Cross-currency swaps position, net and interest rate swaps position, net</w:t>
            </w:r>
          </w:p>
        </w:tc>
        <w:tc>
          <w:tcPr>
            <w:tcW w:w="2120" w:type="dxa"/>
            <w:vAlign w:val="bottom"/>
            <w:gridSpan w:val="4"/>
            <w:shd w:val="clear" w:color="auto" w:fill="CCFFCC"/>
          </w:tcPr>
          <w:p>
            <w:pPr>
              <w:jc w:val="right"/>
              <w:ind w:right="240"/>
              <w:spacing w:after="0"/>
              <w:rPr>
                <w:sz w:val="20"/>
                <w:szCs w:val="20"/>
                <w:color w:val="auto"/>
              </w:rPr>
            </w:pPr>
            <w:r>
              <w:rPr>
                <w:rFonts w:ascii="Arial" w:cs="Arial" w:eastAsia="Arial" w:hAnsi="Arial"/>
                <w:sz w:val="18"/>
                <w:szCs w:val="18"/>
                <w:color w:val="auto"/>
              </w:rPr>
              <w:t>77,768</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129,049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(206,817)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Options</w:t>
            </w:r>
          </w:p>
        </w:tc>
        <w:tc>
          <w:tcPr>
            <w:tcW w:w="720" w:type="dxa"/>
            <w:vAlign w:val="bottom"/>
            <w:gridSpan w:val="2"/>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(3,711)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3,711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Net monetary position</w:t>
            </w:r>
          </w:p>
        </w:tc>
        <w:tc>
          <w:tcPr>
            <w:tcW w:w="720" w:type="dxa"/>
            <w:vAlign w:val="bottom"/>
            <w:gridSpan w:val="2"/>
            <w:shd w:val="clear" w:color="auto" w:fill="CCFFCC"/>
          </w:tcPr>
          <w:p>
            <w:pPr>
              <w:spacing w:after="0"/>
              <w:rPr>
                <w:sz w:val="19"/>
                <w:szCs w:val="19"/>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974,929</w:t>
            </w:r>
          </w:p>
        </w:tc>
        <w:tc>
          <w:tcPr>
            <w:tcW w:w="240" w:type="dxa"/>
            <w:vAlign w:val="bottom"/>
            <w:shd w:val="clear" w:color="auto" w:fill="CCFFCC"/>
          </w:tcPr>
          <w:p>
            <w:pPr>
              <w:spacing w:after="0"/>
              <w:rPr>
                <w:sz w:val="19"/>
                <w:szCs w:val="19"/>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769,635</w:t>
            </w:r>
          </w:p>
        </w:tc>
        <w:tc>
          <w:tcPr>
            <w:tcW w:w="20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177,768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1,922,332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340" w:type="dxa"/>
            <w:vAlign w:val="bottom"/>
            <w:tcBorders>
              <w:top w:val="single" w:sz="8" w:color="CCFFCC"/>
            </w:tcBorders>
          </w:tcPr>
          <w:p>
            <w:pPr>
              <w:spacing w:after="0"/>
              <w:rPr>
                <w:sz w:val="24"/>
                <w:szCs w:val="24"/>
                <w:color w:val="auto"/>
              </w:rPr>
            </w:pPr>
          </w:p>
        </w:tc>
        <w:tc>
          <w:tcPr>
            <w:tcW w:w="600" w:type="dxa"/>
            <w:vAlign w:val="bottom"/>
            <w:tcBorders>
              <w:top w:val="single" w:sz="8" w:color="CCFFCC"/>
            </w:tcBorders>
          </w:tcPr>
          <w:p>
            <w:pPr>
              <w:jc w:val="right"/>
              <w:ind w:right="30"/>
              <w:spacing w:after="0"/>
              <w:rPr>
                <w:sz w:val="20"/>
                <w:szCs w:val="20"/>
                <w:color w:val="auto"/>
              </w:rPr>
            </w:pPr>
            <w:r>
              <w:rPr>
                <w:rFonts w:ascii="Arial" w:cs="Arial" w:eastAsia="Arial" w:hAnsi="Arial"/>
                <w:sz w:val="18"/>
                <w:szCs w:val="18"/>
                <w:color w:val="auto"/>
              </w:rPr>
              <w:t>136</w:t>
            </w:r>
          </w:p>
        </w:tc>
        <w:tc>
          <w:tcPr>
            <w:tcW w:w="120" w:type="dxa"/>
            <w:vAlign w:val="bottom"/>
            <w:tcBorders>
              <w:top w:val="single" w:sz="8" w:color="CCFFCC"/>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34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Peruvian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60" w:type="dxa"/>
            <w:vAlign w:val="bottom"/>
            <w:gridSpan w:val="2"/>
          </w:tcPr>
          <w:p>
            <w:pPr>
              <w:jc w:val="right"/>
              <w:ind w:right="27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U.S. Dollars</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currency</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currencies</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US$(000)</w:t>
            </w: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3,156,279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495,550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114,342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3,766,171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23,220</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11,523</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1,341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2,890,978</w:t>
            </w:r>
          </w:p>
        </w:tc>
        <w:tc>
          <w:tcPr>
            <w:tcW w:w="1140" w:type="dxa"/>
            <w:vAlign w:val="bottom"/>
          </w:tcPr>
          <w:p>
            <w:pPr>
              <w:jc w:val="right"/>
              <w:spacing w:after="0"/>
              <w:rPr>
                <w:sz w:val="20"/>
                <w:szCs w:val="20"/>
                <w:color w:val="auto"/>
              </w:rPr>
            </w:pPr>
            <w:r>
              <w:rPr>
                <w:rFonts w:ascii="Arial" w:cs="Arial" w:eastAsia="Arial" w:hAnsi="Arial"/>
                <w:sz w:val="18"/>
                <w:szCs w:val="18"/>
                <w:color w:val="auto"/>
              </w:rPr>
              <w:t>1,734,526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325,250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4,950,754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6,930,125</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3,298,579</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93,337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10,322,041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136,311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1,634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594,107</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255,476</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12,383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861,966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13,731,020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5,797,288</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546,653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20,074,961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1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(8,614,042)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(4,963,932)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(372,463)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(13,950,437)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(2,189,114)</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(140,155)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(1,438)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(2,330,707)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Bonds and subordinated notes issued</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(311,860)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(473,370)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(785,230)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(1,425,817)</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(508,063)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(24,710)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(1,958,590)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(12,540,833)</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(6,085,520)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(398,611)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(19,024,964)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1,190,187</w:t>
            </w:r>
          </w:p>
        </w:tc>
        <w:tc>
          <w:tcPr>
            <w:tcW w:w="24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(288,232)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148,042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1,049,997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Forwards position, net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(627,600)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591,628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35,972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Currency swaps position, net</w:t>
            </w:r>
          </w:p>
        </w:tc>
        <w:tc>
          <w:tcPr>
            <w:tcW w:w="152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71,154</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(71,154)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Cross-currency swaps position, net and interest rate swaps position, net</w:t>
            </w:r>
          </w:p>
        </w:tc>
        <w:tc>
          <w:tcPr>
            <w:tcW w:w="12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(317,043)</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317,043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Net monetary position</w:t>
            </w:r>
          </w:p>
        </w:tc>
        <w:tc>
          <w:tcPr>
            <w:tcW w:w="1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316,698</w:t>
            </w: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549,285</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184,014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1,049,997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FFCC"/>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manage foreign exchange risk by monitoring exchange rates and adjusting the position values based on changes in exchange rates. We measure our performance in U.S. Dollars, so if the net foreign exchange position (e.g. Peruvian currency) is an asset, any depreciation of the U.S. Dollar with respect to this currency would affect positively our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 or depreciation of the foreign exchange rate would affect the consolidated income statement.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net foreign exchange balance is the sum of its positive open non-U.S. Dollar positions (net long position) less the sum of its negative open non-U.S. Dollar positions (net short position); any devaluation or revaluation of the foreign exchange position would affect the consolidated income statement. A currency mismatch would leave our consolidated statements of financial position vulnerable to a fluctuation of the foreign currency (exchange rate shock).</w:t>
      </w:r>
    </w:p>
    <w:p>
      <w:pPr>
        <w:spacing w:after="0" w:line="17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sensitivity analysis in the table below shows the effect of the Peruvian Currency, the currency to which we had significant exposure as of December 31, 2009 and 2008, on its non-trading monetary assets and liabilities and its forecasted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the consolidated income statement, while a positive amount reflects a net potential increase: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1" w:name="page142"/>
    <w:bookmarkEnd w:id="141"/>
    <w:tbl>
      <w:tblPr>
        <w:tblLayout w:type="fixed"/>
        <w:tblInd w:w="58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20" w:type="dxa"/>
            <w:vAlign w:val="bottom"/>
          </w:tcPr>
          <w:p>
            <w:pPr>
              <w:ind w:left="1800"/>
              <w:spacing w:after="0"/>
              <w:rPr>
                <w:sz w:val="20"/>
                <w:szCs w:val="20"/>
                <w:color w:val="auto"/>
              </w:rPr>
            </w:pPr>
            <w:r>
              <w:rPr>
                <w:rFonts w:ascii="Arial" w:cs="Arial" w:eastAsia="Arial" w:hAnsi="Arial"/>
                <w:sz w:val="18"/>
                <w:szCs w:val="18"/>
                <w:b w:val="1"/>
                <w:bCs w:val="1"/>
                <w:color w:val="auto"/>
              </w:rPr>
              <w:t>Sensitivity Analysis</w:t>
            </w:r>
          </w:p>
        </w:tc>
        <w:tc>
          <w:tcPr>
            <w:tcW w:w="2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Change in Currency Rates</w:t>
            </w:r>
          </w:p>
        </w:tc>
        <w:tc>
          <w:tcPr>
            <w:tcW w:w="144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180" w:type="dxa"/>
            <w:vAlign w:val="bottom"/>
          </w:tcPr>
          <w:p>
            <w:pPr>
              <w:spacing w:after="0"/>
              <w:rPr>
                <w:sz w:val="18"/>
                <w:szCs w:val="18"/>
                <w:color w:val="auto"/>
              </w:rPr>
            </w:pPr>
          </w:p>
        </w:tc>
        <w:tc>
          <w:tcPr>
            <w:tcW w:w="128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10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5</w:t>
            </w:r>
          </w:p>
        </w:tc>
        <w:tc>
          <w:tcPr>
            <w:tcW w:w="1620" w:type="dxa"/>
            <w:vAlign w:val="bottom"/>
            <w:gridSpan w:val="3"/>
          </w:tcPr>
          <w:p>
            <w:pPr>
              <w:jc w:val="right"/>
              <w:ind w:right="120"/>
              <w:spacing w:after="0"/>
              <w:rPr>
                <w:sz w:val="20"/>
                <w:szCs w:val="20"/>
                <w:color w:val="auto"/>
              </w:rPr>
            </w:pPr>
            <w:r>
              <w:rPr>
                <w:rFonts w:ascii="Arial" w:cs="Arial" w:eastAsia="Arial" w:hAnsi="Arial"/>
                <w:sz w:val="18"/>
                <w:szCs w:val="18"/>
                <w:color w:val="auto"/>
              </w:rPr>
              <w:t>(40,507)</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(28,910)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10</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(85,515)</w:t>
            </w:r>
          </w:p>
        </w:tc>
        <w:tc>
          <w:tcPr>
            <w:tcW w:w="13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10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tcPr>
          <w:p>
            <w:pPr>
              <w:jc w:val="center"/>
              <w:ind w:left="130"/>
              <w:spacing w:after="0"/>
              <w:rPr>
                <w:sz w:val="20"/>
                <w:szCs w:val="20"/>
                <w:color w:val="auto"/>
              </w:rPr>
            </w:pPr>
            <w:r>
              <w:rPr>
                <w:rFonts w:ascii="Arial" w:cs="Arial" w:eastAsia="Arial" w:hAnsi="Arial"/>
                <w:sz w:val="18"/>
                <w:szCs w:val="18"/>
                <w:color w:val="auto"/>
                <w:w w:val="79"/>
              </w:rPr>
              <w:t>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36,649</w:t>
            </w: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10</w:t>
            </w:r>
          </w:p>
        </w:tc>
        <w:tc>
          <w:tcPr>
            <w:tcW w:w="14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69,967</w:t>
            </w: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49,935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513" w:right="799" w:bottom="1440" w:gutter="0" w:footer="0" w:header="0"/>
        </w:sectPr>
      </w:pPr>
    </w:p>
    <w:bookmarkStart w:id="142" w:name="page143"/>
    <w:bookmarkEnd w:id="142"/>
    <w:p>
      <w:pPr>
        <w:ind w:left="5720"/>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252"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Material Defaults</w:t>
      </w:r>
    </w:p>
    <w:p>
      <w:pPr>
        <w:spacing w:after="0" w:line="25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along with our subsidiaries, have never defaulted on any of our debt or have been forced to reschedule any of our obligations.</w:t>
      </w:r>
    </w:p>
    <w:p>
      <w:pPr>
        <w:spacing w:after="0" w:line="200" w:lineRule="exact"/>
        <w:rPr>
          <w:rFonts w:ascii="Arial" w:cs="Arial" w:eastAsia="Arial" w:hAnsi="Arial"/>
          <w:sz w:val="18"/>
          <w:szCs w:val="18"/>
          <w:b w:val="1"/>
          <w:bCs w:val="1"/>
          <w:color w:val="auto"/>
        </w:rPr>
      </w:pPr>
    </w:p>
    <w:p>
      <w:pPr>
        <w:spacing w:after="0" w:line="291" w:lineRule="exact"/>
        <w:rPr>
          <w:rFonts w:ascii="Arial" w:cs="Arial" w:eastAsia="Arial" w:hAnsi="Arial"/>
          <w:sz w:val="18"/>
          <w:szCs w:val="18"/>
          <w:b w:val="1"/>
          <w:bCs w:val="1"/>
          <w:color w:val="auto"/>
        </w:rPr>
      </w:pPr>
    </w:p>
    <w:p>
      <w:pPr>
        <w:ind w:left="660" w:right="7700" w:hanging="652"/>
        <w:spacing w:after="0" w:line="564" w:lineRule="auto"/>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 Arrearages and Delinquencies </w:t>
      </w:r>
      <w:r>
        <w:rPr>
          <w:rFonts w:ascii="Arial" w:cs="Arial" w:eastAsia="Arial" w:hAnsi="Arial"/>
          <w:sz w:val="18"/>
          <w:szCs w:val="18"/>
          <w:color w:val="auto"/>
        </w:rPr>
        <w:t>None.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252" w:lineRule="exact"/>
        <w:rPr>
          <w:sz w:val="20"/>
          <w:szCs w:val="20"/>
          <w:color w:val="auto"/>
        </w:rPr>
      </w:pPr>
    </w:p>
    <w:p>
      <w:pPr>
        <w:ind w:left="660" w:hanging="652"/>
        <w:spacing w:after="0"/>
        <w:tabs>
          <w:tab w:leader="none" w:pos="66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management, with the participation of and under the supervision of our principal executive officer and principal financial officer, has evaluated the effectiveness of the design and operation of our disclosure controls and procedures (as defined in Exchange Act Rules 13a-15(e) and 15d-15(e)) as of December 31, 2009. Based on this evaluation, our management, principal executive officer, and principal financial officer have concluded that our disclosure controls and procedures are effective in ensuring that information that we are required to disclose in reports that we file or submit under the Exchange Act is recorded, processed, summarized, and reported within the time periods specified in U.S. Securities and Exchange Commission (SEC) rules and forms.</w:t>
      </w:r>
    </w:p>
    <w:p>
      <w:pPr>
        <w:spacing w:after="0" w:line="200" w:lineRule="exact"/>
        <w:rPr>
          <w:sz w:val="20"/>
          <w:szCs w:val="20"/>
          <w:color w:val="auto"/>
        </w:rPr>
      </w:pPr>
    </w:p>
    <w:p>
      <w:pPr>
        <w:spacing w:after="0" w:line="224"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Our Board of Directors and management are responsible for establishing and maintaining adequate internal control over financial reporting. Our internal control over financial reporting is designed to provide reasonable assurance regarding the preparation and fair presentation of published financial statements in accordance with International Financial Reporting Standards, or IFRS, as issued by the International Accounting Standards Board, the IASB.</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control over financial reporting includes those policies and procedures that:</w:t>
      </w:r>
    </w:p>
    <w:p>
      <w:pPr>
        <w:spacing w:after="0" w:line="252" w:lineRule="exact"/>
        <w:rPr>
          <w:sz w:val="20"/>
          <w:szCs w:val="20"/>
          <w:color w:val="auto"/>
        </w:rPr>
      </w:pPr>
    </w:p>
    <w:p>
      <w:pPr>
        <w:ind w:left="980" w:hanging="324"/>
        <w:spacing w:after="0"/>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transactions and dispositions of assets;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and fair presentation of financial statements, and our receipts and expenditures are being made only in accordance with authorizations of our management; and</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3" w:name="page144"/>
    <w:bookmarkEnd w:id="143"/>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2009 based on the criteria set forth by the Committee of Sponsoring Organizations of the Treadway Commission, or COSO, in Internal Control-Integrated Framework. Based on this assessment, our management believes that, as of December 31, 2009, our internal control over financial reporting was effective. Our management also found no material weaknesses in our internal control over financial reporting and therefore no corrective actions were taken.</w:t>
      </w:r>
    </w:p>
    <w:p>
      <w:pPr>
        <w:spacing w:after="0" w:line="198"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effectiveness of our internal control over financial reporting as of December 31, 2009 has been audited by Medina, Zaldívar, Paredes &amp; Asociados (member firm of Ernst &amp; Young Global), our independent registered public accounting firm, as stated in their report included herein, and it has expressed an unqualified opinion on the effectiveness of our internal control over financial reporting as of December 31, 2009.</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DIONISIO ROMERO P.</w:t>
            </w:r>
          </w:p>
        </w:tc>
        <w:tc>
          <w:tcPr>
            <w:tcW w:w="2280" w:type="dxa"/>
            <w:vAlign w:val="bottom"/>
          </w:tcPr>
          <w:p>
            <w:pPr>
              <w:ind w:left="1620"/>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ALVARO CORREA</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Dionisio Romero</w:t>
            </w:r>
          </w:p>
        </w:tc>
        <w:tc>
          <w:tcPr>
            <w:tcW w:w="2280" w:type="dxa"/>
            <w:vAlign w:val="bottom"/>
          </w:tcPr>
          <w:p>
            <w:pPr>
              <w:ind w:left="1620"/>
              <w:spacing w:after="0" w:line="201"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Alvaro Correa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280" w:type="dxa"/>
            <w:vAlign w:val="bottom"/>
          </w:tcPr>
          <w:p>
            <w:pPr>
              <w:ind w:left="1620"/>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15, 2010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4" w:name="page145"/>
    <w:bookmarkEnd w:id="144"/>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Attestation Report of the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5746115" cy="10807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4611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52" w:lineRule="exact"/>
        <w:rPr>
          <w:sz w:val="20"/>
          <w:szCs w:val="20"/>
          <w:color w:val="auto"/>
        </w:rPr>
      </w:pPr>
    </w:p>
    <w:p>
      <w:pPr>
        <w:ind w:right="520"/>
        <w:spacing w:after="0" w:line="297" w:lineRule="auto"/>
        <w:rPr>
          <w:sz w:val="20"/>
          <w:szCs w:val="20"/>
          <w:color w:val="auto"/>
        </w:rPr>
      </w:pPr>
      <w:r>
        <w:rPr>
          <w:rFonts w:ascii="Arial" w:cs="Arial" w:eastAsia="Arial" w:hAnsi="Arial"/>
          <w:sz w:val="16"/>
          <w:szCs w:val="16"/>
          <w:color w:val="auto"/>
        </w:rPr>
        <w:t>We have audited Credicorp Ltd. and Subsidiaries' (hereinafter “Credicorp”) internal control over financial reporting as of December 31, 2009, based on criteria established in Internal Control- Integrated Framework issued by the Committee of Sponsoring Organizations of the Treadway Commission (the COSO criteria). Credicorp's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Credicorp's internal control over financial reporting based on our audit.</w:t>
      </w:r>
    </w:p>
    <w:p>
      <w:pPr>
        <w:spacing w:after="0" w:line="18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of America).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5574030" cy="1543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740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5" w:name="page146"/>
    <w:bookmarkEnd w:id="1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5746115" cy="10807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574611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on Internal Control Over Financial Reporting (continued)</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our opinion, Credicorp maintained, in all material respects, effective internal control over financial reporting as of December 31, 2009, based on the COSO criteria.</w:t>
      </w:r>
    </w:p>
    <w:p>
      <w:pPr>
        <w:spacing w:after="0" w:line="197"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of America), the consolidated statement of financial position as of December 31, 2009 and 2008, and the consolidated statements of income, comprehensive income, changes in equity and cash flows for each of the three years in the period ended December 31, 2009 and our report dated June 15, 2010, expresses an unqualified opinion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2778760" cy="5918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778760" cy="5918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2178050" cy="780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17805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C.P.C.C. Register Nº19-289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15, 2010</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146" w:name="page147"/>
    <w:bookmarkEnd w:id="146"/>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period covered by this Annual Report, no changes were made to our internal control over financial reporting that have materially affected, or are likely to materially affect, internal control over financial reporting.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15T. CONTROLS AND PROCEDURES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its session held on March 31, 2009, our Board of Directors elected Germán Suárez and Reynaldo Llosa as members of the Audit Committee. The Board elected Mr. Reynaldo Llosa as the Chairman, Mr. Suárez as the Audit Committee Financial Expert, as that term is defined in the instructions to Item 16A of Form 20-F, and Mr. Benedicto Cigüeñas, Director of BCP as an advisor. Our board of directors also determined that Mr. Suárez is “independent” as defined in Rule 10A-3 under the Exchange Act and in Section 303A.02 of The NYSE Listed Company Manual. Mr. Suárez is an economist, and received his Masters degree in economics from Columbia University. Mr. Suárez became a director on March 31, 2005. Mr. Suárez was President and Chairman of the Board of Banco Central de Reserva del Perú from 1992 to 2001, and serves as director on the board of directors of various other companies, among which is Compañía de Minas Buenaventura S.A.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code of ethics (</w:t>
      </w:r>
      <w:r>
        <w:rPr>
          <w:rFonts w:ascii="Arial" w:cs="Arial" w:eastAsia="Arial" w:hAnsi="Arial"/>
          <w:sz w:val="18"/>
          <w:szCs w:val="18"/>
          <w:i w:val="1"/>
          <w:iCs w:val="1"/>
          <w:color w:val="auto"/>
        </w:rPr>
        <w:t>Código de Etica</w:t>
      </w:r>
      <w:r>
        <w:rPr>
          <w:rFonts w:ascii="Arial" w:cs="Arial" w:eastAsia="Arial" w:hAnsi="Arial"/>
          <w:sz w:val="18"/>
          <w:szCs w:val="18"/>
          <w:color w:val="auto"/>
        </w:rPr>
        <w:t>) that is applicable to our Board of Directors, including our chief executive officer, chief financial officer, and our other principal executive officers, as well as to all other employees. In addition, we have adopted a code of ethics for professionals with financial responsibility (</w:t>
      </w:r>
      <w:r>
        <w:rPr>
          <w:rFonts w:ascii="Arial" w:cs="Arial" w:eastAsia="Arial" w:hAnsi="Arial"/>
          <w:sz w:val="18"/>
          <w:szCs w:val="18"/>
          <w:i w:val="1"/>
          <w:iCs w:val="1"/>
          <w:color w:val="auto"/>
        </w:rPr>
        <w:t>Código de Etica Para Profesionales con Responsibilidad Financiera</w:t>
      </w:r>
      <w:r>
        <w:rPr>
          <w:rFonts w:ascii="Arial" w:cs="Arial" w:eastAsia="Arial" w:hAnsi="Arial"/>
          <w:sz w:val="18"/>
          <w:szCs w:val="18"/>
          <w:color w:val="auto"/>
        </w:rPr>
        <w:t>) applicable to employees with financial management responsibilities. Our code of ethics and code of ethics for professionals with financial responsibility are available on the corporate governance section of our web site at http://www.credicorpnet.com.</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following table sets forth for each of the years indicated the fees paid to our independent auditor, Medina, Zaldívar, Paredes &amp; Asociados, member of Ernst &amp; Young Global, for the audit of our financial statements for the years ended December 31, 2007, 2008, and 2009, respectively. The Audit Committee recommends the appointment of the independent auditor every fiscal year, which is done at the Annual General Shareholders’ Meeting.</w:t>
      </w:r>
    </w:p>
    <w:p>
      <w:pPr>
        <w:spacing w:after="0" w:line="17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 our Annual General Shareholders’ Meeting held on March 26, 2010, Medina, Zaldívar, Paredes y Asociados was reelected as our external auditor for the financial year 2010. This designation was made in accordance with the proposal and recommendation of the Audit Committee and authorization by the Board of Directors. The Board has also designated the duty of approving the auditor’s fees to the Audit Committee.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6"/>
          </w:tcPr>
          <w:p>
            <w:pPr>
              <w:ind w:left="420"/>
              <w:spacing w:after="0"/>
              <w:rPr>
                <w:sz w:val="20"/>
                <w:szCs w:val="20"/>
                <w:color w:val="auto"/>
              </w:rPr>
            </w:pPr>
            <w:r>
              <w:rPr>
                <w:rFonts w:ascii="Arial" w:cs="Arial" w:eastAsia="Arial" w:hAnsi="Arial"/>
                <w:sz w:val="18"/>
                <w:szCs w:val="18"/>
                <w:b w:val="1"/>
                <w:bCs w:val="1"/>
                <w:color w:val="auto"/>
                <w:w w:val="99"/>
              </w:rPr>
              <w:t>Years ended December 31,</w:t>
            </w:r>
          </w:p>
        </w:tc>
        <w:tc>
          <w:tcPr>
            <w:tcW w:w="5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1140" w:type="dxa"/>
            <w:vAlign w:val="bottom"/>
            <w:tcBorders>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16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color w:val="auto"/>
                <w:w w:val="91"/>
              </w:rPr>
              <w:t>(U.S. Dollars in thousands)</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Audit</w:t>
            </w:r>
          </w:p>
        </w:tc>
        <w:tc>
          <w:tcPr>
            <w:tcW w:w="5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2,264</w:t>
            </w:r>
          </w:p>
        </w:tc>
        <w:tc>
          <w:tcPr>
            <w:tcW w:w="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2,005</w:t>
            </w:r>
          </w:p>
        </w:tc>
        <w:tc>
          <w:tcPr>
            <w:tcW w:w="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2,436</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Audit – Related</w:t>
            </w:r>
          </w:p>
        </w:tc>
        <w:tc>
          <w:tcPr>
            <w:tcW w:w="58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Tax</w:t>
            </w:r>
          </w:p>
        </w:tc>
        <w:tc>
          <w:tcPr>
            <w:tcW w:w="580" w:type="dxa"/>
            <w:vAlign w:val="bottom"/>
            <w:shd w:val="clear" w:color="auto" w:fill="CCFFCC"/>
          </w:tcPr>
          <w:p>
            <w:pPr>
              <w:spacing w:after="0"/>
              <w:rPr>
                <w:sz w:val="18"/>
                <w:szCs w:val="18"/>
                <w:color w:val="auto"/>
              </w:rPr>
            </w:pPr>
          </w:p>
        </w:tc>
        <w:tc>
          <w:tcPr>
            <w:tcW w:w="7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FFCC"/>
          </w:tcPr>
          <w:p>
            <w:pPr>
              <w:spacing w:after="0"/>
              <w:rPr>
                <w:sz w:val="18"/>
                <w:szCs w:val="18"/>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All Other</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6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FFCC"/>
          </w:tcPr>
          <w:p>
            <w:pPr>
              <w:ind w:left="120"/>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2,323</w:t>
            </w:r>
          </w:p>
        </w:tc>
        <w:tc>
          <w:tcPr>
            <w:tcW w:w="200" w:type="dxa"/>
            <w:vAlign w:val="bottom"/>
            <w:shd w:val="clear" w:color="auto" w:fill="CCFFCC"/>
          </w:tcPr>
          <w:p>
            <w:pPr>
              <w:spacing w:after="0"/>
              <w:rPr>
                <w:sz w:val="18"/>
                <w:szCs w:val="18"/>
                <w:color w:val="auto"/>
              </w:rPr>
            </w:pPr>
          </w:p>
        </w:tc>
        <w:tc>
          <w:tcPr>
            <w:tcW w:w="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7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2,239</w:t>
            </w:r>
          </w:p>
        </w:tc>
        <w:tc>
          <w:tcPr>
            <w:tcW w:w="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US$</w:t>
            </w: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2,792</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Audit Fees </w:t>
      </w:r>
      <w:r>
        <w:rPr>
          <w:rFonts w:ascii="Arial" w:cs="Arial" w:eastAsia="Arial" w:hAnsi="Arial"/>
          <w:sz w:val="17"/>
          <w:szCs w:val="17"/>
          <w:color w:val="auto"/>
        </w:rPr>
        <w:t>correspond to audit services performed (i) reviewing of Credicorp’s consolidated financial statements and its subsidiaries, (ii) establishing</w:t>
      </w:r>
      <w:r>
        <w:rPr>
          <w:rFonts w:ascii="Arial" w:cs="Arial" w:eastAsia="Arial" w:hAnsi="Arial"/>
          <w:sz w:val="17"/>
          <w:szCs w:val="17"/>
          <w:i w:val="1"/>
          <w:iCs w:val="1"/>
          <w:color w:val="auto"/>
        </w:rPr>
        <w:t xml:space="preserve"> </w:t>
      </w:r>
      <w:r>
        <w:rPr>
          <w:rFonts w:ascii="Arial" w:cs="Arial" w:eastAsia="Arial" w:hAnsi="Arial"/>
          <w:sz w:val="17"/>
          <w:szCs w:val="17"/>
          <w:color w:val="auto"/>
        </w:rPr>
        <w:t>the procedures that the independent auditor needs to perform in order to form an opinion about Credicorp’s consolidated financial statements, and (iii) complying with the statutory requirements applicable to Credicorp’s subsidiaries. Audit fees also include expenses related to the audit work in connection with reviews of interim financial information and the comfort letter issued. All fees were approved by the Audit Committee.</w:t>
      </w:r>
    </w:p>
    <w:p>
      <w:pPr>
        <w:spacing w:after="0" w:line="19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elate to services that are similar to the execution of an audit or a review of Credicorp’s financial statements and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traditionally performed by the independent auditor. Such audit-related services include: assistance in the understanding of new accounting and financial rules established by regulatory entities; audit-related procedures on accounting matters previously agreed with Credicorp management; due diligence and special audit reviews of internal control procedures. There were no audit-related fees during 2009.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47" w:name="page148"/>
    <w:bookmarkEnd w:id="147"/>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relate to tax services which include all services performed by Credicorp’s independent auditor’s tax personnel, except those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specifically related to the review and preparation of Credicorp’s financial statements, and consisting principally of tax compliance and advisory services approved by the Audit Committee.</w:t>
      </w:r>
    </w:p>
    <w:p>
      <w:pPr>
        <w:spacing w:after="0" w:line="20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mainly include expenses related to derivative operations consultancy, training courses for the Accounting department of PPS prepared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independent auditors, and permitted advisory services related to BCP IT systems.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Audit Committee Pre-Approval Policies and Procedures</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audit committee must approve all of the services the independent auditors provide as part of its responsibility in supervising their work. There are two types of approvals. The Audit Committee grants a “general approval” in advance to a list of services that the independent auditor may provide without further approval required by the Audit Committee. A general approval is valid for 12 months from the date of approval unless the Audit Committee determines a different period of validity should apply.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When considering granting any type of approval, the Audit Committee considers whether the requested services are consistent with the SEC’s rules regarding the independence of the independent auditors.</w:t>
      </w:r>
    </w:p>
    <w:p>
      <w:pPr>
        <w:spacing w:after="0" w:line="20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our subsidiaries or affiliates, and services associated with the presentation of documents to the SEC or other documents published in relation to the trading of our shares.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Audit Committee may award a general approval to audit-related services if its members consider that these services do not negatively affect the integrity of the independent auditor and are consistent with the rules of the SEC.</w:t>
      </w:r>
    </w:p>
    <w:p>
      <w:pPr>
        <w:spacing w:after="0" w:line="19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Following the rules promulgated by the SEC, our audit committee requires that all tax services provided by the independent auditors be subject to its approval. The Audit Committee may grant a specific approval to other services provided by the independent auditor so long as they do not impair the integrity of the independent auditor and are allowed by rules issued by the SEC concerning auditor independence.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25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During 2009, we did not make any purchase of Credicorp shares for our own portfolio. Our affiliates, Prima AFP, Atlantic Security Bank, Credifondo, and Credibolsa did make purchases in open-market transactions on behalf of our clients as part of their core businesses.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16G. CORPORATE GOVERNANCE</w:t>
      </w:r>
    </w:p>
    <w:p>
      <w:pPr>
        <w:spacing w:after="0" w:line="252"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New York Stock Exchange – Corporate Governance</w:t>
      </w:r>
    </w:p>
    <w:p>
      <w:pPr>
        <w:spacing w:after="0" w:line="2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NYSE’s corporate governance rules, codified in Section 303A of the NYSE’s Listed Company Manual, apply, with certain limited exceptions, in full to companies listing common equity securities. Among the corporate governance issues addressed by Section 303A are the following:</w:t>
      </w:r>
    </w:p>
    <w:p>
      <w:pPr>
        <w:spacing w:after="0" w:line="174" w:lineRule="exact"/>
        <w:rPr>
          <w:sz w:val="20"/>
          <w:szCs w:val="20"/>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Director independence;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role of non-management directors;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Nominating/corporate governance committee;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Compensation committees;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Audit committees;</w:t>
      </w:r>
    </w:p>
    <w:p>
      <w:pPr>
        <w:spacing w:after="0" w:line="252"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Disclosure of corporate governance guidelines, including those in relation to (i) director qualification standards, (ii) director responsibilities, (iii) director access to management and, as necessary and appropriate, independent advisors, (iv) director compensation, (v) director orientation and continuing education, (vi) management succession and (vii) annual performance evaluation of the Board of Directors;</w:t>
      </w:r>
    </w:p>
    <w:p>
      <w:pPr>
        <w:spacing w:after="0" w:line="19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Code of business conduct and ethics for directors, officers and employees addressing, at a minimum, (i) conflicts of interest, (ii) corporate opportunities, (iii) confidentiality, (iv) fair dealing, (v) protection and proper use of company assets, (v) compliance with laws, rules and regulations (including insider trading laws) and (vi) encouraging the reporting of any illegal or unethical behavior;</w:t>
      </w:r>
    </w:p>
    <w:p>
      <w:pPr>
        <w:spacing w:after="0" w:line="208"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Disclosure by foreign private issuers of differences between their corporate governance practices and those of U.S. domestic companies under NYSE’s listing standards;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Certification of compliance with the NYSE’s corporate governance standards and disclosure of violations of Section 303A;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NYSE actions resulting from violations of the NYSE’s listing standards.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9" w:name="page150"/>
    <w:bookmarkEnd w:id="149"/>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Bermuda Law – Corporate Governance</w:t>
      </w:r>
    </w:p>
    <w:p>
      <w:pPr>
        <w:spacing w:after="0" w:line="2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company incorporated under the laws of Bermuda and are subject to Bermuda laws related to corporate governance. Under Bermuda law, there are no requirements with respect to the independence of our board of directors, meetings of non-management directors, the establishment and composition of certain committees or the adoption and disclosure of corporate governance guidelines or codes of business conduct and ethics. Certain Bermuda common law and statutory provisions, however, relate to duties and obligations of a company and its directors that are similar to some of the duties and obligations arising from the provisions of Section 303A.</w:t>
      </w:r>
    </w:p>
    <w:p>
      <w:pPr>
        <w:spacing w:after="0" w:line="200" w:lineRule="exact"/>
        <w:rPr>
          <w:sz w:val="20"/>
          <w:szCs w:val="20"/>
          <w:color w:val="auto"/>
        </w:rPr>
      </w:pPr>
    </w:p>
    <w:p>
      <w:pPr>
        <w:spacing w:after="0" w:line="254" w:lineRule="exact"/>
        <w:rPr>
          <w:sz w:val="20"/>
          <w:szCs w:val="20"/>
          <w:color w:val="auto"/>
        </w:rPr>
      </w:pPr>
    </w:p>
    <w:p>
      <w:pPr>
        <w:ind w:left="1360" w:hanging="704"/>
        <w:spacing w:after="0"/>
        <w:tabs>
          <w:tab w:leader="none" w:pos="13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Fiduciary Duties and Duties of Skill and Care Under Bermuda Law</w:t>
      </w:r>
    </w:p>
    <w:p>
      <w:pPr>
        <w:spacing w:after="0" w:line="25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section 97(1) of the Companies Act 1981 of Bermuda, as amended (also referred to as the Companies Act), every director and officer of a company must act honestly and in good faith with a view to the best interests of the company (often referred to as a “fiduciary duty”) and must exercise the care, diligence and skill that a reasonably prudent person would exercise in comparable circumstances (often referred to as a “duty of skill and care”).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Fiduciary Duty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common law, the fiduciary duty of directors has four aspects which may be briefly summarized as follows:</w:t>
      </w:r>
    </w:p>
    <w:p>
      <w:pPr>
        <w:spacing w:after="0" w:line="252" w:lineRule="exact"/>
        <w:rPr>
          <w:sz w:val="20"/>
          <w:szCs w:val="20"/>
          <w:color w:val="auto"/>
        </w:rPr>
      </w:pPr>
    </w:p>
    <w:p>
      <w:pPr>
        <w:jc w:val="both"/>
        <w:ind w:left="980" w:hanging="324"/>
        <w:spacing w:after="0" w:line="259" w:lineRule="auto"/>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duty to act honestly and in good faith. A director has a duty to act honestly and in good faith in what he considers are the best interests of the company and not for any collateral purpose. The courts allow the director wide discretion in determining this, interfering only if no reasonable director could have believed that a course of action was in the best interests of the company. However, a director acting honestly, but not in the best interests of the company, is in breach of such duty.</w:t>
      </w:r>
    </w:p>
    <w:p>
      <w:pPr>
        <w:spacing w:after="0" w:line="21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duty to exercise powers for a proper purpose. Directors must act within the powers set out in the company’s memorandum of association and bye-laws and exercise their powers in the company’s interests and for the purposes for which those powers were conferred. Even if the directors are acting in good faith in the interests of the company as a whole, they must still use their powers for the purposes for which they were intended. For example, in general directors are not allowed to exercise their powers in such a way as to prevent a majority of the members from exercising their rights.</w:t>
      </w:r>
    </w:p>
    <w:p>
      <w:pPr>
        <w:spacing w:after="0" w:line="215"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A duty to avoid conflicts of interest. A director must not put himself in a position where there is an actual or potential conflict between a personal interest and his duty to the company. However, a director may enter into a contract where a conflict of interest might arise if the bye-laws allow it or the company gives its approval in a general meeting. Our blaws do not prohibit a director from entering into a contract where a conflict of interest may arise, but they do prohibit a director from voting with respect to any contract or proposed contract or arrangement in which such director is interested or with which such director has a conflict of interest. In addition, section 97(4) of the Companies Act requires our directors and officers to disclose at the first opportunity any interest in a material contract, proposed material contract or person that is a party to a material contract or proposed material contract with us or any of our subsidiaries.</w:t>
      </w:r>
    </w:p>
    <w:p>
      <w:pPr>
        <w:spacing w:after="0" w:line="204"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A duty not to appropriate, divert or personally profit from corporate opportunities. Unless the bye-laws specifically provide otherwise, a director’s fiduciary position precludes him from appropriating, diverting or taking a personal profit from any opportunities that result from the directorship. Our bye-laws do provide an exception to this rule. They provide that any director, any director’s firm or partner, or any company with which any director is associated may act for us in a professional capacity. Such director, firm, partner or company will be entitled to compensation for professional services as if the director were not a member of our board of directors. However, such director, firm, partner or company may not act as our auditor.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0" w:name="page151"/>
    <w:bookmarkEnd w:id="150"/>
    <w:p>
      <w:pPr>
        <w:ind w:left="660"/>
        <w:spacing w:after="0"/>
        <w:rPr>
          <w:sz w:val="20"/>
          <w:szCs w:val="20"/>
          <w:color w:val="auto"/>
        </w:rPr>
      </w:pPr>
      <w:r>
        <w:rPr>
          <w:rFonts w:ascii="Arial" w:cs="Arial" w:eastAsia="Arial" w:hAnsi="Arial"/>
          <w:sz w:val="18"/>
          <w:szCs w:val="18"/>
          <w:i w:val="1"/>
          <w:iCs w:val="1"/>
          <w:color w:val="auto"/>
        </w:rPr>
        <w:t>Duty of Skill and Care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common law, the duty of skill and care has three aspects which may be briefly summarized as follows:</w:t>
      </w:r>
    </w:p>
    <w:p>
      <w:pPr>
        <w:spacing w:after="0" w:line="252" w:lineRule="exact"/>
        <w:rPr>
          <w:sz w:val="20"/>
          <w:szCs w:val="20"/>
          <w:color w:val="auto"/>
        </w:rPr>
      </w:pPr>
    </w:p>
    <w:p>
      <w:pPr>
        <w:ind w:left="980" w:right="20" w:hanging="324"/>
        <w:spacing w:after="0" w:line="277" w:lineRule="auto"/>
        <w:tabs>
          <w:tab w:leader="none" w:pos="9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Degree of Skill. A director need not exhibit in the performance of his duties a greater degree of skill than may reasonably be expected from a person of like knowledge and experience.</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director is not expected to exercise a level of skill he does not have. The level of skill required of a director is subjective, in that the director is not expected, merely by virtue of the office, to possess any particular skills. Performance must be judged by the way the director applies any skills which he actually has. However, directors ought to acquire and maintain a sufficient knowledge and understanding of the company’s business to enable them to properly discharge their duties as directors.</w:t>
      </w:r>
    </w:p>
    <w:p>
      <w:pPr>
        <w:spacing w:after="0" w:line="214" w:lineRule="exact"/>
        <w:rPr>
          <w:sz w:val="20"/>
          <w:szCs w:val="20"/>
          <w:color w:val="auto"/>
        </w:rPr>
      </w:pPr>
    </w:p>
    <w:p>
      <w:pPr>
        <w:jc w:val="both"/>
        <w:ind w:left="980" w:hanging="324"/>
        <w:spacing w:after="0" w:line="259" w:lineRule="auto"/>
        <w:tabs>
          <w:tab w:leader="none" w:pos="9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Attention to the Business. A director must diligently attend to the affairs of the company. In the performance of this duty, a director must at a minimum display the reasonable care an ordinary person would be expected to take in the same circumstances on his own behalf. Mere errors of judgment have been held not to breach the duty of skill and care. A director, as such, is not bound to give continuous attention to the affairs of the company, as his or her duties are of an intermittent nature.</w:t>
      </w:r>
    </w:p>
    <w:p>
      <w:pPr>
        <w:spacing w:after="0" w:line="213" w:lineRule="exact"/>
        <w:rPr>
          <w:rFonts w:ascii="Arial" w:cs="Arial" w:eastAsia="Arial" w:hAnsi="Arial"/>
          <w:sz w:val="18"/>
          <w:szCs w:val="18"/>
          <w:color w:val="auto"/>
        </w:rPr>
      </w:pPr>
    </w:p>
    <w:p>
      <w:pPr>
        <w:jc w:val="both"/>
        <w:ind w:left="980" w:hanging="324"/>
        <w:spacing w:after="0" w:line="269" w:lineRule="auto"/>
        <w:tabs>
          <w:tab w:leader="none" w:pos="98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Reliance on Others. A director is not liable for the acts of co-directors or other company officers solely by virtue of the position. A director is entitled to rely on his co-directors or company officers as well as subordinates who are expressly put in charge of attending to the detail of management, provided such reliance is honest and reasonable (although a director cannot absolve himself entirely of responsibility by delegation to others). As a general rule, before delegating responsibility to others, the directors in question should satisfy themselves that the delegates have the requisite skills to discharge the functions delegated to them. In addition, the directors must ensure that there is set up an adequate system of monitoring such delegates (</w:t>
      </w:r>
      <w:r>
        <w:rPr>
          <w:rFonts w:ascii="Arial" w:cs="Arial" w:eastAsia="Arial" w:hAnsi="Arial"/>
          <w:sz w:val="17"/>
          <w:szCs w:val="17"/>
          <w:i w:val="1"/>
          <w:iCs w:val="1"/>
          <w:color w:val="auto"/>
        </w:rPr>
        <w:t>e.g.</w:t>
      </w:r>
      <w:r>
        <w:rPr>
          <w:rFonts w:ascii="Arial" w:cs="Arial" w:eastAsia="Arial" w:hAnsi="Arial"/>
          <w:sz w:val="17"/>
          <w:szCs w:val="17"/>
          <w:color w:val="auto"/>
        </w:rPr>
        <w:t>, managers). The directors must, on a regular basis, ensure that their delegates have fulfilled their obligations. The directors should require a regular flow of information from the delegates to ensure that they are carrying out their duties satisfactorily. In addition, section 97(5A) of the Companies Act provides that a director shall not have breached the fiduciary duty or duty of skill and care required by section 97(1) if he relies in good faith upon financial statements of the company represented to him by another director or officer of the company or a report of an attorney, accountant, engineer, appraiser or other person whose profession lends credibility to a statement made by him.</w:t>
      </w:r>
    </w:p>
    <w:p>
      <w:pPr>
        <w:spacing w:after="0" w:line="200" w:lineRule="exact"/>
        <w:rPr>
          <w:sz w:val="20"/>
          <w:szCs w:val="20"/>
          <w:color w:val="auto"/>
        </w:rPr>
      </w:pPr>
    </w:p>
    <w:p>
      <w:pPr>
        <w:spacing w:after="0" w:line="249" w:lineRule="exact"/>
        <w:rPr>
          <w:sz w:val="20"/>
          <w:szCs w:val="20"/>
          <w:color w:val="auto"/>
        </w:rPr>
      </w:pPr>
    </w:p>
    <w:p>
      <w:pPr>
        <w:ind w:left="1360" w:hanging="704"/>
        <w:spacing w:after="0"/>
        <w:tabs>
          <w:tab w:leader="none" w:pos="13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Other Statutory Duties and Obligations</w:t>
      </w:r>
    </w:p>
    <w:p>
      <w:pPr>
        <w:spacing w:after="0" w:line="256"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Companies Act imposes certain specific duties and obligations on companies and directors, both directly and indirectly, including duties and obligations with respect to (i) loans to directors and related persons, (ii) limits on indemnities for directors and officers and (iii) the keeping of proper books of account.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to Directors and Related Persons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It is not lawful for a company to make a loan or to enter into a guarantee or provide security in connection with a loan to a director or certain persons related to a director without the consent of the members of the company holding in the aggregate not less than 90% of the total voting rights of all the members having the right to vote at any meeting of the members of the company, except in certain specific circumstances.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1" w:name="page152"/>
    <w:bookmarkEnd w:id="151"/>
    <w:p>
      <w:pPr>
        <w:ind w:left="660"/>
        <w:spacing w:after="0"/>
        <w:rPr>
          <w:sz w:val="20"/>
          <w:szCs w:val="20"/>
          <w:color w:val="auto"/>
        </w:rPr>
      </w:pPr>
      <w:r>
        <w:rPr>
          <w:rFonts w:ascii="Arial" w:cs="Arial" w:eastAsia="Arial" w:hAnsi="Arial"/>
          <w:sz w:val="18"/>
          <w:szCs w:val="18"/>
          <w:i w:val="1"/>
          <w:iCs w:val="1"/>
          <w:color w:val="auto"/>
        </w:rPr>
        <w:t>Limits on Indemnity for Directors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Section 98 of the Companies Act provides generally that a Bermuda company may indemnify its directors, officers and auditors against any liability which, by virtue of any rule of law, would otherwise be imposed on them with respect to any negligence, default, breach of duty or breach of trust. However, this rule does not apply in cases where such liability arises from fraud or dishonesty of which such director, officer or auditor may be guilty in relation to the company or any of its subsidiaries. Any provision, whether contained in the bye-laws of a company or in any contract or arrangement between the company and one of its directors which would exempt such director from, or indemnify him against, any liability that would otherwise attach to him with respect to his fraud or dishonesty in relation to the company will be void.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In the event that an allegation of fraud or dishonesty is made out, the director is obliged to disgorge any money provided for his defense.</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Books of Account</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the duty of the directors to cause to be kept proper books of account with respect to all sums of money received and expended by the company and the matters with respect to which the receipts and expenditures take place, all sales and purchases by the company, and the assets and liabilities of the company.</w:t>
      </w:r>
    </w:p>
    <w:p>
      <w:pPr>
        <w:spacing w:after="0" w:line="200" w:lineRule="exact"/>
        <w:rPr>
          <w:sz w:val="20"/>
          <w:szCs w:val="20"/>
          <w:color w:val="auto"/>
        </w:rPr>
      </w:pPr>
    </w:p>
    <w:p>
      <w:pPr>
        <w:spacing w:after="0" w:line="247"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Peruvian Law – Corporate Governance</w:t>
      </w:r>
    </w:p>
    <w:p>
      <w:pPr>
        <w:spacing w:after="0" w:line="25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we are a holding company whose principal subsidiaries (BCP and PPS) are incorporated under and subject to the laws of Peru, we are registered in Peru as a foreign issuer and are consequently only subject to Peruvian regulations applicable to foreign issuers. There are no corporate governance provisions under Peruvian law applicable to us that are similar to the provisions of Section 303A.</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17.</w:t>
        <w:tab/>
        <w:t>FINANCIAL STATEMENTS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18.</w:t>
        <w:tab/>
        <w:t>FINANCIAL STATEMENTS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Credicorp Consolidated Financial Statements and the report of the independent public accounting firm in connection therewith are filed as part of this Annual Report on Form 20-F, as noted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800" w:type="dxa"/>
            <w:vAlign w:val="bottom"/>
          </w:tcPr>
          <w:p>
            <w:pPr>
              <w:spacing w:after="0"/>
              <w:rPr>
                <w:sz w:val="20"/>
                <w:szCs w:val="20"/>
                <w:color w:val="auto"/>
              </w:rPr>
            </w:pPr>
          </w:p>
        </w:tc>
        <w:tc>
          <w:tcPr>
            <w:tcW w:w="1600" w:type="dxa"/>
            <w:vAlign w:val="bottom"/>
            <w:gridSpan w:val="2"/>
          </w:tcPr>
          <w:p>
            <w:pPr>
              <w:ind w:left="1160"/>
              <w:spacing w:after="0"/>
              <w:rPr>
                <w:sz w:val="20"/>
                <w:szCs w:val="20"/>
                <w:color w:val="auto"/>
              </w:rPr>
            </w:pPr>
            <w:r>
              <w:rPr>
                <w:rFonts w:ascii="Arial" w:cs="Arial" w:eastAsia="Arial" w:hAnsi="Arial"/>
                <w:sz w:val="18"/>
                <w:szCs w:val="18"/>
                <w:color w:val="auto"/>
                <w:w w:val="99"/>
              </w:rPr>
              <w:t>Page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color w:val="auto"/>
              </w:rPr>
              <w:t>Index to Credicorp Consolidated Financial Statements</w:t>
            </w:r>
          </w:p>
        </w:tc>
        <w:tc>
          <w:tcPr>
            <w:tcW w:w="1600" w:type="dxa"/>
            <w:vAlign w:val="bottom"/>
            <w:gridSpan w:val="2"/>
            <w:shd w:val="clear" w:color="auto" w:fill="CCFFCC"/>
          </w:tcPr>
          <w:p>
            <w:pPr>
              <w:ind w:left="116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color w:val="auto"/>
              </w:rPr>
              <w:t>Report of Medina, Zaldívar, Paredes &amp; Asociados, members of Ernst &amp; Young Global, Independent Public Accountants</w:t>
            </w:r>
          </w:p>
        </w:tc>
        <w:tc>
          <w:tcPr>
            <w:tcW w:w="1600" w:type="dxa"/>
            <w:vAlign w:val="bottom"/>
            <w:gridSpan w:val="2"/>
            <w:shd w:val="clear" w:color="auto" w:fill="CCFFCC"/>
          </w:tcPr>
          <w:p>
            <w:pPr>
              <w:ind w:left="116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 as of December 31, 2009 and 2008</w:t>
            </w:r>
          </w:p>
        </w:tc>
        <w:tc>
          <w:tcPr>
            <w:tcW w:w="1600" w:type="dxa"/>
            <w:vAlign w:val="bottom"/>
            <w:gridSpan w:val="2"/>
            <w:shd w:val="clear" w:color="auto" w:fill="CCFFCC"/>
          </w:tcPr>
          <w:p>
            <w:pPr>
              <w:ind w:left="116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color w:val="auto"/>
              </w:rPr>
              <w:t>Consolidated Income Statements for the Three Years in the Period Ended December 31, 2009</w:t>
            </w:r>
          </w:p>
        </w:tc>
        <w:tc>
          <w:tcPr>
            <w:tcW w:w="1600" w:type="dxa"/>
            <w:vAlign w:val="bottom"/>
            <w:gridSpan w:val="2"/>
            <w:shd w:val="clear" w:color="auto" w:fill="CCFFCC"/>
          </w:tcPr>
          <w:p>
            <w:pPr>
              <w:ind w:left="116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Changes in Equity for the Three Years in the Period Ended December 31, 2009</w:t>
            </w:r>
          </w:p>
        </w:tc>
        <w:tc>
          <w:tcPr>
            <w:tcW w:w="1600" w:type="dxa"/>
            <w:vAlign w:val="bottom"/>
            <w:gridSpan w:val="2"/>
            <w:shd w:val="clear" w:color="auto" w:fill="CCFFCC"/>
          </w:tcPr>
          <w:p>
            <w:pPr>
              <w:ind w:left="116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color w:val="auto"/>
              </w:rPr>
              <w:t>Consolidated Cash Flow Statements for the Three Years in the Period Ended December 31, 2009</w:t>
            </w:r>
          </w:p>
        </w:tc>
        <w:tc>
          <w:tcPr>
            <w:tcW w:w="1600" w:type="dxa"/>
            <w:vAlign w:val="bottom"/>
            <w:gridSpan w:val="2"/>
            <w:shd w:val="clear" w:color="auto" w:fill="CCFFCC"/>
          </w:tcPr>
          <w:p>
            <w:pPr>
              <w:ind w:left="116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0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1600" w:type="dxa"/>
            <w:vAlign w:val="bottom"/>
            <w:gridSpan w:val="2"/>
            <w:shd w:val="clear" w:color="auto" w:fill="CCFFCC"/>
          </w:tcPr>
          <w:p>
            <w:pPr>
              <w:ind w:left="116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3" w:name="page154"/>
    <w:bookmarkEnd w:id="153"/>
    <w:p>
      <w:pPr>
        <w:ind w:left="1720"/>
        <w:spacing w:after="0"/>
        <w:rPr>
          <w:sz w:val="20"/>
          <w:szCs w:val="20"/>
          <w:color w:val="auto"/>
        </w:rPr>
      </w:pPr>
      <w:r>
        <w:rPr>
          <w:rFonts w:ascii="Arial" w:cs="Arial" w:eastAsia="Arial" w:hAnsi="Arial"/>
          <w:sz w:val="18"/>
          <w:szCs w:val="18"/>
          <w:b w:val="1"/>
          <w:bCs w:val="1"/>
          <w:color w:val="auto"/>
        </w:rPr>
        <w:t>Credicorp Ltd. and Subsidiaries</w:t>
      </w:r>
    </w:p>
    <w:p>
      <w:pPr>
        <w:spacing w:after="0" w:line="256" w:lineRule="exact"/>
        <w:rPr>
          <w:sz w:val="20"/>
          <w:szCs w:val="20"/>
          <w:color w:val="auto"/>
        </w:rPr>
      </w:pPr>
    </w:p>
    <w:p>
      <w:pPr>
        <w:ind w:left="1720"/>
        <w:spacing w:after="0" w:line="277" w:lineRule="auto"/>
        <w:rPr>
          <w:sz w:val="20"/>
          <w:szCs w:val="20"/>
          <w:color w:val="auto"/>
        </w:rPr>
      </w:pPr>
      <w:r>
        <w:rPr>
          <w:rFonts w:ascii="Arial" w:cs="Arial" w:eastAsia="Arial" w:hAnsi="Arial"/>
          <w:sz w:val="18"/>
          <w:szCs w:val="18"/>
          <w:color w:val="auto"/>
        </w:rPr>
        <w:t>Consolidated financial statements as of December 31, 2009 and 2008 together with the Report of Independent Registered Public Accounting Firm</w:t>
      </w:r>
    </w:p>
    <w:p>
      <w:pPr>
        <w:spacing w:after="0" w:line="346"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40"/>
          </w:cols>
          <w:pgMar w:left="1440" w:top="608" w:right="81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financial statements as of December 31, 2009 and 2008</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Arial" w:cs="Arial" w:eastAsia="Arial" w:hAnsi="Arial"/>
                <w:sz w:val="18"/>
                <w:szCs w:val="18"/>
                <w:b w:val="1"/>
                <w:bCs w:val="1"/>
                <w:color w:val="auto"/>
              </w:rPr>
              <w:t>Content</w:t>
            </w:r>
          </w:p>
        </w:tc>
        <w:tc>
          <w:tcPr>
            <w:tcW w:w="6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040" w:type="dxa"/>
            <w:vAlign w:val="bottom"/>
          </w:tcPr>
          <w:p>
            <w:pPr>
              <w:spacing w:after="0"/>
              <w:rPr>
                <w:sz w:val="21"/>
                <w:szCs w:val="21"/>
                <w:color w:val="auto"/>
              </w:rPr>
            </w:pPr>
          </w:p>
        </w:tc>
        <w:tc>
          <w:tcPr>
            <w:tcW w:w="6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6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63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financial position</w:t>
            </w:r>
          </w:p>
        </w:tc>
        <w:tc>
          <w:tcPr>
            <w:tcW w:w="6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comprehensive income</w:t>
            </w:r>
          </w:p>
        </w:tc>
        <w:tc>
          <w:tcPr>
            <w:tcW w:w="6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Consolidated statements of changes in equity</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636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Notes to the consolidated financial statements</w:t>
            </w:r>
          </w:p>
        </w:tc>
        <w:tc>
          <w:tcPr>
            <w:tcW w:w="6360" w:type="dxa"/>
            <w:vAlign w:val="bottom"/>
          </w:tcPr>
          <w:p>
            <w:pPr>
              <w:jc w:val="right"/>
              <w:ind w:right="1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688"/>
        </w:trPr>
        <w:tc>
          <w:tcPr>
            <w:tcW w:w="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6360" w:type="dxa"/>
            <w:vAlign w:val="bottom"/>
          </w:tcPr>
          <w:p>
            <w:pPr>
              <w:jc w:val="right"/>
              <w:ind w:right="549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40" w:type="dxa"/>
            <w:vAlign w:val="bottom"/>
            <w:tcBorders>
              <w:bottom w:val="single" w:sz="8" w:color="808080"/>
            </w:tcBorders>
          </w:tcPr>
          <w:p>
            <w:pPr>
              <w:spacing w:after="0"/>
              <w:rPr>
                <w:sz w:val="10"/>
                <w:szCs w:val="10"/>
                <w:color w:val="auto"/>
              </w:rPr>
            </w:pPr>
          </w:p>
        </w:tc>
        <w:tc>
          <w:tcPr>
            <w:tcW w:w="6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5" w:name="page156"/>
    <w:bookmarkEnd w:id="1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397510</wp:posOffset>
            </wp:positionV>
            <wp:extent cx="5746115" cy="10807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clrChange>
                        <a:clrFrom>
                          <a:srgbClr val="FFFFFF"/>
                        </a:clrFrom>
                        <a:clrTo>
                          <a:srgbClr val="FFFFFF">
                            <a:alpha val="0"/>
                          </a:srgbClr>
                        </a:clrTo>
                      </a:clrChange>
                      <a:extLst>
                        <a:ext uri="{28A0092B-C50C-407E-A947-70E740481C1C}"/>
                      </a:extLst>
                    </a:blip>
                    <a:srcRect/>
                    <a:stretch>
                      <a:fillRect/>
                    </a:stretch>
                  </pic:blipFill>
                  <pic:spPr bwMode="auto">
                    <a:xfrm>
                      <a:off x="0" y="0"/>
                      <a:ext cx="574611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Credicorp Ltd.</w:t>
      </w:r>
    </w:p>
    <w:p>
      <w:pPr>
        <w:spacing w:after="0" w:line="25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have audited the accompanying consolidated statement of financial position of Credicorp Ltd. and Subsidiaries as of December 31, 2009 and 2008, and the related consolidated statements of income, comprehensive income, changes in equity, and cash flows for each of the three years in the period ended December 31, 2009. These consolidated financial statements are the responsibility of the Company’s management. Our responsibility is to express an opinion on these consolidated financial statements based on our audits.</w:t>
      </w:r>
    </w:p>
    <w:p>
      <w:pPr>
        <w:spacing w:after="0" w:line="21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Credicorp Ltd. and Subsidiaries as of December 31, 2009 and 2008, and the consolidated results of their operations and their cash flows for each of the three years in the period ended December 31, 2009, in conformity with International Financial Reporting Standards as issued by the International Accounting Standards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57403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57403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551815</wp:posOffset>
            </wp:positionV>
            <wp:extent cx="5746115" cy="10807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clrChange>
                        <a:clrFrom>
                          <a:srgbClr val="FFFFFF"/>
                        </a:clrFrom>
                        <a:clrTo>
                          <a:srgbClr val="FFFFFF">
                            <a:alpha val="0"/>
                          </a:srgbClr>
                        </a:clrTo>
                      </a:clrChange>
                      <a:extLst>
                        <a:ext uri="{28A0092B-C50C-407E-A947-70E740481C1C}"/>
                      </a:extLst>
                    </a:blip>
                    <a:srcRect/>
                    <a:stretch>
                      <a:fillRect/>
                    </a:stretch>
                  </pic:blipFill>
                  <pic:spPr bwMode="auto">
                    <a:xfrm>
                      <a:off x="0" y="0"/>
                      <a:ext cx="5746115"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 (continued)</w:t>
      </w:r>
    </w:p>
    <w:p>
      <w:pPr>
        <w:spacing w:after="0" w:line="252"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have also audited, in accordance with the standards of the Public Company Accounting Oversight Board (United States of America), Credicorp Ltd and subsidiaries’ internal control over financial reporting as of December 31, 2009, based on criteria established in Internal Control-Integrated Framework issued by the Committee of Sponsoring Organizations of the Treadway Commission and our report dated June 15, 2010, expressed an unqualified opinion thereon.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15, 2010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2778760" cy="5918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778760" cy="5918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657860</wp:posOffset>
            </wp:positionV>
            <wp:extent cx="2178050" cy="7804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78050"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 Register Nº19-289</w:t>
      </w:r>
    </w:p>
    <w:p>
      <w:pPr>
        <w:spacing w:after="0" w:line="3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440" w:right="3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financial position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and 2008</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Note</w:t>
            </w:r>
          </w:p>
        </w:tc>
        <w:tc>
          <w:tcPr>
            <w:tcW w:w="13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040" w:type="dxa"/>
            <w:vAlign w:val="bottom"/>
            <w:shd w:val="clear" w:color="auto" w:fill="CCFFCC"/>
          </w:tcPr>
          <w:p>
            <w:pPr>
              <w:spacing w:after="0"/>
              <w:rPr>
                <w:sz w:val="18"/>
                <w:szCs w:val="18"/>
                <w:color w:val="auto"/>
              </w:rPr>
            </w:pP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938,486</w:t>
            </w:r>
          </w:p>
        </w:tc>
        <w:tc>
          <w:tcPr>
            <w:tcW w:w="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1,057,416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2,898,172</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2,708,755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3,836,658</w:t>
            </w:r>
          </w:p>
        </w:tc>
        <w:tc>
          <w:tcPr>
            <w:tcW w:w="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3,766,171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Trading securities</w:t>
            </w:r>
          </w:p>
        </w:tc>
        <w:tc>
          <w:tcPr>
            <w:tcW w:w="1040" w:type="dxa"/>
            <w:vAlign w:val="bottom"/>
          </w:tcPr>
          <w:p>
            <w:pPr>
              <w:spacing w:after="0"/>
              <w:rPr>
                <w:sz w:val="18"/>
                <w:szCs w:val="18"/>
                <w:color w:val="auto"/>
              </w:rPr>
            </w:pPr>
          </w:p>
        </w:tc>
        <w:tc>
          <w:tcPr>
            <w:tcW w:w="1700" w:type="dxa"/>
            <w:vAlign w:val="bottom"/>
            <w:gridSpan w:val="4"/>
          </w:tcPr>
          <w:p>
            <w:pPr>
              <w:jc w:val="right"/>
              <w:ind w:right="320"/>
              <w:spacing w:after="0"/>
              <w:rPr>
                <w:sz w:val="20"/>
                <w:szCs w:val="20"/>
                <w:color w:val="auto"/>
              </w:rPr>
            </w:pPr>
            <w:r>
              <w:rPr>
                <w:rFonts w:ascii="Arial" w:cs="Arial" w:eastAsia="Arial" w:hAnsi="Arial"/>
                <w:sz w:val="18"/>
                <w:szCs w:val="18"/>
                <w:color w:val="auto"/>
              </w:rPr>
              <w:t>70,774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36,084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available-for-sale</w:t>
            </w:r>
          </w:p>
        </w:tc>
        <w:tc>
          <w:tcPr>
            <w:tcW w:w="10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79"/>
              </w:rPr>
              <w:t>5</w:t>
            </w:r>
          </w:p>
        </w:tc>
        <w:tc>
          <w:tcPr>
            <w:tcW w:w="24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5,079,606</w:t>
            </w:r>
          </w:p>
        </w:tc>
        <w:tc>
          <w:tcPr>
            <w:tcW w:w="20" w:type="dxa"/>
            <w:vAlign w:val="bottom"/>
            <w:tcBorders>
              <w:bottom w:val="single" w:sz="8" w:color="CCFFCC"/>
            </w:tcBorders>
            <w:shd w:val="clear" w:color="auto" w:fill="CCFFCC"/>
          </w:tcPr>
          <w:p>
            <w:pPr>
              <w:spacing w:after="0"/>
              <w:rPr>
                <w:sz w:val="19"/>
                <w:szCs w:val="19"/>
                <w:color w:val="auto"/>
              </w:rPr>
            </w:pPr>
          </w:p>
        </w:tc>
        <w:tc>
          <w:tcPr>
            <w:tcW w:w="3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4,950,754</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5,150,380</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4,986,838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Loans, net:</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Loans, net of unearned income</w:t>
            </w:r>
          </w:p>
        </w:tc>
        <w:tc>
          <w:tcPr>
            <w:tcW w:w="1040" w:type="dxa"/>
            <w:vAlign w:val="bottom"/>
            <w:shd w:val="clear" w:color="auto" w:fill="CCFFCC"/>
          </w:tcPr>
          <w:p>
            <w:pPr>
              <w:spacing w:after="0"/>
              <w:rPr>
                <w:sz w:val="18"/>
                <w:szCs w:val="18"/>
                <w:color w:val="auto"/>
              </w:rPr>
            </w:pPr>
          </w:p>
        </w:tc>
        <w:tc>
          <w:tcPr>
            <w:tcW w:w="1700" w:type="dxa"/>
            <w:vAlign w:val="bottom"/>
            <w:gridSpan w:val="4"/>
            <w:shd w:val="clear" w:color="auto" w:fill="CCFFCC"/>
          </w:tcPr>
          <w:p>
            <w:pPr>
              <w:jc w:val="right"/>
              <w:ind w:right="320"/>
              <w:spacing w:after="0"/>
              <w:rPr>
                <w:sz w:val="20"/>
                <w:szCs w:val="20"/>
                <w:color w:val="auto"/>
              </w:rPr>
            </w:pPr>
            <w:r>
              <w:rPr>
                <w:rFonts w:ascii="Arial" w:cs="Arial" w:eastAsia="Arial" w:hAnsi="Arial"/>
                <w:sz w:val="18"/>
                <w:szCs w:val="18"/>
                <w:color w:val="auto"/>
              </w:rPr>
              <w:t>11,585,635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10,546,378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gridSpan w:val="3"/>
          </w:tcPr>
          <w:p>
            <w:pPr>
              <w:jc w:val="right"/>
              <w:ind w:right="260"/>
              <w:spacing w:after="0"/>
              <w:rPr>
                <w:sz w:val="20"/>
                <w:szCs w:val="20"/>
                <w:color w:val="auto"/>
              </w:rPr>
            </w:pPr>
            <w:r>
              <w:rPr>
                <w:rFonts w:ascii="Arial" w:cs="Arial" w:eastAsia="Arial" w:hAnsi="Arial"/>
                <w:sz w:val="18"/>
                <w:szCs w:val="18"/>
                <w:color w:val="auto"/>
              </w:rPr>
              <w:t>(354,355)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(224,337)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11,231,280</w:t>
            </w:r>
          </w:p>
        </w:tc>
        <w:tc>
          <w:tcPr>
            <w:tcW w:w="320" w:type="dxa"/>
            <w:vAlign w:val="bottom"/>
            <w:gridSpan w:val="2"/>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10,322,041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7</w:t>
            </w: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135,670</w:t>
            </w:r>
          </w:p>
        </w:tc>
        <w:tc>
          <w:tcPr>
            <w:tcW w:w="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Premiums and other policies receivable</w:t>
            </w:r>
          </w:p>
        </w:tc>
        <w:tc>
          <w:tcPr>
            <w:tcW w:w="1040" w:type="dxa"/>
            <w:vAlign w:val="bottom"/>
          </w:tcPr>
          <w:p>
            <w:pPr>
              <w:jc w:val="center"/>
              <w:spacing w:after="0"/>
              <w:rPr>
                <w:sz w:val="20"/>
                <w:szCs w:val="20"/>
                <w:color w:val="auto"/>
              </w:rPr>
            </w:pPr>
            <w:r>
              <w:rPr>
                <w:rFonts w:ascii="Arial" w:cs="Arial" w:eastAsia="Arial" w:hAnsi="Arial"/>
                <w:sz w:val="18"/>
                <w:szCs w:val="18"/>
                <w:color w:val="auto"/>
                <w:w w:val="87"/>
              </w:rPr>
              <w:t>8(a)</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121,338</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111,561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 from reinsurers and coinsurers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8(b)</w:t>
            </w: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137,098</w:t>
            </w:r>
          </w:p>
        </w:tc>
        <w:tc>
          <w:tcPr>
            <w:tcW w:w="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165,144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furniture and equipment, net</w:t>
            </w:r>
          </w:p>
        </w:tc>
        <w:tc>
          <w:tcPr>
            <w:tcW w:w="104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338,535</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329,458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040" w:type="dxa"/>
            <w:vAlign w:val="bottom"/>
            <w:shd w:val="clear" w:color="auto" w:fill="CCFFCC"/>
          </w:tcPr>
          <w:p>
            <w:pPr>
              <w:spacing w:after="0"/>
              <w:rPr>
                <w:sz w:val="18"/>
                <w:szCs w:val="18"/>
                <w:color w:val="auto"/>
              </w:rPr>
            </w:pPr>
          </w:p>
        </w:tc>
        <w:tc>
          <w:tcPr>
            <w:tcW w:w="1700" w:type="dxa"/>
            <w:vAlign w:val="bottom"/>
            <w:gridSpan w:val="4"/>
            <w:shd w:val="clear" w:color="auto" w:fill="CCFFCC"/>
          </w:tcPr>
          <w:p>
            <w:pPr>
              <w:jc w:val="right"/>
              <w:ind w:right="320"/>
              <w:spacing w:after="0"/>
              <w:rPr>
                <w:sz w:val="20"/>
                <w:szCs w:val="20"/>
                <w:color w:val="auto"/>
              </w:rPr>
            </w:pPr>
            <w:r>
              <w:rPr>
                <w:rFonts w:ascii="Arial" w:cs="Arial" w:eastAsia="Arial" w:hAnsi="Arial"/>
                <w:sz w:val="18"/>
                <w:szCs w:val="18"/>
                <w:color w:val="auto"/>
              </w:rPr>
              <w:t>96,423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Seized assets, net</w:t>
            </w:r>
          </w:p>
        </w:tc>
        <w:tc>
          <w:tcPr>
            <w:tcW w:w="10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11,233</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and goodwill, net</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10</w:t>
            </w:r>
          </w:p>
        </w:tc>
        <w:tc>
          <w:tcPr>
            <w:tcW w:w="14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341,951</w:t>
            </w:r>
          </w:p>
        </w:tc>
        <w:tc>
          <w:tcPr>
            <w:tcW w:w="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246,957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Other assets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627,541</w:t>
            </w:r>
          </w:p>
        </w:tc>
        <w:tc>
          <w:tcPr>
            <w:tcW w:w="3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510,920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040" w:type="dxa"/>
            <w:vAlign w:val="bottom"/>
          </w:tcPr>
          <w:p>
            <w:pPr>
              <w:spacing w:after="0"/>
              <w:rPr>
                <w:sz w:val="18"/>
                <w:szCs w:val="18"/>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22,028,107</w:t>
            </w:r>
          </w:p>
        </w:tc>
        <w:tc>
          <w:tcPr>
            <w:tcW w:w="3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20,821,069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700" w:type="dxa"/>
            <w:vAlign w:val="bottom"/>
          </w:tcPr>
          <w:p>
            <w:pPr>
              <w:ind w:left="760"/>
              <w:spacing w:after="0"/>
              <w:rPr>
                <w:sz w:val="20"/>
                <w:szCs w:val="20"/>
                <w:color w:val="auto"/>
              </w:rPr>
            </w:pPr>
            <w:r>
              <w:rPr>
                <w:rFonts w:ascii="Arial" w:cs="Arial" w:eastAsia="Arial" w:hAnsi="Arial"/>
                <w:sz w:val="18"/>
                <w:szCs w:val="18"/>
                <w:b w:val="1"/>
                <w:bCs w:val="1"/>
                <w:color w:val="auto"/>
              </w:rPr>
              <w:t>Note</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3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and equity</w:t>
            </w:r>
          </w:p>
        </w:tc>
        <w:tc>
          <w:tcPr>
            <w:tcW w:w="17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700" w:type="dxa"/>
            <w:vAlign w:val="bottom"/>
          </w:tcPr>
          <w:p>
            <w:pPr>
              <w:jc w:val="center"/>
              <w:ind w:left="70"/>
              <w:spacing w:after="0"/>
              <w:rPr>
                <w:sz w:val="20"/>
                <w:szCs w:val="20"/>
                <w:color w:val="auto"/>
              </w:rPr>
            </w:pPr>
            <w:r>
              <w:rPr>
                <w:rFonts w:ascii="Arial" w:cs="Arial" w:eastAsia="Arial" w:hAnsi="Arial"/>
                <w:sz w:val="18"/>
                <w:szCs w:val="18"/>
                <w:color w:val="auto"/>
                <w:w w:val="89"/>
              </w:rPr>
              <w:t>12</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Non-interest bearing</w:t>
            </w:r>
          </w:p>
        </w:tc>
        <w:tc>
          <w:tcPr>
            <w:tcW w:w="17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3,297,995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3,213,529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Interest bearing</w:t>
            </w:r>
          </w:p>
        </w:tc>
        <w:tc>
          <w:tcPr>
            <w:tcW w:w="170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10,793,833</w:t>
            </w:r>
          </w:p>
        </w:tc>
        <w:tc>
          <w:tcPr>
            <w:tcW w:w="3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10,736,908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14,091,828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13,950,437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170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90"/>
              </w:rPr>
              <w:t>13(a)</w:t>
            </w: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1,167,438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1,179,991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17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96,423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232,580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170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93"/>
              </w:rPr>
              <w:t>8(b)</w:t>
            </w: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48,009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Technical reserves, insurance claims reserves and reserves for unearned premiums</w:t>
            </w:r>
          </w:p>
        </w:tc>
        <w:tc>
          <w:tcPr>
            <w:tcW w:w="1700" w:type="dxa"/>
            <w:vAlign w:val="bottom"/>
          </w:tcPr>
          <w:p>
            <w:pPr>
              <w:jc w:val="center"/>
              <w:ind w:left="70"/>
              <w:spacing w:after="0"/>
              <w:rPr>
                <w:sz w:val="20"/>
                <w:szCs w:val="20"/>
                <w:color w:val="auto"/>
              </w:rPr>
            </w:pPr>
            <w:r>
              <w:rPr>
                <w:rFonts w:ascii="Arial" w:cs="Arial" w:eastAsia="Arial" w:hAnsi="Arial"/>
                <w:sz w:val="18"/>
                <w:szCs w:val="18"/>
                <w:color w:val="auto"/>
                <w:w w:val="89"/>
              </w:rPr>
              <w:t>14</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1,018,791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967,770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170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95"/>
              </w:rPr>
              <w:t>13(b)</w:t>
            </w: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1,089,221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1,150,716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Bonds and subordinated notes issued</w:t>
            </w:r>
          </w:p>
        </w:tc>
        <w:tc>
          <w:tcPr>
            <w:tcW w:w="1700" w:type="dxa"/>
            <w:vAlign w:val="bottom"/>
          </w:tcPr>
          <w:p>
            <w:pPr>
              <w:jc w:val="center"/>
              <w:ind w:left="70"/>
              <w:spacing w:after="0"/>
              <w:rPr>
                <w:sz w:val="20"/>
                <w:szCs w:val="20"/>
                <w:color w:val="auto"/>
              </w:rPr>
            </w:pPr>
            <w:r>
              <w:rPr>
                <w:rFonts w:ascii="Arial" w:cs="Arial" w:eastAsia="Arial" w:hAnsi="Arial"/>
                <w:sz w:val="18"/>
                <w:szCs w:val="18"/>
                <w:color w:val="auto"/>
                <w:w w:val="89"/>
              </w:rPr>
              <w:t>15</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1,287,022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785,230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CCFFCC"/>
            </w:tcBorders>
            <w:shd w:val="clear" w:color="auto" w:fill="CCFFCC"/>
          </w:tcPr>
          <w:p>
            <w:pPr>
              <w:jc w:val="center"/>
              <w:ind w:left="70"/>
              <w:spacing w:after="0"/>
              <w:rPr>
                <w:sz w:val="20"/>
                <w:szCs w:val="20"/>
                <w:color w:val="auto"/>
              </w:rPr>
            </w:pPr>
            <w:r>
              <w:rPr>
                <w:rFonts w:ascii="Arial" w:cs="Arial" w:eastAsia="Arial" w:hAnsi="Arial"/>
                <w:sz w:val="18"/>
                <w:szCs w:val="18"/>
                <w:color w:val="auto"/>
                <w:w w:val="89"/>
              </w:rPr>
              <w:t>11</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726,023</w:t>
            </w:r>
          </w:p>
        </w:tc>
        <w:tc>
          <w:tcPr>
            <w:tcW w:w="3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702,399</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17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19,524,755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19,024,964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FFCC"/>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700" w:type="dxa"/>
            <w:vAlign w:val="bottom"/>
          </w:tcPr>
          <w:p>
            <w:pPr>
              <w:jc w:val="center"/>
              <w:ind w:left="70"/>
              <w:spacing w:after="0"/>
              <w:rPr>
                <w:sz w:val="20"/>
                <w:szCs w:val="20"/>
                <w:color w:val="auto"/>
              </w:rPr>
            </w:pPr>
            <w:r>
              <w:rPr>
                <w:rFonts w:ascii="Arial" w:cs="Arial" w:eastAsia="Arial" w:hAnsi="Arial"/>
                <w:sz w:val="18"/>
                <w:szCs w:val="18"/>
                <w:color w:val="auto"/>
                <w:w w:val="89"/>
              </w:rPr>
              <w:t>16</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Capital and reserves attributable to Credicorp’s equity holders:</w:t>
            </w:r>
          </w:p>
        </w:tc>
        <w:tc>
          <w:tcPr>
            <w:tcW w:w="17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Capital stock</w:t>
            </w:r>
          </w:p>
        </w:tc>
        <w:tc>
          <w:tcPr>
            <w:tcW w:w="17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471,912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471,912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17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(74,242)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(73,107)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Capital surplus</w:t>
            </w:r>
          </w:p>
        </w:tc>
        <w:tc>
          <w:tcPr>
            <w:tcW w:w="17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130,341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140,693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170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1,059,344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815,387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reserves</w:t>
            </w:r>
          </w:p>
        </w:tc>
        <w:tc>
          <w:tcPr>
            <w:tcW w:w="17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237,446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(45,393)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170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492,055</w:t>
            </w:r>
          </w:p>
        </w:tc>
        <w:tc>
          <w:tcPr>
            <w:tcW w:w="320" w:type="dxa"/>
            <w:vAlign w:val="bottom"/>
            <w:tcBorders>
              <w:bottom w:val="single" w:sz="8" w:color="CCFFCC"/>
            </w:tcBorders>
            <w:shd w:val="clear" w:color="auto" w:fill="CCFFCC"/>
          </w:tcPr>
          <w:p>
            <w:pPr>
              <w:spacing w:after="0"/>
              <w:rPr>
                <w:sz w:val="19"/>
                <w:szCs w:val="19"/>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379,680</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2,316,856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1,689,172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w:t>
            </w:r>
          </w:p>
        </w:tc>
        <w:tc>
          <w:tcPr>
            <w:tcW w:w="170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186,496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106,933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Borders>
              <w:top w:val="single" w:sz="8" w:color="CCFFCC"/>
            </w:tcBorders>
          </w:tcPr>
          <w:p>
            <w:pPr>
              <w:spacing w:after="0"/>
              <w:rPr>
                <w:sz w:val="18"/>
                <w:szCs w:val="18"/>
                <w:color w:val="auto"/>
              </w:rPr>
            </w:pPr>
          </w:p>
        </w:tc>
        <w:tc>
          <w:tcPr>
            <w:tcW w:w="17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equity</w:t>
            </w:r>
          </w:p>
        </w:tc>
        <w:tc>
          <w:tcPr>
            <w:tcW w:w="1700" w:type="dxa"/>
            <w:vAlign w:val="bottom"/>
            <w:shd w:val="clear" w:color="auto" w:fill="CCFFCC"/>
          </w:tcPr>
          <w:p>
            <w:pPr>
              <w:spacing w:after="0"/>
              <w:rPr>
                <w:sz w:val="19"/>
                <w:szCs w:val="19"/>
                <w:color w:val="auto"/>
              </w:rPr>
            </w:pPr>
          </w:p>
        </w:tc>
        <w:tc>
          <w:tcPr>
            <w:tcW w:w="146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2,503,352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1,796,105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Borders>
              <w:top w:val="single" w:sz="8" w:color="CCFFCC"/>
            </w:tcBorders>
          </w:tcPr>
          <w:p>
            <w:pPr>
              <w:spacing w:after="0"/>
              <w:rPr>
                <w:sz w:val="18"/>
                <w:szCs w:val="18"/>
                <w:color w:val="auto"/>
              </w:rPr>
            </w:pPr>
          </w:p>
        </w:tc>
        <w:tc>
          <w:tcPr>
            <w:tcW w:w="17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liabilities and equity</w:t>
            </w:r>
          </w:p>
        </w:tc>
        <w:tc>
          <w:tcPr>
            <w:tcW w:w="170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22,028,107</w:t>
            </w:r>
          </w:p>
        </w:tc>
        <w:tc>
          <w:tcPr>
            <w:tcW w:w="320" w:type="dxa"/>
            <w:vAlign w:val="bottom"/>
            <w:tcBorders>
              <w:bottom w:val="single" w:sz="8" w:color="CCFFCC"/>
            </w:tcBorders>
            <w:shd w:val="clear" w:color="auto" w:fill="CCFFCC"/>
          </w:tcPr>
          <w:p>
            <w:pPr>
              <w:spacing w:after="0"/>
              <w:rPr>
                <w:sz w:val="22"/>
                <w:szCs w:val="22"/>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20,821,069</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453"/>
        </w:trPr>
        <w:tc>
          <w:tcPr>
            <w:tcW w:w="7020" w:type="dxa"/>
            <w:vAlign w:val="bottom"/>
            <w:gridSpan w:val="2"/>
          </w:tcPr>
          <w:p>
            <w:pPr>
              <w:spacing w:after="0"/>
              <w:rPr>
                <w:sz w:val="20"/>
                <w:szCs w:val="20"/>
                <w:color w:val="auto"/>
              </w:rPr>
            </w:pPr>
            <w:r>
              <w:rPr>
                <w:rFonts w:ascii="Arial" w:cs="Arial" w:eastAsia="Arial" w:hAnsi="Arial"/>
                <w:sz w:val="18"/>
                <w:szCs w:val="18"/>
                <w:color w:val="auto"/>
                <w:w w:val="99"/>
              </w:rPr>
              <w:t>The accompanying notes are an integral part of these consolidated financial statements.</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000" w:type="dxa"/>
            <w:vAlign w:val="bottom"/>
          </w:tcPr>
          <w:p>
            <w:pPr>
              <w:ind w:left="5560"/>
              <w:spacing w:after="0"/>
              <w:rPr>
                <w:sz w:val="20"/>
                <w:szCs w:val="20"/>
                <w:color w:val="auto"/>
              </w:rPr>
            </w:pPr>
            <w:r>
              <w:rPr>
                <w:rFonts w:ascii="Arial" w:cs="Arial" w:eastAsia="Arial" w:hAnsi="Arial"/>
                <w:sz w:val="18"/>
                <w:szCs w:val="18"/>
                <w:color w:val="auto"/>
              </w:rPr>
              <w:t>F-5</w:t>
            </w:r>
          </w:p>
        </w:tc>
        <w:tc>
          <w:tcPr>
            <w:tcW w:w="1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4763"/>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4763"/>
                    </a:xfrm>
                    <a:prstGeom prst="rect">
                      <a:avLst/>
                    </a:prstGeom>
                    <a:noFill/>
                  </pic:spPr>
                </pic:pic>
              </a:graphicData>
            </a:graphic>
          </wp:anchor>
        </w:drawing>
      </w:r>
    </w:p>
    <w:p>
      <w:pPr>
        <w:sectPr>
          <w:pgSz w:w="11900" w:h="16838" w:orient="portrait"/>
          <w:cols w:equalWidth="0" w:num="1">
            <w:col w:w="11420"/>
          </w:cols>
          <w:pgMar w:left="240" w:top="513" w:right="239" w:bottom="0"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079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107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2009, 2008 and 2007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Note</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0"/>
                <w:szCs w:val="20"/>
                <w:color w:val="auto"/>
              </w:rPr>
            </w:pP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income</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1,312,925</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1,382,844</w:t>
            </w: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1,065,339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Interest expense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(420,564)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(561,617)</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(431,365)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892,361</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821,227</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633,974</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Provision for loan losses, net of recoveries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3"/>
              </w:rPr>
              <w:t>6(d)</w:t>
            </w:r>
          </w:p>
        </w:tc>
        <w:tc>
          <w:tcPr>
            <w:tcW w:w="158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(163,392)</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(48,760)</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(28,439)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Borders>
              <w:top w:val="single" w:sz="8" w:color="CCFFCC"/>
            </w:tcBorders>
          </w:tcPr>
          <w:p>
            <w:pPr>
              <w:spacing w:after="0"/>
              <w:rPr>
                <w:sz w:val="18"/>
                <w:szCs w:val="18"/>
                <w:color w:val="auto"/>
              </w:rPr>
            </w:pPr>
          </w:p>
        </w:tc>
        <w:tc>
          <w:tcPr>
            <w:tcW w:w="10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 after provision for loan losses</w:t>
            </w:r>
          </w:p>
        </w:tc>
        <w:tc>
          <w:tcPr>
            <w:tcW w:w="1040" w:type="dxa"/>
            <w:vAlign w:val="bottom"/>
            <w:shd w:val="clear" w:color="auto" w:fill="CCFFCC"/>
          </w:tcPr>
          <w:p>
            <w:pPr>
              <w:spacing w:after="0"/>
              <w:rPr>
                <w:sz w:val="19"/>
                <w:szCs w:val="19"/>
                <w:color w:val="auto"/>
              </w:rPr>
            </w:pP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728,969</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772,467</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605,535</w:t>
            </w:r>
          </w:p>
        </w:tc>
        <w:tc>
          <w:tcPr>
            <w:tcW w:w="12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tcBorders>
              <w:top w:val="single" w:sz="8" w:color="CCFFCC"/>
            </w:tcBorders>
          </w:tcPr>
          <w:p>
            <w:pPr>
              <w:spacing w:after="0"/>
              <w:rPr>
                <w:sz w:val="18"/>
                <w:szCs w:val="18"/>
                <w:color w:val="auto"/>
              </w:rPr>
            </w:pPr>
          </w:p>
        </w:tc>
        <w:tc>
          <w:tcPr>
            <w:tcW w:w="1040" w:type="dxa"/>
            <w:vAlign w:val="bottom"/>
            <w:tcBorders>
              <w:top w:val="single" w:sz="8" w:color="CCFFCC"/>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Banking services commissions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436,819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394,247</w:t>
            </w:r>
          </w:p>
        </w:tc>
        <w:tc>
          <w:tcPr>
            <w:tcW w:w="1160" w:type="dxa"/>
            <w:vAlign w:val="bottom"/>
          </w:tcPr>
          <w:p>
            <w:pPr>
              <w:jc w:val="right"/>
              <w:spacing w:after="0"/>
              <w:rPr>
                <w:sz w:val="20"/>
                <w:szCs w:val="20"/>
                <w:color w:val="auto"/>
              </w:rPr>
            </w:pPr>
            <w:r>
              <w:rPr>
                <w:rFonts w:ascii="Arial" w:cs="Arial" w:eastAsia="Arial" w:hAnsi="Arial"/>
                <w:sz w:val="18"/>
                <w:szCs w:val="18"/>
                <w:color w:val="auto"/>
              </w:rPr>
              <w:t>324,761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Net gain on foreign exchange transactions</w:t>
            </w:r>
          </w:p>
        </w:tc>
        <w:tc>
          <w:tcPr>
            <w:tcW w:w="1040" w:type="dxa"/>
            <w:vAlign w:val="bottom"/>
            <w:shd w:val="clear" w:color="auto" w:fill="CCFFCC"/>
          </w:tcPr>
          <w:p>
            <w:pPr>
              <w:spacing w:after="0"/>
              <w:rPr>
                <w:sz w:val="18"/>
                <w:szCs w:val="18"/>
                <w:color w:val="auto"/>
              </w:rPr>
            </w:pP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87,944</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108,709</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Net gain on sale of securities</w:t>
            </w:r>
          </w:p>
        </w:tc>
        <w:tc>
          <w:tcPr>
            <w:tcW w:w="1040" w:type="dxa"/>
            <w:vAlign w:val="bottom"/>
          </w:tcPr>
          <w:p>
            <w:pPr>
              <w:spacing w:after="0"/>
              <w:rPr>
                <w:sz w:val="18"/>
                <w:szCs w:val="18"/>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120,932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51,936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46,376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3"/>
              </w:rPr>
              <w:t>Net gain on financial assets and liabilities designated at fair value through profit or</w:t>
            </w:r>
          </w:p>
        </w:tc>
        <w:tc>
          <w:tcPr>
            <w:tcW w:w="10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loss</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79"/>
              </w:rPr>
              <w:t>7</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42,792</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65,088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32,144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37,672</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Total other income</w:t>
            </w:r>
          </w:p>
        </w:tc>
        <w:tc>
          <w:tcPr>
            <w:tcW w:w="104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720,631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592,564</w:t>
            </w:r>
          </w:p>
        </w:tc>
        <w:tc>
          <w:tcPr>
            <w:tcW w:w="1160" w:type="dxa"/>
            <w:vAlign w:val="bottom"/>
          </w:tcPr>
          <w:p>
            <w:pPr>
              <w:jc w:val="right"/>
              <w:spacing w:after="0"/>
              <w:rPr>
                <w:sz w:val="20"/>
                <w:szCs w:val="20"/>
                <w:color w:val="auto"/>
              </w:rPr>
            </w:pPr>
            <w:r>
              <w:rPr>
                <w:rFonts w:ascii="Arial" w:cs="Arial" w:eastAsia="Arial" w:hAnsi="Arial"/>
                <w:sz w:val="18"/>
                <w:szCs w:val="18"/>
                <w:color w:val="auto"/>
              </w:rPr>
              <w:t>522,937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Insurance premiums and claims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0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22</w:t>
            </w:r>
          </w:p>
        </w:tc>
        <w:tc>
          <w:tcPr>
            <w:tcW w:w="158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424,682</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393,903</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297,272</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w w:val="95"/>
              </w:rPr>
              <w:t>Net claims incurred for life, property and casualty and health insurance contracts</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color w:val="auto"/>
              </w:rPr>
              <w:t>(286,458)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(341,910)</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(238,600)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Total premiums earned less claims</w:t>
            </w:r>
          </w:p>
        </w:tc>
        <w:tc>
          <w:tcPr>
            <w:tcW w:w="1040" w:type="dxa"/>
            <w:vAlign w:val="bottom"/>
          </w:tcPr>
          <w:p>
            <w:pPr>
              <w:spacing w:after="0"/>
              <w:rPr>
                <w:sz w:val="19"/>
                <w:szCs w:val="19"/>
                <w:color w:val="auto"/>
              </w:rPr>
            </w:pP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138,224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51,993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58,672</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6120" w:type="dxa"/>
            <w:vAlign w:val="bottom"/>
          </w:tcPr>
          <w:p>
            <w:pPr>
              <w:ind w:left="5560"/>
              <w:spacing w:after="0"/>
              <w:rPr>
                <w:sz w:val="20"/>
                <w:szCs w:val="20"/>
                <w:color w:val="auto"/>
              </w:rPr>
            </w:pPr>
            <w:r>
              <w:rPr>
                <w:rFonts w:ascii="Arial" w:cs="Arial" w:eastAsia="Arial" w:hAnsi="Arial"/>
                <w:sz w:val="18"/>
                <w:szCs w:val="18"/>
                <w:color w:val="auto"/>
              </w:rPr>
              <w:t>F-6</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color w:val="auto"/>
        </w:rPr>
        <w:t xml:space="preserve">Consolidated statements of income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Note</w:t>
            </w:r>
          </w:p>
        </w:tc>
        <w:tc>
          <w:tcPr>
            <w:tcW w:w="14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Salaries and employees benefits</w:t>
            </w:r>
          </w:p>
        </w:tc>
        <w:tc>
          <w:tcPr>
            <w:tcW w:w="1380" w:type="dxa"/>
            <w:vAlign w:val="bottom"/>
          </w:tcPr>
          <w:p>
            <w:pPr>
              <w:spacing w:after="0"/>
              <w:rPr>
                <w:sz w:val="18"/>
                <w:szCs w:val="18"/>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(467,116)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(365,201)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(409,037)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expenses</w:t>
            </w:r>
          </w:p>
        </w:tc>
        <w:tc>
          <w:tcPr>
            <w:tcW w:w="1380" w:type="dxa"/>
            <w:vAlign w:val="bottom"/>
            <w:shd w:val="clear" w:color="auto" w:fill="CCFFCC"/>
          </w:tcPr>
          <w:p>
            <w:pPr>
              <w:spacing w:after="0"/>
              <w:rPr>
                <w:sz w:val="18"/>
                <w:szCs w:val="18"/>
                <w:color w:val="auto"/>
              </w:rPr>
            </w:pPr>
          </w:p>
        </w:tc>
        <w:tc>
          <w:tcPr>
            <w:tcW w:w="16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(312,256)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(269,291)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(206,966)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20" w:type="dxa"/>
            <w:vAlign w:val="bottom"/>
          </w:tcPr>
          <w:p>
            <w:pPr>
              <w:spacing w:after="0" w:line="201" w:lineRule="exact"/>
              <w:rPr>
                <w:sz w:val="20"/>
                <w:szCs w:val="20"/>
                <w:color w:val="auto"/>
              </w:rPr>
            </w:pPr>
            <w:r>
              <w:rPr>
                <w:rFonts w:ascii="Arial" w:cs="Arial" w:eastAsia="Arial" w:hAnsi="Arial"/>
                <w:sz w:val="18"/>
                <w:szCs w:val="18"/>
                <w:color w:val="auto"/>
                <w:w w:val="99"/>
              </w:rPr>
              <w:t>Net loss on financial assets and liabilities designated at fair value through</w:t>
            </w: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ind w:left="160"/>
              <w:spacing w:after="0"/>
              <w:rPr>
                <w:sz w:val="20"/>
                <w:szCs w:val="20"/>
                <w:color w:val="auto"/>
              </w:rPr>
            </w:pPr>
            <w:r>
              <w:rPr>
                <w:rFonts w:ascii="Arial" w:cs="Arial" w:eastAsia="Arial" w:hAnsi="Arial"/>
                <w:sz w:val="18"/>
                <w:szCs w:val="18"/>
                <w:color w:val="auto"/>
              </w:rPr>
              <w:t>profit or loss</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(65,364)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9(a) and 10(a)</w:t>
            </w:r>
          </w:p>
        </w:tc>
        <w:tc>
          <w:tcPr>
            <w:tcW w:w="16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(71,099)</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(57,369)</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Provision for seized assets</w:t>
            </w:r>
          </w:p>
        </w:tc>
        <w:tc>
          <w:tcPr>
            <w:tcW w:w="1380" w:type="dxa"/>
            <w:vAlign w:val="bottom"/>
          </w:tcPr>
          <w:p>
            <w:pPr>
              <w:spacing w:after="0"/>
              <w:rPr>
                <w:sz w:val="18"/>
                <w:szCs w:val="18"/>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(64)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(1,067)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Impairment loss on available-for-sale investments</w:t>
            </w:r>
          </w:p>
        </w:tc>
        <w:tc>
          <w:tcPr>
            <w:tcW w:w="13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6"/>
              </w:rPr>
              <w:t>5(c)</w:t>
            </w:r>
          </w:p>
        </w:tc>
        <w:tc>
          <w:tcPr>
            <w:tcW w:w="160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(9,825)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(60,435)</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Other</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24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(96,750)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(101,876)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(71,999)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other expenses</w:t>
            </w:r>
          </w:p>
        </w:tc>
        <w:tc>
          <w:tcPr>
            <w:tcW w:w="138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(957,110)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(920,603)</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(747,089)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Income before translation result and income tax</w:t>
            </w:r>
          </w:p>
        </w:tc>
        <w:tc>
          <w:tcPr>
            <w:tcW w:w="1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630,714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496,421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440,055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12,222</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(17,650)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3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17(b)</w:t>
            </w:r>
          </w:p>
        </w:tc>
        <w:tc>
          <w:tcPr>
            <w:tcW w:w="2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(138,500)</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(109,508)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(102,287)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shd w:val="clear" w:color="auto" w:fill="CCFFCC"/>
          </w:tcPr>
          <w:p>
            <w:pPr>
              <w:spacing w:after="0"/>
              <w:rPr>
                <w:sz w:val="2"/>
                <w:szCs w:val="2"/>
                <w:color w:val="auto"/>
              </w:rPr>
            </w:pPr>
          </w:p>
        </w:tc>
        <w:tc>
          <w:tcPr>
            <w:tcW w:w="1380" w:type="dxa"/>
            <w:vAlign w:val="bottom"/>
            <w:shd w:val="clear" w:color="auto" w:fill="CCFFCC"/>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Borders>
              <w:left w:val="single" w:sz="8" w:color="CCFFCC"/>
            </w:tcBorders>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504,436</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369,263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372,395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Equity holders of Credicorp Ltd.</w:t>
            </w:r>
          </w:p>
        </w:tc>
        <w:tc>
          <w:tcPr>
            <w:tcW w:w="13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469,785</w:t>
            </w:r>
          </w:p>
        </w:tc>
        <w:tc>
          <w:tcPr>
            <w:tcW w:w="200" w:type="dxa"/>
            <w:vAlign w:val="bottom"/>
            <w:tcBorders>
              <w:left w:val="single" w:sz="8" w:color="CCFFCC"/>
            </w:tcBorders>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357,756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Minority interest</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34,651</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11,507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21,660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5820" w:type="dxa"/>
            <w:vAlign w:val="bottom"/>
            <w:shd w:val="clear" w:color="auto" w:fill="CCFFCC"/>
          </w:tcPr>
          <w:p>
            <w:pPr>
              <w:spacing w:after="0"/>
              <w:rPr>
                <w:sz w:val="22"/>
                <w:szCs w:val="22"/>
                <w:color w:val="auto"/>
              </w:rPr>
            </w:pPr>
          </w:p>
        </w:tc>
        <w:tc>
          <w:tcPr>
            <w:tcW w:w="1380" w:type="dxa"/>
            <w:vAlign w:val="bottom"/>
            <w:shd w:val="clear" w:color="auto" w:fill="CCFFCC"/>
          </w:tcPr>
          <w:p>
            <w:pPr>
              <w:spacing w:after="0"/>
              <w:rPr>
                <w:sz w:val="22"/>
                <w:szCs w:val="22"/>
                <w:color w:val="auto"/>
              </w:rPr>
            </w:pPr>
          </w:p>
        </w:tc>
        <w:tc>
          <w:tcPr>
            <w:tcW w:w="240" w:type="dxa"/>
            <w:vAlign w:val="bottom"/>
            <w:shd w:val="clear" w:color="auto" w:fill="CCFFCC"/>
          </w:tcPr>
          <w:p>
            <w:pPr>
              <w:spacing w:after="0"/>
              <w:rPr>
                <w:sz w:val="22"/>
                <w:szCs w:val="22"/>
                <w:color w:val="auto"/>
              </w:rPr>
            </w:pP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504,436</w:t>
            </w:r>
          </w:p>
        </w:tc>
        <w:tc>
          <w:tcPr>
            <w:tcW w:w="200" w:type="dxa"/>
            <w:vAlign w:val="bottom"/>
            <w:tcBorders>
              <w:left w:val="single" w:sz="8" w:color="CCFFCC"/>
            </w:tcBorders>
            <w:shd w:val="clear" w:color="auto" w:fill="CCFFCC"/>
          </w:tcPr>
          <w:p>
            <w:pPr>
              <w:spacing w:after="0"/>
              <w:rPr>
                <w:sz w:val="22"/>
                <w:szCs w:val="22"/>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369,263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372,395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Borders>
              <w:top w:val="single" w:sz="8" w:color="CCFFCC"/>
            </w:tcBorders>
          </w:tcPr>
          <w:p>
            <w:pPr>
              <w:spacing w:after="0"/>
              <w:rPr>
                <w:sz w:val="18"/>
                <w:szCs w:val="18"/>
                <w:color w:val="auto"/>
              </w:rPr>
            </w:pPr>
          </w:p>
        </w:tc>
        <w:tc>
          <w:tcPr>
            <w:tcW w:w="1380" w:type="dxa"/>
            <w:vAlign w:val="bottom"/>
            <w:tcBorders>
              <w:top w:val="single" w:sz="8" w:color="CCFFCC"/>
            </w:tcBorders>
          </w:tcPr>
          <w:p>
            <w:pPr>
              <w:spacing w:after="0"/>
              <w:rPr>
                <w:sz w:val="18"/>
                <w:szCs w:val="18"/>
                <w:color w:val="auto"/>
              </w:rPr>
            </w:pPr>
          </w:p>
        </w:tc>
        <w:tc>
          <w:tcPr>
            <w:tcW w:w="24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82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Earnings per share for net income attributable to equity holders of</w:t>
            </w:r>
          </w:p>
        </w:tc>
        <w:tc>
          <w:tcPr>
            <w:tcW w:w="13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200" w:type="dxa"/>
            <w:vAlign w:val="bottom"/>
            <w:tcBorders>
              <w:left w:val="single" w:sz="8" w:color="CCFFCC"/>
            </w:tcBorders>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2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Credicorp Ltd. (in United States dollars):</w:t>
            </w:r>
          </w:p>
        </w:tc>
        <w:tc>
          <w:tcPr>
            <w:tcW w:w="1380" w:type="dxa"/>
            <w:vAlign w:val="bottom"/>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1160" w:type="dxa"/>
            <w:vAlign w:val="bottom"/>
            <w:shd w:val="clear" w:color="auto" w:fill="CCFFCC"/>
          </w:tcPr>
          <w:p>
            <w:pPr>
              <w:spacing w:after="0"/>
              <w:rPr>
                <w:sz w:val="20"/>
                <w:szCs w:val="20"/>
                <w:color w:val="auto"/>
              </w:rPr>
            </w:pPr>
          </w:p>
        </w:tc>
        <w:tc>
          <w:tcPr>
            <w:tcW w:w="200" w:type="dxa"/>
            <w:vAlign w:val="bottom"/>
            <w:tcBorders>
              <w:left w:val="single" w:sz="8" w:color="CCFFCC"/>
            </w:tcBorders>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tcPr>
          <w:p>
            <w:pPr>
              <w:ind w:left="160"/>
              <w:spacing w:after="0"/>
              <w:rPr>
                <w:sz w:val="20"/>
                <w:szCs w:val="20"/>
                <w:color w:val="auto"/>
              </w:rPr>
            </w:pPr>
            <w:r>
              <w:rPr>
                <w:rFonts w:ascii="Arial" w:cs="Arial" w:eastAsia="Arial" w:hAnsi="Arial"/>
                <w:sz w:val="18"/>
                <w:szCs w:val="18"/>
                <w:b w:val="1"/>
                <w:bCs w:val="1"/>
                <w:color w:val="auto"/>
              </w:rPr>
              <w:t>Basic</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00" w:type="dxa"/>
            <w:vAlign w:val="bottom"/>
            <w:tcBorders>
              <w:left w:val="single" w:sz="8" w:color="CCFFCC"/>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ind w:left="160"/>
              <w:spacing w:after="0"/>
              <w:rPr>
                <w:sz w:val="20"/>
                <w:szCs w:val="20"/>
                <w:color w:val="auto"/>
              </w:rPr>
            </w:pPr>
            <w:r>
              <w:rPr>
                <w:rFonts w:ascii="Arial" w:cs="Arial" w:eastAsia="Arial" w:hAnsi="Arial"/>
                <w:sz w:val="18"/>
                <w:szCs w:val="18"/>
                <w:b w:val="1"/>
                <w:bCs w:val="1"/>
                <w:color w:val="auto"/>
              </w:rPr>
              <w:t>Diluted</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comprehensive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2009, 2008 and 2007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40" w:type="dxa"/>
            <w:vAlign w:val="bottom"/>
          </w:tcPr>
          <w:p>
            <w:pPr>
              <w:ind w:left="340"/>
              <w:spacing w:after="0"/>
              <w:rPr>
                <w:sz w:val="20"/>
                <w:szCs w:val="20"/>
                <w:color w:val="auto"/>
              </w:rPr>
            </w:pPr>
            <w:r>
              <w:rPr>
                <w:rFonts w:ascii="Arial" w:cs="Arial" w:eastAsia="Arial" w:hAnsi="Arial"/>
                <w:sz w:val="18"/>
                <w:szCs w:val="18"/>
                <w:b w:val="1"/>
                <w:bCs w:val="1"/>
                <w:color w:val="auto"/>
              </w:rPr>
              <w:t>Note</w:t>
            </w:r>
          </w:p>
        </w:tc>
        <w:tc>
          <w:tcPr>
            <w:tcW w:w="136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220" w:type="dxa"/>
            <w:vAlign w:val="bottom"/>
          </w:tcPr>
          <w:p>
            <w:pPr>
              <w:spacing w:after="0"/>
              <w:rPr>
                <w:sz w:val="20"/>
                <w:szCs w:val="20"/>
                <w:color w:val="auto"/>
              </w:rPr>
            </w:pPr>
          </w:p>
        </w:tc>
        <w:tc>
          <w:tcPr>
            <w:tcW w:w="116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US$(000)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04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504,436</w:t>
            </w: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369,263</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372,395</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Net gain (loss) on investments available–for-sale</w:t>
            </w:r>
          </w:p>
        </w:tc>
        <w:tc>
          <w:tcPr>
            <w:tcW w:w="1040" w:type="dxa"/>
            <w:vAlign w:val="bottom"/>
          </w:tcPr>
          <w:p>
            <w:pPr>
              <w:ind w:left="320"/>
              <w:spacing w:after="0"/>
              <w:rPr>
                <w:sz w:val="20"/>
                <w:szCs w:val="20"/>
                <w:color w:val="auto"/>
              </w:rPr>
            </w:pPr>
            <w:r>
              <w:rPr>
                <w:rFonts w:ascii="Arial" w:cs="Arial" w:eastAsia="Arial" w:hAnsi="Arial"/>
                <w:sz w:val="18"/>
                <w:szCs w:val="18"/>
                <w:color w:val="auto"/>
              </w:rPr>
              <w:t>16(d)</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268,550</w:t>
            </w:r>
          </w:p>
        </w:tc>
        <w:tc>
          <w:tcPr>
            <w:tcW w:w="20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(198,646)</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83,132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Net movement of cash flow hedge</w:t>
            </w:r>
          </w:p>
        </w:tc>
        <w:tc>
          <w:tcPr>
            <w:tcW w:w="1040" w:type="dxa"/>
            <w:vAlign w:val="bottom"/>
            <w:shd w:val="clear" w:color="auto" w:fill="CCFFCC"/>
          </w:tcPr>
          <w:p>
            <w:pPr>
              <w:ind w:left="320"/>
              <w:spacing w:after="0"/>
              <w:rPr>
                <w:sz w:val="20"/>
                <w:szCs w:val="20"/>
                <w:color w:val="auto"/>
              </w:rPr>
            </w:pPr>
            <w:r>
              <w:rPr>
                <w:rFonts w:ascii="Arial" w:cs="Arial" w:eastAsia="Arial" w:hAnsi="Arial"/>
                <w:sz w:val="18"/>
                <w:szCs w:val="18"/>
                <w:color w:val="auto"/>
              </w:rPr>
              <w:t>16(d)</w:t>
            </w:r>
          </w:p>
        </w:tc>
        <w:tc>
          <w:tcPr>
            <w:tcW w:w="158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66,024</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(81,293)</w:t>
            </w:r>
          </w:p>
        </w:tc>
        <w:tc>
          <w:tcPr>
            <w:tcW w:w="1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ind w:left="320"/>
              <w:spacing w:after="0"/>
              <w:rPr>
                <w:sz w:val="20"/>
                <w:szCs w:val="20"/>
                <w:color w:val="auto"/>
              </w:rPr>
            </w:pPr>
            <w:r>
              <w:rPr>
                <w:rFonts w:ascii="Arial" w:cs="Arial" w:eastAsia="Arial" w:hAnsi="Arial"/>
                <w:sz w:val="18"/>
                <w:szCs w:val="18"/>
                <w:color w:val="auto"/>
              </w:rPr>
              <w:t>Income tax</w:t>
            </w:r>
          </w:p>
        </w:tc>
        <w:tc>
          <w:tcPr>
            <w:tcW w:w="1040" w:type="dxa"/>
            <w:vAlign w:val="bottom"/>
          </w:tcPr>
          <w:p>
            <w:pPr>
              <w:ind w:left="320"/>
              <w:spacing w:after="0"/>
              <w:rPr>
                <w:sz w:val="20"/>
                <w:szCs w:val="20"/>
                <w:color w:val="auto"/>
              </w:rPr>
            </w:pPr>
            <w:r>
              <w:rPr>
                <w:rFonts w:ascii="Arial" w:cs="Arial" w:eastAsia="Arial" w:hAnsi="Arial"/>
                <w:sz w:val="18"/>
                <w:szCs w:val="18"/>
                <w:color w:val="auto"/>
              </w:rPr>
              <w:t>16(d)</w:t>
            </w:r>
          </w:p>
        </w:tc>
        <w:tc>
          <w:tcPr>
            <w:tcW w:w="1580" w:type="dxa"/>
            <w:vAlign w:val="bottom"/>
            <w:gridSpan w:val="4"/>
          </w:tcPr>
          <w:p>
            <w:pPr>
              <w:jc w:val="right"/>
              <w:ind w:right="160"/>
              <w:spacing w:after="0"/>
              <w:rPr>
                <w:sz w:val="20"/>
                <w:szCs w:val="20"/>
                <w:color w:val="auto"/>
              </w:rPr>
            </w:pPr>
            <w:r>
              <w:rPr>
                <w:rFonts w:ascii="Arial" w:cs="Arial" w:eastAsia="Arial" w:hAnsi="Arial"/>
                <w:sz w:val="18"/>
                <w:szCs w:val="18"/>
                <w:color w:val="auto"/>
              </w:rPr>
              <w:t>(5,841)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21,516</w:t>
            </w: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(11,046)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year, net of income tax</w:t>
            </w:r>
          </w:p>
        </w:tc>
        <w:tc>
          <w:tcPr>
            <w:tcW w:w="1040" w:type="dxa"/>
            <w:vAlign w:val="bottom"/>
          </w:tcPr>
          <w:p>
            <w:pPr>
              <w:spacing w:after="0"/>
              <w:rPr>
                <w:sz w:val="19"/>
                <w:szCs w:val="19"/>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328,733</w:t>
            </w:r>
          </w:p>
        </w:tc>
        <w:tc>
          <w:tcPr>
            <w:tcW w:w="20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(258,423)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31,715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 net of income tax</w:t>
            </w:r>
          </w:p>
        </w:tc>
        <w:tc>
          <w:tcPr>
            <w:tcW w:w="10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833,169</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110,840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404,110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20"/>
                <w:szCs w:val="20"/>
                <w:color w:val="auto"/>
              </w:rPr>
            </w:pPr>
            <w:r>
              <w:rPr>
                <w:rFonts w:ascii="Arial" w:cs="Arial" w:eastAsia="Arial" w:hAnsi="Arial"/>
                <w:sz w:val="18"/>
                <w:szCs w:val="18"/>
                <w:color w:val="auto"/>
              </w:rPr>
              <w:t>Equity holders of Credicorp Ltd.</w:t>
            </w:r>
          </w:p>
        </w:tc>
        <w:tc>
          <w:tcPr>
            <w:tcW w:w="104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752,624</w:t>
            </w:r>
          </w:p>
        </w:tc>
        <w:tc>
          <w:tcPr>
            <w:tcW w:w="2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132,813</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382,876</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Minority interest</w:t>
            </w:r>
          </w:p>
        </w:tc>
        <w:tc>
          <w:tcPr>
            <w:tcW w:w="1040" w:type="dxa"/>
            <w:vAlign w:val="bottom"/>
          </w:tcPr>
          <w:p>
            <w:pPr>
              <w:spacing w:after="0"/>
              <w:rPr>
                <w:sz w:val="19"/>
                <w:szCs w:val="19"/>
                <w:color w:val="auto"/>
              </w:rPr>
            </w:pPr>
          </w:p>
        </w:tc>
        <w:tc>
          <w:tcPr>
            <w:tcW w:w="1580" w:type="dxa"/>
            <w:vAlign w:val="bottom"/>
            <w:gridSpan w:val="4"/>
          </w:tcPr>
          <w:p>
            <w:pPr>
              <w:jc w:val="right"/>
              <w:ind w:right="220"/>
              <w:spacing w:after="0"/>
              <w:rPr>
                <w:sz w:val="20"/>
                <w:szCs w:val="20"/>
                <w:color w:val="auto"/>
              </w:rPr>
            </w:pPr>
            <w:r>
              <w:rPr>
                <w:rFonts w:ascii="Arial" w:cs="Arial" w:eastAsia="Arial" w:hAnsi="Arial"/>
                <w:sz w:val="18"/>
                <w:szCs w:val="18"/>
                <w:color w:val="auto"/>
              </w:rPr>
              <w:t>80,545</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(21,973)</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21,234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833,169</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110,840</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404,110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2009, 2008 and 2007</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660" w:type="dxa"/>
            <w:vAlign w:val="bottom"/>
            <w:tcBorders>
              <w:bottom w:val="single" w:sz="8" w:color="auto"/>
            </w:tcBorders>
            <w:gridSpan w:val="7"/>
          </w:tcPr>
          <w:p>
            <w:pPr>
              <w:jc w:val="right"/>
              <w:ind w:right="380"/>
              <w:spacing w:after="0"/>
              <w:rPr>
                <w:sz w:val="20"/>
                <w:szCs w:val="20"/>
                <w:color w:val="auto"/>
              </w:rPr>
            </w:pPr>
            <w:r>
              <w:rPr>
                <w:rFonts w:ascii="Arial" w:cs="Arial" w:eastAsia="Arial" w:hAnsi="Arial"/>
                <w:sz w:val="11"/>
                <w:szCs w:val="11"/>
                <w:b w:val="1"/>
                <w:bCs w:val="1"/>
                <w:color w:val="auto"/>
              </w:rPr>
              <w:t>Attributable to Credicorp´s equity holders</w:t>
            </w: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2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87"/>
              </w:rPr>
              <w:t>Number of shares</w:t>
            </w:r>
          </w:p>
        </w:tc>
        <w:tc>
          <w:tcPr>
            <w:tcW w:w="8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2"/>
              </w:rPr>
              <w:t>Capital</w:t>
            </w:r>
          </w:p>
        </w:tc>
        <w:tc>
          <w:tcPr>
            <w:tcW w:w="8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0"/>
              </w:rPr>
              <w:t>Treasury</w:t>
            </w:r>
          </w:p>
        </w:tc>
        <w:tc>
          <w:tcPr>
            <w:tcW w:w="88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92"/>
              </w:rPr>
              <w:t>Capital</w:t>
            </w:r>
          </w:p>
        </w:tc>
        <w:tc>
          <w:tcPr>
            <w:tcW w:w="900" w:type="dxa"/>
            <w:vAlign w:val="bottom"/>
            <w:gridSpan w:val="2"/>
          </w:tcPr>
          <w:p>
            <w:pPr>
              <w:ind w:left="140"/>
              <w:spacing w:after="0" w:line="108" w:lineRule="exact"/>
              <w:rPr>
                <w:sz w:val="20"/>
                <w:szCs w:val="20"/>
                <w:color w:val="auto"/>
              </w:rPr>
            </w:pPr>
            <w:r>
              <w:rPr>
                <w:rFonts w:ascii="Arial" w:cs="Arial" w:eastAsia="Arial" w:hAnsi="Arial"/>
                <w:sz w:val="11"/>
                <w:szCs w:val="11"/>
                <w:b w:val="1"/>
                <w:bCs w:val="1"/>
                <w:color w:val="auto"/>
              </w:rPr>
              <w:t>Reserves</w:t>
            </w:r>
          </w:p>
        </w:tc>
        <w:tc>
          <w:tcPr>
            <w:tcW w:w="80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88"/>
              </w:rPr>
              <w:t>Available-</w:t>
            </w:r>
          </w:p>
        </w:tc>
        <w:tc>
          <w:tcPr>
            <w:tcW w:w="960" w:type="dxa"/>
            <w:vAlign w:val="bottom"/>
            <w:gridSpan w:val="3"/>
          </w:tcPr>
          <w:p>
            <w:pPr>
              <w:jc w:val="center"/>
              <w:ind w:right="40"/>
              <w:spacing w:after="0" w:line="108" w:lineRule="exact"/>
              <w:rPr>
                <w:sz w:val="20"/>
                <w:szCs w:val="20"/>
                <w:color w:val="auto"/>
              </w:rPr>
            </w:pPr>
            <w:r>
              <w:rPr>
                <w:rFonts w:ascii="Arial" w:cs="Arial" w:eastAsia="Arial" w:hAnsi="Arial"/>
                <w:sz w:val="11"/>
                <w:szCs w:val="11"/>
                <w:b w:val="1"/>
                <w:bCs w:val="1"/>
                <w:color w:val="auto"/>
                <w:w w:val="86"/>
              </w:rPr>
              <w:t>Cash flow hedge</w:t>
            </w:r>
          </w:p>
        </w:tc>
        <w:tc>
          <w:tcPr>
            <w:tcW w:w="1140" w:type="dxa"/>
            <w:vAlign w:val="bottom"/>
            <w:gridSpan w:val="3"/>
          </w:tcPr>
          <w:p>
            <w:pPr>
              <w:jc w:val="right"/>
              <w:ind w:right="200"/>
              <w:spacing w:after="0" w:line="108" w:lineRule="exact"/>
              <w:rPr>
                <w:sz w:val="20"/>
                <w:szCs w:val="20"/>
                <w:color w:val="auto"/>
              </w:rPr>
            </w:pPr>
            <w:r>
              <w:rPr>
                <w:rFonts w:ascii="Arial" w:cs="Arial" w:eastAsia="Arial" w:hAnsi="Arial"/>
                <w:sz w:val="11"/>
                <w:szCs w:val="11"/>
                <w:b w:val="1"/>
                <w:bCs w:val="1"/>
                <w:color w:val="auto"/>
                <w:w w:val="96"/>
              </w:rPr>
              <w:t>Retained earnings</w:t>
            </w:r>
          </w:p>
        </w:tc>
        <w:tc>
          <w:tcPr>
            <w:tcW w:w="880" w:type="dxa"/>
            <w:vAlign w:val="bottom"/>
            <w:gridSpan w:val="2"/>
          </w:tcPr>
          <w:p>
            <w:pPr>
              <w:jc w:val="right"/>
              <w:ind w:right="440"/>
              <w:spacing w:after="0" w:line="108" w:lineRule="exact"/>
              <w:rPr>
                <w:sz w:val="20"/>
                <w:szCs w:val="20"/>
                <w:color w:val="auto"/>
              </w:rPr>
            </w:pPr>
            <w:r>
              <w:rPr>
                <w:rFonts w:ascii="Arial" w:cs="Arial" w:eastAsia="Arial" w:hAnsi="Arial"/>
                <w:sz w:val="11"/>
                <w:szCs w:val="11"/>
                <w:b w:val="1"/>
                <w:bCs w:val="1"/>
                <w:color w:val="auto"/>
              </w:rPr>
              <w:t>Total</w:t>
            </w:r>
          </w:p>
        </w:tc>
        <w:tc>
          <w:tcPr>
            <w:tcW w:w="90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Minority</w:t>
            </w:r>
          </w:p>
        </w:tc>
        <w:tc>
          <w:tcPr>
            <w:tcW w:w="68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1"/>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gridSpan w:val="2"/>
          </w:tcPr>
          <w:p>
            <w:pPr>
              <w:jc w:val="right"/>
              <w:ind w:right="480"/>
              <w:spacing w:after="0" w:line="122" w:lineRule="exact"/>
              <w:rPr>
                <w:sz w:val="20"/>
                <w:szCs w:val="20"/>
                <w:color w:val="auto"/>
              </w:rPr>
            </w:pPr>
            <w:r>
              <w:rPr>
                <w:rFonts w:ascii="Arial" w:cs="Arial" w:eastAsia="Arial" w:hAnsi="Arial"/>
                <w:sz w:val="11"/>
                <w:szCs w:val="11"/>
                <w:b w:val="1"/>
                <w:bCs w:val="1"/>
                <w:color w:val="auto"/>
              </w:rPr>
              <w:t>issued,</w:t>
            </w: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3"/>
              </w:rPr>
              <w:t>stock</w:t>
            </w:r>
          </w:p>
        </w:tc>
        <w:tc>
          <w:tcPr>
            <w:tcW w:w="8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3"/>
              </w:rPr>
              <w:t>stock</w:t>
            </w:r>
          </w:p>
        </w:tc>
        <w:tc>
          <w:tcPr>
            <w:tcW w:w="88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5"/>
              </w:rPr>
              <w:t>surplus</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8"/>
              </w:rPr>
              <w:t>for- sale</w:t>
            </w:r>
          </w:p>
        </w:tc>
        <w:tc>
          <w:tcPr>
            <w:tcW w:w="80" w:type="dxa"/>
            <w:vAlign w:val="bottom"/>
          </w:tcPr>
          <w:p>
            <w:pPr>
              <w:spacing w:after="0"/>
              <w:rPr>
                <w:sz w:val="10"/>
                <w:szCs w:val="10"/>
                <w:color w:val="auto"/>
              </w:rPr>
            </w:pPr>
          </w:p>
        </w:tc>
        <w:tc>
          <w:tcPr>
            <w:tcW w:w="8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1"/>
              </w:rPr>
              <w:t>reserve</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5"/>
              </w:rPr>
              <w:t>interest</w:t>
            </w:r>
          </w:p>
        </w:tc>
        <w:tc>
          <w:tcPr>
            <w:tcW w:w="7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net equity</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8"/>
              </w:rPr>
              <w:t>note 25</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84"/>
              </w:rPr>
              <w:t>investments</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reserve</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0" w:type="dxa"/>
            <w:vAlign w:val="bottom"/>
            <w:tcBorders>
              <w:top w:val="single" w:sz="8" w:color="auto"/>
            </w:tcBorders>
          </w:tcPr>
          <w:p>
            <w:pPr>
              <w:jc w:val="center"/>
              <w:spacing w:after="0" w:line="112" w:lineRule="exact"/>
              <w:rPr>
                <w:sz w:val="20"/>
                <w:szCs w:val="20"/>
                <w:color w:val="auto"/>
              </w:rPr>
            </w:pPr>
            <w:r>
              <w:rPr>
                <w:rFonts w:ascii="Arial" w:cs="Arial" w:eastAsia="Arial" w:hAnsi="Arial"/>
                <w:sz w:val="11"/>
                <w:szCs w:val="11"/>
                <w:color w:val="auto"/>
                <w:w w:val="88"/>
              </w:rPr>
              <w:t>(In thousands of</w:t>
            </w: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units)</w:t>
            </w:r>
          </w:p>
        </w:tc>
        <w:tc>
          <w:tcPr>
            <w:tcW w:w="88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88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88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900" w:type="dxa"/>
            <w:vAlign w:val="bottom"/>
            <w:gridSpan w:val="2"/>
          </w:tcPr>
          <w:p>
            <w:pPr>
              <w:ind w:left="120"/>
              <w:spacing w:after="0"/>
              <w:rPr>
                <w:sz w:val="20"/>
                <w:szCs w:val="20"/>
                <w:color w:val="auto"/>
              </w:rPr>
            </w:pPr>
            <w:r>
              <w:rPr>
                <w:rFonts w:ascii="Arial" w:cs="Arial" w:eastAsia="Arial" w:hAnsi="Arial"/>
                <w:sz w:val="11"/>
                <w:szCs w:val="11"/>
                <w:color w:val="auto"/>
              </w:rPr>
              <w:t>US$(000)</w:t>
            </w:r>
          </w:p>
        </w:tc>
        <w:tc>
          <w:tcPr>
            <w:tcW w:w="80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80" w:type="dxa"/>
            <w:vAlign w:val="bottom"/>
          </w:tcPr>
          <w:p>
            <w:pPr>
              <w:spacing w:after="0"/>
              <w:rPr>
                <w:sz w:val="11"/>
                <w:szCs w:val="11"/>
                <w:color w:val="auto"/>
              </w:rPr>
            </w:pPr>
          </w:p>
        </w:tc>
        <w:tc>
          <w:tcPr>
            <w:tcW w:w="88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100" w:type="dxa"/>
            <w:vAlign w:val="bottom"/>
          </w:tcPr>
          <w:p>
            <w:pPr>
              <w:spacing w:after="0"/>
              <w:rPr>
                <w:sz w:val="11"/>
                <w:szCs w:val="11"/>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1"/>
                <w:szCs w:val="11"/>
                <w:color w:val="auto"/>
              </w:rPr>
              <w:t>US$(000)</w:t>
            </w:r>
          </w:p>
        </w:tc>
        <w:tc>
          <w:tcPr>
            <w:tcW w:w="880" w:type="dxa"/>
            <w:vAlign w:val="bottom"/>
            <w:gridSpan w:val="2"/>
          </w:tcPr>
          <w:p>
            <w:pPr>
              <w:jc w:val="right"/>
              <w:ind w:right="340"/>
              <w:spacing w:after="0"/>
              <w:rPr>
                <w:sz w:val="20"/>
                <w:szCs w:val="20"/>
                <w:color w:val="auto"/>
              </w:rPr>
            </w:pPr>
            <w:r>
              <w:rPr>
                <w:rFonts w:ascii="Arial" w:cs="Arial" w:eastAsia="Arial" w:hAnsi="Arial"/>
                <w:sz w:val="11"/>
                <w:szCs w:val="11"/>
                <w:color w:val="auto"/>
              </w:rPr>
              <w:t>US$(000)</w:t>
            </w:r>
          </w:p>
        </w:tc>
        <w:tc>
          <w:tcPr>
            <w:tcW w:w="90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80" w:type="dxa"/>
            <w:vAlign w:val="bottom"/>
            <w:tcBorders>
              <w:right w:val="single" w:sz="8" w:color="CCFFCC"/>
            </w:tcBorders>
            <w:shd w:val="clear" w:color="auto" w:fill="CCFFCC"/>
          </w:tcPr>
          <w:p>
            <w:pPr>
              <w:spacing w:after="0" w:line="108" w:lineRule="exact"/>
              <w:rPr>
                <w:sz w:val="20"/>
                <w:szCs w:val="20"/>
                <w:color w:val="auto"/>
              </w:rPr>
            </w:pPr>
            <w:r>
              <w:rPr>
                <w:rFonts w:ascii="Arial" w:cs="Arial" w:eastAsia="Arial" w:hAnsi="Arial"/>
                <w:sz w:val="11"/>
                <w:szCs w:val="11"/>
                <w:b w:val="1"/>
                <w:bCs w:val="1"/>
                <w:color w:val="auto"/>
                <w:w w:val="99"/>
              </w:rPr>
              <w:t>Balances as of January 1,</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b w:val="1"/>
                <w:bCs w:val="1"/>
                <w:color w:val="auto"/>
              </w:rPr>
              <w:t>2007</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94,382</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471,912</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(73,107)</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140,693</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479,902</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144,471</w:t>
            </w:r>
          </w:p>
        </w:tc>
        <w:tc>
          <w:tcPr>
            <w:tcW w:w="140" w:type="dxa"/>
            <w:vAlign w:val="bottom"/>
            <w:shd w:val="clear" w:color="auto" w:fill="CCFFCC"/>
          </w:tcPr>
          <w:p>
            <w:pPr>
              <w:spacing w:after="0"/>
              <w:rPr>
                <w:sz w:val="11"/>
                <w:szCs w:val="11"/>
                <w:color w:val="auto"/>
              </w:rPr>
            </w:pP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2,938</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230,013</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1,396,822</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136,946</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1,533,768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96"/>
              </w:rPr>
              <w:t>Changes in equity for 2007 -</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350,735</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350,735</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21,660</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372,395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93"/>
              </w:rPr>
              <w:t>Other comprehensive income</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72,512</w:t>
            </w:r>
          </w:p>
        </w:tc>
        <w:tc>
          <w:tcPr>
            <w:tcW w:w="140" w:type="dxa"/>
            <w:vAlign w:val="bottom"/>
            <w:shd w:val="clear" w:color="auto" w:fill="CCFFCC"/>
          </w:tcPr>
          <w:p>
            <w:pPr>
              <w:spacing w:after="0"/>
              <w:rPr>
                <w:sz w:val="10"/>
                <w:szCs w:val="10"/>
                <w:color w:val="auto"/>
              </w:rPr>
            </w:pPr>
          </w:p>
        </w:tc>
        <w:tc>
          <w:tcPr>
            <w:tcW w:w="960" w:type="dxa"/>
            <w:vAlign w:val="bottom"/>
            <w:gridSpan w:val="3"/>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(40,371)</w:t>
            </w:r>
          </w:p>
        </w:tc>
        <w:tc>
          <w:tcPr>
            <w:tcW w:w="114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32,141</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(426)</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31,715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Borders>
              <w:right w:val="single" w:sz="8" w:color="CCFFCC"/>
            </w:tcBorders>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w w:val="95"/>
              </w:rPr>
              <w:t>Total comprehensive income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72,512</w:t>
            </w:r>
          </w:p>
        </w:tc>
        <w:tc>
          <w:tcPr>
            <w:tcW w:w="140" w:type="dxa"/>
            <w:vAlign w:val="bottom"/>
          </w:tcPr>
          <w:p>
            <w:pPr>
              <w:spacing w:after="0"/>
              <w:rPr>
                <w:sz w:val="10"/>
                <w:szCs w:val="10"/>
                <w:color w:val="auto"/>
              </w:rPr>
            </w:pPr>
          </w:p>
        </w:tc>
        <w:tc>
          <w:tcPr>
            <w:tcW w:w="9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(40,371)</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350,735</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382,876</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21,234</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404,110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w w:val="94"/>
              </w:rPr>
              <w:t>Transfer of retained earnings</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to reserves, note 16(c)</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107,316</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(107,316)</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rPr>
              <w:t>Cash dividends, note 16(e)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(103,690)</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(103,690)</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(103,690)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w w:val="93"/>
              </w:rPr>
              <w:t>Dividends of subsidiaries and</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other</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w:t>
            </w:r>
          </w:p>
        </w:tc>
        <w:tc>
          <w:tcPr>
            <w:tcW w:w="22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(18,916)</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(18,915)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Borders>
              <w:top w:val="single" w:sz="8" w:color="CCFFCC"/>
            </w:tcBorders>
          </w:tcPr>
          <w:p>
            <w:pPr>
              <w:spacing w:after="0" w:line="108" w:lineRule="exact"/>
              <w:rPr>
                <w:sz w:val="20"/>
                <w:szCs w:val="20"/>
                <w:color w:val="auto"/>
              </w:rPr>
            </w:pPr>
            <w:r>
              <w:rPr>
                <w:rFonts w:ascii="Arial" w:cs="Arial" w:eastAsia="Arial" w:hAnsi="Arial"/>
                <w:sz w:val="11"/>
                <w:szCs w:val="11"/>
                <w:b w:val="1"/>
                <w:bCs w:val="1"/>
                <w:color w:val="auto"/>
              </w:rPr>
              <w:t>Balances as of December</w:t>
            </w:r>
          </w:p>
        </w:tc>
        <w:tc>
          <w:tcPr>
            <w:tcW w:w="80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140" w:type="dxa"/>
            <w:vAlign w:val="bottom"/>
            <w:tcBorders>
              <w:top w:val="single" w:sz="8" w:color="CCFFCC"/>
            </w:tcBorders>
          </w:tcPr>
          <w:p>
            <w:pPr>
              <w:spacing w:after="0"/>
              <w:rPr>
                <w:sz w:val="9"/>
                <w:szCs w:val="9"/>
                <w:color w:val="auto"/>
              </w:rPr>
            </w:pPr>
          </w:p>
        </w:tc>
        <w:tc>
          <w:tcPr>
            <w:tcW w:w="80" w:type="dxa"/>
            <w:vAlign w:val="bottom"/>
            <w:tcBorders>
              <w:top w:val="single" w:sz="8" w:color="CCFFCC"/>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CCFFCC"/>
            </w:tcBorders>
          </w:tcPr>
          <w:p>
            <w:pPr>
              <w:spacing w:after="0"/>
              <w:rPr>
                <w:sz w:val="9"/>
                <w:szCs w:val="9"/>
                <w:color w:val="auto"/>
              </w:rPr>
            </w:pPr>
          </w:p>
        </w:tc>
        <w:tc>
          <w:tcPr>
            <w:tcW w:w="100" w:type="dxa"/>
            <w:vAlign w:val="bottom"/>
            <w:tcBorders>
              <w:top w:val="single" w:sz="8" w:color="CCFFCC"/>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6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220" w:type="dxa"/>
            <w:vAlign w:val="bottom"/>
            <w:tcBorders>
              <w:top w:val="single" w:sz="8" w:color="CCFFCC"/>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CCFFCC"/>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400" w:type="dxa"/>
            <w:vAlign w:val="bottom"/>
            <w:gridSpan w:val="2"/>
          </w:tcPr>
          <w:p>
            <w:pPr>
              <w:ind w:left="180"/>
              <w:spacing w:after="0"/>
              <w:rPr>
                <w:sz w:val="20"/>
                <w:szCs w:val="20"/>
                <w:color w:val="auto"/>
              </w:rPr>
            </w:pPr>
            <w:r>
              <w:rPr>
                <w:rFonts w:ascii="Arial" w:cs="Arial" w:eastAsia="Arial" w:hAnsi="Arial"/>
                <w:sz w:val="11"/>
                <w:szCs w:val="11"/>
                <w:b w:val="1"/>
                <w:bCs w:val="1"/>
                <w:color w:val="auto"/>
              </w:rPr>
              <w:t>31, 2007</w:t>
            </w: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94,382</w:t>
            </w:r>
          </w:p>
        </w:tc>
        <w:tc>
          <w:tcPr>
            <w:tcW w:w="660" w:type="dxa"/>
            <w:vAlign w:val="bottom"/>
          </w:tcPr>
          <w:p>
            <w:pPr>
              <w:jc w:val="right"/>
              <w:spacing w:after="0"/>
              <w:rPr>
                <w:sz w:val="20"/>
                <w:szCs w:val="20"/>
                <w:color w:val="auto"/>
              </w:rPr>
            </w:pPr>
            <w:r>
              <w:rPr>
                <w:rFonts w:ascii="Arial" w:cs="Arial" w:eastAsia="Arial" w:hAnsi="Arial"/>
                <w:sz w:val="11"/>
                <w:szCs w:val="11"/>
                <w:color w:val="auto"/>
              </w:rPr>
              <w:t>471,912</w:t>
            </w:r>
          </w:p>
        </w:tc>
        <w:tc>
          <w:tcPr>
            <w:tcW w:w="220" w:type="dxa"/>
            <w:vAlign w:val="bottom"/>
          </w:tcPr>
          <w:p>
            <w:pPr>
              <w:spacing w:after="0"/>
              <w:rPr>
                <w:sz w:val="11"/>
                <w:szCs w:val="1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(73,107)</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140,693</w:t>
            </w:r>
          </w:p>
        </w:tc>
        <w:tc>
          <w:tcPr>
            <w:tcW w:w="680" w:type="dxa"/>
            <w:vAlign w:val="bottom"/>
          </w:tcPr>
          <w:p>
            <w:pPr>
              <w:jc w:val="right"/>
              <w:spacing w:after="0"/>
              <w:rPr>
                <w:sz w:val="20"/>
                <w:szCs w:val="20"/>
                <w:color w:val="auto"/>
              </w:rPr>
            </w:pPr>
            <w:r>
              <w:rPr>
                <w:rFonts w:ascii="Arial" w:cs="Arial" w:eastAsia="Arial" w:hAnsi="Arial"/>
                <w:sz w:val="11"/>
                <w:szCs w:val="11"/>
                <w:color w:val="auto"/>
              </w:rPr>
              <w:t>587,218</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216,983</w:t>
            </w:r>
          </w:p>
        </w:tc>
        <w:tc>
          <w:tcPr>
            <w:tcW w:w="140" w:type="dxa"/>
            <w:vAlign w:val="bottom"/>
          </w:tcPr>
          <w:p>
            <w:pPr>
              <w:spacing w:after="0"/>
              <w:rPr>
                <w:sz w:val="11"/>
                <w:szCs w:val="11"/>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1"/>
                <w:szCs w:val="11"/>
                <w:color w:val="auto"/>
              </w:rPr>
              <w:t>(37,433)</w:t>
            </w:r>
          </w:p>
        </w:tc>
        <w:tc>
          <w:tcPr>
            <w:tcW w:w="920" w:type="dxa"/>
            <w:vAlign w:val="bottom"/>
            <w:gridSpan w:val="2"/>
          </w:tcPr>
          <w:p>
            <w:pPr>
              <w:jc w:val="right"/>
              <w:spacing w:after="0"/>
              <w:rPr>
                <w:sz w:val="20"/>
                <w:szCs w:val="20"/>
                <w:color w:val="auto"/>
              </w:rPr>
            </w:pPr>
            <w:r>
              <w:rPr>
                <w:rFonts w:ascii="Arial" w:cs="Arial" w:eastAsia="Arial" w:hAnsi="Arial"/>
                <w:sz w:val="11"/>
                <w:szCs w:val="11"/>
                <w:color w:val="auto"/>
              </w:rPr>
              <w:t>369,743</w:t>
            </w:r>
          </w:p>
        </w:tc>
        <w:tc>
          <w:tcPr>
            <w:tcW w:w="2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1,676,009</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139,264</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1,815,273</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80" w:type="dxa"/>
            <w:vAlign w:val="bottom"/>
            <w:tcBorders>
              <w:right w:val="single" w:sz="8" w:color="CCFFCC"/>
            </w:tcBorders>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w w:val="96"/>
              </w:rPr>
              <w:t>Changes in equity for 2008 -</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Net income</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357,756</w:t>
            </w: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357,756</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11,507</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369,263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w w:val="93"/>
              </w:rPr>
              <w:t>Other comprehensive income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(144,254)</w:t>
            </w:r>
          </w:p>
        </w:tc>
        <w:tc>
          <w:tcPr>
            <w:tcW w:w="9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(80,689)</w:t>
            </w:r>
          </w:p>
        </w:tc>
        <w:tc>
          <w:tcPr>
            <w:tcW w:w="114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(224,943)</w:t>
            </w:r>
          </w:p>
        </w:tc>
        <w:tc>
          <w:tcPr>
            <w:tcW w:w="9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(33,480)</w:t>
            </w: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(258,423)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95"/>
              </w:rPr>
              <w:t>Total comprehensive income</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(144,254)</w:t>
            </w:r>
          </w:p>
        </w:tc>
        <w:tc>
          <w:tcPr>
            <w:tcW w:w="960" w:type="dxa"/>
            <w:vAlign w:val="bottom"/>
            <w:gridSpan w:val="3"/>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(80,689)</w:t>
            </w: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357,756</w:t>
            </w: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132,813</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(21,973)</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110,840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Pr>
          <w:p>
            <w:pPr>
              <w:spacing w:after="0" w:line="112" w:lineRule="exact"/>
              <w:rPr>
                <w:sz w:val="20"/>
                <w:szCs w:val="20"/>
                <w:color w:val="auto"/>
              </w:rPr>
            </w:pPr>
            <w:r>
              <w:rPr>
                <w:rFonts w:ascii="Arial" w:cs="Arial" w:eastAsia="Arial" w:hAnsi="Arial"/>
                <w:sz w:val="11"/>
                <w:szCs w:val="11"/>
                <w:color w:val="auto"/>
              </w:rPr>
              <w:t>Transfers of retained</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ind w:left="160"/>
              <w:spacing w:after="0" w:line="122" w:lineRule="exact"/>
              <w:rPr>
                <w:sz w:val="20"/>
                <w:szCs w:val="20"/>
                <w:color w:val="auto"/>
              </w:rPr>
            </w:pPr>
            <w:r>
              <w:rPr>
                <w:rFonts w:ascii="Arial" w:cs="Arial" w:eastAsia="Arial" w:hAnsi="Arial"/>
                <w:sz w:val="11"/>
                <w:szCs w:val="11"/>
                <w:color w:val="auto"/>
                <w:w w:val="92"/>
              </w:rPr>
              <w:t>earnings to reserves, note</w:t>
            </w: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Pr>
          <w:p>
            <w:pPr>
              <w:ind w:left="160"/>
              <w:spacing w:after="0"/>
              <w:rPr>
                <w:sz w:val="20"/>
                <w:szCs w:val="20"/>
                <w:color w:val="auto"/>
              </w:rPr>
            </w:pPr>
            <w:r>
              <w:rPr>
                <w:rFonts w:ascii="Arial" w:cs="Arial" w:eastAsia="Arial" w:hAnsi="Arial"/>
                <w:sz w:val="11"/>
                <w:szCs w:val="11"/>
                <w:color w:val="auto"/>
              </w:rPr>
              <w:t>16(c)</w:t>
            </w: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228,169</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1"/>
                <w:szCs w:val="11"/>
                <w:color w:val="auto"/>
              </w:rPr>
              <w:t>(228,169)</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Cash dividends, note 16(e)</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(119,648)</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(119,648)</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(119,648)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Pr>
          <w:p>
            <w:pPr>
              <w:spacing w:after="0" w:line="112" w:lineRule="exact"/>
              <w:rPr>
                <w:sz w:val="20"/>
                <w:szCs w:val="20"/>
                <w:color w:val="auto"/>
              </w:rPr>
            </w:pPr>
            <w:r>
              <w:rPr>
                <w:rFonts w:ascii="Arial" w:cs="Arial" w:eastAsia="Arial" w:hAnsi="Arial"/>
                <w:sz w:val="11"/>
                <w:szCs w:val="11"/>
                <w:color w:val="auto"/>
                <w:w w:val="93"/>
              </w:rPr>
              <w:t>Dividends of subsidiaries and</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80" w:type="dxa"/>
            <w:vAlign w:val="bottom"/>
          </w:tcPr>
          <w:p>
            <w:pPr>
              <w:ind w:left="160"/>
              <w:spacing w:after="0"/>
              <w:rPr>
                <w:sz w:val="20"/>
                <w:szCs w:val="20"/>
                <w:color w:val="auto"/>
              </w:rPr>
            </w:pPr>
            <w:r>
              <w:rPr>
                <w:rFonts w:ascii="Arial" w:cs="Arial" w:eastAsia="Arial" w:hAnsi="Arial"/>
                <w:sz w:val="11"/>
                <w:szCs w:val="11"/>
                <w:color w:val="auto"/>
              </w:rPr>
              <w:t>other</w:t>
            </w: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180"/>
              <w:spacing w:after="0"/>
              <w:rPr>
                <w:sz w:val="20"/>
                <w:szCs w:val="20"/>
                <w:color w:val="auto"/>
              </w:rPr>
            </w:pPr>
            <w:r>
              <w:rPr>
                <w:rFonts w:ascii="Arial" w:cs="Arial" w:eastAsia="Arial" w:hAnsi="Arial"/>
                <w:sz w:val="11"/>
                <w:szCs w:val="11"/>
                <w:color w:val="auto"/>
              </w:rPr>
              <w:t>(2)</w:t>
            </w: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(2)</w:t>
            </w:r>
          </w:p>
        </w:tc>
        <w:tc>
          <w:tcPr>
            <w:tcW w:w="900" w:type="dxa"/>
            <w:vAlign w:val="bottom"/>
            <w:gridSpan w:val="2"/>
          </w:tcPr>
          <w:p>
            <w:pPr>
              <w:jc w:val="right"/>
              <w:ind w:right="180"/>
              <w:spacing w:after="0"/>
              <w:rPr>
                <w:sz w:val="20"/>
                <w:szCs w:val="20"/>
                <w:color w:val="auto"/>
              </w:rPr>
            </w:pPr>
            <w:r>
              <w:rPr>
                <w:rFonts w:ascii="Arial" w:cs="Arial" w:eastAsia="Arial" w:hAnsi="Arial"/>
                <w:sz w:val="11"/>
                <w:szCs w:val="11"/>
                <w:color w:val="auto"/>
              </w:rPr>
              <w:t>(10,358)</w:t>
            </w:r>
          </w:p>
        </w:tc>
        <w:tc>
          <w:tcPr>
            <w:tcW w:w="780" w:type="dxa"/>
            <w:vAlign w:val="bottom"/>
            <w:gridSpan w:val="2"/>
          </w:tcPr>
          <w:p>
            <w:pPr>
              <w:jc w:val="right"/>
              <w:ind w:right="80"/>
              <w:spacing w:after="0"/>
              <w:rPr>
                <w:sz w:val="20"/>
                <w:szCs w:val="20"/>
                <w:color w:val="auto"/>
              </w:rPr>
            </w:pPr>
            <w:r>
              <w:rPr>
                <w:rFonts w:ascii="Arial" w:cs="Arial" w:eastAsia="Arial" w:hAnsi="Arial"/>
                <w:sz w:val="11"/>
                <w:szCs w:val="11"/>
                <w:color w:val="auto"/>
              </w:rPr>
              <w:t>(10,360)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Borders>
              <w:right w:val="single" w:sz="8" w:color="CCFFCC"/>
            </w:tcBorders>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Balances as of December</w:t>
            </w:r>
          </w:p>
        </w:tc>
        <w:tc>
          <w:tcPr>
            <w:tcW w:w="80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tcBorders>
              <w:top w:val="single" w:sz="8" w:color="auto"/>
            </w:tcBorders>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b w:val="1"/>
                <w:bCs w:val="1"/>
                <w:color w:val="auto"/>
              </w:rPr>
              <w:t>31, 2008</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94,382</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471,912</w:t>
            </w:r>
          </w:p>
        </w:tc>
        <w:tc>
          <w:tcPr>
            <w:tcW w:w="220" w:type="dxa"/>
            <w:vAlign w:val="bottom"/>
            <w:shd w:val="clear" w:color="auto" w:fill="CCFFCC"/>
          </w:tcPr>
          <w:p>
            <w:pPr>
              <w:spacing w:after="0"/>
              <w:rPr>
                <w:sz w:val="11"/>
                <w:szCs w:val="11"/>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(73,107)</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140,693</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815,387</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72,729</w:t>
            </w:r>
          </w:p>
        </w:tc>
        <w:tc>
          <w:tcPr>
            <w:tcW w:w="140" w:type="dxa"/>
            <w:vAlign w:val="bottom"/>
            <w:shd w:val="clear" w:color="auto" w:fill="CCFFCC"/>
          </w:tcPr>
          <w:p>
            <w:pPr>
              <w:spacing w:after="0"/>
              <w:rPr>
                <w:sz w:val="11"/>
                <w:szCs w:val="11"/>
                <w:color w:val="auto"/>
              </w:rPr>
            </w:pP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(118,122)</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379,680</w:t>
            </w: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1,689,172</w:t>
            </w:r>
          </w:p>
        </w:tc>
        <w:tc>
          <w:tcPr>
            <w:tcW w:w="22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106,933</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1,796,105</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96"/>
              </w:rPr>
              <w:t>Changes in equity for 2009 -</w:t>
            </w:r>
          </w:p>
        </w:tc>
        <w:tc>
          <w:tcPr>
            <w:tcW w:w="8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rPr>
              <w:t>Net income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469,785</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469,785</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34,651</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504,436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w w:val="93"/>
              </w:rPr>
              <w:t>Other comprehensive income</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216,248</w:t>
            </w:r>
          </w:p>
        </w:tc>
        <w:tc>
          <w:tcPr>
            <w:tcW w:w="140" w:type="dxa"/>
            <w:vAlign w:val="bottom"/>
            <w:shd w:val="clear" w:color="auto" w:fill="CCFFCC"/>
          </w:tcPr>
          <w:p>
            <w:pPr>
              <w:spacing w:after="0"/>
              <w:rPr>
                <w:sz w:val="10"/>
                <w:szCs w:val="10"/>
                <w:color w:val="auto"/>
              </w:rPr>
            </w:pPr>
          </w:p>
        </w:tc>
        <w:tc>
          <w:tcPr>
            <w:tcW w:w="9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66,591</w:t>
            </w:r>
          </w:p>
        </w:tc>
        <w:tc>
          <w:tcPr>
            <w:tcW w:w="114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282,839</w:t>
            </w:r>
          </w:p>
        </w:tc>
        <w:tc>
          <w:tcPr>
            <w:tcW w:w="22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45,894</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328,733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Borders>
              <w:right w:val="single" w:sz="8" w:color="CCFFCC"/>
            </w:tcBorders>
            <w:shd w:val="clear" w:color="auto" w:fill="CCFFCC"/>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shd w:val="clear" w:color="auto" w:fill="CCFFCC"/>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FFCC"/>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w w:val="95"/>
              </w:rPr>
              <w:t>Total comprehensive income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216,248</w:t>
            </w:r>
          </w:p>
        </w:tc>
        <w:tc>
          <w:tcPr>
            <w:tcW w:w="140" w:type="dxa"/>
            <w:vAlign w:val="bottom"/>
          </w:tcPr>
          <w:p>
            <w:pPr>
              <w:spacing w:after="0"/>
              <w:rPr>
                <w:sz w:val="10"/>
                <w:szCs w:val="10"/>
                <w:color w:val="auto"/>
              </w:rPr>
            </w:pP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66,591</w:t>
            </w: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469,785</w:t>
            </w:r>
          </w:p>
        </w:tc>
        <w:tc>
          <w:tcPr>
            <w:tcW w:w="22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752,624</w:t>
            </w:r>
          </w:p>
        </w:tc>
        <w:tc>
          <w:tcPr>
            <w:tcW w:w="220" w:type="dxa"/>
            <w:vAlign w:val="bottom"/>
          </w:tcPr>
          <w:p>
            <w:pPr>
              <w:spacing w:after="0"/>
              <w:rPr>
                <w:sz w:val="10"/>
                <w:szCs w:val="10"/>
                <w:color w:val="auto"/>
              </w:rPr>
            </w:pP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80,545</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833,169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w w:val="94"/>
              </w:rPr>
              <w:t>Transfer of retained earnings</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to reserves, note 16(c)</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238,107</w:t>
            </w:r>
          </w:p>
        </w:tc>
        <w:tc>
          <w:tcPr>
            <w:tcW w:w="22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(238,107)</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Pr>
          <w:p>
            <w:pPr>
              <w:spacing w:after="0" w:line="122" w:lineRule="exact"/>
              <w:rPr>
                <w:sz w:val="20"/>
                <w:szCs w:val="20"/>
                <w:color w:val="auto"/>
              </w:rPr>
            </w:pPr>
            <w:r>
              <w:rPr>
                <w:rFonts w:ascii="Arial" w:cs="Arial" w:eastAsia="Arial" w:hAnsi="Arial"/>
                <w:sz w:val="11"/>
                <w:szCs w:val="11"/>
                <w:color w:val="auto"/>
              </w:rPr>
              <w:t>Cash dividends, note 16(e)</w:t>
            </w:r>
          </w:p>
        </w:tc>
        <w:tc>
          <w:tcPr>
            <w:tcW w:w="10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(119,303)</w:t>
            </w:r>
          </w:p>
        </w:tc>
        <w:tc>
          <w:tcPr>
            <w:tcW w:w="8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(119,303)</w:t>
            </w:r>
          </w:p>
        </w:tc>
        <w:tc>
          <w:tcPr>
            <w:tcW w:w="90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(119,303)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8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Purchase of treasury stock</w:t>
            </w:r>
          </w:p>
        </w:tc>
        <w:tc>
          <w:tcPr>
            <w:tcW w:w="10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(1,135)</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(10,352)</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(11,487)</w:t>
            </w:r>
          </w:p>
        </w:tc>
        <w:tc>
          <w:tcPr>
            <w:tcW w:w="90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(11,487)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Pr>
          <w:p>
            <w:pPr>
              <w:spacing w:after="0" w:line="112" w:lineRule="exact"/>
              <w:rPr>
                <w:sz w:val="20"/>
                <w:szCs w:val="20"/>
                <w:color w:val="auto"/>
              </w:rPr>
            </w:pPr>
            <w:r>
              <w:rPr>
                <w:rFonts w:ascii="Arial" w:cs="Arial" w:eastAsia="Arial" w:hAnsi="Arial"/>
                <w:sz w:val="11"/>
                <w:szCs w:val="11"/>
                <w:color w:val="auto"/>
              </w:rPr>
              <w:t>Share-based payments</w:t>
            </w: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380" w:type="dxa"/>
            <w:vAlign w:val="bottom"/>
          </w:tcPr>
          <w:p>
            <w:pPr>
              <w:ind w:left="160"/>
              <w:spacing w:after="0"/>
              <w:rPr>
                <w:sz w:val="20"/>
                <w:szCs w:val="20"/>
                <w:color w:val="auto"/>
              </w:rPr>
            </w:pPr>
            <w:r>
              <w:rPr>
                <w:rFonts w:ascii="Arial" w:cs="Arial" w:eastAsia="Arial" w:hAnsi="Arial"/>
                <w:sz w:val="11"/>
                <w:szCs w:val="11"/>
                <w:color w:val="auto"/>
              </w:rPr>
              <w:t>transactions, note 18(b)</w:t>
            </w:r>
          </w:p>
        </w:tc>
        <w:tc>
          <w:tcPr>
            <w:tcW w:w="10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80" w:type="dxa"/>
            <w:vAlign w:val="bottom"/>
          </w:tcPr>
          <w:p>
            <w:pPr>
              <w:jc w:val="right"/>
              <w:spacing w:after="0"/>
              <w:rPr>
                <w:sz w:val="20"/>
                <w:szCs w:val="20"/>
                <w:color w:val="auto"/>
              </w:rPr>
            </w:pPr>
            <w:r>
              <w:rPr>
                <w:rFonts w:ascii="Arial" w:cs="Arial" w:eastAsia="Arial" w:hAnsi="Arial"/>
                <w:sz w:val="11"/>
                <w:szCs w:val="11"/>
                <w:color w:val="auto"/>
              </w:rPr>
              <w:t>5,850</w:t>
            </w:r>
          </w:p>
        </w:tc>
        <w:tc>
          <w:tcPr>
            <w:tcW w:w="220" w:type="dxa"/>
            <w:vAlign w:val="bottom"/>
          </w:tcPr>
          <w:p>
            <w:pPr>
              <w:spacing w:after="0"/>
              <w:rPr>
                <w:sz w:val="11"/>
                <w:szCs w:val="11"/>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5,850</w:t>
            </w:r>
          </w:p>
        </w:tc>
        <w:tc>
          <w:tcPr>
            <w:tcW w:w="220" w:type="dxa"/>
            <w:vAlign w:val="bottom"/>
          </w:tcPr>
          <w:p>
            <w:pPr>
              <w:spacing w:after="0"/>
              <w:rPr>
                <w:sz w:val="11"/>
                <w:szCs w:val="1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1"/>
                <w:szCs w:val="11"/>
                <w:color w:val="auto"/>
              </w:rPr>
              <w:t>5,850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38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w w:val="93"/>
              </w:rPr>
              <w:t>Dividends of subsidiaries and</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other</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140" w:type="dxa"/>
            <w:vAlign w:val="bottom"/>
            <w:gridSpan w:val="3"/>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(982)</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(982)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38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1380" w:type="dxa"/>
            <w:vAlign w:val="bottom"/>
            <w:tcBorders>
              <w:right w:val="single" w:sz="8" w:color="CCFFCC"/>
            </w:tcBorders>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Balances as of December</w:t>
            </w:r>
          </w:p>
        </w:tc>
        <w:tc>
          <w:tcPr>
            <w:tcW w:w="80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8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b w:val="1"/>
                <w:bCs w:val="1"/>
                <w:color w:val="auto"/>
              </w:rPr>
              <w:t>31, 2009</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94,382</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471,912</w:t>
            </w:r>
          </w:p>
        </w:tc>
        <w:tc>
          <w:tcPr>
            <w:tcW w:w="220" w:type="dxa"/>
            <w:vAlign w:val="bottom"/>
            <w:shd w:val="clear" w:color="auto" w:fill="CCFFCC"/>
          </w:tcPr>
          <w:p>
            <w:pPr>
              <w:spacing w:after="0"/>
              <w:rPr>
                <w:sz w:val="13"/>
                <w:szCs w:val="13"/>
                <w:color w:val="auto"/>
              </w:rPr>
            </w:pPr>
          </w:p>
        </w:tc>
        <w:tc>
          <w:tcPr>
            <w:tcW w:w="88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(74,242)</w:t>
            </w:r>
          </w:p>
        </w:tc>
        <w:tc>
          <w:tcPr>
            <w:tcW w:w="88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130,341</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1,059,344</w:t>
            </w:r>
          </w:p>
        </w:tc>
        <w:tc>
          <w:tcPr>
            <w:tcW w:w="220" w:type="dxa"/>
            <w:vAlign w:val="bottom"/>
            <w:shd w:val="clear" w:color="auto" w:fill="CCFFCC"/>
          </w:tcPr>
          <w:p>
            <w:pPr>
              <w:spacing w:after="0"/>
              <w:rPr>
                <w:sz w:val="13"/>
                <w:szCs w:val="13"/>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288,977</w:t>
            </w:r>
          </w:p>
        </w:tc>
        <w:tc>
          <w:tcPr>
            <w:tcW w:w="140" w:type="dxa"/>
            <w:vAlign w:val="bottom"/>
            <w:shd w:val="clear" w:color="auto" w:fill="CCFFCC"/>
          </w:tcPr>
          <w:p>
            <w:pPr>
              <w:spacing w:after="0"/>
              <w:rPr>
                <w:sz w:val="13"/>
                <w:szCs w:val="13"/>
                <w:color w:val="auto"/>
              </w:rPr>
            </w:pP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(51,531)</w:t>
            </w:r>
          </w:p>
        </w:tc>
        <w:tc>
          <w:tcPr>
            <w:tcW w:w="9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492,055</w:t>
            </w:r>
          </w:p>
        </w:tc>
        <w:tc>
          <w:tcPr>
            <w:tcW w:w="220" w:type="dxa"/>
            <w:vAlign w:val="bottom"/>
            <w:shd w:val="clear" w:color="auto" w:fill="CCFFCC"/>
          </w:tcPr>
          <w:p>
            <w:pPr>
              <w:spacing w:after="0"/>
              <w:rPr>
                <w:sz w:val="13"/>
                <w:szCs w:val="13"/>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2,316,856</w:t>
            </w:r>
          </w:p>
        </w:tc>
        <w:tc>
          <w:tcPr>
            <w:tcW w:w="220" w:type="dxa"/>
            <w:vAlign w:val="bottom"/>
            <w:shd w:val="clear" w:color="auto" w:fill="CCFFCC"/>
          </w:tcPr>
          <w:p>
            <w:pPr>
              <w:spacing w:after="0"/>
              <w:rPr>
                <w:sz w:val="13"/>
                <w:szCs w:val="13"/>
                <w:color w:val="auto"/>
              </w:rPr>
            </w:pPr>
          </w:p>
        </w:tc>
        <w:tc>
          <w:tcPr>
            <w:tcW w:w="9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186,496</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2,503,352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2009, 2008 and 2007</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504,436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369,263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372,395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(deduct)</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163,392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48,760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71,099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57,369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Provision for seized assets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14,425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37,549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Deferred income tax</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(8,552)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(4,394)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 available-for-sale</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(120,932)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(51,936)</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Impairment loss on available-for-sale investments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9,825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60,435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w w:val="98"/>
              </w:rPr>
              <w:t>Net (gain) loss on financial assets and liabilities designated at fair value through profit and loss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(42,792)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65,364</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(65,088)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Gain on sales of property, furniture and equipment</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(388)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(979)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(12,222)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17,650</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(gain) for shared-based compensation plan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56,338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(27,402)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68,332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(Sale) purchase of trading securities, net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(34,690)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14,911</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changes in assets and liabilities: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loans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(944,021)</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(2,339,675)</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(2,172,418)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Decrease (Increase) in other assets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8,186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(463,273)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(404,175)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in deposits and obligations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139,929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2,614,020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2,269,568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(Decrease) increase in due to banks and correspondents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(151,781)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(274,714)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875,447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other liabilities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(141,027)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328,204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402,631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(488,711)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452,219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1,340,489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subsidiary net of cash received, note 2</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(92,329)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sale (purchase) of investments available-for-sale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284,371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125,416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(1,541,621)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Purchase of property, furniture and equipment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(45,051)</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(91,353)</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Sales of property, furniture and equipment</w:t>
            </w:r>
          </w:p>
        </w:tc>
        <w:tc>
          <w:tcPr>
            <w:tcW w:w="1160" w:type="dxa"/>
            <w:vAlign w:val="bottom"/>
          </w:tcPr>
          <w:p>
            <w:pPr>
              <w:jc w:val="right"/>
              <w:spacing w:after="0"/>
              <w:rPr>
                <w:sz w:val="20"/>
                <w:szCs w:val="20"/>
                <w:color w:val="auto"/>
              </w:rPr>
            </w:pPr>
            <w:r>
              <w:rPr>
                <w:rFonts w:ascii="Arial" w:cs="Arial" w:eastAsia="Arial" w:hAnsi="Arial"/>
                <w:sz w:val="18"/>
                <w:szCs w:val="18"/>
                <w:color w:val="auto"/>
              </w:rPr>
              <w:t>2,745</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1,775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149,736</w:t>
            </w:r>
          </w:p>
        </w:tc>
        <w:tc>
          <w:tcPr>
            <w:tcW w:w="22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35,838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(1,594,571)</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7420" w:type="dxa"/>
            <w:vAlign w:val="bottom"/>
            <w:tcBorders>
              <w:top w:val="single" w:sz="8" w:color="CCFFCC"/>
            </w:tcBorders>
          </w:tcPr>
          <w:p>
            <w:pPr>
              <w:ind w:left="5520"/>
              <w:spacing w:after="0"/>
              <w:rPr>
                <w:sz w:val="20"/>
                <w:szCs w:val="20"/>
                <w:color w:val="auto"/>
              </w:rPr>
            </w:pPr>
            <w:r>
              <w:rPr>
                <w:rFonts w:ascii="Arial" w:cs="Arial" w:eastAsia="Arial" w:hAnsi="Arial"/>
                <w:sz w:val="18"/>
                <w:szCs w:val="18"/>
                <w:color w:val="auto"/>
              </w:rPr>
              <w:t>F-10</w:t>
            </w:r>
          </w:p>
        </w:tc>
        <w:tc>
          <w:tcPr>
            <w:tcW w:w="11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42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 xml:space="preserve">Consolidated statements of cash flow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Issuance of bonds and subordinated debt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564,170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257,509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256,014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Redemption of bonds and subordinated debt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(53,396)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(190,402)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Increase in borrowed funds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499,792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Payments of borrowed funds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(61,495)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(19,688)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 of Credicorp’s shares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(11,487)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Cash dividends</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(119,303)</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(119,648)</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(103,690)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FFCC"/>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318,489</w:t>
            </w:r>
          </w:p>
        </w:tc>
        <w:tc>
          <w:tcPr>
            <w:tcW w:w="2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227,771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576,388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(20,486)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715,828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322,306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Translation (loss) gain on cash and cash equivalents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90,973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(23,522)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18,029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3,766,171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3,073,865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2,733,530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3,836,658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3,766,171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3,073,865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paid during the year for -</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444,398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533,861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415,157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142,516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124,754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received during the year for -</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Interest</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1,315,704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1,361,143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1,106,972</w:t>
            </w: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these consolidated financial statements.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2009 and 2008</w:t>
      </w:r>
    </w:p>
    <w:p>
      <w:pPr>
        <w:spacing w:after="0" w:line="232" w:lineRule="exact"/>
        <w:rPr>
          <w:sz w:val="20"/>
          <w:szCs w:val="20"/>
          <w:color w:val="auto"/>
        </w:rPr>
      </w:pPr>
    </w:p>
    <w:p>
      <w:pPr>
        <w:ind w:left="660" w:hanging="562"/>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7" w:lineRule="exact"/>
        <w:rPr>
          <w:rFonts w:ascii="Arial" w:cs="Arial" w:eastAsia="Arial" w:hAnsi="Arial"/>
          <w:sz w:val="18"/>
          <w:szCs w:val="18"/>
          <w:b w:val="1"/>
          <w:bCs w:val="1"/>
          <w:color w:val="auto"/>
        </w:rPr>
      </w:pPr>
    </w:p>
    <w:p>
      <w:pPr>
        <w:ind w:left="66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210" w:lineRule="exact"/>
        <w:rPr>
          <w:rFonts w:ascii="Arial" w:cs="Arial" w:eastAsia="Arial" w:hAnsi="Arial"/>
          <w:sz w:val="18"/>
          <w:szCs w:val="18"/>
          <w:b w:val="1"/>
          <w:bCs w:val="1"/>
          <w:color w:val="auto"/>
        </w:rPr>
      </w:pPr>
    </w:p>
    <w:p>
      <w:pPr>
        <w:ind w:left="660" w:right="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Credicorp Ltd., through its banking and non-banking subsidiaries, provides a wide range of financial services and products throughout Peru and in certain other countries (Bolivia and Panama). Its major subsidiary is Banco de Crédito del Perú (hereinafter “BCP” or the “Bank”), a Peruvian universal bank. Credicorp’s address is Claredon House 2 Church Street Hamilton, Bermuda; likewise, administration offices of its representative in Peru are located in Calle Centenario Nº156, La Molina, Lima, Peru.</w:t>
      </w:r>
    </w:p>
    <w:p>
      <w:pPr>
        <w:spacing w:after="0" w:line="21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Credicorp is listed in Lima and New York stock exchanges.</w:t>
      </w:r>
    </w:p>
    <w:p>
      <w:pPr>
        <w:spacing w:after="0" w:line="252" w:lineRule="exact"/>
        <w:rPr>
          <w:rFonts w:ascii="Arial" w:cs="Arial" w:eastAsia="Arial" w:hAnsi="Arial"/>
          <w:sz w:val="18"/>
          <w:szCs w:val="18"/>
          <w:b w:val="1"/>
          <w:bCs w:val="1"/>
          <w:color w:val="auto"/>
        </w:rPr>
      </w:pPr>
    </w:p>
    <w:p>
      <w:pPr>
        <w:ind w:left="6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consolidated financial statements as of and for the year ended December 31, 2008 were approved in the General Shareholders’ meeting held on March 31, 2009. The accompanying consolidated financial statements as of and for the year ended December 31, 2009, were approved by the Board of Directors Meeting of February 24, 2010 and by the General Shareholders’ Meeting of March 31, 2010, without modifications.</w:t>
      </w:r>
    </w:p>
    <w:p>
      <w:pPr>
        <w:spacing w:after="0" w:line="169" w:lineRule="exact"/>
        <w:rPr>
          <w:rFonts w:ascii="Arial" w:cs="Arial" w:eastAsia="Arial" w:hAnsi="Arial"/>
          <w:sz w:val="18"/>
          <w:szCs w:val="18"/>
          <w:b w:val="1"/>
          <w:bCs w:val="1"/>
          <w:color w:val="auto"/>
        </w:rPr>
      </w:pPr>
    </w:p>
    <w:p>
      <w:pPr>
        <w:ind w:left="660" w:hanging="562"/>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of Empresa Financiera Edyficar S.A.</w:t>
      </w:r>
    </w:p>
    <w:p>
      <w:pPr>
        <w:spacing w:after="0" w:line="27" w:lineRule="exact"/>
        <w:rPr>
          <w:rFonts w:ascii="Arial" w:cs="Arial" w:eastAsia="Arial" w:hAnsi="Arial"/>
          <w:sz w:val="18"/>
          <w:szCs w:val="18"/>
          <w:b w:val="1"/>
          <w:bCs w:val="1"/>
          <w:color w:val="auto"/>
        </w:rPr>
      </w:pPr>
    </w:p>
    <w:p>
      <w:pPr>
        <w:ind w:left="660" w:right="20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During October and November 2009, Credicorp, through its subsidiary BCP, acquired 99.78% of the capital stock of Empresa Financiera Edyficar S.A. (a Peruvian financial entity, serving micro and small size entrepreneurs) for approximately US$96.1 million in cash.</w:t>
      </w: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both"/>
        <w:ind w:left="660" w:right="200"/>
        <w:spacing w:after="0" w:line="264" w:lineRule="auto"/>
        <w:rPr>
          <w:sz w:val="20"/>
          <w:szCs w:val="20"/>
          <w:color w:val="auto"/>
        </w:rPr>
      </w:pPr>
      <w:r>
        <w:rPr>
          <w:rFonts w:ascii="Arial" w:cs="Arial" w:eastAsia="Arial" w:hAnsi="Arial"/>
          <w:sz w:val="18"/>
          <w:szCs w:val="18"/>
          <w:color w:val="auto"/>
        </w:rPr>
        <w:t>The acquisition of Edyficar was recorded using the purchase method, as required by IFRS 3, “Business Combinations”. Assets and liabilities were recorded at their estimated fair values at the acquisition date, including the identified intangible assets unrecorded in Edyficar balance sheet. Book value and fair value of the identified assets and liabilities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Fair value of the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340" w:type="dxa"/>
            <w:vAlign w:val="bottom"/>
            <w:gridSpan w:val="3"/>
          </w:tcPr>
          <w:p>
            <w:pPr>
              <w:ind w:left="140"/>
              <w:spacing w:after="0"/>
              <w:rPr>
                <w:sz w:val="20"/>
                <w:szCs w:val="20"/>
                <w:color w:val="auto"/>
              </w:rPr>
            </w:pPr>
            <w:r>
              <w:rPr>
                <w:rFonts w:ascii="Arial" w:cs="Arial" w:eastAsia="Arial" w:hAnsi="Arial"/>
                <w:sz w:val="18"/>
                <w:szCs w:val="18"/>
                <w:b w:val="1"/>
                <w:bCs w:val="1"/>
                <w:color w:val="auto"/>
              </w:rPr>
              <w:t>Book value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adjustments</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entity acquired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tcPr>
          <w:p>
            <w:pPr>
              <w:spacing w:after="0"/>
              <w:rPr>
                <w:sz w:val="20"/>
                <w:szCs w:val="20"/>
                <w:color w:val="auto"/>
              </w:rPr>
            </w:pPr>
          </w:p>
        </w:tc>
        <w:tc>
          <w:tcPr>
            <w:tcW w:w="11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US$(000)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 -</w:t>
            </w: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3,810</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218,218</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(10,295)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207,923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Client relationships, note 10(a)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6,574</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Fixed assets, net</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8,255</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Brand name, note 10(a)</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13,159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Goodwill, note 10(b)</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50,696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assets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11,802</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3,263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Liabilities -</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Obligations</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38,590</w:t>
            </w: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Due to banks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138,257</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138,257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liability</w:t>
            </w:r>
          </w:p>
        </w:tc>
        <w:tc>
          <w:tcPr>
            <w:tcW w:w="1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6,611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Other liabilities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25,054</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25,885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4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b w:val="1"/>
                <w:bCs w:val="1"/>
                <w:color w:val="auto"/>
              </w:rPr>
              <w:t>Net acquired assets</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40,184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55,955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96,139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7" w:lineRule="exact"/>
        <w:rPr>
          <w:rFonts w:ascii="Arial" w:cs="Arial" w:eastAsia="Arial" w:hAnsi="Arial"/>
          <w:sz w:val="18"/>
          <w:szCs w:val="18"/>
          <w:b w:val="1"/>
          <w:bCs w:val="1"/>
          <w:color w:val="auto"/>
        </w:rPr>
      </w:pPr>
    </w:p>
    <w:p>
      <w:pPr>
        <w:ind w:left="660" w:right="3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Significant accounting principles used in the preparation of Credicorp’s consolidated financial statements are set out below and were consistently applied to all of the years presented.</w:t>
      </w:r>
    </w:p>
    <w:p>
      <w:pPr>
        <w:spacing w:after="0" w:line="210" w:lineRule="exact"/>
        <w:rPr>
          <w:rFonts w:ascii="Arial" w:cs="Arial" w:eastAsia="Arial" w:hAnsi="Arial"/>
          <w:sz w:val="18"/>
          <w:szCs w:val="18"/>
          <w:b w:val="1"/>
          <w:bCs w:val="1"/>
          <w:color w:val="auto"/>
        </w:rPr>
      </w:pPr>
    </w:p>
    <w:p>
      <w:pPr>
        <w:ind w:left="1160" w:hanging="490"/>
        <w:spacing w:after="0"/>
        <w:tabs>
          <w:tab w:leader="none" w:pos="116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Basis of presentation and use of estimates -</w:t>
      </w:r>
    </w:p>
    <w:p>
      <w:pPr>
        <w:spacing w:after="0" w:line="23" w:lineRule="exact"/>
        <w:rPr>
          <w:rFonts w:ascii="Arial" w:cs="Arial" w:eastAsia="Arial" w:hAnsi="Arial"/>
          <w:sz w:val="18"/>
          <w:szCs w:val="18"/>
          <w:color w:val="auto"/>
        </w:rPr>
      </w:pPr>
    </w:p>
    <w:p>
      <w:pPr>
        <w:ind w:left="1140" w:right="80"/>
        <w:spacing w:after="0" w:line="292" w:lineRule="auto"/>
        <w:rPr>
          <w:rFonts w:ascii="Arial" w:cs="Arial" w:eastAsia="Arial" w:hAnsi="Arial"/>
          <w:sz w:val="18"/>
          <w:szCs w:val="18"/>
          <w:color w:val="auto"/>
        </w:rPr>
      </w:pPr>
      <w:r>
        <w:rPr>
          <w:rFonts w:ascii="Arial" w:cs="Arial" w:eastAsia="Arial" w:hAnsi="Arial"/>
          <w:sz w:val="16"/>
          <w:szCs w:val="16"/>
          <w:color w:val="auto"/>
        </w:rPr>
        <w:t>The consolidated financial statements were prepared in accordance with International Financial Reporting Standards (IFRS) as issued by the International Accounting Standards Board (IASB). The consolidated financial statements were prepared on a historical cost basis, except for available-for-sale investments, derivative financial instruments, share-based payment liability and financial assets and financial liabilities designated at fair value through profit or loss, which were measured at fair value. The consolidated financial statements are presented in United States Dollars (US$), and all values are rounded to the nearest US$ thousand, except when otherwise indicated.</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20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liabilities, revenues and expenses and the disclosure of significant events in notes to the consolidated financial statements.</w:t>
      </w:r>
    </w:p>
    <w:p>
      <w:pPr>
        <w:spacing w:after="0" w:line="208" w:lineRule="exact"/>
        <w:rPr>
          <w:sz w:val="20"/>
          <w:szCs w:val="20"/>
          <w:color w:val="auto"/>
        </w:rPr>
      </w:pPr>
    </w:p>
    <w:p>
      <w:pPr>
        <w:ind w:left="1140" w:right="160"/>
        <w:spacing w:after="0" w:line="255" w:lineRule="auto"/>
        <w:rPr>
          <w:sz w:val="20"/>
          <w:szCs w:val="20"/>
          <w:color w:val="auto"/>
        </w:rPr>
      </w:pPr>
      <w:r>
        <w:rPr>
          <w:rFonts w:ascii="Arial" w:cs="Arial" w:eastAsia="Arial" w:hAnsi="Arial"/>
          <w:sz w:val="18"/>
          <w:szCs w:val="18"/>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financial instruments, the technical reserves for claims and premiums, the provision for seized assets, the valuation of derivatives, and the deferred tax assets and liabilities. The accounting criteria used for each of these items are described in this note.</w:t>
      </w:r>
    </w:p>
    <w:p>
      <w:pPr>
        <w:spacing w:after="0" w:line="220"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The accounting policies adopted are consistent with those of the previous year, except that the Group has adopted those new IFRS and revised IAS mandatory for years beginning on or after January 1, 2009. The adoption of the new and revised standards did not have a significant effect on the accompanying consolidated financial statements; therefore, it has not been necessary to amend the comparative figures. In summary:</w:t>
      </w:r>
    </w:p>
    <w:p>
      <w:pPr>
        <w:spacing w:after="0" w:line="214" w:lineRule="exact"/>
        <w:rPr>
          <w:sz w:val="20"/>
          <w:szCs w:val="20"/>
          <w:color w:val="auto"/>
        </w:rPr>
      </w:pPr>
    </w:p>
    <w:p>
      <w:pPr>
        <w:jc w:val="both"/>
        <w:ind w:left="1620" w:right="80" w:hanging="478"/>
        <w:spacing w:after="0" w:line="264" w:lineRule="auto"/>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IFRS 2 “Share-based Payments - Vesting conditions and cancellations”, the standard restricts the definition of “vesting condition” to a condition that includes an explicit or implicit requirement to provide services. The indicated definition does not impact the accounting for the Group’s share-based payment agreements.</w:t>
      </w:r>
    </w:p>
    <w:p>
      <w:pPr>
        <w:spacing w:after="0" w:line="208" w:lineRule="exact"/>
        <w:rPr>
          <w:rFonts w:ascii="Arial" w:cs="Arial" w:eastAsia="Arial" w:hAnsi="Arial"/>
          <w:sz w:val="18"/>
          <w:szCs w:val="18"/>
          <w:color w:val="auto"/>
        </w:rPr>
      </w:pPr>
    </w:p>
    <w:p>
      <w:pPr>
        <w:ind w:left="1620" w:right="20" w:hanging="478"/>
        <w:spacing w:after="0" w:line="291" w:lineRule="auto"/>
        <w:tabs>
          <w:tab w:leader="none" w:pos="16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IFRS 7 “Financial Instruments: Disclosures” (Amendments). The amended standard requires additional disclosures covering fair value measurement and liquidity risk. Fair value measurements related to items recorded at fair value are to be disclosed by source of inputs using a three level fair value hierarchy, by class, for all financial instrument recognized at fair value. In addition, reconciliation between the beginning and ending balance for level 3 fair value measurements is now required, as well as significant transfers between levels in the fair value hierarchy. The amendments also clarify the requirements for liquidity risk disclosures with respect to derivative transactions and assets used for liquidity management. The fair value measurement disclosures are presented in Note 29.7. The liquidity risk disclosures are not significantly impacted by the amendments and are presented in Note 29.3.</w:t>
      </w:r>
    </w:p>
    <w:p>
      <w:pPr>
        <w:spacing w:after="0" w:line="194" w:lineRule="exact"/>
        <w:rPr>
          <w:rFonts w:ascii="Arial" w:cs="Arial" w:eastAsia="Arial" w:hAnsi="Arial"/>
          <w:sz w:val="16"/>
          <w:szCs w:val="16"/>
          <w:color w:val="auto"/>
        </w:rPr>
      </w:pPr>
    </w:p>
    <w:p>
      <w:pPr>
        <w:jc w:val="both"/>
        <w:ind w:left="1620" w:right="60" w:hanging="478"/>
        <w:spacing w:after="0" w:line="264" w:lineRule="auto"/>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IFRS 8 “Operating Segments”, the standard adopts a full management approach identifying, measuring and disclosing the results of its operating segments. The Group concluded that operating segments determined in accordance with IFRS 8 are the same as the business segments previously identified under IAS 14. IFRS 8 disclosures are shown in Note 26.</w:t>
      </w:r>
    </w:p>
    <w:p>
      <w:pPr>
        <w:spacing w:after="0" w:line="208" w:lineRule="exact"/>
        <w:rPr>
          <w:rFonts w:ascii="Arial" w:cs="Arial" w:eastAsia="Arial" w:hAnsi="Arial"/>
          <w:sz w:val="18"/>
          <w:szCs w:val="18"/>
          <w:color w:val="auto"/>
        </w:rPr>
      </w:pPr>
    </w:p>
    <w:p>
      <w:pPr>
        <w:ind w:left="1620" w:right="40" w:hanging="478"/>
        <w:spacing w:after="0" w:line="257" w:lineRule="auto"/>
        <w:tabs>
          <w:tab w:leader="none" w:pos="16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IAS 1 (Revised) “Presentation of Financial Statements”. The revised standard separates owner and non-owner changes in equity. The statement of changes in equity includes only details of transactions with owners, with non-owner changes in equity presented in a reconciliation of each component of equity. In addition, the standard introduces the statement of comprehensive income: it presents all items of recognized income and expense, either in one single statement, or in two linked statements. The Group has elected to present two statements.</w:t>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both"/>
        <w:ind w:left="1620" w:right="320" w:hanging="478"/>
        <w:spacing w:after="0" w:line="286" w:lineRule="auto"/>
        <w:tabs>
          <w:tab w:leader="none" w:pos="16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IAS 23 (Amendment) “Borrowing Costs”. The revised standard eliminates the option of expensing all borrowing costs and requires borrowing costs to be capitalized if they are directly attributable to the acquisition, construction or production of a qualifying asset. This amendment did not have any impact on the Group´s consolidated financial statement.</w:t>
      </w:r>
    </w:p>
    <w:p>
      <w:pPr>
        <w:spacing w:after="0" w:line="192" w:lineRule="exact"/>
        <w:rPr>
          <w:rFonts w:ascii="Arial" w:cs="Arial" w:eastAsia="Arial" w:hAnsi="Arial"/>
          <w:sz w:val="17"/>
          <w:szCs w:val="17"/>
          <w:color w:val="auto"/>
        </w:rPr>
      </w:pPr>
    </w:p>
    <w:p>
      <w:pPr>
        <w:ind w:left="1620" w:right="40" w:hanging="478"/>
        <w:spacing w:after="0" w:line="312" w:lineRule="auto"/>
        <w:tabs>
          <w:tab w:leader="none" w:pos="16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IAS 32 “Financial Instruments: Presentation” and IAS 1 “Puttable Financial Instruments and Obligations Arising on Liquidation”. The standards have been amended to allow a limited scope exception for puttable financial instruments to be classified as equity if they fulfill a number of specified criteria. These amendments did not have any impact on the Group’s financial position or performance.</w:t>
      </w:r>
    </w:p>
    <w:p>
      <w:pPr>
        <w:spacing w:after="0" w:line="173" w:lineRule="exact"/>
        <w:rPr>
          <w:rFonts w:ascii="Arial" w:cs="Arial" w:eastAsia="Arial" w:hAnsi="Arial"/>
          <w:sz w:val="16"/>
          <w:szCs w:val="16"/>
          <w:color w:val="auto"/>
        </w:rPr>
      </w:pPr>
    </w:p>
    <w:p>
      <w:pPr>
        <w:ind w:left="1620" w:hanging="478"/>
        <w:spacing w:after="0" w:line="272" w:lineRule="auto"/>
        <w:tabs>
          <w:tab w:leader="none" w:pos="16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IFRIC 9 “Reassessment of embedded derivatives and IAS 39 Financial Instruments: Recognition and Measurement - Embedded Derivatives” (Amendments). This amendment requires an entity to assess whether an embedded derivative must be separated from a host contract when the entity reclassifies a hybrid financial asset out of the fair value through profit or loss category. This assessment is to be made based on circumstances that existed on the later of the date the entity first became a party to the contract and the date of any contract amendments that significantly change the cash flows of the contract. IAS 39 now states that if an embedded derivative cannot be reliably measured, the entire hybrid instrument must remain classified as at fair value through profit or loss. This interpretation did not have any impact in the Group’s consolidated financial statement.</w:t>
      </w:r>
    </w:p>
    <w:p>
      <w:pPr>
        <w:spacing w:after="0" w:line="204" w:lineRule="exact"/>
        <w:rPr>
          <w:rFonts w:ascii="Arial" w:cs="Arial" w:eastAsia="Arial" w:hAnsi="Arial"/>
          <w:sz w:val="17"/>
          <w:szCs w:val="17"/>
          <w:color w:val="auto"/>
        </w:rPr>
      </w:pPr>
    </w:p>
    <w:p>
      <w:pPr>
        <w:jc w:val="both"/>
        <w:ind w:left="1620" w:right="180" w:hanging="478"/>
        <w:spacing w:after="0" w:line="264" w:lineRule="auto"/>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IFRIC 13 “Customer Loyalty Programs”. The interpretation requires loyalty award credits granted to customers in connection with a sales transaction to be accounted for as a separate component of the sales transaction. This interpretation did not have any significant impact on the Group’s consolidated financial statement.</w:t>
      </w:r>
    </w:p>
    <w:p>
      <w:pPr>
        <w:spacing w:after="0" w:line="208" w:lineRule="exact"/>
        <w:rPr>
          <w:rFonts w:ascii="Arial" w:cs="Arial" w:eastAsia="Arial" w:hAnsi="Arial"/>
          <w:sz w:val="18"/>
          <w:szCs w:val="18"/>
          <w:color w:val="auto"/>
        </w:rPr>
      </w:pPr>
    </w:p>
    <w:p>
      <w:pPr>
        <w:ind w:left="1620" w:right="220" w:hanging="478"/>
        <w:spacing w:after="0" w:line="286" w:lineRule="auto"/>
        <w:tabs>
          <w:tab w:leader="none" w:pos="162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IFRIC 15 “Agreement for the Construction of Real State”. It clarifies when and how revenue and related expenses from the sale of a real estate unit should be recognized if an agreement between a developer and a buyer is reached before the construction of the real estate is completed. This interpretation did not have any impact on the Group’s consolidated financial statements.</w:t>
      </w:r>
    </w:p>
    <w:p>
      <w:pPr>
        <w:spacing w:after="0" w:line="192" w:lineRule="exact"/>
        <w:rPr>
          <w:rFonts w:ascii="Arial" w:cs="Arial" w:eastAsia="Arial" w:hAnsi="Arial"/>
          <w:sz w:val="17"/>
          <w:szCs w:val="17"/>
          <w:color w:val="auto"/>
        </w:rPr>
      </w:pPr>
    </w:p>
    <w:p>
      <w:pPr>
        <w:ind w:left="1620" w:right="20" w:hanging="478"/>
        <w:spacing w:after="0" w:line="277" w:lineRule="auto"/>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IFRIC 16 “Hedges of a Net Investment in a Foreign Operation”. This interpretation provides guidance on the accounting for a hedge of a net investment. This interpretation did not have any impact on the Group’s consolidated financial statements.</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Improvements to IFRSs</w:t>
      </w:r>
    </w:p>
    <w:p>
      <w:pPr>
        <w:spacing w:after="0" w:line="23" w:lineRule="exact"/>
        <w:rPr>
          <w:rFonts w:ascii="Arial" w:cs="Arial" w:eastAsia="Arial" w:hAnsi="Arial"/>
          <w:sz w:val="18"/>
          <w:szCs w:val="18"/>
          <w:color w:val="auto"/>
        </w:rPr>
      </w:pPr>
    </w:p>
    <w:p>
      <w:pPr>
        <w:ind w:left="1620" w:right="160"/>
        <w:spacing w:after="0" w:line="302" w:lineRule="auto"/>
        <w:rPr>
          <w:rFonts w:ascii="Arial" w:cs="Arial" w:eastAsia="Arial" w:hAnsi="Arial"/>
          <w:sz w:val="18"/>
          <w:szCs w:val="18"/>
          <w:color w:val="auto"/>
        </w:rPr>
      </w:pPr>
      <w:r>
        <w:rPr>
          <w:rFonts w:ascii="Arial" w:cs="Arial" w:eastAsia="Arial" w:hAnsi="Arial"/>
          <w:sz w:val="16"/>
          <w:szCs w:val="16"/>
          <w:color w:val="auto"/>
        </w:rPr>
        <w:t>In May 2008 the IABS issued its first omnibus of amendments to its standards, primarily with a view to removing inconsistencies and clarifying wording. There are separate transitional provisions for each standard. The adoption of the new amendments resulted in minor changes to accounting policies, but did not have any impact on the financial position or performance of the Group.</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4" w:right="2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9140" w:hanging="484"/>
        <w:spacing w:after="0" w:line="274" w:lineRule="auto"/>
        <w:tabs>
          <w:tab w:leader="none" w:pos="114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Consolidation - Subsidiaries:</w:t>
      </w:r>
    </w:p>
    <w:p>
      <w:pPr>
        <w:ind w:left="1140" w:right="460"/>
        <w:spacing w:after="0" w:line="261" w:lineRule="auto"/>
        <w:rPr>
          <w:rFonts w:ascii="Arial" w:cs="Arial" w:eastAsia="Arial" w:hAnsi="Arial"/>
          <w:sz w:val="17"/>
          <w:szCs w:val="17"/>
          <w:color w:val="auto"/>
        </w:rPr>
      </w:pPr>
      <w:r>
        <w:rPr>
          <w:rFonts w:ascii="Arial" w:cs="Arial" w:eastAsia="Arial" w:hAnsi="Arial"/>
          <w:sz w:val="18"/>
          <w:szCs w:val="18"/>
          <w:color w:val="auto"/>
        </w:rPr>
        <w:t>Subsidiaries are all entities (including special purpose entities) in which the Group has the power to govern their financial and operating policies. This situation is generally evidenced by controlling more than one half of the voting rights.</w:t>
      </w:r>
    </w:p>
    <w:p>
      <w:pPr>
        <w:spacing w:after="0" w:line="210" w:lineRule="exact"/>
        <w:rPr>
          <w:rFonts w:ascii="Arial" w:cs="Arial" w:eastAsia="Arial" w:hAnsi="Arial"/>
          <w:sz w:val="17"/>
          <w:szCs w:val="17"/>
          <w:color w:val="auto"/>
        </w:rPr>
      </w:pPr>
    </w:p>
    <w:p>
      <w:pPr>
        <w:ind w:left="1140" w:right="240"/>
        <w:spacing w:after="0" w:line="286" w:lineRule="auto"/>
        <w:rPr>
          <w:rFonts w:ascii="Arial" w:cs="Arial" w:eastAsia="Arial" w:hAnsi="Arial"/>
          <w:sz w:val="17"/>
          <w:szCs w:val="17"/>
          <w:color w:val="auto"/>
        </w:rPr>
      </w:pPr>
      <w:r>
        <w:rPr>
          <w:rFonts w:ascii="Arial" w:cs="Arial" w:eastAsia="Arial" w:hAnsi="Arial"/>
          <w:sz w:val="17"/>
          <w:szCs w:val="17"/>
          <w:color w:val="auto"/>
        </w:rPr>
        <w:t>Subsidiaries are fully consolidated from the date on which effective control is transferred to the Group and are no longer consolidated from the date control ceases. The consolidated financial statements include the assets, liabilities, income and expenses of Credicorp and its Subsidiaries. Transactions between the Group’s entities, including balances, gains or losses are eliminated.</w:t>
      </w:r>
    </w:p>
    <w:p>
      <w:pPr>
        <w:spacing w:after="0" w:line="192" w:lineRule="exact"/>
        <w:rPr>
          <w:rFonts w:ascii="Arial" w:cs="Arial" w:eastAsia="Arial" w:hAnsi="Arial"/>
          <w:sz w:val="17"/>
          <w:szCs w:val="17"/>
          <w:color w:val="auto"/>
        </w:rPr>
      </w:pPr>
    </w:p>
    <w:p>
      <w:pPr>
        <w:ind w:left="1140"/>
        <w:spacing w:after="0" w:line="259" w:lineRule="auto"/>
        <w:rPr>
          <w:rFonts w:ascii="Arial" w:cs="Arial" w:eastAsia="Arial" w:hAnsi="Arial"/>
          <w:sz w:val="17"/>
          <w:szCs w:val="17"/>
          <w:color w:val="auto"/>
        </w:rPr>
      </w:pPr>
      <w:r>
        <w:rPr>
          <w:rFonts w:ascii="Arial" w:cs="Arial" w:eastAsia="Arial" w:hAnsi="Arial"/>
          <w:sz w:val="18"/>
          <w:szCs w:val="18"/>
          <w:color w:val="auto"/>
        </w:rPr>
        <w:t>Acquisition of a subsidiary is recorded using the purchase method of accounting. The cost of an acquisition is measured as the fair value of the assets received, equity instruments issued and liabilities incurred or assumed at the date of acquisition, plus directly attributable cost. The excess of the cost of acquisition over the fair value of the Group’s share of the identifiable net assets and intangible assets acquired is recorded as goodwill.</w:t>
      </w:r>
    </w:p>
    <w:p>
      <w:pPr>
        <w:spacing w:after="0" w:line="213" w:lineRule="exact"/>
        <w:rPr>
          <w:rFonts w:ascii="Arial" w:cs="Arial" w:eastAsia="Arial" w:hAnsi="Arial"/>
          <w:sz w:val="17"/>
          <w:szCs w:val="17"/>
          <w:color w:val="auto"/>
        </w:rPr>
      </w:pPr>
    </w:p>
    <w:p>
      <w:pPr>
        <w:ind w:left="1140" w:right="420"/>
        <w:spacing w:after="0" w:line="277" w:lineRule="auto"/>
        <w:rPr>
          <w:rFonts w:ascii="Arial" w:cs="Arial" w:eastAsia="Arial" w:hAnsi="Arial"/>
          <w:sz w:val="17"/>
          <w:szCs w:val="17"/>
          <w:color w:val="auto"/>
        </w:rPr>
      </w:pPr>
      <w:r>
        <w:rPr>
          <w:rFonts w:ascii="Arial" w:cs="Arial" w:eastAsia="Arial" w:hAnsi="Arial"/>
          <w:sz w:val="18"/>
          <w:szCs w:val="18"/>
          <w:color w:val="auto"/>
        </w:rPr>
        <w:t>Assets in custody or managed by the Group, such as investment funds and private pension funds (AFP funds), are not part of the group’s consolidated financial statements, note 3(z).</w:t>
      </w:r>
    </w:p>
    <w:p>
      <w:pPr>
        <w:spacing w:after="0" w:line="197" w:lineRule="exact"/>
        <w:rPr>
          <w:rFonts w:ascii="Arial" w:cs="Arial" w:eastAsia="Arial" w:hAnsi="Arial"/>
          <w:sz w:val="17"/>
          <w:szCs w:val="17"/>
          <w:color w:val="auto"/>
        </w:rPr>
      </w:pPr>
    </w:p>
    <w:p>
      <w:pPr>
        <w:jc w:val="both"/>
        <w:ind w:left="1140" w:right="320"/>
        <w:spacing w:after="0" w:line="342" w:lineRule="auto"/>
        <w:rPr>
          <w:rFonts w:ascii="Arial" w:cs="Arial" w:eastAsia="Arial" w:hAnsi="Arial"/>
          <w:sz w:val="17"/>
          <w:szCs w:val="17"/>
          <w:color w:val="auto"/>
        </w:rPr>
      </w:pPr>
      <w:r>
        <w:rPr>
          <w:rFonts w:ascii="Arial" w:cs="Arial" w:eastAsia="Arial" w:hAnsi="Arial"/>
          <w:sz w:val="16"/>
          <w:szCs w:val="16"/>
          <w:color w:val="auto"/>
        </w:rPr>
        <w:t>Net equity attributable to the minority interest is presented in the consolidated statements of financial position. Income attributable to the minority interest is presented separately in the consolidated income statements and the consolidated statements of comprehensive income.</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4" w:right="25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Associates:</w:t>
      </w:r>
    </w:p>
    <w:p>
      <w:pPr>
        <w:spacing w:after="0" w:line="23" w:lineRule="exact"/>
        <w:rPr>
          <w:sz w:val="20"/>
          <w:szCs w:val="20"/>
          <w:color w:val="auto"/>
        </w:rPr>
      </w:pPr>
    </w:p>
    <w:p>
      <w:pPr>
        <w:ind w:left="1140"/>
        <w:spacing w:after="0" w:line="253" w:lineRule="auto"/>
        <w:rPr>
          <w:sz w:val="20"/>
          <w:szCs w:val="20"/>
          <w:color w:val="auto"/>
        </w:rPr>
      </w:pPr>
      <w:r>
        <w:rPr>
          <w:rFonts w:ascii="Arial" w:cs="Arial" w:eastAsia="Arial" w:hAnsi="Arial"/>
          <w:sz w:val="18"/>
          <w:szCs w:val="18"/>
          <w:color w:val="auto"/>
        </w:rPr>
        <w:t>An associate is an entity over which the Group has significant influence but not control. Investments in these entities represent shareholding between 20 and 50 percent of the voting rights; and are recognized initially at cost and then are accounted for by the “equity method”. The Group does not have significant investments in associates; therefore, they are included in the caption “Other assets” in the consolidated statements of financial position; gains resulting from the use of the equity method of accounting are included in the caption “Other income” of the consolidated income statement.</w:t>
      </w:r>
    </w:p>
    <w:p>
      <w:pPr>
        <w:spacing w:after="0" w:line="21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Minority interest:</w:t>
      </w:r>
    </w:p>
    <w:p>
      <w:pPr>
        <w:spacing w:after="0" w:line="23" w:lineRule="exact"/>
        <w:rPr>
          <w:sz w:val="20"/>
          <w:szCs w:val="20"/>
          <w:color w:val="auto"/>
        </w:rPr>
      </w:pPr>
    </w:p>
    <w:p>
      <w:pPr>
        <w:ind w:left="1140" w:right="440"/>
        <w:spacing w:after="0" w:line="255" w:lineRule="auto"/>
        <w:rPr>
          <w:sz w:val="20"/>
          <w:szCs w:val="20"/>
          <w:color w:val="auto"/>
        </w:rPr>
      </w:pPr>
      <w:r>
        <w:rPr>
          <w:rFonts w:ascii="Arial" w:cs="Arial" w:eastAsia="Arial" w:hAnsi="Arial"/>
          <w:sz w:val="18"/>
          <w:szCs w:val="18"/>
          <w:color w:val="auto"/>
        </w:rPr>
        <w:t>Transactions with minority interests are treated as transactions with third parties. Disposals of minority interests result in gains or losses which are recorded in the consolidated income statement. Purchases from minority interests result in goodwill, which is the difference between any consideration paid and the carrying value of the subsidiary’s net assets.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2009 and 2008, the following entities comprise the Group (individual financial statements data is presented in accordance with</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IFRS and before eliminations for consolidation purposes, except for the elimination of Credicorp´s treasury stock and its related dividends):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Entity</w:t>
            </w:r>
          </w:p>
        </w:tc>
        <w:tc>
          <w:tcPr>
            <w:tcW w:w="23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2"/>
              </w:rPr>
              <w:t>Percentage of participation (direct</w:t>
            </w:r>
          </w:p>
        </w:tc>
        <w:tc>
          <w:tcPr>
            <w:tcW w:w="1880" w:type="dxa"/>
            <w:vAlign w:val="bottom"/>
            <w:gridSpan w:val="3"/>
            <w:vMerge w:val="restart"/>
          </w:tcPr>
          <w:p>
            <w:pPr>
              <w:jc w:val="right"/>
              <w:ind w:right="840"/>
              <w:spacing w:after="0"/>
              <w:rPr>
                <w:sz w:val="20"/>
                <w:szCs w:val="20"/>
                <w:color w:val="auto"/>
              </w:rPr>
            </w:pPr>
            <w:r>
              <w:rPr>
                <w:rFonts w:ascii="Arial" w:cs="Arial" w:eastAsia="Arial" w:hAnsi="Arial"/>
                <w:sz w:val="14"/>
                <w:szCs w:val="14"/>
                <w:b w:val="1"/>
                <w:bCs w:val="1"/>
                <w:color w:val="auto"/>
              </w:rPr>
              <w:t>Assets</w:t>
            </w:r>
          </w:p>
        </w:tc>
        <w:tc>
          <w:tcPr>
            <w:tcW w:w="1860" w:type="dxa"/>
            <w:vAlign w:val="bottom"/>
            <w:gridSpan w:val="3"/>
            <w:vMerge w:val="restart"/>
          </w:tcPr>
          <w:p>
            <w:pPr>
              <w:jc w:val="right"/>
              <w:ind w:right="720"/>
              <w:spacing w:after="0"/>
              <w:rPr>
                <w:sz w:val="20"/>
                <w:szCs w:val="20"/>
                <w:color w:val="auto"/>
              </w:rPr>
            </w:pPr>
            <w:r>
              <w:rPr>
                <w:rFonts w:ascii="Arial" w:cs="Arial" w:eastAsia="Arial" w:hAnsi="Arial"/>
                <w:sz w:val="14"/>
                <w:szCs w:val="14"/>
                <w:b w:val="1"/>
                <w:bCs w:val="1"/>
                <w:color w:val="auto"/>
              </w:rPr>
              <w:t>Liabilities</w:t>
            </w:r>
          </w:p>
        </w:tc>
        <w:tc>
          <w:tcPr>
            <w:tcW w:w="1720" w:type="dxa"/>
            <w:vAlign w:val="bottom"/>
            <w:gridSpan w:val="3"/>
            <w:vMerge w:val="restart"/>
          </w:tcPr>
          <w:p>
            <w:pPr>
              <w:jc w:val="right"/>
              <w:ind w:right="740"/>
              <w:spacing w:after="0"/>
              <w:rPr>
                <w:sz w:val="20"/>
                <w:szCs w:val="20"/>
                <w:color w:val="auto"/>
              </w:rPr>
            </w:pPr>
            <w:r>
              <w:rPr>
                <w:rFonts w:ascii="Arial" w:cs="Arial" w:eastAsia="Arial" w:hAnsi="Arial"/>
                <w:sz w:val="14"/>
                <w:szCs w:val="14"/>
                <w:b w:val="1"/>
                <w:bCs w:val="1"/>
                <w:color w:val="auto"/>
              </w:rPr>
              <w:t>Equity</w:t>
            </w:r>
          </w:p>
        </w:tc>
        <w:tc>
          <w:tcPr>
            <w:tcW w:w="1640" w:type="dxa"/>
            <w:vAlign w:val="bottom"/>
            <w:gridSpan w:val="3"/>
            <w:vMerge w:val="restart"/>
          </w:tcPr>
          <w:p>
            <w:pPr>
              <w:jc w:val="right"/>
              <w:ind w:right="340"/>
              <w:spacing w:after="0"/>
              <w:rPr>
                <w:sz w:val="20"/>
                <w:szCs w:val="20"/>
                <w:color w:val="auto"/>
              </w:rPr>
            </w:pPr>
            <w:r>
              <w:rPr>
                <w:rFonts w:ascii="Arial" w:cs="Arial" w:eastAsia="Arial" w:hAnsi="Arial"/>
                <w:sz w:val="14"/>
                <w:szCs w:val="14"/>
                <w:b w:val="1"/>
                <w:bCs w:val="1"/>
                <w:color w:val="auto"/>
              </w:rPr>
              <w:t>Net income (loss)</w:t>
            </w:r>
          </w:p>
        </w:tc>
        <w:tc>
          <w:tcPr>
            <w:tcW w:w="0" w:type="dxa"/>
            <w:vAlign w:val="bottom"/>
          </w:tcPr>
          <w:p>
            <w:pPr>
              <w:spacing w:after="0"/>
              <w:rPr>
                <w:sz w:val="1"/>
                <w:szCs w:val="1"/>
                <w:color w:val="auto"/>
              </w:rPr>
            </w:pPr>
          </w:p>
        </w:tc>
      </w:tr>
      <w:tr>
        <w:trPr>
          <w:trHeight w:val="178"/>
        </w:trPr>
        <w:tc>
          <w:tcPr>
            <w:tcW w:w="1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center"/>
              <w:ind w:left="548"/>
              <w:spacing w:after="0"/>
              <w:rPr>
                <w:sz w:val="20"/>
                <w:szCs w:val="20"/>
                <w:color w:val="auto"/>
              </w:rPr>
            </w:pPr>
            <w:r>
              <w:rPr>
                <w:rFonts w:ascii="Arial" w:cs="Arial" w:eastAsia="Arial" w:hAnsi="Arial"/>
                <w:sz w:val="14"/>
                <w:szCs w:val="14"/>
                <w:b w:val="1"/>
                <w:bCs w:val="1"/>
                <w:color w:val="auto"/>
                <w:w w:val="92"/>
              </w:rPr>
              <w:t>and indirect)</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3"/>
            <w:vMerge w:val="continue"/>
          </w:tcPr>
          <w:p>
            <w:pPr>
              <w:spacing w:after="0"/>
              <w:rPr>
                <w:sz w:val="15"/>
                <w:szCs w:val="15"/>
                <w:color w:val="auto"/>
              </w:rPr>
            </w:pPr>
          </w:p>
        </w:tc>
        <w:tc>
          <w:tcPr>
            <w:tcW w:w="1860" w:type="dxa"/>
            <w:vAlign w:val="bottom"/>
            <w:gridSpan w:val="3"/>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6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Borders>
              <w:top w:val="single" w:sz="8" w:color="auto"/>
            </w:tcBorders>
          </w:tcPr>
          <w:p>
            <w:pPr>
              <w:jc w:val="right"/>
              <w:ind w:right="808"/>
              <w:spacing w:after="0" w:line="130" w:lineRule="exact"/>
              <w:rPr>
                <w:sz w:val="20"/>
                <w:szCs w:val="20"/>
                <w:color w:val="auto"/>
              </w:rPr>
            </w:pPr>
            <w:r>
              <w:rPr>
                <w:rFonts w:ascii="Arial" w:cs="Arial" w:eastAsia="Arial" w:hAnsi="Arial"/>
                <w:sz w:val="14"/>
                <w:szCs w:val="14"/>
                <w:b w:val="1"/>
                <w:bCs w:val="1"/>
                <w:color w:val="auto"/>
              </w:rPr>
              <w:t>2009</w:t>
            </w:r>
          </w:p>
        </w:tc>
        <w:tc>
          <w:tcPr>
            <w:tcW w:w="620" w:type="dxa"/>
            <w:vAlign w:val="bottom"/>
            <w:tcBorders>
              <w:top w:val="single" w:sz="8" w:color="auto"/>
            </w:tcBorders>
          </w:tcPr>
          <w:p>
            <w:pPr>
              <w:jc w:val="right"/>
              <w:ind w:right="228"/>
              <w:spacing w:after="0" w:line="130" w:lineRule="exact"/>
              <w:rPr>
                <w:sz w:val="20"/>
                <w:szCs w:val="20"/>
                <w:color w:val="auto"/>
              </w:rPr>
            </w:pPr>
            <w:r>
              <w:rPr>
                <w:rFonts w:ascii="Arial" w:cs="Arial" w:eastAsia="Arial" w:hAnsi="Arial"/>
                <w:sz w:val="14"/>
                <w:szCs w:val="14"/>
                <w:b w:val="1"/>
                <w:bCs w:val="1"/>
                <w:color w:val="auto"/>
                <w:w w:val="96"/>
              </w:rPr>
              <w:t>2008</w:t>
            </w:r>
          </w:p>
        </w:tc>
        <w:tc>
          <w:tcPr>
            <w:tcW w:w="180" w:type="dxa"/>
            <w:vAlign w:val="bottom"/>
          </w:tcPr>
          <w:p>
            <w:pPr>
              <w:spacing w:after="0"/>
              <w:rPr>
                <w:sz w:val="11"/>
                <w:szCs w:val="11"/>
                <w:color w:val="auto"/>
              </w:rPr>
            </w:pPr>
          </w:p>
        </w:tc>
        <w:tc>
          <w:tcPr>
            <w:tcW w:w="900" w:type="dxa"/>
            <w:vAlign w:val="bottom"/>
            <w:tcBorders>
              <w:top w:val="single" w:sz="8" w:color="auto"/>
            </w:tcBorders>
          </w:tcPr>
          <w:p>
            <w:pPr>
              <w:jc w:val="right"/>
              <w:ind w:right="308"/>
              <w:spacing w:after="0" w:line="130" w:lineRule="exact"/>
              <w:rPr>
                <w:sz w:val="20"/>
                <w:szCs w:val="20"/>
                <w:color w:val="auto"/>
              </w:rPr>
            </w:pPr>
            <w:r>
              <w:rPr>
                <w:rFonts w:ascii="Arial" w:cs="Arial" w:eastAsia="Arial" w:hAnsi="Arial"/>
                <w:sz w:val="14"/>
                <w:szCs w:val="14"/>
                <w:b w:val="1"/>
                <w:bCs w:val="1"/>
                <w:color w:val="auto"/>
              </w:rPr>
              <w:t>2009</w:t>
            </w:r>
          </w:p>
        </w:tc>
        <w:tc>
          <w:tcPr>
            <w:tcW w:w="780" w:type="dxa"/>
            <w:vAlign w:val="bottom"/>
            <w:tcBorders>
              <w:top w:val="single" w:sz="8" w:color="auto"/>
            </w:tcBorders>
          </w:tcPr>
          <w:p>
            <w:pPr>
              <w:jc w:val="right"/>
              <w:ind w:right="148"/>
              <w:spacing w:after="0" w:line="130"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880" w:type="dxa"/>
            <w:vAlign w:val="bottom"/>
            <w:tcBorders>
              <w:top w:val="single" w:sz="8" w:color="auto"/>
            </w:tcBorders>
          </w:tcPr>
          <w:p>
            <w:pPr>
              <w:jc w:val="right"/>
              <w:ind w:right="308"/>
              <w:spacing w:after="0" w:line="130" w:lineRule="exact"/>
              <w:rPr>
                <w:sz w:val="20"/>
                <w:szCs w:val="20"/>
                <w:color w:val="auto"/>
              </w:rPr>
            </w:pPr>
            <w:r>
              <w:rPr>
                <w:rFonts w:ascii="Arial" w:cs="Arial" w:eastAsia="Arial" w:hAnsi="Arial"/>
                <w:sz w:val="14"/>
                <w:szCs w:val="14"/>
                <w:b w:val="1"/>
                <w:bCs w:val="1"/>
                <w:color w:val="auto"/>
              </w:rPr>
              <w:t>2009</w:t>
            </w:r>
          </w:p>
        </w:tc>
        <w:tc>
          <w:tcPr>
            <w:tcW w:w="780" w:type="dxa"/>
            <w:vAlign w:val="bottom"/>
            <w:tcBorders>
              <w:top w:val="single" w:sz="8" w:color="auto"/>
            </w:tcBorders>
          </w:tcPr>
          <w:p>
            <w:pPr>
              <w:jc w:val="right"/>
              <w:ind w:right="148"/>
              <w:spacing w:after="0" w:line="130"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820" w:type="dxa"/>
            <w:vAlign w:val="bottom"/>
            <w:tcBorders>
              <w:top w:val="single" w:sz="8" w:color="auto"/>
            </w:tcBorders>
          </w:tcPr>
          <w:p>
            <w:pPr>
              <w:jc w:val="right"/>
              <w:ind w:right="268"/>
              <w:spacing w:after="0" w:line="130"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jc w:val="right"/>
              <w:ind w:right="128"/>
              <w:spacing w:after="0" w:line="130"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1"/>
                <w:szCs w:val="11"/>
                <w:color w:val="auto"/>
              </w:rPr>
            </w:pPr>
          </w:p>
        </w:tc>
        <w:tc>
          <w:tcPr>
            <w:tcW w:w="820" w:type="dxa"/>
            <w:vAlign w:val="bottom"/>
            <w:tcBorders>
              <w:top w:val="single" w:sz="8" w:color="auto"/>
            </w:tcBorders>
          </w:tcPr>
          <w:p>
            <w:pPr>
              <w:jc w:val="right"/>
              <w:ind w:right="268"/>
              <w:spacing w:after="0" w:line="130"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jc w:val="right"/>
              <w:ind w:right="128"/>
              <w:spacing w:after="0" w:line="130"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580" w:type="dxa"/>
            <w:vAlign w:val="bottom"/>
            <w:gridSpan w:val="2"/>
          </w:tcPr>
          <w:p>
            <w:pPr>
              <w:jc w:val="right"/>
              <w:ind w:right="90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900" w:type="dxa"/>
            <w:vAlign w:val="bottom"/>
          </w:tcPr>
          <w:p>
            <w:pPr>
              <w:jc w:val="right"/>
              <w:ind w:right="168"/>
              <w:spacing w:after="0"/>
              <w:rPr>
                <w:sz w:val="20"/>
                <w:szCs w:val="20"/>
                <w:color w:val="auto"/>
              </w:rPr>
            </w:pPr>
            <w:r>
              <w:rPr>
                <w:rFonts w:ascii="Arial" w:cs="Arial" w:eastAsia="Arial" w:hAnsi="Arial"/>
                <w:sz w:val="14"/>
                <w:szCs w:val="14"/>
                <w:color w:val="auto"/>
              </w:rPr>
              <w:t>US$(000)</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US$(000)</w:t>
            </w:r>
          </w:p>
        </w:tc>
        <w:tc>
          <w:tcPr>
            <w:tcW w:w="880" w:type="dxa"/>
            <w:vAlign w:val="bottom"/>
          </w:tcPr>
          <w:p>
            <w:pPr>
              <w:jc w:val="right"/>
              <w:ind w:right="168"/>
              <w:spacing w:after="0"/>
              <w:rPr>
                <w:sz w:val="20"/>
                <w:szCs w:val="20"/>
                <w:color w:val="auto"/>
              </w:rPr>
            </w:pPr>
            <w:r>
              <w:rPr>
                <w:rFonts w:ascii="Arial" w:cs="Arial" w:eastAsia="Arial" w:hAnsi="Arial"/>
                <w:sz w:val="14"/>
                <w:szCs w:val="14"/>
                <w:color w:val="auto"/>
              </w:rPr>
              <w:t>US$(000)</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US$(000)</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US$(000)</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US$(000)</w:t>
            </w:r>
          </w:p>
        </w:tc>
        <w:tc>
          <w:tcPr>
            <w:tcW w:w="820" w:type="dxa"/>
            <w:vAlign w:val="bottom"/>
          </w:tcPr>
          <w:p>
            <w:pPr>
              <w:jc w:val="right"/>
              <w:ind w:right="128"/>
              <w:spacing w:after="0"/>
              <w:rPr>
                <w:sz w:val="20"/>
                <w:szCs w:val="20"/>
                <w:color w:val="auto"/>
              </w:rPr>
            </w:pPr>
            <w:r>
              <w:rPr>
                <w:rFonts w:ascii="Arial" w:cs="Arial" w:eastAsia="Arial" w:hAnsi="Arial"/>
                <w:sz w:val="14"/>
                <w:szCs w:val="14"/>
                <w:color w:val="auto"/>
              </w:rPr>
              <w:t>US$(000)</w:t>
            </w: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vMerge w:val="continue"/>
          </w:tcPr>
          <w:p>
            <w:pPr>
              <w:spacing w:after="0"/>
              <w:rPr>
                <w:sz w:val="11"/>
                <w:szCs w:val="11"/>
                <w:color w:val="auto"/>
              </w:rPr>
            </w:pPr>
          </w:p>
        </w:tc>
        <w:tc>
          <w:tcPr>
            <w:tcW w:w="19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9"/>
              </w:rPr>
              <w:t>Banco de Crédito del Perú and</w:t>
            </w:r>
          </w:p>
        </w:tc>
        <w:tc>
          <w:tcPr>
            <w:tcW w:w="100" w:type="dxa"/>
            <w:vAlign w:val="bottom"/>
            <w:shd w:val="clear" w:color="auto" w:fill="CCFFCC"/>
          </w:tcPr>
          <w:p>
            <w:pPr>
              <w:spacing w:after="0"/>
              <w:rPr>
                <w:sz w:val="11"/>
                <w:szCs w:val="11"/>
                <w:color w:val="auto"/>
              </w:rPr>
            </w:pPr>
          </w:p>
        </w:tc>
        <w:tc>
          <w:tcPr>
            <w:tcW w:w="14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Subsidiaries (i)</w:t>
            </w:r>
          </w:p>
        </w:tc>
        <w:tc>
          <w:tcPr>
            <w:tcW w:w="1580" w:type="dxa"/>
            <w:vAlign w:val="bottom"/>
            <w:gridSpan w:val="2"/>
            <w:shd w:val="clear" w:color="auto" w:fill="CCFFCC"/>
          </w:tcPr>
          <w:p>
            <w:pPr>
              <w:jc w:val="center"/>
              <w:ind w:right="268"/>
              <w:spacing w:after="0"/>
              <w:rPr>
                <w:sz w:val="20"/>
                <w:szCs w:val="20"/>
                <w:color w:val="auto"/>
              </w:rPr>
            </w:pPr>
            <w:r>
              <w:rPr>
                <w:rFonts w:ascii="Arial" w:cs="Arial" w:eastAsia="Arial" w:hAnsi="Arial"/>
                <w:sz w:val="14"/>
                <w:szCs w:val="14"/>
                <w:color w:val="auto"/>
                <w:w w:val="91"/>
              </w:rPr>
              <w:t>97.41</w:t>
            </w:r>
          </w:p>
        </w:tc>
        <w:tc>
          <w:tcPr>
            <w:tcW w:w="620" w:type="dxa"/>
            <w:vAlign w:val="bottom"/>
            <w:shd w:val="clear" w:color="auto" w:fill="CCFFCC"/>
          </w:tcPr>
          <w:p>
            <w:pPr>
              <w:jc w:val="center"/>
              <w:ind w:right="68"/>
              <w:spacing w:after="0"/>
              <w:rPr>
                <w:sz w:val="20"/>
                <w:szCs w:val="20"/>
                <w:color w:val="auto"/>
              </w:rPr>
            </w:pPr>
            <w:r>
              <w:rPr>
                <w:rFonts w:ascii="Arial" w:cs="Arial" w:eastAsia="Arial" w:hAnsi="Arial"/>
                <w:sz w:val="14"/>
                <w:szCs w:val="14"/>
                <w:color w:val="auto"/>
                <w:w w:val="91"/>
              </w:rPr>
              <w:t>97.41</w:t>
            </w:r>
          </w:p>
        </w:tc>
        <w:tc>
          <w:tcPr>
            <w:tcW w:w="180" w:type="dxa"/>
            <w:vAlign w:val="bottom"/>
            <w:shd w:val="clear" w:color="auto" w:fill="CCFFCC"/>
          </w:tcPr>
          <w:p>
            <w:pPr>
              <w:spacing w:after="0"/>
              <w:rPr>
                <w:sz w:val="14"/>
                <w:szCs w:val="14"/>
                <w:color w:val="auto"/>
              </w:rPr>
            </w:pPr>
          </w:p>
        </w:tc>
        <w:tc>
          <w:tcPr>
            <w:tcW w:w="9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19,563,309</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18,514,133</w:t>
            </w:r>
          </w:p>
        </w:tc>
        <w:tc>
          <w:tcPr>
            <w:tcW w:w="88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17,886,706</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17,112,683</w:t>
            </w:r>
          </w:p>
        </w:tc>
        <w:tc>
          <w:tcPr>
            <w:tcW w:w="8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1,676,603</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1,401,450</w:t>
            </w:r>
          </w:p>
        </w:tc>
        <w:tc>
          <w:tcPr>
            <w:tcW w:w="82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397,378</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423,529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tcPr>
          <w:p>
            <w:pPr>
              <w:spacing w:after="0" w:line="130" w:lineRule="exact"/>
              <w:rPr>
                <w:sz w:val="20"/>
                <w:szCs w:val="20"/>
                <w:color w:val="auto"/>
              </w:rPr>
            </w:pPr>
            <w:r>
              <w:rPr>
                <w:rFonts w:ascii="Arial" w:cs="Arial" w:eastAsia="Arial" w:hAnsi="Arial"/>
                <w:sz w:val="14"/>
                <w:szCs w:val="14"/>
                <w:color w:val="auto"/>
              </w:rPr>
              <w:t>Atlantic Security Holding</w:t>
            </w: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ind w:left="160"/>
              <w:spacing w:after="0" w:line="149" w:lineRule="exact"/>
              <w:rPr>
                <w:sz w:val="20"/>
                <w:szCs w:val="20"/>
                <w:color w:val="auto"/>
              </w:rPr>
            </w:pPr>
            <w:r>
              <w:rPr>
                <w:rFonts w:ascii="Arial" w:cs="Arial" w:eastAsia="Arial" w:hAnsi="Arial"/>
                <w:sz w:val="14"/>
                <w:szCs w:val="14"/>
                <w:color w:val="auto"/>
                <w:w w:val="96"/>
              </w:rPr>
              <w:t>Corporation and Subsidiaries</w:t>
            </w: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Arial" w:cs="Arial" w:eastAsia="Arial" w:hAnsi="Arial"/>
                <w:sz w:val="14"/>
                <w:szCs w:val="14"/>
                <w:color w:val="auto"/>
              </w:rPr>
              <w:t>(ii)</w:t>
            </w:r>
          </w:p>
        </w:tc>
        <w:tc>
          <w:tcPr>
            <w:tcW w:w="1580" w:type="dxa"/>
            <w:vAlign w:val="bottom"/>
            <w:gridSpan w:val="2"/>
          </w:tcPr>
          <w:p>
            <w:pPr>
              <w:jc w:val="center"/>
              <w:ind w:right="268"/>
              <w:spacing w:after="0"/>
              <w:rPr>
                <w:sz w:val="20"/>
                <w:szCs w:val="20"/>
                <w:color w:val="auto"/>
              </w:rPr>
            </w:pPr>
            <w:r>
              <w:rPr>
                <w:rFonts w:ascii="Arial" w:cs="Arial" w:eastAsia="Arial" w:hAnsi="Arial"/>
                <w:sz w:val="14"/>
                <w:szCs w:val="14"/>
                <w:color w:val="auto"/>
                <w:w w:val="93"/>
              </w:rPr>
              <w:t>100.00</w:t>
            </w:r>
          </w:p>
        </w:tc>
        <w:tc>
          <w:tcPr>
            <w:tcW w:w="620" w:type="dxa"/>
            <w:vAlign w:val="bottom"/>
          </w:tcPr>
          <w:p>
            <w:pPr>
              <w:jc w:val="center"/>
              <w:ind w:right="68"/>
              <w:spacing w:after="0"/>
              <w:rPr>
                <w:sz w:val="20"/>
                <w:szCs w:val="20"/>
                <w:color w:val="auto"/>
              </w:rPr>
            </w:pPr>
            <w:r>
              <w:rPr>
                <w:rFonts w:ascii="Arial" w:cs="Arial" w:eastAsia="Arial" w:hAnsi="Arial"/>
                <w:sz w:val="14"/>
                <w:szCs w:val="14"/>
                <w:color w:val="auto"/>
                <w:w w:val="93"/>
              </w:rPr>
              <w:t>100.00</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1,483,811</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1,453,915</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1,269,175</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1,360,471</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214,636</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93,444</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29,716</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(50,395)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El Pacífico Peruano-Suiza</w:t>
            </w:r>
          </w:p>
        </w:tc>
        <w:tc>
          <w:tcPr>
            <w:tcW w:w="100" w:type="dxa"/>
            <w:vAlign w:val="bottom"/>
            <w:shd w:val="clear" w:color="auto" w:fill="CCFFCC"/>
          </w:tcPr>
          <w:p>
            <w:pPr>
              <w:spacing w:after="0"/>
              <w:rPr>
                <w:sz w:val="11"/>
                <w:szCs w:val="11"/>
                <w:color w:val="auto"/>
              </w:rPr>
            </w:pPr>
          </w:p>
        </w:tc>
        <w:tc>
          <w:tcPr>
            <w:tcW w:w="14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Compañía de Seguros y</w:t>
            </w:r>
          </w:p>
        </w:tc>
        <w:tc>
          <w:tcPr>
            <w:tcW w:w="100" w:type="dxa"/>
            <w:vAlign w:val="bottom"/>
            <w:shd w:val="clear" w:color="auto" w:fill="CCFFCC"/>
          </w:tcPr>
          <w:p>
            <w:pPr>
              <w:spacing w:after="0"/>
              <w:rPr>
                <w:sz w:val="12"/>
                <w:szCs w:val="12"/>
                <w:color w:val="auto"/>
              </w:rPr>
            </w:pPr>
          </w:p>
        </w:tc>
        <w:tc>
          <w:tcPr>
            <w:tcW w:w="14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w w:val="95"/>
              </w:rPr>
              <w:t>Reaseguros and Subsidiaries</w:t>
            </w:r>
          </w:p>
        </w:tc>
        <w:tc>
          <w:tcPr>
            <w:tcW w:w="100" w:type="dxa"/>
            <w:vAlign w:val="bottom"/>
            <w:shd w:val="clear" w:color="auto" w:fill="CCFFCC"/>
          </w:tcPr>
          <w:p>
            <w:pPr>
              <w:spacing w:after="0"/>
              <w:rPr>
                <w:sz w:val="12"/>
                <w:szCs w:val="12"/>
                <w:color w:val="auto"/>
              </w:rPr>
            </w:pPr>
          </w:p>
        </w:tc>
        <w:tc>
          <w:tcPr>
            <w:tcW w:w="148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(iii)</w:t>
            </w:r>
          </w:p>
        </w:tc>
        <w:tc>
          <w:tcPr>
            <w:tcW w:w="1580" w:type="dxa"/>
            <w:vAlign w:val="bottom"/>
            <w:gridSpan w:val="2"/>
            <w:shd w:val="clear" w:color="auto" w:fill="CCFFCC"/>
          </w:tcPr>
          <w:p>
            <w:pPr>
              <w:jc w:val="center"/>
              <w:ind w:right="268"/>
              <w:spacing w:after="0"/>
              <w:rPr>
                <w:sz w:val="20"/>
                <w:szCs w:val="20"/>
                <w:color w:val="auto"/>
              </w:rPr>
            </w:pPr>
            <w:r>
              <w:rPr>
                <w:rFonts w:ascii="Arial" w:cs="Arial" w:eastAsia="Arial" w:hAnsi="Arial"/>
                <w:sz w:val="14"/>
                <w:szCs w:val="14"/>
                <w:color w:val="auto"/>
                <w:w w:val="91"/>
              </w:rPr>
              <w:t>75.98</w:t>
            </w:r>
          </w:p>
        </w:tc>
        <w:tc>
          <w:tcPr>
            <w:tcW w:w="620" w:type="dxa"/>
            <w:vAlign w:val="bottom"/>
            <w:shd w:val="clear" w:color="auto" w:fill="CCFFCC"/>
          </w:tcPr>
          <w:p>
            <w:pPr>
              <w:jc w:val="center"/>
              <w:ind w:right="68"/>
              <w:spacing w:after="0"/>
              <w:rPr>
                <w:sz w:val="20"/>
                <w:szCs w:val="20"/>
                <w:color w:val="auto"/>
              </w:rPr>
            </w:pPr>
            <w:r>
              <w:rPr>
                <w:rFonts w:ascii="Arial" w:cs="Arial" w:eastAsia="Arial" w:hAnsi="Arial"/>
                <w:sz w:val="14"/>
                <w:szCs w:val="14"/>
                <w:color w:val="auto"/>
                <w:w w:val="91"/>
              </w:rPr>
              <w:t>75.74</w:t>
            </w:r>
          </w:p>
        </w:tc>
        <w:tc>
          <w:tcPr>
            <w:tcW w:w="180" w:type="dxa"/>
            <w:vAlign w:val="bottom"/>
            <w:shd w:val="clear" w:color="auto" w:fill="CCFFCC"/>
          </w:tcPr>
          <w:p>
            <w:pPr>
              <w:spacing w:after="0"/>
              <w:rPr>
                <w:sz w:val="14"/>
                <w:szCs w:val="14"/>
                <w:color w:val="auto"/>
              </w:rPr>
            </w:pPr>
          </w:p>
        </w:tc>
        <w:tc>
          <w:tcPr>
            <w:tcW w:w="9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1,496,709</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1,307,547</w:t>
            </w:r>
          </w:p>
        </w:tc>
        <w:tc>
          <w:tcPr>
            <w:tcW w:w="88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1,190,799</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1,155,405</w:t>
            </w:r>
          </w:p>
        </w:tc>
        <w:tc>
          <w:tcPr>
            <w:tcW w:w="8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305,910</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152,142</w:t>
            </w:r>
          </w:p>
        </w:tc>
        <w:tc>
          <w:tcPr>
            <w:tcW w:w="820" w:type="dxa"/>
            <w:vAlign w:val="bottom"/>
            <w:shd w:val="clear" w:color="auto" w:fill="CCFFCC"/>
          </w:tcPr>
          <w:p>
            <w:pPr>
              <w:jc w:val="right"/>
              <w:ind w:right="88"/>
              <w:spacing w:after="0"/>
              <w:rPr>
                <w:sz w:val="20"/>
                <w:szCs w:val="20"/>
                <w:color w:val="auto"/>
              </w:rPr>
            </w:pPr>
            <w:r>
              <w:rPr>
                <w:rFonts w:ascii="Arial" w:cs="Arial" w:eastAsia="Arial" w:hAnsi="Arial"/>
                <w:sz w:val="14"/>
                <w:szCs w:val="14"/>
                <w:color w:val="auto"/>
              </w:rPr>
              <w:t>49,192</w:t>
            </w:r>
          </w:p>
        </w:tc>
        <w:tc>
          <w:tcPr>
            <w:tcW w:w="8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(20,994)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tcPr>
          <w:p>
            <w:pPr>
              <w:spacing w:after="0" w:line="130" w:lineRule="exact"/>
              <w:rPr>
                <w:sz w:val="20"/>
                <w:szCs w:val="20"/>
                <w:color w:val="auto"/>
              </w:rPr>
            </w:pPr>
            <w:r>
              <w:rPr>
                <w:rFonts w:ascii="Arial" w:cs="Arial" w:eastAsia="Arial" w:hAnsi="Arial"/>
                <w:sz w:val="14"/>
                <w:szCs w:val="14"/>
                <w:color w:val="auto"/>
              </w:rPr>
              <w:t>Grupo Crédito S.A. and</w:t>
            </w: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tcPr>
          <w:p>
            <w:pPr>
              <w:ind w:left="160"/>
              <w:spacing w:after="0"/>
              <w:rPr>
                <w:sz w:val="20"/>
                <w:szCs w:val="20"/>
                <w:color w:val="auto"/>
              </w:rPr>
            </w:pPr>
            <w:r>
              <w:rPr>
                <w:rFonts w:ascii="Arial" w:cs="Arial" w:eastAsia="Arial" w:hAnsi="Arial"/>
                <w:sz w:val="14"/>
                <w:szCs w:val="14"/>
                <w:color w:val="auto"/>
              </w:rPr>
              <w:t>Subsidiaries (iv)</w:t>
            </w:r>
          </w:p>
        </w:tc>
        <w:tc>
          <w:tcPr>
            <w:tcW w:w="1580" w:type="dxa"/>
            <w:vAlign w:val="bottom"/>
            <w:gridSpan w:val="2"/>
          </w:tcPr>
          <w:p>
            <w:pPr>
              <w:jc w:val="center"/>
              <w:ind w:right="268"/>
              <w:spacing w:after="0"/>
              <w:rPr>
                <w:sz w:val="20"/>
                <w:szCs w:val="20"/>
                <w:color w:val="auto"/>
              </w:rPr>
            </w:pPr>
            <w:r>
              <w:rPr>
                <w:rFonts w:ascii="Arial" w:cs="Arial" w:eastAsia="Arial" w:hAnsi="Arial"/>
                <w:sz w:val="14"/>
                <w:szCs w:val="14"/>
                <w:color w:val="auto"/>
                <w:w w:val="91"/>
              </w:rPr>
              <w:t>99.99</w:t>
            </w:r>
          </w:p>
        </w:tc>
        <w:tc>
          <w:tcPr>
            <w:tcW w:w="620" w:type="dxa"/>
            <w:vAlign w:val="bottom"/>
          </w:tcPr>
          <w:p>
            <w:pPr>
              <w:jc w:val="center"/>
              <w:ind w:right="68"/>
              <w:spacing w:after="0"/>
              <w:rPr>
                <w:sz w:val="20"/>
                <w:szCs w:val="20"/>
                <w:color w:val="auto"/>
              </w:rPr>
            </w:pPr>
            <w:r>
              <w:rPr>
                <w:rFonts w:ascii="Arial" w:cs="Arial" w:eastAsia="Arial" w:hAnsi="Arial"/>
                <w:sz w:val="14"/>
                <w:szCs w:val="14"/>
                <w:color w:val="auto"/>
                <w:w w:val="93"/>
              </w:rPr>
              <w:t>100.00</w:t>
            </w:r>
          </w:p>
        </w:tc>
        <w:tc>
          <w:tcPr>
            <w:tcW w:w="18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376,949</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335,854</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159,767</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101,748</w:t>
            </w:r>
          </w:p>
        </w:tc>
        <w:tc>
          <w:tcPr>
            <w:tcW w:w="820" w:type="dxa"/>
            <w:vAlign w:val="bottom"/>
          </w:tcPr>
          <w:p>
            <w:pPr>
              <w:jc w:val="right"/>
              <w:ind w:right="68"/>
              <w:spacing w:after="0"/>
              <w:rPr>
                <w:sz w:val="20"/>
                <w:szCs w:val="20"/>
                <w:color w:val="auto"/>
              </w:rPr>
            </w:pPr>
            <w:r>
              <w:rPr>
                <w:rFonts w:ascii="Arial" w:cs="Arial" w:eastAsia="Arial" w:hAnsi="Arial"/>
                <w:sz w:val="14"/>
                <w:szCs w:val="14"/>
                <w:color w:val="auto"/>
              </w:rPr>
              <w:t>217,182</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234,106</w:t>
            </w:r>
          </w:p>
        </w:tc>
        <w:tc>
          <w:tcPr>
            <w:tcW w:w="820" w:type="dxa"/>
            <w:vAlign w:val="bottom"/>
          </w:tcPr>
          <w:p>
            <w:pPr>
              <w:jc w:val="right"/>
              <w:ind w:right="88"/>
              <w:spacing w:after="0"/>
              <w:rPr>
                <w:sz w:val="20"/>
                <w:szCs w:val="20"/>
                <w:color w:val="auto"/>
              </w:rPr>
            </w:pPr>
            <w:r>
              <w:rPr>
                <w:rFonts w:ascii="Arial" w:cs="Arial" w:eastAsia="Arial" w:hAnsi="Arial"/>
                <w:sz w:val="14"/>
                <w:szCs w:val="14"/>
                <w:color w:val="auto"/>
              </w:rPr>
              <w:t>26,556</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18,271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CCR Inc. (v)</w:t>
            </w:r>
          </w:p>
        </w:tc>
        <w:tc>
          <w:tcPr>
            <w:tcW w:w="1580" w:type="dxa"/>
            <w:vAlign w:val="bottom"/>
            <w:gridSpan w:val="2"/>
            <w:shd w:val="clear" w:color="auto" w:fill="CCFFCC"/>
          </w:tcPr>
          <w:p>
            <w:pPr>
              <w:jc w:val="center"/>
              <w:ind w:right="268"/>
              <w:spacing w:after="0" w:line="149" w:lineRule="exact"/>
              <w:rPr>
                <w:sz w:val="20"/>
                <w:szCs w:val="20"/>
                <w:color w:val="auto"/>
              </w:rPr>
            </w:pPr>
            <w:r>
              <w:rPr>
                <w:rFonts w:ascii="Arial" w:cs="Arial" w:eastAsia="Arial" w:hAnsi="Arial"/>
                <w:sz w:val="14"/>
                <w:szCs w:val="14"/>
                <w:color w:val="auto"/>
                <w:w w:val="91"/>
              </w:rPr>
              <w:t>99.99</w:t>
            </w:r>
          </w:p>
        </w:tc>
        <w:tc>
          <w:tcPr>
            <w:tcW w:w="620" w:type="dxa"/>
            <w:vAlign w:val="bottom"/>
            <w:shd w:val="clear" w:color="auto" w:fill="CCFFCC"/>
          </w:tcPr>
          <w:p>
            <w:pPr>
              <w:jc w:val="center"/>
              <w:ind w:right="68"/>
              <w:spacing w:after="0" w:line="149" w:lineRule="exact"/>
              <w:rPr>
                <w:sz w:val="20"/>
                <w:szCs w:val="20"/>
                <w:color w:val="auto"/>
              </w:rPr>
            </w:pPr>
            <w:r>
              <w:rPr>
                <w:rFonts w:ascii="Arial" w:cs="Arial" w:eastAsia="Arial" w:hAnsi="Arial"/>
                <w:sz w:val="14"/>
                <w:szCs w:val="14"/>
                <w:color w:val="auto"/>
                <w:w w:val="91"/>
              </w:rPr>
              <w:t>99.99</w:t>
            </w:r>
          </w:p>
        </w:tc>
        <w:tc>
          <w:tcPr>
            <w:tcW w:w="18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1,089,659</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1,152,336</w:t>
            </w:r>
          </w:p>
        </w:tc>
        <w:tc>
          <w:tcPr>
            <w:tcW w:w="880" w:type="dxa"/>
            <w:vAlign w:val="bottom"/>
            <w:shd w:val="clear" w:color="auto" w:fill="CCFFCC"/>
          </w:tcPr>
          <w:p>
            <w:pPr>
              <w:jc w:val="right"/>
              <w:ind w:right="68"/>
              <w:spacing w:after="0" w:line="149" w:lineRule="exact"/>
              <w:rPr>
                <w:sz w:val="20"/>
                <w:szCs w:val="20"/>
                <w:color w:val="auto"/>
              </w:rPr>
            </w:pPr>
            <w:r>
              <w:rPr>
                <w:rFonts w:ascii="Arial" w:cs="Arial" w:eastAsia="Arial" w:hAnsi="Arial"/>
                <w:sz w:val="14"/>
                <w:szCs w:val="14"/>
                <w:color w:val="auto"/>
              </w:rPr>
              <w:t>1,152,537</w:t>
            </w:r>
          </w:p>
        </w:tc>
        <w:tc>
          <w:tcPr>
            <w:tcW w:w="9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1,247,465</w:t>
            </w:r>
          </w:p>
        </w:tc>
        <w:tc>
          <w:tcPr>
            <w:tcW w:w="82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(62,878)</w:t>
            </w:r>
          </w:p>
        </w:tc>
        <w:tc>
          <w:tcPr>
            <w:tcW w:w="90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(95,129)</w:t>
            </w:r>
          </w:p>
        </w:tc>
        <w:tc>
          <w:tcPr>
            <w:tcW w:w="820" w:type="dxa"/>
            <w:vAlign w:val="bottom"/>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(1,289)</w:t>
            </w:r>
          </w:p>
        </w:tc>
        <w:tc>
          <w:tcPr>
            <w:tcW w:w="8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20" w:type="dxa"/>
            <w:vAlign w:val="bottom"/>
          </w:tcPr>
          <w:p>
            <w:pPr>
              <w:spacing w:after="0" w:line="149" w:lineRule="exact"/>
              <w:rPr>
                <w:sz w:val="20"/>
                <w:szCs w:val="20"/>
                <w:color w:val="auto"/>
              </w:rPr>
            </w:pPr>
            <w:r>
              <w:rPr>
                <w:rFonts w:ascii="Arial" w:cs="Arial" w:eastAsia="Arial" w:hAnsi="Arial"/>
                <w:sz w:val="14"/>
                <w:szCs w:val="14"/>
                <w:color w:val="auto"/>
              </w:rPr>
              <w:t>Credicorp Securities Inc. (vi)</w:t>
            </w:r>
          </w:p>
        </w:tc>
        <w:tc>
          <w:tcPr>
            <w:tcW w:w="1580" w:type="dxa"/>
            <w:vAlign w:val="bottom"/>
            <w:gridSpan w:val="2"/>
          </w:tcPr>
          <w:p>
            <w:pPr>
              <w:jc w:val="center"/>
              <w:ind w:right="268"/>
              <w:spacing w:after="0" w:line="149" w:lineRule="exact"/>
              <w:rPr>
                <w:sz w:val="20"/>
                <w:szCs w:val="20"/>
                <w:color w:val="auto"/>
              </w:rPr>
            </w:pPr>
            <w:r>
              <w:rPr>
                <w:rFonts w:ascii="Arial" w:cs="Arial" w:eastAsia="Arial" w:hAnsi="Arial"/>
                <w:sz w:val="14"/>
                <w:szCs w:val="14"/>
                <w:color w:val="auto"/>
                <w:w w:val="91"/>
              </w:rPr>
              <w:t>99.99</w:t>
            </w:r>
          </w:p>
        </w:tc>
        <w:tc>
          <w:tcPr>
            <w:tcW w:w="620" w:type="dxa"/>
            <w:vAlign w:val="bottom"/>
          </w:tcPr>
          <w:p>
            <w:pPr>
              <w:jc w:val="center"/>
              <w:ind w:right="68"/>
              <w:spacing w:after="0" w:line="149" w:lineRule="exact"/>
              <w:rPr>
                <w:sz w:val="20"/>
                <w:szCs w:val="20"/>
                <w:color w:val="auto"/>
              </w:rPr>
            </w:pPr>
            <w:r>
              <w:rPr>
                <w:rFonts w:ascii="Arial" w:cs="Arial" w:eastAsia="Arial" w:hAnsi="Arial"/>
                <w:sz w:val="14"/>
                <w:szCs w:val="14"/>
                <w:color w:val="auto"/>
                <w:w w:val="91"/>
              </w:rPr>
              <w:t>99.99</w:t>
            </w:r>
          </w:p>
        </w:tc>
        <w:tc>
          <w:tcPr>
            <w:tcW w:w="180" w:type="dxa"/>
            <w:vAlign w:val="bottom"/>
          </w:tcPr>
          <w:p>
            <w:pPr>
              <w:spacing w:after="0"/>
              <w:rPr>
                <w:sz w:val="12"/>
                <w:szCs w:val="12"/>
                <w:color w:val="auto"/>
              </w:rPr>
            </w:pPr>
          </w:p>
        </w:tc>
        <w:tc>
          <w:tcPr>
            <w:tcW w:w="90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4,639</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2,851</w:t>
            </w:r>
          </w:p>
        </w:tc>
        <w:tc>
          <w:tcPr>
            <w:tcW w:w="88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402</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470</w:t>
            </w:r>
          </w:p>
        </w:tc>
        <w:tc>
          <w:tcPr>
            <w:tcW w:w="820" w:type="dxa"/>
            <w:vAlign w:val="bottom"/>
          </w:tcPr>
          <w:p>
            <w:pPr>
              <w:jc w:val="right"/>
              <w:ind w:right="68"/>
              <w:spacing w:after="0" w:line="149" w:lineRule="exact"/>
              <w:rPr>
                <w:sz w:val="20"/>
                <w:szCs w:val="20"/>
                <w:color w:val="auto"/>
              </w:rPr>
            </w:pPr>
            <w:r>
              <w:rPr>
                <w:rFonts w:ascii="Arial" w:cs="Arial" w:eastAsia="Arial" w:hAnsi="Arial"/>
                <w:sz w:val="14"/>
                <w:szCs w:val="14"/>
                <w:color w:val="auto"/>
              </w:rPr>
              <w:t>4,237</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2,381</w:t>
            </w:r>
          </w:p>
        </w:tc>
        <w:tc>
          <w:tcPr>
            <w:tcW w:w="820" w:type="dxa"/>
            <w:vAlign w:val="bottom"/>
          </w:tcPr>
          <w:p>
            <w:pPr>
              <w:jc w:val="right"/>
              <w:ind w:right="88"/>
              <w:spacing w:after="0" w:line="149" w:lineRule="exact"/>
              <w:rPr>
                <w:sz w:val="20"/>
                <w:szCs w:val="20"/>
                <w:color w:val="auto"/>
              </w:rPr>
            </w:pPr>
            <w:r>
              <w:rPr>
                <w:rFonts w:ascii="Arial" w:cs="Arial" w:eastAsia="Arial" w:hAnsi="Arial"/>
                <w:sz w:val="14"/>
                <w:szCs w:val="14"/>
                <w:color w:val="auto"/>
              </w:rPr>
              <w:t>1,867</w:t>
            </w: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9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BCP Emisiones Latam 1 S.A.</w:t>
            </w:r>
          </w:p>
        </w:tc>
        <w:tc>
          <w:tcPr>
            <w:tcW w:w="100" w:type="dxa"/>
            <w:vAlign w:val="bottom"/>
            <w:shd w:val="clear" w:color="auto" w:fill="CCFFCC"/>
          </w:tcPr>
          <w:p>
            <w:pPr>
              <w:spacing w:after="0"/>
              <w:rPr>
                <w:sz w:val="11"/>
                <w:szCs w:val="11"/>
                <w:color w:val="auto"/>
              </w:rPr>
            </w:pPr>
          </w:p>
        </w:tc>
        <w:tc>
          <w:tcPr>
            <w:tcW w:w="148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80" w:type="dxa"/>
            <w:vAlign w:val="bottom"/>
            <w:shd w:val="clear" w:color="auto" w:fill="CCFFCC"/>
          </w:tcPr>
          <w:p>
            <w:pPr>
              <w:spacing w:after="0"/>
              <w:rPr>
                <w:sz w:val="11"/>
                <w:szCs w:val="11"/>
                <w:color w:val="auto"/>
              </w:rPr>
            </w:pPr>
          </w:p>
        </w:tc>
        <w:tc>
          <w:tcPr>
            <w:tcW w:w="7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7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20" w:type="dxa"/>
            <w:vAlign w:val="bottom"/>
            <w:shd w:val="clear" w:color="auto" w:fill="CCFFCC"/>
          </w:tcPr>
          <w:p>
            <w:pPr>
              <w:ind w:left="160"/>
              <w:spacing w:after="0"/>
              <w:rPr>
                <w:sz w:val="20"/>
                <w:szCs w:val="20"/>
                <w:color w:val="auto"/>
              </w:rPr>
            </w:pPr>
            <w:r>
              <w:rPr>
                <w:rFonts w:ascii="Arial" w:cs="Arial" w:eastAsia="Arial" w:hAnsi="Arial"/>
                <w:sz w:val="14"/>
                <w:szCs w:val="14"/>
                <w:color w:val="auto"/>
              </w:rPr>
              <w:t>(vii)</w:t>
            </w:r>
          </w:p>
        </w:tc>
        <w:tc>
          <w:tcPr>
            <w:tcW w:w="1580" w:type="dxa"/>
            <w:vAlign w:val="bottom"/>
            <w:gridSpan w:val="2"/>
            <w:shd w:val="clear" w:color="auto" w:fill="CCFFCC"/>
          </w:tcPr>
          <w:p>
            <w:pPr>
              <w:jc w:val="center"/>
              <w:ind w:right="268"/>
              <w:spacing w:after="0"/>
              <w:rPr>
                <w:sz w:val="20"/>
                <w:szCs w:val="20"/>
                <w:color w:val="auto"/>
              </w:rPr>
            </w:pPr>
            <w:r>
              <w:rPr>
                <w:rFonts w:ascii="Arial" w:cs="Arial" w:eastAsia="Arial" w:hAnsi="Arial"/>
                <w:sz w:val="14"/>
                <w:szCs w:val="14"/>
                <w:color w:val="auto"/>
                <w:w w:val="93"/>
              </w:rPr>
              <w:t>100.00</w:t>
            </w:r>
          </w:p>
        </w:tc>
        <w:tc>
          <w:tcPr>
            <w:tcW w:w="620" w:type="dxa"/>
            <w:vAlign w:val="bottom"/>
            <w:shd w:val="clear" w:color="auto" w:fill="CCFFCC"/>
          </w:tcPr>
          <w:p>
            <w:pPr>
              <w:jc w:val="center"/>
              <w:ind w:right="68"/>
              <w:spacing w:after="0"/>
              <w:rPr>
                <w:sz w:val="20"/>
                <w:szCs w:val="20"/>
                <w:color w:val="auto"/>
              </w:rPr>
            </w:pPr>
            <w:r>
              <w:rPr>
                <w:rFonts w:ascii="Arial" w:cs="Arial" w:eastAsia="Arial" w:hAnsi="Arial"/>
                <w:sz w:val="14"/>
                <w:szCs w:val="14"/>
                <w:color w:val="auto"/>
                <w:w w:val="84"/>
              </w:rPr>
              <w:t>-</w:t>
            </w:r>
          </w:p>
        </w:tc>
        <w:tc>
          <w:tcPr>
            <w:tcW w:w="180" w:type="dxa"/>
            <w:vAlign w:val="bottom"/>
            <w:shd w:val="clear" w:color="auto" w:fill="CCFFCC"/>
          </w:tcPr>
          <w:p>
            <w:pPr>
              <w:spacing w:after="0"/>
              <w:rPr>
                <w:sz w:val="14"/>
                <w:szCs w:val="14"/>
                <w:color w:val="auto"/>
              </w:rPr>
            </w:pPr>
          </w:p>
        </w:tc>
        <w:tc>
          <w:tcPr>
            <w:tcW w:w="90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115,127</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114,356</w:t>
            </w:r>
          </w:p>
        </w:tc>
        <w:tc>
          <w:tcPr>
            <w:tcW w:w="9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ind w:right="68"/>
              <w:spacing w:after="0"/>
              <w:rPr>
                <w:sz w:val="20"/>
                <w:szCs w:val="20"/>
                <w:color w:val="auto"/>
              </w:rPr>
            </w:pPr>
            <w:r>
              <w:rPr>
                <w:rFonts w:ascii="Arial" w:cs="Arial" w:eastAsia="Arial" w:hAnsi="Arial"/>
                <w:sz w:val="14"/>
                <w:szCs w:val="14"/>
                <w:color w:val="auto"/>
              </w:rPr>
              <w:t>771</w:t>
            </w:r>
          </w:p>
        </w:tc>
        <w:tc>
          <w:tcPr>
            <w:tcW w:w="90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FFCC"/>
          </w:tcPr>
          <w:p>
            <w:pPr>
              <w:jc w:val="right"/>
              <w:ind w:right="28"/>
              <w:spacing w:after="0"/>
              <w:rPr>
                <w:sz w:val="20"/>
                <w:szCs w:val="20"/>
                <w:color w:val="auto"/>
              </w:rPr>
            </w:pPr>
            <w:r>
              <w:rPr>
                <w:rFonts w:ascii="Arial" w:cs="Arial" w:eastAsia="Arial" w:hAnsi="Arial"/>
                <w:sz w:val="14"/>
                <w:szCs w:val="14"/>
                <w:color w:val="auto"/>
              </w:rPr>
              <w:t>(329)</w:t>
            </w:r>
          </w:p>
        </w:tc>
        <w:tc>
          <w:tcPr>
            <w:tcW w:w="8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right="100" w:hanging="490"/>
        <w:spacing w:after="0" w:line="286" w:lineRule="auto"/>
        <w:tabs>
          <w:tab w:leader="none" w:pos="116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Banco de Crédito (BCP) is a universal bank incorporated in Peru in 1889. Its activities are supervised by the Superintendence of Banking, Insurance and AFP (the Peruvian banking, insurance and AFP authority, hereafter “the SBS” for its Spanish acronym). During 2009 and 2008, Credicorp acquired 0.002 percent and 0.08 percent of BCP shares, respectively, owned by minority interest. The consolidated financial statements of Banco de Crédito del Perú and Subsidiaries as of December 31, 2009, include the financial statement of Edyficar, see note</w:t>
      </w:r>
    </w:p>
    <w:p>
      <w:pPr>
        <w:spacing w:after="0" w:line="1" w:lineRule="exact"/>
        <w:rPr>
          <w:rFonts w:ascii="Arial" w:cs="Arial" w:eastAsia="Arial" w:hAnsi="Arial"/>
          <w:sz w:val="16"/>
          <w:szCs w:val="16"/>
          <w:color w:val="auto"/>
        </w:rPr>
      </w:pPr>
    </w:p>
    <w:p>
      <w:pPr>
        <w:ind w:left="1160" w:right="80"/>
        <w:spacing w:after="0" w:line="254" w:lineRule="auto"/>
        <w:rPr>
          <w:rFonts w:ascii="Arial" w:cs="Arial" w:eastAsia="Arial" w:hAnsi="Arial"/>
          <w:sz w:val="16"/>
          <w:szCs w:val="16"/>
          <w:color w:val="auto"/>
        </w:rPr>
      </w:pPr>
      <w:r>
        <w:rPr>
          <w:rFonts w:ascii="Arial" w:cs="Arial" w:eastAsia="Arial" w:hAnsi="Arial"/>
          <w:sz w:val="18"/>
          <w:szCs w:val="18"/>
          <w:color w:val="auto"/>
        </w:rPr>
        <w:t>2. BCP and Subsidiaries hold as of December 31, 2009 and 2008, 95.92 percent of the capital stock of Banco de Crédito de Bolivia (BCB), a universal bank operating in Bolivia (Credicorp holds 4.08 percent). As of December 31, 2009, BCB´s assets, liabilities, equity, income and net income amounted to US$1,097.8, US$991.2, US$106.6, US$108.3 and US$28.7 million, respectively (US$939.8, US$831.6, US$108.2, US$117.7 and US$44.5 million, respectively, as of December 31, 2008).</w:t>
      </w:r>
    </w:p>
    <w:p>
      <w:pPr>
        <w:spacing w:after="0" w:line="216" w:lineRule="exact"/>
        <w:rPr>
          <w:rFonts w:ascii="Arial" w:cs="Arial" w:eastAsia="Arial" w:hAnsi="Arial"/>
          <w:sz w:val="16"/>
          <w:szCs w:val="16"/>
          <w:color w:val="auto"/>
        </w:rPr>
      </w:pPr>
    </w:p>
    <w:p>
      <w:pPr>
        <w:ind w:left="1160" w:right="160" w:hanging="490"/>
        <w:spacing w:after="0" w:line="259" w:lineRule="auto"/>
        <w:tabs>
          <w:tab w:leader="none" w:pos="11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Atlantic Security Holding Corporation (ASHC) is incorporated in the Cayman Islands; its main activity is to invest in capital stock. Its most significant subsidiary is Atlantic Security Bank (ASB), which is incorporated in the Cayman Islands, and operates through branches and offices in Grand Cayman and the Republic of Panama; its main activity is private and institutional banking services and trustee administration.</w:t>
      </w:r>
    </w:p>
    <w:p>
      <w:pPr>
        <w:spacing w:after="0" w:line="213" w:lineRule="exact"/>
        <w:rPr>
          <w:rFonts w:ascii="Arial" w:cs="Arial" w:eastAsia="Arial" w:hAnsi="Arial"/>
          <w:sz w:val="18"/>
          <w:szCs w:val="18"/>
          <w:color w:val="auto"/>
        </w:rPr>
      </w:pPr>
    </w:p>
    <w:p>
      <w:pPr>
        <w:ind w:left="1160" w:right="40" w:hanging="490"/>
        <w:spacing w:after="0" w:line="259" w:lineRule="auto"/>
        <w:tabs>
          <w:tab w:leader="none" w:pos="11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El Pacífico Peruano-Suiza Compañía de Seguros y Reaseguros (PPS) is incorporated in Peru, provides property, casualty, life, health and personal insurance. Its main subsidiaries are El Pacífico Vida Compañía de Seguros y Reaseguros S.A. and Pacífico S.A. Entidad Prestadora de Salud (EPS), holding 62.0 percent and 100.00 percent, respectively, of their capital stock. PPS and its subsidiaries activities are supervised by the SBS.</w:t>
      </w:r>
    </w:p>
    <w:p>
      <w:pPr>
        <w:spacing w:after="0" w:line="213" w:lineRule="exact"/>
        <w:rPr>
          <w:rFonts w:ascii="Arial" w:cs="Arial" w:eastAsia="Arial" w:hAnsi="Arial"/>
          <w:sz w:val="18"/>
          <w:szCs w:val="18"/>
          <w:color w:val="auto"/>
        </w:rPr>
      </w:pPr>
    </w:p>
    <w:p>
      <w:pPr>
        <w:ind w:left="1160" w:right="40" w:hanging="490"/>
        <w:spacing w:after="0" w:line="259" w:lineRule="auto"/>
        <w:tabs>
          <w:tab w:leader="none" w:pos="11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Grupo Crédito S.A. is incorporated in Peru, its main activity is to invest in listed and not listed securities in Peru. Its main subsidiary is Prima AFP, a private pension fund administrator incorporated in Perú, whose activities are supervised by the SBS. As of December 31, 2009, Prima AFP total assets, liabilities and net income amounted to US$249.8, US$87.9, and U$20.8 million, respectively (US$225.6 million, US$96.3 million and US$ 11.2 million, respectively, as of December 31, 2008).</w:t>
      </w:r>
    </w:p>
    <w:p>
      <w:pPr>
        <w:spacing w:after="0" w:line="213" w:lineRule="exact"/>
        <w:rPr>
          <w:rFonts w:ascii="Arial" w:cs="Arial" w:eastAsia="Arial" w:hAnsi="Arial"/>
          <w:sz w:val="18"/>
          <w:szCs w:val="18"/>
          <w:color w:val="auto"/>
        </w:rPr>
      </w:pPr>
    </w:p>
    <w:p>
      <w:pPr>
        <w:ind w:left="1160" w:right="160" w:hanging="490"/>
        <w:spacing w:after="0" w:line="312" w:lineRule="auto"/>
        <w:tabs>
          <w:tab w:leader="none" w:pos="116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CCR Inc., is a special purposes entity incorporated in The Bahamas in 2001, its main activity is to manage certain loans granted to BCP by foreign financial entities, note 13(b). These loans are collateralized by transactions performed by BCP. As of December 31, 2009 and 2008, the negative equity is generated by unrealized losses of cash flow hedge derivatives, as it is explained in notes 11(b)(ii) and 16(c) .</w:t>
      </w:r>
    </w:p>
    <w:p>
      <w:pPr>
        <w:spacing w:after="0" w:line="173" w:lineRule="exact"/>
        <w:rPr>
          <w:rFonts w:ascii="Arial" w:cs="Arial" w:eastAsia="Arial" w:hAnsi="Arial"/>
          <w:sz w:val="16"/>
          <w:szCs w:val="16"/>
          <w:color w:val="auto"/>
        </w:rPr>
      </w:pPr>
    </w:p>
    <w:p>
      <w:pPr>
        <w:ind w:left="1160" w:right="560" w:hanging="490"/>
        <w:spacing w:after="0" w:line="277" w:lineRule="auto"/>
        <w:tabs>
          <w:tab w:leader="none" w:pos="116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Credicorp Securities Inc., is incorporated in the United States of America and began operations on January, 2003; it provides securities brokerage services, mainly to retail customers in Latin America.</w:t>
      </w:r>
    </w:p>
    <w:p>
      <w:pPr>
        <w:spacing w:after="0" w:line="197" w:lineRule="exact"/>
        <w:rPr>
          <w:rFonts w:ascii="Arial" w:cs="Arial" w:eastAsia="Arial" w:hAnsi="Arial"/>
          <w:sz w:val="18"/>
          <w:szCs w:val="18"/>
          <w:color w:val="auto"/>
        </w:rPr>
      </w:pPr>
    </w:p>
    <w:p>
      <w:pPr>
        <w:ind w:left="1140" w:right="40" w:hanging="484"/>
        <w:spacing w:after="0" w:line="277" w:lineRule="auto"/>
        <w:tabs>
          <w:tab w:leader="none" w:pos="114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BCP Emisiones Latam 1 S.A., is a special purposes entity incorporated in Chile in 2009, through which the Group issued corporate bonds, see note 15(a)(i).</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Foreign currency translation -</w:t>
      </w:r>
    </w:p>
    <w:p>
      <w:pPr>
        <w:spacing w:after="0" w:line="23" w:lineRule="exact"/>
        <w:rPr>
          <w:rFonts w:ascii="Arial" w:cs="Arial" w:eastAsia="Arial" w:hAnsi="Arial"/>
          <w:sz w:val="18"/>
          <w:szCs w:val="18"/>
          <w:color w:val="auto"/>
        </w:rPr>
      </w:pPr>
    </w:p>
    <w:p>
      <w:pPr>
        <w:ind w:left="1140"/>
        <w:spacing w:after="0" w:line="295" w:lineRule="auto"/>
        <w:rPr>
          <w:rFonts w:ascii="Arial" w:cs="Arial" w:eastAsia="Arial" w:hAnsi="Arial"/>
          <w:sz w:val="18"/>
          <w:szCs w:val="18"/>
          <w:color w:val="auto"/>
        </w:rPr>
      </w:pPr>
      <w:r>
        <w:rPr>
          <w:rFonts w:ascii="Arial" w:cs="Arial" w:eastAsia="Arial" w:hAnsi="Arial"/>
          <w:sz w:val="16"/>
          <w:szCs w:val="16"/>
          <w:color w:val="auto"/>
        </w:rPr>
        <w:t>The Group has determined that its functional and presentation currency is the United States Dollar (U.S. Dollar or US$), because it reflects the economic substance of the underlying events and circumstances relevant to the Group; insofar as its main operations and/or transactions in the different countries where the Group operates; such as: loans granted, financing obtained, sale of insurance premiums, interest income and expense, and that an important percentage of wages and purchases are established and settled in U.S. Dollars.</w:t>
      </w:r>
    </w:p>
    <w:p>
      <w:pPr>
        <w:spacing w:after="0" w:line="188" w:lineRule="exact"/>
        <w:rPr>
          <w:rFonts w:ascii="Arial" w:cs="Arial" w:eastAsia="Arial" w:hAnsi="Arial"/>
          <w:sz w:val="18"/>
          <w:szCs w:val="18"/>
          <w:color w:val="auto"/>
        </w:rPr>
      </w:pPr>
    </w:p>
    <w:p>
      <w:pPr>
        <w:ind w:left="1140" w:right="120"/>
        <w:spacing w:after="0" w:line="277" w:lineRule="auto"/>
        <w:rPr>
          <w:rFonts w:ascii="Arial" w:cs="Arial" w:eastAsia="Arial" w:hAnsi="Arial"/>
          <w:sz w:val="18"/>
          <w:szCs w:val="18"/>
          <w:color w:val="auto"/>
        </w:rPr>
      </w:pPr>
      <w:r>
        <w:rPr>
          <w:rFonts w:ascii="Arial" w:cs="Arial" w:eastAsia="Arial" w:hAnsi="Arial"/>
          <w:sz w:val="18"/>
          <w:szCs w:val="18"/>
          <w:color w:val="auto"/>
        </w:rPr>
        <w:t>Financial statements of each of Credicorp’s subsidiaries are measured using the currency of the country in which each entity operates and are translated into U.S. Dollars (functional and presentation currency) as follows:</w:t>
      </w:r>
    </w:p>
    <w:p>
      <w:pPr>
        <w:spacing w:after="0" w:line="197" w:lineRule="exact"/>
        <w:rPr>
          <w:rFonts w:ascii="Arial" w:cs="Arial" w:eastAsia="Arial" w:hAnsi="Arial"/>
          <w:sz w:val="18"/>
          <w:szCs w:val="18"/>
          <w:color w:val="auto"/>
        </w:rPr>
      </w:pPr>
    </w:p>
    <w:p>
      <w:pPr>
        <w:ind w:left="1800" w:right="220" w:hanging="658"/>
        <w:spacing w:after="0" w:line="277" w:lineRule="auto"/>
        <w:tabs>
          <w:tab w:leader="none" w:pos="18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Monetary assets and liabilities are translated at the free market exchange rate at the date of the consolidated statements of financial position.</w:t>
      </w:r>
    </w:p>
    <w:p>
      <w:pPr>
        <w:spacing w:after="0" w:line="197" w:lineRule="exact"/>
        <w:rPr>
          <w:rFonts w:ascii="Arial" w:cs="Arial" w:eastAsia="Arial" w:hAnsi="Arial"/>
          <w:sz w:val="18"/>
          <w:szCs w:val="18"/>
          <w:color w:val="auto"/>
        </w:rPr>
      </w:pPr>
    </w:p>
    <w:p>
      <w:pPr>
        <w:ind w:left="1800" w:hanging="658"/>
        <w:spacing w:after="0"/>
        <w:tabs>
          <w:tab w:leader="none" w:pos="18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Non-monetary accounts are translated at the free market exchange rate prevailing at the transaction date.</w:t>
      </w:r>
    </w:p>
    <w:p>
      <w:pPr>
        <w:spacing w:after="0" w:line="252" w:lineRule="exact"/>
        <w:rPr>
          <w:rFonts w:ascii="Arial" w:cs="Arial" w:eastAsia="Arial" w:hAnsi="Arial"/>
          <w:sz w:val="18"/>
          <w:szCs w:val="18"/>
          <w:color w:val="auto"/>
        </w:rPr>
      </w:pPr>
    </w:p>
    <w:p>
      <w:pPr>
        <w:ind w:left="1800" w:right="760" w:hanging="658"/>
        <w:spacing w:after="0" w:line="277" w:lineRule="auto"/>
        <w:tabs>
          <w:tab w:leader="none" w:pos="1800" w:val="left"/>
        </w:tabs>
        <w:numPr>
          <w:ilvl w:val="1"/>
          <w:numId w:val="160"/>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prevailing at the transaction date, are translated monthly at the average monthly exchange rate.</w:t>
      </w: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resulting translation differences are recognized in the consolidated income statement.</w:t>
      </w:r>
    </w:p>
    <w:p>
      <w:pPr>
        <w:spacing w:after="0" w:line="252" w:lineRule="exact"/>
        <w:rPr>
          <w:sz w:val="20"/>
          <w:szCs w:val="20"/>
          <w:color w:val="auto"/>
        </w:rPr>
      </w:pPr>
    </w:p>
    <w:p>
      <w:pPr>
        <w:ind w:left="1140" w:hanging="484"/>
        <w:spacing w:after="0"/>
        <w:tabs>
          <w:tab w:leader="none" w:pos="114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23" w:lineRule="exact"/>
        <w:rPr>
          <w:rFonts w:ascii="Arial" w:cs="Arial" w:eastAsia="Arial" w:hAnsi="Arial"/>
          <w:sz w:val="18"/>
          <w:szCs w:val="18"/>
          <w:color w:val="auto"/>
        </w:rPr>
      </w:pPr>
    </w:p>
    <w:p>
      <w:pPr>
        <w:ind w:left="1140" w:right="20"/>
        <w:spacing w:after="0" w:line="253" w:lineRule="auto"/>
        <w:rPr>
          <w:rFonts w:ascii="Arial" w:cs="Arial" w:eastAsia="Arial" w:hAnsi="Arial"/>
          <w:sz w:val="18"/>
          <w:szCs w:val="18"/>
          <w:color w:val="auto"/>
        </w:rPr>
      </w:pPr>
      <w:r>
        <w:rPr>
          <w:rFonts w:ascii="Arial" w:cs="Arial" w:eastAsia="Arial" w:hAnsi="Arial"/>
          <w:sz w:val="18"/>
          <w:szCs w:val="18"/>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218" w:lineRule="exact"/>
        <w:rPr>
          <w:rFonts w:ascii="Arial" w:cs="Arial" w:eastAsia="Arial" w:hAnsi="Arial"/>
          <w:sz w:val="18"/>
          <w:szCs w:val="18"/>
          <w:color w:val="auto"/>
        </w:rPr>
      </w:pPr>
    </w:p>
    <w:p>
      <w:pPr>
        <w:ind w:left="1140" w:right="100"/>
        <w:spacing w:after="0" w:line="259" w:lineRule="auto"/>
        <w:rPr>
          <w:rFonts w:ascii="Arial" w:cs="Arial" w:eastAsia="Arial" w:hAnsi="Arial"/>
          <w:sz w:val="18"/>
          <w:szCs w:val="18"/>
          <w:color w:val="auto"/>
        </w:rPr>
      </w:pPr>
      <w:r>
        <w:rPr>
          <w:rFonts w:ascii="Arial" w:cs="Arial" w:eastAsia="Arial" w:hAnsi="Arial"/>
          <w:sz w:val="18"/>
          <w:szCs w:val="18"/>
          <w:color w:val="auto"/>
        </w:rPr>
        <w:t>Interest income is suspended when collection of loans become doubtful, i.e. when loans are overdue more than 90 days or when the borrower or securities’ issuer defaults, if earlier than 90 days; such income is excluded from interest income until collected. Uncollected income on such loans is provisioned. When Management determines that the debtor’s financial condition has improved, the recording of interest thereon is reestablished on an accrual basis.</w:t>
      </w:r>
    </w:p>
    <w:p>
      <w:pPr>
        <w:spacing w:after="0" w:line="213" w:lineRule="exact"/>
        <w:rPr>
          <w:rFonts w:ascii="Arial" w:cs="Arial" w:eastAsia="Arial" w:hAnsi="Arial"/>
          <w:sz w:val="18"/>
          <w:szCs w:val="18"/>
          <w:color w:val="auto"/>
        </w:rPr>
      </w:pPr>
    </w:p>
    <w:p>
      <w:pPr>
        <w:ind w:left="1140" w:right="660"/>
        <w:spacing w:after="0" w:line="277" w:lineRule="auto"/>
        <w:rPr>
          <w:rFonts w:ascii="Arial" w:cs="Arial" w:eastAsia="Arial" w:hAnsi="Arial"/>
          <w:sz w:val="18"/>
          <w:szCs w:val="18"/>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220"/>
        <w:spacing w:after="0" w:line="264" w:lineRule="auto"/>
        <w:rPr>
          <w:sz w:val="20"/>
          <w:szCs w:val="20"/>
          <w:color w:val="auto"/>
        </w:rPr>
      </w:pPr>
      <w:r>
        <w:rPr>
          <w:rFonts w:ascii="Arial" w:cs="Arial" w:eastAsia="Arial" w:hAnsi="Arial"/>
          <w:sz w:val="18"/>
          <w:szCs w:val="18"/>
          <w:color w:val="auto"/>
        </w:rPr>
        <w:t>Fees and commission income are recognized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52" w:lineRule="exact"/>
        <w:rPr>
          <w:sz w:val="20"/>
          <w:szCs w:val="20"/>
          <w:color w:val="auto"/>
        </w:rPr>
      </w:pPr>
    </w:p>
    <w:p>
      <w:pPr>
        <w:ind w:left="1140" w:right="8660" w:hanging="484"/>
        <w:spacing w:after="0" w:line="291" w:lineRule="auto"/>
        <w:tabs>
          <w:tab w:leader="none" w:pos="1140" w:val="left"/>
        </w:tabs>
        <w:numPr>
          <w:ilvl w:val="0"/>
          <w:numId w:val="162"/>
        </w:numPr>
        <w:rPr>
          <w:rFonts w:ascii="Arial" w:cs="Arial" w:eastAsia="Arial" w:hAnsi="Arial"/>
          <w:sz w:val="16"/>
          <w:szCs w:val="16"/>
          <w:color w:val="auto"/>
        </w:rPr>
      </w:pPr>
      <w:r>
        <w:rPr>
          <w:rFonts w:ascii="Arial" w:cs="Arial" w:eastAsia="Arial" w:hAnsi="Arial"/>
          <w:sz w:val="16"/>
          <w:szCs w:val="16"/>
          <w:color w:val="auto"/>
        </w:rPr>
        <w:t>Insurance activities - Product classification:</w:t>
      </w:r>
    </w:p>
    <w:p>
      <w:pPr>
        <w:ind w:left="1140" w:right="120"/>
        <w:spacing w:after="0" w:line="253" w:lineRule="auto"/>
        <w:rPr>
          <w:rFonts w:ascii="Arial" w:cs="Arial" w:eastAsia="Arial" w:hAnsi="Arial"/>
          <w:sz w:val="16"/>
          <w:szCs w:val="16"/>
          <w:color w:val="auto"/>
        </w:rPr>
      </w:pPr>
      <w:r>
        <w:rPr>
          <w:rFonts w:ascii="Arial" w:cs="Arial" w:eastAsia="Arial" w:hAnsi="Arial"/>
          <w:sz w:val="18"/>
          <w:szCs w:val="18"/>
          <w:color w:val="auto"/>
        </w:rPr>
        <w:t>Insurance contracts are those contracts when the Group (the insurer) has accepted significant insurance risk from another party (the policyholder) by agreeing to compensate the policyholder if a specified uncertain future event (the insured event) adversely affects the policyholder. This definition also includes reinsurance contracts that the Group holds. As a general guideline, the Group determines whether it has significant insurance risk by comparing benefits paid with benefits payable if the insured event did not occur. Insurance contracts can also transfer financial risk.</w:t>
      </w:r>
    </w:p>
    <w:p>
      <w:pPr>
        <w:spacing w:after="0" w:line="218" w:lineRule="exact"/>
        <w:rPr>
          <w:rFonts w:ascii="Arial" w:cs="Arial" w:eastAsia="Arial" w:hAnsi="Arial"/>
          <w:sz w:val="16"/>
          <w:szCs w:val="16"/>
          <w:color w:val="auto"/>
        </w:rPr>
      </w:pPr>
    </w:p>
    <w:p>
      <w:pPr>
        <w:ind w:left="1140" w:right="220"/>
        <w:spacing w:after="0" w:line="264" w:lineRule="auto"/>
        <w:rPr>
          <w:rFonts w:ascii="Arial" w:cs="Arial" w:eastAsia="Arial" w:hAnsi="Arial"/>
          <w:sz w:val="16"/>
          <w:szCs w:val="16"/>
          <w:color w:val="auto"/>
        </w:rPr>
      </w:pPr>
      <w:r>
        <w:rPr>
          <w:rFonts w:ascii="Arial" w:cs="Arial" w:eastAsia="Arial" w:hAnsi="Arial"/>
          <w:sz w:val="18"/>
          <w:szCs w:val="18"/>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 Investment contracts can however be reclassified as insurance contracts after inception if insurance risk becomes significant.</w:t>
      </w:r>
    </w:p>
    <w:p>
      <w:pPr>
        <w:spacing w:after="0" w:line="208"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Reinsurance:</w:t>
      </w:r>
    </w:p>
    <w:p>
      <w:pPr>
        <w:spacing w:after="0" w:line="23" w:lineRule="exact"/>
        <w:rPr>
          <w:rFonts w:ascii="Arial" w:cs="Arial" w:eastAsia="Arial" w:hAnsi="Arial"/>
          <w:sz w:val="16"/>
          <w:szCs w:val="16"/>
          <w:color w:val="auto"/>
        </w:rPr>
      </w:pPr>
    </w:p>
    <w:p>
      <w:pPr>
        <w:ind w:left="1140" w:right="220"/>
        <w:spacing w:after="0" w:line="277" w:lineRule="auto"/>
        <w:rPr>
          <w:rFonts w:ascii="Arial" w:cs="Arial" w:eastAsia="Arial" w:hAnsi="Arial"/>
          <w:sz w:val="16"/>
          <w:szCs w:val="16"/>
          <w:color w:val="auto"/>
        </w:rPr>
      </w:pPr>
      <w:r>
        <w:rPr>
          <w:rFonts w:ascii="Arial" w:cs="Arial" w:eastAsia="Arial" w:hAnsi="Arial"/>
          <w:sz w:val="17"/>
          <w:szCs w:val="17"/>
          <w:color w:val="auto"/>
        </w:rPr>
        <w:t>The Group cedes insurance risk in the normal course of business for all of its businesses. Reinsurance assets represent balances due from reinsurance companies. Amounts recoverable from reinsurers are estimated in a manner consistent with the outstanding claims provision or settled claims associated with the reinsurer’s policies and are in accordance with the related reinsurance contract.</w:t>
      </w:r>
    </w:p>
    <w:p>
      <w:pPr>
        <w:spacing w:after="0" w:line="200" w:lineRule="exact"/>
        <w:rPr>
          <w:rFonts w:ascii="Arial" w:cs="Arial" w:eastAsia="Arial" w:hAnsi="Arial"/>
          <w:sz w:val="16"/>
          <w:szCs w:val="16"/>
          <w:color w:val="auto"/>
        </w:rPr>
      </w:pPr>
    </w:p>
    <w:p>
      <w:pPr>
        <w:ind w:left="1140" w:right="100"/>
        <w:spacing w:after="0" w:line="257" w:lineRule="auto"/>
        <w:rPr>
          <w:rFonts w:ascii="Arial" w:cs="Arial" w:eastAsia="Arial" w:hAnsi="Arial"/>
          <w:sz w:val="16"/>
          <w:szCs w:val="16"/>
          <w:color w:val="auto"/>
        </w:rPr>
      </w:pPr>
      <w:r>
        <w:rPr>
          <w:rFonts w:ascii="Arial" w:cs="Arial" w:eastAsia="Arial" w:hAnsi="Arial"/>
          <w:sz w:val="18"/>
          <w:szCs w:val="18"/>
          <w:color w:val="auto"/>
        </w:rPr>
        <w:t>Reinsurance assets are reviewed for impairment at each reporting date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income statement.</w:t>
      </w:r>
    </w:p>
    <w:p>
      <w:pPr>
        <w:spacing w:after="0" w:line="215" w:lineRule="exact"/>
        <w:rPr>
          <w:rFonts w:ascii="Arial" w:cs="Arial" w:eastAsia="Arial" w:hAnsi="Arial"/>
          <w:sz w:val="16"/>
          <w:szCs w:val="16"/>
          <w:color w:val="auto"/>
        </w:rPr>
      </w:pPr>
    </w:p>
    <w:p>
      <w:pPr>
        <w:ind w:left="1140" w:right="260"/>
        <w:spacing w:after="0" w:line="277" w:lineRule="auto"/>
        <w:rPr>
          <w:rFonts w:ascii="Arial" w:cs="Arial" w:eastAsia="Arial" w:hAnsi="Arial"/>
          <w:sz w:val="16"/>
          <w:szCs w:val="16"/>
          <w:color w:val="auto"/>
        </w:rPr>
      </w:pPr>
      <w:r>
        <w:rPr>
          <w:rFonts w:ascii="Arial" w:cs="Arial" w:eastAsia="Arial" w:hAnsi="Arial"/>
          <w:sz w:val="18"/>
          <w:szCs w:val="18"/>
          <w:color w:val="auto"/>
        </w:rPr>
        <w:t>Gains or losses on buying reinsurance are recognized in the consolidated income statement immediately at the date of purchase and are not amortized.</w:t>
      </w:r>
    </w:p>
    <w:p>
      <w:pPr>
        <w:spacing w:after="0" w:line="197"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Ceded reinsurance arrangements do not relieve the Group from its obligations to a policyholder.</w:t>
      </w:r>
    </w:p>
    <w:p>
      <w:pPr>
        <w:spacing w:after="0" w:line="252" w:lineRule="exact"/>
        <w:rPr>
          <w:rFonts w:ascii="Arial" w:cs="Arial" w:eastAsia="Arial" w:hAnsi="Arial"/>
          <w:sz w:val="16"/>
          <w:szCs w:val="16"/>
          <w:color w:val="auto"/>
        </w:rPr>
      </w:pPr>
    </w:p>
    <w:p>
      <w:pPr>
        <w:ind w:left="1140"/>
        <w:spacing w:after="0" w:line="264" w:lineRule="auto"/>
        <w:rPr>
          <w:rFonts w:ascii="Arial" w:cs="Arial" w:eastAsia="Arial" w:hAnsi="Arial"/>
          <w:sz w:val="16"/>
          <w:szCs w:val="16"/>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04" w:right="25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0"/>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97" w:lineRule="exact"/>
        <w:rPr>
          <w:sz w:val="20"/>
          <w:szCs w:val="20"/>
          <w:color w:val="auto"/>
        </w:rPr>
      </w:pPr>
    </w:p>
    <w:p>
      <w:pPr>
        <w:ind w:left="1140" w:right="460"/>
        <w:spacing w:after="0" w:line="342" w:lineRule="auto"/>
        <w:rPr>
          <w:sz w:val="20"/>
          <w:szCs w:val="20"/>
          <w:color w:val="auto"/>
        </w:rPr>
      </w:pPr>
      <w:r>
        <w:rPr>
          <w:rFonts w:ascii="Arial" w:cs="Arial" w:eastAsia="Arial" w:hAnsi="Arial"/>
          <w:sz w:val="16"/>
          <w:szCs w:val="16"/>
          <w:color w:val="auto"/>
        </w:rPr>
        <w:t>Premiums and claims are presented on a gross basis for both ceded and assumed reinsurance, see note 22 and 23. Reinsurance assets or liabilities are derecognized when the contractual rights are extinguished or expire or when the contract is transferred to another party.</w:t>
      </w:r>
    </w:p>
    <w:p>
      <w:pPr>
        <w:spacing w:after="0" w:line="15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Insurance receivables</w:t>
      </w:r>
    </w:p>
    <w:p>
      <w:pPr>
        <w:spacing w:after="0" w:line="23" w:lineRule="exact"/>
        <w:rPr>
          <w:sz w:val="20"/>
          <w:szCs w:val="20"/>
          <w:color w:val="auto"/>
        </w:rPr>
      </w:pPr>
    </w:p>
    <w:p>
      <w:pPr>
        <w:ind w:left="1140" w:right="100"/>
        <w:spacing w:after="0" w:line="270" w:lineRule="auto"/>
        <w:rPr>
          <w:sz w:val="20"/>
          <w:szCs w:val="20"/>
          <w:color w:val="auto"/>
        </w:rPr>
      </w:pPr>
      <w:r>
        <w:rPr>
          <w:rFonts w:ascii="Arial" w:cs="Arial" w:eastAsia="Arial" w:hAnsi="Arial"/>
          <w:sz w:val="17"/>
          <w:szCs w:val="17"/>
          <w:color w:val="auto"/>
        </w:rPr>
        <w:t>Insurance receivables are recognized when due and measured on initial recognition at the fair value of the consideration received or receivable. Subsequent to initial recognition, insurance receivables are measured at amortized cost. As of December 31, 2009 and 2008, the carrying value of the insurance receivables is similar to its fair value due to its liquidity and its short term. The carrying value of insurance receivables is reviewed for impairment whenever events or circumstances indicate that the carrying amount may not be recoverable, with the impairment loss recorded in the consolidated income statement. Insurance receivables are derecognized when the derecognition criteria for financial assets, as described in Note 3(g), has been met.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“Unit- Linked” investment</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“Unit- Linked” investment represent assets held for purposes of funding life and insurance contracts and for which investment income and</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investment gains and losses accrue directly to the policyholders who bear the investment risk. Each account has specific objectives, and the</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assets are carried at fair value. The balance of each account is legally segregated and is not subject to claims that arise out of any other</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business of the Group. The liabilities for these accounts are equal to the account assets.</w:t>
      </w:r>
    </w:p>
    <w:p>
      <w:pPr>
        <w:spacing w:after="0" w:line="23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acquisition costs (DAC):</w:t>
      </w:r>
    </w:p>
    <w:p>
      <w:pPr>
        <w:spacing w:after="0" w:line="23" w:lineRule="exact"/>
        <w:rPr>
          <w:sz w:val="20"/>
          <w:szCs w:val="20"/>
          <w:color w:val="auto"/>
        </w:rPr>
      </w:pPr>
    </w:p>
    <w:p>
      <w:pPr>
        <w:ind w:left="1140"/>
        <w:spacing w:after="0" w:line="323" w:lineRule="auto"/>
        <w:rPr>
          <w:sz w:val="20"/>
          <w:szCs w:val="20"/>
          <w:color w:val="auto"/>
        </w:rPr>
      </w:pPr>
      <w:r>
        <w:rPr>
          <w:rFonts w:ascii="Arial" w:cs="Arial" w:eastAsia="Arial" w:hAnsi="Arial"/>
          <w:sz w:val="16"/>
          <w:szCs w:val="16"/>
          <w:color w:val="auto"/>
        </w:rPr>
        <w:t>Those direct and indirect costs incurred during the financial period arising from the writing or renewing of insurance contracts, are deferred to the extent that these costs are recoverable out of future premiums. All other acquisition costs are recognized as an expense when incurred.</w:t>
      </w:r>
    </w:p>
    <w:p>
      <w:pPr>
        <w:spacing w:after="0" w:line="166" w:lineRule="exact"/>
        <w:rPr>
          <w:sz w:val="20"/>
          <w:szCs w:val="20"/>
          <w:color w:val="auto"/>
        </w:rPr>
      </w:pPr>
    </w:p>
    <w:p>
      <w:pPr>
        <w:ind w:left="1140" w:right="260"/>
        <w:spacing w:after="0" w:line="264" w:lineRule="auto"/>
        <w:rPr>
          <w:sz w:val="20"/>
          <w:szCs w:val="20"/>
          <w:color w:val="auto"/>
        </w:rPr>
      </w:pPr>
      <w:r>
        <w:rPr>
          <w:rFonts w:ascii="Arial" w:cs="Arial" w:eastAsia="Arial" w:hAnsi="Arial"/>
          <w:sz w:val="18"/>
          <w:szCs w:val="18"/>
          <w:color w:val="auto"/>
        </w:rPr>
        <w:t>Subsequent to initial recognition, these costs are amortized on a straight line basis based on the term of expected future premiums, which typically varies between 5 and 11 years for life insurance contracts and is normally 1 year for non-life insurance contracts. Amortization is recorded in the consolidated income statement.</w:t>
      </w:r>
    </w:p>
    <w:p>
      <w:pPr>
        <w:spacing w:after="0" w:line="208" w:lineRule="exact"/>
        <w:rPr>
          <w:sz w:val="20"/>
          <w:szCs w:val="20"/>
          <w:color w:val="auto"/>
        </w:rPr>
      </w:pPr>
    </w:p>
    <w:p>
      <w:pPr>
        <w:ind w:left="1140" w:right="180"/>
        <w:spacing w:after="0" w:line="277" w:lineRule="auto"/>
        <w:rPr>
          <w:sz w:val="20"/>
          <w:szCs w:val="20"/>
          <w:color w:val="auto"/>
        </w:rPr>
      </w:pPr>
      <w:r>
        <w:rPr>
          <w:rFonts w:ascii="Arial" w:cs="Arial" w:eastAsia="Arial" w:hAnsi="Arial"/>
          <w:sz w:val="18"/>
          <w:szCs w:val="18"/>
          <w:color w:val="auto"/>
        </w:rPr>
        <w:t>Changes in the expected useful life or the expected pattern of consumption of future economic benefits embodied in the asset are accounted for by changing the amortization period and are treated as a change in an accounting estimate.</w:t>
      </w: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both"/>
        <w:ind w:left="1140" w:right="20"/>
        <w:spacing w:after="0" w:line="264"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When the recoverable amounts is less than the carrying value an impairment loss is recognized in the consolidated income statement. DAC is also considered in the liability adequacy test for each reporting period.</w:t>
      </w:r>
    </w:p>
    <w:p>
      <w:pPr>
        <w:spacing w:after="0" w:line="20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DAC are derecognized when the related contracts are either settled or disposed of.</w:t>
      </w:r>
    </w:p>
    <w:p>
      <w:pPr>
        <w:spacing w:after="0" w:line="25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Reinsurance commissions:</w:t>
      </w:r>
    </w:p>
    <w:p>
      <w:pPr>
        <w:spacing w:after="0" w:line="23" w:lineRule="exact"/>
        <w:rPr>
          <w:sz w:val="20"/>
          <w:szCs w:val="20"/>
          <w:color w:val="auto"/>
        </w:rPr>
      </w:pPr>
    </w:p>
    <w:p>
      <w:pPr>
        <w:ind w:left="1140" w:right="220"/>
        <w:spacing w:after="0" w:line="261" w:lineRule="auto"/>
        <w:rPr>
          <w:sz w:val="20"/>
          <w:szCs w:val="20"/>
          <w:color w:val="auto"/>
        </w:rPr>
      </w:pPr>
      <w:r>
        <w:rPr>
          <w:rFonts w:ascii="Arial" w:cs="Arial" w:eastAsia="Arial" w:hAnsi="Arial"/>
          <w:sz w:val="18"/>
          <w:szCs w:val="18"/>
          <w:color w:val="auto"/>
        </w:rPr>
        <w:t>Commissions receivable on outwards reinsurance contracts are deferred and amortized on a straight line basis over the term of the expected premiums payable.</w:t>
      </w:r>
    </w:p>
    <w:p>
      <w:pPr>
        <w:spacing w:after="0" w:line="21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Insurance contract liabilities:</w:t>
      </w:r>
    </w:p>
    <w:p>
      <w:pPr>
        <w:spacing w:after="0" w:line="23" w:lineRule="exact"/>
        <w:rPr>
          <w:sz w:val="20"/>
          <w:szCs w:val="20"/>
          <w:color w:val="auto"/>
        </w:rPr>
      </w:pPr>
    </w:p>
    <w:p>
      <w:pPr>
        <w:ind w:left="1620" w:hanging="478"/>
        <w:spacing w:after="0"/>
        <w:tabs>
          <w:tab w:leader="none" w:pos="1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Life insurance contracts liabilities</w:t>
      </w:r>
    </w:p>
    <w:p>
      <w:pPr>
        <w:spacing w:after="0" w:line="9" w:lineRule="exact"/>
        <w:rPr>
          <w:rFonts w:ascii="Arial" w:cs="Arial" w:eastAsia="Arial" w:hAnsi="Arial"/>
          <w:sz w:val="18"/>
          <w:szCs w:val="18"/>
          <w:color w:val="auto"/>
        </w:rPr>
      </w:pPr>
    </w:p>
    <w:p>
      <w:pPr>
        <w:ind w:left="1620"/>
        <w:spacing w:after="0" w:line="265" w:lineRule="auto"/>
        <w:rPr>
          <w:rFonts w:ascii="Arial" w:cs="Arial" w:eastAsia="Arial" w:hAnsi="Arial"/>
          <w:sz w:val="18"/>
          <w:szCs w:val="18"/>
          <w:color w:val="auto"/>
        </w:rPr>
      </w:pPr>
      <w:r>
        <w:rPr>
          <w:rFonts w:ascii="Arial" w:cs="Arial" w:eastAsia="Arial" w:hAnsi="Arial"/>
          <w:sz w:val="17"/>
          <w:szCs w:val="17"/>
          <w:color w:val="auto"/>
        </w:rPr>
        <w:t>Life insurance liabilities are recognized when contracts are entered into and premiums are charged. These liabilities are measured by using the net premium method. The liability is determined as the sum of the discounted value of the expected future benefits, claims handling and policy administration expenses, policyholder options and guarantees and investment income from assets backing such liabilities, which are directly related to the contract, less the discounted value of the expected theoretical premiums that would be required to meet the future cash outflows based on the valuation assumptions used. The liability is either based on current assumptions or calculated using the assumptions established at the time the contract was issued, in which case a margin for risk and adverse deviation is generally included. A separate reserve for longevity may be established and included in the measurement of the liability. Furthermore, the liability for life insurance contracts comprises the provision for unearned premiums and unexpired risks, as well as for claims outstanding, which includes an estimate of the incurred claims that have not yet been reported to the Group. Adjustments to the liabilities at each reporting date are recorded in the consolidated income statement. Profits originated from margins of adverse deviations on run-off contracts, are recognized in the consolidated income statement over the life of the contract, whereas losses are fully recognized in the consolidated income statement during the first year of run-off. The liability is derecognized when the contract expires, is discharged or is cancelled.</w:t>
      </w:r>
    </w:p>
    <w:p>
      <w:pPr>
        <w:spacing w:after="0" w:line="3" w:lineRule="exact"/>
        <w:rPr>
          <w:rFonts w:ascii="Arial" w:cs="Arial" w:eastAsia="Arial" w:hAnsi="Arial"/>
          <w:sz w:val="18"/>
          <w:szCs w:val="18"/>
          <w:color w:val="auto"/>
        </w:rPr>
      </w:pPr>
    </w:p>
    <w:p>
      <w:pPr>
        <w:ind w:left="1620" w:right="120"/>
        <w:spacing w:after="0" w:line="261" w:lineRule="auto"/>
        <w:rPr>
          <w:rFonts w:ascii="Arial" w:cs="Arial" w:eastAsia="Arial" w:hAnsi="Arial"/>
          <w:sz w:val="18"/>
          <w:szCs w:val="18"/>
          <w:color w:val="auto"/>
        </w:rPr>
      </w:pPr>
      <w:r>
        <w:rPr>
          <w:rFonts w:ascii="Arial" w:cs="Arial" w:eastAsia="Arial" w:hAnsi="Arial"/>
          <w:sz w:val="18"/>
          <w:szCs w:val="18"/>
          <w:color w:val="auto"/>
        </w:rPr>
        <w:t>At each reporting date, an assessment is made of whether the recognized life insurance liabilities are adequate, net of related DAC, by using an existing liability adequacy test as laid out under IFRS 4.</w:t>
      </w:r>
    </w:p>
    <w:p>
      <w:pPr>
        <w:spacing w:after="0" w:line="210" w:lineRule="exact"/>
        <w:rPr>
          <w:rFonts w:ascii="Arial" w:cs="Arial" w:eastAsia="Arial" w:hAnsi="Arial"/>
          <w:sz w:val="18"/>
          <w:szCs w:val="18"/>
          <w:color w:val="auto"/>
        </w:rPr>
      </w:pPr>
    </w:p>
    <w:p>
      <w:pPr>
        <w:ind w:left="1620" w:hanging="478"/>
        <w:spacing w:after="0"/>
        <w:tabs>
          <w:tab w:leader="none" w:pos="16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Non-life insurance (which comprises general insurance and healthcare) contract liabilities</w:t>
      </w:r>
    </w:p>
    <w:p>
      <w:pPr>
        <w:spacing w:after="0" w:line="23" w:lineRule="exact"/>
        <w:rPr>
          <w:rFonts w:ascii="Arial" w:cs="Arial" w:eastAsia="Arial" w:hAnsi="Arial"/>
          <w:sz w:val="18"/>
          <w:szCs w:val="18"/>
          <w:color w:val="auto"/>
        </w:rPr>
      </w:pPr>
    </w:p>
    <w:p>
      <w:pPr>
        <w:ind w:left="1620" w:right="20"/>
        <w:spacing w:after="0" w:line="267" w:lineRule="auto"/>
        <w:rPr>
          <w:rFonts w:ascii="Arial" w:cs="Arial" w:eastAsia="Arial" w:hAnsi="Arial"/>
          <w:sz w:val="18"/>
          <w:szCs w:val="18"/>
          <w:color w:val="auto"/>
        </w:rPr>
      </w:pPr>
      <w:r>
        <w:rPr>
          <w:rFonts w:ascii="Arial" w:cs="Arial" w:eastAsia="Arial" w:hAnsi="Arial"/>
          <w:sz w:val="17"/>
          <w:szCs w:val="17"/>
          <w:color w:val="auto"/>
        </w:rPr>
        <w:t>Non-life insurance contract liabilities are recognized when contracts are entered into and premiums are charged. These liabilities are known as the outstanding claims provision, which are based on the estimated ultimate cost of all claims incurred but not settled at the date of the consolidated statements of financial position, whether reported or not, together with related claims handling costs and reduction for the expected value of salvage and other recoveries. Delays can be experienced in the notification and settlement of certain types of claims, therefore the ultimate cost of these cannot be known with certainty at the date of the consolidated statements of financial position. Incurred but non-reported claims (hereafter “IBNR”) are estimated and included in the provision (liabilities). IBNR reserves as of December 31, 2009 and 2008, were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historical data. No provision for equalization or catastrophe reserves is recognized. The liabilities are derecognized when the contract expires, is discharged or is cancelled.</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540"/>
        <w:spacing w:after="0" w:line="277" w:lineRule="auto"/>
        <w:rPr>
          <w:sz w:val="20"/>
          <w:szCs w:val="20"/>
          <w:color w:val="auto"/>
        </w:rPr>
      </w:pPr>
      <w:r>
        <w:rPr>
          <w:rFonts w:ascii="Arial" w:cs="Arial" w:eastAsia="Arial" w:hAnsi="Arial"/>
          <w:sz w:val="18"/>
          <w:szCs w:val="18"/>
          <w:color w:val="auto"/>
        </w:rPr>
        <w:t>The provision for unearned premiums represents premiums received for risks that have not yet expired. Generally the reserve is released over the term of the contract and is recognized as premium income.</w:t>
      </w:r>
    </w:p>
    <w:p>
      <w:pPr>
        <w:spacing w:after="0" w:line="197" w:lineRule="exact"/>
        <w:rPr>
          <w:sz w:val="20"/>
          <w:szCs w:val="20"/>
          <w:color w:val="auto"/>
        </w:rPr>
      </w:pPr>
    </w:p>
    <w:p>
      <w:pPr>
        <w:ind w:left="1620"/>
        <w:spacing w:after="0" w:line="255" w:lineRule="auto"/>
        <w:rPr>
          <w:sz w:val="20"/>
          <w:szCs w:val="20"/>
          <w:color w:val="auto"/>
        </w:rPr>
      </w:pPr>
      <w:r>
        <w:rPr>
          <w:rFonts w:ascii="Arial" w:cs="Arial" w:eastAsia="Arial" w:hAnsi="Arial"/>
          <w:sz w:val="18"/>
          <w:szCs w:val="18"/>
          <w:color w:val="auto"/>
        </w:rPr>
        <w:t>At each reporting date the Group reviews its unexpired risk and a liability adequacy test is performed as laid out under IFRS 4 to determine whether there is any overall excess of expected claims and DAC over unearned premiums. This calculation uses current estimates of future contractual cash flows after taking account of the investment return expected to arise on assets relating to the relevant nonlife insurance technical provisions. If these estimates show that the carrying amount of the unearned premiums (less related deferred acquisition costs) is inadequate the deficiency is recognized in the consolidated income statement by setting up a provision for liability adequacy.</w:t>
      </w:r>
    </w:p>
    <w:p>
      <w:pPr>
        <w:spacing w:after="0" w:line="22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Income recognition:</w:t>
      </w:r>
    </w:p>
    <w:p>
      <w:pPr>
        <w:spacing w:after="0" w:line="23" w:lineRule="exact"/>
        <w:rPr>
          <w:sz w:val="20"/>
          <w:szCs w:val="20"/>
          <w:color w:val="auto"/>
        </w:rPr>
      </w:pPr>
    </w:p>
    <w:p>
      <w:pPr>
        <w:ind w:left="1620" w:hanging="478"/>
        <w:spacing w:after="0"/>
        <w:tabs>
          <w:tab w:leader="none" w:pos="1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Gross premiums</w:t>
      </w:r>
    </w:p>
    <w:p>
      <w:pPr>
        <w:spacing w:after="0" w:line="9" w:lineRule="exact"/>
        <w:rPr>
          <w:rFonts w:ascii="Arial" w:cs="Arial" w:eastAsia="Arial" w:hAnsi="Arial"/>
          <w:sz w:val="18"/>
          <w:szCs w:val="18"/>
          <w:color w:val="auto"/>
        </w:rPr>
      </w:pPr>
    </w:p>
    <w:p>
      <w:pPr>
        <w:ind w:left="1620" w:right="120"/>
        <w:spacing w:after="0" w:line="261" w:lineRule="auto"/>
        <w:rPr>
          <w:rFonts w:ascii="Arial" w:cs="Arial" w:eastAsia="Arial" w:hAnsi="Arial"/>
          <w:sz w:val="18"/>
          <w:szCs w:val="18"/>
          <w:color w:val="auto"/>
        </w:rPr>
      </w:pPr>
      <w:r>
        <w:rPr>
          <w:rFonts w:ascii="Arial" w:cs="Arial" w:eastAsia="Arial" w:hAnsi="Arial"/>
          <w:sz w:val="18"/>
          <w:szCs w:val="18"/>
          <w:color w:val="auto"/>
        </w:rPr>
        <w:t>Gross recurring premiums on life contracts are recognized as revenue when payable by the policyholder. For single premium business revenue is recognized on the date on which the policy is effective.</w:t>
      </w:r>
    </w:p>
    <w:p>
      <w:pPr>
        <w:spacing w:after="0" w:line="210" w:lineRule="exact"/>
        <w:rPr>
          <w:rFonts w:ascii="Arial" w:cs="Arial" w:eastAsia="Arial" w:hAnsi="Arial"/>
          <w:sz w:val="18"/>
          <w:szCs w:val="18"/>
          <w:color w:val="auto"/>
        </w:rPr>
      </w:pPr>
    </w:p>
    <w:p>
      <w:pPr>
        <w:ind w:left="1620" w:right="80"/>
        <w:spacing w:after="0" w:line="312" w:lineRule="auto"/>
        <w:rPr>
          <w:rFonts w:ascii="Arial" w:cs="Arial" w:eastAsia="Arial" w:hAnsi="Arial"/>
          <w:sz w:val="18"/>
          <w:szCs w:val="18"/>
          <w:color w:val="auto"/>
        </w:rPr>
      </w:pPr>
      <w:r>
        <w:rPr>
          <w:rFonts w:ascii="Arial" w:cs="Arial" w:eastAsia="Arial" w:hAnsi="Arial"/>
          <w:sz w:val="16"/>
          <w:szCs w:val="16"/>
          <w:color w:val="auto"/>
        </w:rPr>
        <w:t>Gross general insurance written premiums comprise the total premiums receivable for the whole period of cover provided by contracts entered into during the accounting period and are recognized on the date on which the policy incepts. Premiums include any adjustments arising in the accounting period for premiums receivable in respect of business written in prior accounting periods.</w:t>
      </w:r>
    </w:p>
    <w:p>
      <w:pPr>
        <w:spacing w:after="0" w:line="173" w:lineRule="exact"/>
        <w:rPr>
          <w:rFonts w:ascii="Arial" w:cs="Arial" w:eastAsia="Arial" w:hAnsi="Arial"/>
          <w:sz w:val="18"/>
          <w:szCs w:val="18"/>
          <w:color w:val="auto"/>
        </w:rPr>
      </w:pPr>
    </w:p>
    <w:p>
      <w:pPr>
        <w:jc w:val="both"/>
        <w:ind w:left="1620" w:right="100"/>
        <w:spacing w:after="0" w:line="264" w:lineRule="auto"/>
        <w:rPr>
          <w:rFonts w:ascii="Arial" w:cs="Arial" w:eastAsia="Arial" w:hAnsi="Arial"/>
          <w:sz w:val="18"/>
          <w:szCs w:val="18"/>
          <w:color w:val="auto"/>
        </w:rPr>
      </w:pPr>
      <w:r>
        <w:rPr>
          <w:rFonts w:ascii="Arial" w:cs="Arial" w:eastAsia="Arial" w:hAnsi="Arial"/>
          <w:sz w:val="18"/>
          <w:szCs w:val="18"/>
          <w:color w:val="auto"/>
        </w:rPr>
        <w:t>Unearned premiums are those proportions of premiums written in a year that relate to periods of risk after the date of the consolidated statements of financial position. Unearned premiums are calculated on a daily pro rata basis. The proportion attributable to subsequent periods is deferred as a provision for unearned premiums.</w:t>
      </w:r>
    </w:p>
    <w:p>
      <w:pPr>
        <w:spacing w:after="0" w:line="208" w:lineRule="exact"/>
        <w:rPr>
          <w:rFonts w:ascii="Arial" w:cs="Arial" w:eastAsia="Arial" w:hAnsi="Arial"/>
          <w:sz w:val="18"/>
          <w:szCs w:val="18"/>
          <w:color w:val="auto"/>
        </w:rPr>
      </w:pPr>
    </w:p>
    <w:p>
      <w:pPr>
        <w:ind w:left="1620" w:hanging="478"/>
        <w:spacing w:after="0"/>
        <w:tabs>
          <w:tab w:leader="none" w:pos="16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Reinsurance premiums</w:t>
      </w:r>
    </w:p>
    <w:p>
      <w:pPr>
        <w:spacing w:after="0" w:line="23" w:lineRule="exact"/>
        <w:rPr>
          <w:rFonts w:ascii="Arial" w:cs="Arial" w:eastAsia="Arial" w:hAnsi="Arial"/>
          <w:sz w:val="18"/>
          <w:szCs w:val="18"/>
          <w:color w:val="auto"/>
        </w:rPr>
      </w:pPr>
    </w:p>
    <w:p>
      <w:pPr>
        <w:ind w:left="1620" w:right="660"/>
        <w:spacing w:after="0" w:line="261" w:lineRule="auto"/>
        <w:rPr>
          <w:rFonts w:ascii="Arial" w:cs="Arial" w:eastAsia="Arial" w:hAnsi="Arial"/>
          <w:sz w:val="18"/>
          <w:szCs w:val="18"/>
          <w:color w:val="auto"/>
        </w:rPr>
      </w:pPr>
      <w:r>
        <w:rPr>
          <w:rFonts w:ascii="Arial" w:cs="Arial" w:eastAsia="Arial" w:hAnsi="Arial"/>
          <w:sz w:val="18"/>
          <w:szCs w:val="18"/>
          <w:color w:val="auto"/>
        </w:rPr>
        <w:t>Gross reinsurance premiums on life contracts are recognized as an expense when payable or on the date on which the policy is effective.</w:t>
      </w:r>
    </w:p>
    <w:p>
      <w:pPr>
        <w:spacing w:after="0" w:line="210" w:lineRule="exact"/>
        <w:rPr>
          <w:rFonts w:ascii="Arial" w:cs="Arial" w:eastAsia="Arial" w:hAnsi="Arial"/>
          <w:sz w:val="18"/>
          <w:szCs w:val="18"/>
          <w:color w:val="auto"/>
        </w:rPr>
      </w:pPr>
    </w:p>
    <w:p>
      <w:pPr>
        <w:ind w:left="1620" w:right="40"/>
        <w:spacing w:after="0" w:line="264" w:lineRule="auto"/>
        <w:rPr>
          <w:rFonts w:ascii="Arial" w:cs="Arial" w:eastAsia="Arial" w:hAnsi="Arial"/>
          <w:sz w:val="18"/>
          <w:szCs w:val="18"/>
          <w:color w:val="auto"/>
        </w:rPr>
      </w:pPr>
      <w:r>
        <w:rPr>
          <w:rFonts w:ascii="Arial" w:cs="Arial" w:eastAsia="Arial" w:hAnsi="Arial"/>
          <w:sz w:val="18"/>
          <w:szCs w:val="18"/>
          <w:color w:val="auto"/>
        </w:rPr>
        <w:t>Gross general reinsurance premiums written comprise the total premiums payable for the whole cover provided by contracts entered into the period and are recognized on the date on which the policy incepts. Premiums include any adjustments arising in the accounting period in respect of reinsurance contracts incepting in prior accounting periods.</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220"/>
        <w:spacing w:after="0" w:line="312" w:lineRule="auto"/>
        <w:rPr>
          <w:sz w:val="20"/>
          <w:szCs w:val="20"/>
          <w:color w:val="auto"/>
        </w:rPr>
      </w:pPr>
      <w:r>
        <w:rPr>
          <w:rFonts w:ascii="Arial" w:cs="Arial" w:eastAsia="Arial" w:hAnsi="Arial"/>
          <w:sz w:val="16"/>
          <w:szCs w:val="16"/>
          <w:color w:val="auto"/>
        </w:rPr>
        <w:t>Unearned reinsurance premiums are those proportions of premiums written in a year that relate to periods of risk after the date of the consolidated statements of financial position. Unearned reinsurance premiums are deferred over the term of the underlying direct insurance policies for risks-attaching contracts and over the term of the reinsurance contract for losses-occurring contracts.</w:t>
      </w:r>
    </w:p>
    <w:p>
      <w:pPr>
        <w:spacing w:after="0" w:line="174" w:lineRule="exact"/>
        <w:rPr>
          <w:sz w:val="20"/>
          <w:szCs w:val="20"/>
          <w:color w:val="auto"/>
        </w:rPr>
      </w:pPr>
    </w:p>
    <w:p>
      <w:pPr>
        <w:ind w:left="1620" w:hanging="478"/>
        <w:spacing w:after="0"/>
        <w:tabs>
          <w:tab w:leader="none" w:pos="16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Fees and commission income</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Insurance contract policyholders are charged for policy administration services, investment</w:t>
      </w:r>
    </w:p>
    <w:p>
      <w:pPr>
        <w:spacing w:after="0" w:line="9" w:lineRule="exact"/>
        <w:rPr>
          <w:rFonts w:ascii="Arial" w:cs="Arial" w:eastAsia="Arial" w:hAnsi="Arial"/>
          <w:sz w:val="18"/>
          <w:szCs w:val="18"/>
          <w:color w:val="auto"/>
        </w:rPr>
      </w:pPr>
    </w:p>
    <w:p>
      <w:pPr>
        <w:ind w:left="1620" w:right="240"/>
        <w:spacing w:after="0" w:line="255" w:lineRule="auto"/>
        <w:rPr>
          <w:rFonts w:ascii="Arial" w:cs="Arial" w:eastAsia="Arial" w:hAnsi="Arial"/>
          <w:sz w:val="18"/>
          <w:szCs w:val="18"/>
          <w:color w:val="auto"/>
        </w:rPr>
      </w:pPr>
      <w:r>
        <w:rPr>
          <w:rFonts w:ascii="Arial" w:cs="Arial" w:eastAsia="Arial" w:hAnsi="Arial"/>
          <w:sz w:val="18"/>
          <w:szCs w:val="18"/>
          <w:color w:val="auto"/>
        </w:rPr>
        <w:t>management services, surrenders and other contract fees. These fees are recognized as revenue over the period in which the related services are performed. If the fees are for services provided in future periods then they are deferred and recognized over those future periods.</w:t>
      </w:r>
    </w:p>
    <w:p>
      <w:pPr>
        <w:spacing w:after="0" w:line="21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Benefits, claims and expenses recognition:</w:t>
      </w:r>
    </w:p>
    <w:p>
      <w:pPr>
        <w:spacing w:after="0" w:line="23" w:lineRule="exact"/>
        <w:rPr>
          <w:sz w:val="20"/>
          <w:szCs w:val="20"/>
          <w:color w:val="auto"/>
        </w:rPr>
      </w:pPr>
    </w:p>
    <w:p>
      <w:pPr>
        <w:ind w:left="1620" w:hanging="478"/>
        <w:spacing w:after="0"/>
        <w:tabs>
          <w:tab w:leader="none" w:pos="16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Gross benefits and claims</w:t>
      </w:r>
    </w:p>
    <w:p>
      <w:pPr>
        <w:spacing w:after="0" w:line="9" w:lineRule="exact"/>
        <w:rPr>
          <w:rFonts w:ascii="Arial" w:cs="Arial" w:eastAsia="Arial" w:hAnsi="Arial"/>
          <w:sz w:val="18"/>
          <w:szCs w:val="18"/>
          <w:color w:val="auto"/>
        </w:rPr>
      </w:pPr>
    </w:p>
    <w:p>
      <w:pPr>
        <w:ind w:left="1620" w:right="380"/>
        <w:spacing w:after="0" w:line="277" w:lineRule="auto"/>
        <w:rPr>
          <w:rFonts w:ascii="Arial" w:cs="Arial" w:eastAsia="Arial" w:hAnsi="Arial"/>
          <w:sz w:val="18"/>
          <w:szCs w:val="18"/>
          <w:color w:val="auto"/>
        </w:rPr>
      </w:pPr>
      <w:r>
        <w:rPr>
          <w:rFonts w:ascii="Arial" w:cs="Arial" w:eastAsia="Arial" w:hAnsi="Arial"/>
          <w:sz w:val="17"/>
          <w:szCs w:val="17"/>
          <w:color w:val="auto"/>
        </w:rPr>
        <w:t>Gross benefits and claims for life insurance contracts include the cost of all claims arising during the year including internal and external claims handling costs that are directly related to the processing and settlement of claims. Death claims and surrenders are recorded on the basis of notifications received. Maturities and annuity payments are recorded when due.</w:t>
      </w:r>
    </w:p>
    <w:p>
      <w:pPr>
        <w:spacing w:after="0" w:line="200" w:lineRule="exact"/>
        <w:rPr>
          <w:rFonts w:ascii="Arial" w:cs="Arial" w:eastAsia="Arial" w:hAnsi="Arial"/>
          <w:sz w:val="18"/>
          <w:szCs w:val="18"/>
          <w:color w:val="auto"/>
        </w:rPr>
      </w:pPr>
    </w:p>
    <w:p>
      <w:pPr>
        <w:ind w:left="1620" w:right="20"/>
        <w:spacing w:after="0" w:line="264" w:lineRule="auto"/>
        <w:rPr>
          <w:rFonts w:ascii="Arial" w:cs="Arial" w:eastAsia="Arial" w:hAnsi="Arial"/>
          <w:sz w:val="18"/>
          <w:szCs w:val="18"/>
          <w:color w:val="auto"/>
        </w:rPr>
      </w:pPr>
      <w:r>
        <w:rPr>
          <w:rFonts w:ascii="Arial" w:cs="Arial" w:eastAsia="Arial" w:hAnsi="Arial"/>
          <w:sz w:val="18"/>
          <w:szCs w:val="18"/>
          <w:color w:val="auto"/>
        </w:rPr>
        <w:t>General insurance and health claims includes all claims occurring during the year, whether reported or not, related internal and external claims handling costs that are directly related to the processing and settlement of claims, a reduction for the value of salvage and other recoveries, and any adjustments to claims outstanding from previous years.</w:t>
      </w:r>
    </w:p>
    <w:p>
      <w:pPr>
        <w:spacing w:after="0" w:line="208" w:lineRule="exact"/>
        <w:rPr>
          <w:rFonts w:ascii="Arial" w:cs="Arial" w:eastAsia="Arial" w:hAnsi="Arial"/>
          <w:sz w:val="18"/>
          <w:szCs w:val="18"/>
          <w:color w:val="auto"/>
        </w:rPr>
      </w:pPr>
    </w:p>
    <w:p>
      <w:pPr>
        <w:ind w:left="1620" w:hanging="478"/>
        <w:spacing w:after="0"/>
        <w:tabs>
          <w:tab w:leader="none" w:pos="162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Reinsurance claims</w:t>
      </w:r>
    </w:p>
    <w:p>
      <w:pPr>
        <w:spacing w:after="0" w:line="2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6"/>
          <w:szCs w:val="16"/>
          <w:color w:val="auto"/>
        </w:rPr>
        <w:t>Reinsurance claims are recognized when the related gross insurance claim is recognized according to the terms of the relevant contract.</w:t>
      </w:r>
    </w:p>
    <w:p>
      <w:pPr>
        <w:spacing w:after="0" w:line="260" w:lineRule="exact"/>
        <w:rPr>
          <w:rFonts w:ascii="Arial" w:cs="Arial" w:eastAsia="Arial" w:hAnsi="Arial"/>
          <w:sz w:val="18"/>
          <w:szCs w:val="18"/>
          <w:color w:val="auto"/>
        </w:rPr>
      </w:pPr>
    </w:p>
    <w:p>
      <w:pPr>
        <w:ind w:left="1160" w:hanging="490"/>
        <w:spacing w:after="0"/>
        <w:tabs>
          <w:tab w:leader="none" w:pos="11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Financial Instruments: Initial recognition and subsequent measurement -</w:t>
      </w:r>
    </w:p>
    <w:p>
      <w:pPr>
        <w:spacing w:after="0" w:line="23" w:lineRule="exact"/>
        <w:rPr>
          <w:rFonts w:ascii="Arial" w:cs="Arial" w:eastAsia="Arial" w:hAnsi="Arial"/>
          <w:sz w:val="18"/>
          <w:szCs w:val="18"/>
          <w:color w:val="auto"/>
        </w:rPr>
      </w:pPr>
    </w:p>
    <w:p>
      <w:pPr>
        <w:jc w:val="both"/>
        <w:ind w:left="1140" w:right="40"/>
        <w:spacing w:after="0" w:line="255" w:lineRule="auto"/>
        <w:rPr>
          <w:rFonts w:ascii="Arial" w:cs="Arial" w:eastAsia="Arial" w:hAnsi="Arial"/>
          <w:sz w:val="18"/>
          <w:szCs w:val="18"/>
          <w:color w:val="auto"/>
        </w:rPr>
      </w:pPr>
      <w:r>
        <w:rPr>
          <w:rFonts w:ascii="Arial" w:cs="Arial" w:eastAsia="Arial" w:hAnsi="Arial"/>
          <w:sz w:val="18"/>
          <w:szCs w:val="18"/>
          <w:color w:val="auto"/>
        </w:rPr>
        <w:t>The Group classifies its financial instruments in one of the categories defined by IAS 39: financial assets and financial liabilities at fair value through profit or loss; loans and receivables; available-for-sale financial investments and other financial liabilities. The Group determines the classification of its financial instruments at initial recognition.</w:t>
      </w:r>
    </w:p>
    <w:p>
      <w:pPr>
        <w:spacing w:after="0" w:line="217"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any directly attributable incremental cost of acquisition or issue, except in the case of financial assets and financial liabilities recorded at fair value through profit or loss.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80"/>
        <w:spacing w:after="0" w:line="264" w:lineRule="auto"/>
        <w:rPr>
          <w:sz w:val="20"/>
          <w:szCs w:val="20"/>
          <w:color w:val="auto"/>
        </w:rPr>
      </w:pPr>
      <w:r>
        <w:rPr>
          <w:rFonts w:ascii="Arial" w:cs="Arial" w:eastAsia="Arial" w:hAnsi="Arial"/>
          <w:sz w:val="18"/>
          <w:szCs w:val="18"/>
          <w:color w:val="auto"/>
        </w:rPr>
        <w:t>Purchases or sales of financial assets that require delivery of assets within a time frame established by regulation or convention in the marketplace (regular way trades) are recognized on the trade date, i.e. the date that the Group commits to purchase or sell the asset. Derivatives are recognized on a trade date basis.</w:t>
      </w:r>
    </w:p>
    <w:p>
      <w:pPr>
        <w:spacing w:after="0" w:line="208" w:lineRule="exact"/>
        <w:rPr>
          <w:sz w:val="20"/>
          <w:szCs w:val="20"/>
          <w:color w:val="auto"/>
        </w:rPr>
      </w:pPr>
    </w:p>
    <w:p>
      <w:pPr>
        <w:ind w:left="1620" w:hanging="478"/>
        <w:spacing w:after="0"/>
        <w:tabs>
          <w:tab w:leader="none" w:pos="16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Financial assets and financial liabilities at fair value through profit or loss:</w:t>
      </w:r>
    </w:p>
    <w:p>
      <w:pPr>
        <w:spacing w:after="0" w:line="23" w:lineRule="exact"/>
        <w:rPr>
          <w:rFonts w:ascii="Arial" w:cs="Arial" w:eastAsia="Arial" w:hAnsi="Arial"/>
          <w:sz w:val="18"/>
          <w:szCs w:val="18"/>
          <w:color w:val="auto"/>
        </w:rPr>
      </w:pPr>
    </w:p>
    <w:p>
      <w:pPr>
        <w:ind w:left="1620" w:right="60"/>
        <w:spacing w:after="0" w:line="255" w:lineRule="auto"/>
        <w:rPr>
          <w:rFonts w:ascii="Arial" w:cs="Arial" w:eastAsia="Arial" w:hAnsi="Arial"/>
          <w:sz w:val="18"/>
          <w:szCs w:val="18"/>
          <w:color w:val="auto"/>
        </w:rPr>
      </w:pPr>
      <w:r>
        <w:rPr>
          <w:rFonts w:ascii="Arial" w:cs="Arial" w:eastAsia="Arial" w:hAnsi="Arial"/>
          <w:sz w:val="18"/>
          <w:szCs w:val="18"/>
          <w:color w:val="auto"/>
        </w:rPr>
        <w:t>Financial assets at fair value through profit or loss includes financial assets held for trading and financial assets designated at fair value through profit or loss, which designation is upon initial recognition and in an instrument by instrument basis. Derivatives are also categorized as held for trading unless they are designated as hedging instruments.</w:t>
      </w:r>
    </w:p>
    <w:p>
      <w:pPr>
        <w:spacing w:after="0" w:line="217" w:lineRule="exact"/>
        <w:rPr>
          <w:rFonts w:ascii="Arial" w:cs="Arial" w:eastAsia="Arial" w:hAnsi="Arial"/>
          <w:sz w:val="18"/>
          <w:szCs w:val="18"/>
          <w:color w:val="auto"/>
        </w:rPr>
      </w:pPr>
    </w:p>
    <w:p>
      <w:pPr>
        <w:ind w:left="1620" w:right="40"/>
        <w:spacing w:after="0" w:line="277" w:lineRule="auto"/>
        <w:rPr>
          <w:rFonts w:ascii="Arial" w:cs="Arial" w:eastAsia="Arial" w:hAnsi="Arial"/>
          <w:sz w:val="18"/>
          <w:szCs w:val="18"/>
          <w:color w:val="auto"/>
        </w:rPr>
      </w:pPr>
      <w:r>
        <w:rPr>
          <w:rFonts w:ascii="Arial" w:cs="Arial" w:eastAsia="Arial" w:hAnsi="Arial"/>
          <w:sz w:val="18"/>
          <w:szCs w:val="18"/>
          <w:color w:val="auto"/>
        </w:rPr>
        <w:t>Financial assets are classified as held for trading if they are acquired for the purpose of selling or repurchasing in the near term, and are presented in the caption “Trading securities” of the consolidated statements of financial position.</w:t>
      </w:r>
    </w:p>
    <w:p>
      <w:pPr>
        <w:spacing w:after="0" w:line="197" w:lineRule="exact"/>
        <w:rPr>
          <w:rFonts w:ascii="Arial" w:cs="Arial" w:eastAsia="Arial" w:hAnsi="Arial"/>
          <w:sz w:val="18"/>
          <w:szCs w:val="18"/>
          <w:color w:val="auto"/>
        </w:rPr>
      </w:pPr>
    </w:p>
    <w:p>
      <w:pPr>
        <w:ind w:left="1620" w:right="160"/>
        <w:spacing w:after="0" w:line="277" w:lineRule="auto"/>
        <w:rPr>
          <w:rFonts w:ascii="Arial" w:cs="Arial" w:eastAsia="Arial" w:hAnsi="Arial"/>
          <w:sz w:val="18"/>
          <w:szCs w:val="18"/>
          <w:color w:val="auto"/>
        </w:rPr>
      </w:pPr>
      <w:r>
        <w:rPr>
          <w:rFonts w:ascii="Arial" w:cs="Arial" w:eastAsia="Arial" w:hAnsi="Arial"/>
          <w:sz w:val="18"/>
          <w:szCs w:val="18"/>
          <w:color w:val="auto"/>
        </w:rPr>
        <w:t>Management may only designate an instrument at fair value through profit or loss upon initial recognition when the following criteria are met:</w:t>
      </w:r>
    </w:p>
    <w:p>
      <w:pPr>
        <w:spacing w:after="0" w:line="197" w:lineRule="exact"/>
        <w:rPr>
          <w:rFonts w:ascii="Arial" w:cs="Arial" w:eastAsia="Arial" w:hAnsi="Arial"/>
          <w:sz w:val="18"/>
          <w:szCs w:val="18"/>
          <w:color w:val="auto"/>
        </w:rPr>
      </w:pPr>
    </w:p>
    <w:p>
      <w:pPr>
        <w:ind w:left="2120" w:hanging="491"/>
        <w:spacing w:after="0" w:line="258" w:lineRule="auto"/>
        <w:tabs>
          <w:tab w:leader="none" w:pos="21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assets or liabilities or recognizing gains or losses on them on a different basis; or</w:t>
      </w:r>
    </w:p>
    <w:p>
      <w:pPr>
        <w:spacing w:after="0" w:line="1" w:lineRule="exact"/>
        <w:rPr>
          <w:rFonts w:ascii="Arial" w:cs="Arial" w:eastAsia="Arial" w:hAnsi="Arial"/>
          <w:sz w:val="18"/>
          <w:szCs w:val="18"/>
          <w:color w:val="auto"/>
        </w:rPr>
      </w:pPr>
    </w:p>
    <w:p>
      <w:pPr>
        <w:ind w:left="2120" w:right="500" w:hanging="491"/>
        <w:spacing w:after="0" w:line="323" w:lineRule="auto"/>
        <w:tabs>
          <w:tab w:leader="none" w:pos="212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spacing w:after="0" w:line="165" w:lineRule="exact"/>
        <w:rPr>
          <w:rFonts w:ascii="Arial" w:cs="Arial" w:eastAsia="Arial" w:hAnsi="Arial"/>
          <w:sz w:val="16"/>
          <w:szCs w:val="16"/>
          <w:color w:val="auto"/>
        </w:rPr>
      </w:pPr>
    </w:p>
    <w:p>
      <w:pPr>
        <w:ind w:left="2120" w:right="240" w:hanging="491"/>
        <w:spacing w:after="0" w:line="277" w:lineRule="auto"/>
        <w:tabs>
          <w:tab w:leader="none" w:pos="212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financial instrument contains one or more embedded derivatives, which significantly modify the cash flows that otherwise would be required by the contract.</w:t>
      </w:r>
    </w:p>
    <w:p>
      <w:pPr>
        <w:spacing w:after="0" w:line="197" w:lineRule="exact"/>
        <w:rPr>
          <w:sz w:val="20"/>
          <w:szCs w:val="20"/>
          <w:color w:val="auto"/>
        </w:rPr>
      </w:pPr>
    </w:p>
    <w:p>
      <w:pPr>
        <w:jc w:val="both"/>
        <w:ind w:left="1620" w:right="160"/>
        <w:spacing w:after="0" w:line="279" w:lineRule="auto"/>
        <w:rPr>
          <w:sz w:val="20"/>
          <w:szCs w:val="20"/>
          <w:color w:val="auto"/>
        </w:rPr>
      </w:pPr>
      <w:r>
        <w:rPr>
          <w:rFonts w:ascii="Arial" w:cs="Arial" w:eastAsia="Arial" w:hAnsi="Arial"/>
          <w:sz w:val="17"/>
          <w:szCs w:val="17"/>
          <w:color w:val="auto"/>
        </w:rPr>
        <w:t>Changes in fair value of designated financial assets through profit or loss are recorded in the consolidated income statement caption “Net gain on financial assets and liabilities designated at fair value through profit and loss”. Interest earned or incurred is accrued in the consolidated income statement in the captions “Interest and dividend income” or “Interest expense”, respectively, according to the terms of the contract. Dividend income is recorded when the collection right has been established.</w:t>
      </w:r>
    </w:p>
    <w:p>
      <w:pPr>
        <w:spacing w:after="0" w:line="198" w:lineRule="exact"/>
        <w:rPr>
          <w:sz w:val="20"/>
          <w:szCs w:val="20"/>
          <w:color w:val="auto"/>
        </w:rPr>
      </w:pPr>
    </w:p>
    <w:p>
      <w:pPr>
        <w:ind w:left="1620" w:hanging="478"/>
        <w:spacing w:after="0"/>
        <w:tabs>
          <w:tab w:leader="none" w:pos="162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620"/>
        <w:spacing w:after="0" w:line="254" w:lineRule="auto"/>
        <w:rPr>
          <w:rFonts w:ascii="Arial" w:cs="Arial" w:eastAsia="Arial" w:hAnsi="Arial"/>
          <w:sz w:val="18"/>
          <w:szCs w:val="18"/>
          <w:color w:val="auto"/>
        </w:rPr>
      </w:pPr>
      <w:r>
        <w:rPr>
          <w:rFonts w:ascii="Arial" w:cs="Arial" w:eastAsia="Arial" w:hAnsi="Arial"/>
          <w:sz w:val="18"/>
          <w:szCs w:val="18"/>
          <w:color w:val="auto"/>
        </w:rPr>
        <w:t>Loans and receivables are non-derivative financial assets with fixed or determinable payments that are not quoted in an active market, other than: those that the entity intend to sell immediately or in the short term, those that the entity upon initial recognition designates as available for sale; or those for which the holder may not recover substantially all of its initial investment, other than because of credit deterioration.</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spacing w:after="0" w:line="257" w:lineRule="auto"/>
        <w:rPr>
          <w:sz w:val="20"/>
          <w:szCs w:val="20"/>
          <w:color w:val="auto"/>
        </w:rPr>
      </w:pPr>
      <w:r>
        <w:rPr>
          <w:rFonts w:ascii="Arial" w:cs="Arial" w:eastAsia="Arial" w:hAnsi="Arial"/>
          <w:sz w:val="18"/>
          <w:szCs w:val="18"/>
          <w:color w:val="auto"/>
        </w:rPr>
        <w:t>After initial measurement, loans and receivables are subsequently measured at amortized cost using the effective interest rate method, less any allowance for impairment. Amortized cost is calculated by taking into account any discount or premium on acquisition and fees and costs that are an integral part of the effective interest rate. The effective interest rate amortization is recognized in the consolidated income statement in the caption “Interest and dividend income”. Losses from impairment are recognized in the consolidated income statement in the caption “Provision for loan losses”.</w:t>
      </w:r>
    </w:p>
    <w:p>
      <w:pPr>
        <w:spacing w:after="0" w:line="215" w:lineRule="exact"/>
        <w:rPr>
          <w:sz w:val="20"/>
          <w:szCs w:val="20"/>
          <w:color w:val="auto"/>
        </w:rPr>
      </w:pPr>
    </w:p>
    <w:p>
      <w:pPr>
        <w:ind w:left="1620" w:right="80"/>
        <w:spacing w:after="0" w:line="264"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208" w:lineRule="exact"/>
        <w:rPr>
          <w:sz w:val="20"/>
          <w:szCs w:val="20"/>
          <w:color w:val="auto"/>
        </w:rPr>
      </w:pPr>
    </w:p>
    <w:p>
      <w:pPr>
        <w:ind w:left="1620" w:right="280"/>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the Group will not be able to collect all amounts due according to the original contractual terms of the loan. The allowance for loan losses is established based in the internal risk classification and considering any guarantees and collaterals received, note 3(i) and 29.1.</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510" w:right="39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620" w:right="100"/>
        <w:spacing w:after="0" w:line="254" w:lineRule="auto"/>
        <w:rPr>
          <w:rFonts w:ascii="Arial" w:cs="Arial" w:eastAsia="Arial" w:hAnsi="Arial"/>
          <w:sz w:val="18"/>
          <w:szCs w:val="18"/>
          <w:color w:val="auto"/>
        </w:rPr>
      </w:pPr>
      <w:r>
        <w:rPr>
          <w:rFonts w:ascii="Arial" w:cs="Arial" w:eastAsia="Arial" w:hAnsi="Arial"/>
          <w:sz w:val="18"/>
          <w:szCs w:val="18"/>
          <w:color w:val="auto"/>
        </w:rPr>
        <w:t>Available-for-sale financial investments are non derivative financial assets that are designated as available-for-sale (to be held for an indefinite period, which may be sold in response to liquidity needs or changes in the interest rates, exchange rates or equity price); or are not classified as (a) financial assets and financial liabilities at fair value through profit or loss, (b) held-to-maturity or (c) loans and receivables.</w:t>
      </w:r>
    </w:p>
    <w:p>
      <w:pPr>
        <w:spacing w:after="0" w:line="216" w:lineRule="exact"/>
        <w:rPr>
          <w:rFonts w:ascii="Arial" w:cs="Arial" w:eastAsia="Arial" w:hAnsi="Arial"/>
          <w:sz w:val="18"/>
          <w:szCs w:val="18"/>
          <w:color w:val="auto"/>
        </w:rPr>
      </w:pPr>
    </w:p>
    <w:p>
      <w:pPr>
        <w:ind w:left="1620" w:right="20"/>
        <w:spacing w:after="0" w:line="297" w:lineRule="auto"/>
        <w:rPr>
          <w:rFonts w:ascii="Arial" w:cs="Arial" w:eastAsia="Arial" w:hAnsi="Arial"/>
          <w:sz w:val="18"/>
          <w:szCs w:val="18"/>
          <w:color w:val="auto"/>
        </w:rPr>
      </w:pPr>
      <w:r>
        <w:rPr>
          <w:rFonts w:ascii="Arial" w:cs="Arial" w:eastAsia="Arial" w:hAnsi="Arial"/>
          <w:sz w:val="16"/>
          <w:szCs w:val="16"/>
          <w:color w:val="auto"/>
        </w:rPr>
        <w:t>After initial recognition, available-for-sale financial investments are measured at fair value with unrealized gains or losses recognized as other comprehensive income in the available-for-sale reserve, net of its corresponding deferred tax and minority interest, until the investment is derecognized, at which time the cumulative gain or loss is recognized in the consolidated income statement in the caption “Net gain on sale of securities”, or determined to be impaired, at which time the cumulative loss is recognized in the consolidated income statement in the caption “Impairment loss on available–for–sale investments” and removed from the available-for-sale reserve.</w:t>
      </w:r>
    </w:p>
    <w:p>
      <w:pPr>
        <w:spacing w:after="0" w:line="185" w:lineRule="exact"/>
        <w:rPr>
          <w:rFonts w:ascii="Arial" w:cs="Arial" w:eastAsia="Arial" w:hAnsi="Arial"/>
          <w:sz w:val="18"/>
          <w:szCs w:val="18"/>
          <w:color w:val="auto"/>
        </w:rPr>
      </w:pPr>
    </w:p>
    <w:p>
      <w:pPr>
        <w:ind w:left="1620" w:right="440"/>
        <w:spacing w:after="0" w:line="264" w:lineRule="auto"/>
        <w:rPr>
          <w:rFonts w:ascii="Arial" w:cs="Arial" w:eastAsia="Arial" w:hAnsi="Arial"/>
          <w:sz w:val="18"/>
          <w:szCs w:val="18"/>
          <w:color w:val="auto"/>
        </w:rPr>
      </w:pPr>
      <w:r>
        <w:rPr>
          <w:rFonts w:ascii="Arial" w:cs="Arial" w:eastAsia="Arial" w:hAnsi="Arial"/>
          <w:sz w:val="18"/>
          <w:szCs w:val="18"/>
          <w:color w:val="auto"/>
        </w:rPr>
        <w:t>Interest and dividends earned are recognized in the consolidated income statement in the caption “Interest and dividend income”. Interest earned is reported as interest income using the effective interest rate and dividends earned are recognized when collection rights are established.</w:t>
      </w:r>
    </w:p>
    <w:p>
      <w:pPr>
        <w:spacing w:after="0" w:line="208" w:lineRule="exact"/>
        <w:rPr>
          <w:rFonts w:ascii="Arial" w:cs="Arial" w:eastAsia="Arial" w:hAnsi="Arial"/>
          <w:sz w:val="18"/>
          <w:szCs w:val="18"/>
          <w:color w:val="auto"/>
        </w:rPr>
      </w:pPr>
    </w:p>
    <w:p>
      <w:pPr>
        <w:ind w:left="1620" w:right="40"/>
        <w:spacing w:after="0" w:line="277" w:lineRule="auto"/>
        <w:rPr>
          <w:rFonts w:ascii="Arial" w:cs="Arial" w:eastAsia="Arial" w:hAnsi="Arial"/>
          <w:sz w:val="18"/>
          <w:szCs w:val="18"/>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97" w:lineRule="exact"/>
        <w:rPr>
          <w:rFonts w:ascii="Arial" w:cs="Arial" w:eastAsia="Arial" w:hAnsi="Arial"/>
          <w:sz w:val="18"/>
          <w:szCs w:val="18"/>
          <w:color w:val="auto"/>
        </w:rPr>
      </w:pPr>
    </w:p>
    <w:p>
      <w:pPr>
        <w:ind w:left="1620"/>
        <w:spacing w:after="0" w:line="276" w:lineRule="auto"/>
        <w:rPr>
          <w:rFonts w:ascii="Arial" w:cs="Arial" w:eastAsia="Arial" w:hAnsi="Arial"/>
          <w:sz w:val="18"/>
          <w:szCs w:val="18"/>
          <w:color w:val="auto"/>
        </w:rPr>
      </w:pPr>
      <w:r>
        <w:rPr>
          <w:rFonts w:ascii="Arial" w:cs="Arial" w:eastAsia="Arial" w:hAnsi="Arial"/>
          <w:sz w:val="17"/>
          <w:szCs w:val="17"/>
          <w:color w:val="auto"/>
        </w:rPr>
        <w:t>When the Group is unable to sell these financial assets due to inactive markets and Management’s intent to sell them in the foreseeable future significantly changes, the Group may elect to reclassify these financial assets only in rare circumstances. Reclassification to loans and receivables is permitted when the financial asset meets the definition of loans and receivables and has the intent and ability to hold these assets for the foreseeable future or until maturity. The reclassification to held to maturity category is permitted only when the entity has the ability and intent to hold the financial asset until maturity.</w:t>
      </w:r>
    </w:p>
    <w:p>
      <w:pPr>
        <w:spacing w:after="0" w:line="199"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As of December, 31, 2009 and 2008, the Group did not reclassify any of its available-for- sale financial investments.</w:t>
      </w:r>
    </w:p>
    <w:p>
      <w:pPr>
        <w:spacing w:after="0" w:line="252" w:lineRule="exact"/>
        <w:rPr>
          <w:rFonts w:ascii="Arial" w:cs="Arial" w:eastAsia="Arial" w:hAnsi="Arial"/>
          <w:sz w:val="18"/>
          <w:szCs w:val="18"/>
          <w:color w:val="auto"/>
        </w:rPr>
      </w:pPr>
    </w:p>
    <w:p>
      <w:pPr>
        <w:ind w:left="1620" w:hanging="478"/>
        <w:spacing w:after="0"/>
        <w:tabs>
          <w:tab w:leader="none" w:pos="16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3" w:lineRule="exact"/>
        <w:rPr>
          <w:rFonts w:ascii="Arial" w:cs="Arial" w:eastAsia="Arial" w:hAnsi="Arial"/>
          <w:sz w:val="18"/>
          <w:szCs w:val="18"/>
          <w:color w:val="auto"/>
        </w:rPr>
      </w:pPr>
    </w:p>
    <w:p>
      <w:pPr>
        <w:ind w:left="1620" w:right="20"/>
        <w:spacing w:after="0" w:line="255" w:lineRule="auto"/>
        <w:rPr>
          <w:rFonts w:ascii="Arial" w:cs="Arial" w:eastAsia="Arial" w:hAnsi="Arial"/>
          <w:sz w:val="18"/>
          <w:szCs w:val="18"/>
          <w:color w:val="auto"/>
        </w:rPr>
      </w:pPr>
      <w:r>
        <w:rPr>
          <w:rFonts w:ascii="Arial" w:cs="Arial" w:eastAsia="Arial" w:hAnsi="Arial"/>
          <w:sz w:val="18"/>
          <w:szCs w:val="18"/>
          <w:color w:val="auto"/>
        </w:rPr>
        <w:t>After initial measurement, other financial liabilities are subsequently measured at amortized cost using the effective interest rate method. Amortized cost is calculated by taking into account any issuance discount or premium and costs that are an integral part of the effective interest rate.</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060" w:hanging="470"/>
        <w:spacing w:after="0" w:line="258" w:lineRule="auto"/>
        <w:tabs>
          <w:tab w:leader="none" w:pos="115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Derecognition of financial assets and financial liabilities - Financial assets:</w:t>
      </w:r>
    </w:p>
    <w:p>
      <w:pPr>
        <w:spacing w:after="0" w:line="1" w:lineRule="exact"/>
        <w:rPr>
          <w:rFonts w:ascii="Arial" w:cs="Arial" w:eastAsia="Arial" w:hAnsi="Arial"/>
          <w:sz w:val="18"/>
          <w:szCs w:val="18"/>
          <w:color w:val="auto"/>
        </w:rPr>
      </w:pPr>
    </w:p>
    <w:p>
      <w:pPr>
        <w:ind w:left="1140" w:right="100"/>
        <w:spacing w:after="0" w:line="271" w:lineRule="auto"/>
        <w:rPr>
          <w:rFonts w:ascii="Arial" w:cs="Arial" w:eastAsia="Arial" w:hAnsi="Arial"/>
          <w:sz w:val="18"/>
          <w:szCs w:val="18"/>
          <w:color w:val="auto"/>
        </w:rPr>
      </w:pPr>
      <w:r>
        <w:rPr>
          <w:rFonts w:ascii="Arial" w:cs="Arial" w:eastAsia="Arial" w:hAnsi="Arial"/>
          <w:sz w:val="17"/>
          <w:szCs w:val="17"/>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(iii) either the Group has transferred substantially all the risks and rewards of the asset, or the Group has neither transferred nor retained substantially all the risks and rewards of the asset, but has transferred control of the asset.</w:t>
      </w:r>
    </w:p>
    <w:p>
      <w:pPr>
        <w:spacing w:after="0" w:line="20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Financial liabilities:</w:t>
      </w:r>
    </w:p>
    <w:p>
      <w:pPr>
        <w:spacing w:after="0" w:line="23" w:lineRule="exact"/>
        <w:rPr>
          <w:sz w:val="20"/>
          <w:szCs w:val="20"/>
          <w:color w:val="auto"/>
        </w:rPr>
      </w:pPr>
    </w:p>
    <w:p>
      <w:pPr>
        <w:ind w:left="1140" w:right="280"/>
        <w:spacing w:after="0" w:line="273" w:lineRule="auto"/>
        <w:rPr>
          <w:sz w:val="20"/>
          <w:szCs w:val="20"/>
          <w:color w:val="auto"/>
        </w:rPr>
      </w:pPr>
      <w:r>
        <w:rPr>
          <w:rFonts w:ascii="Arial" w:cs="Arial" w:eastAsia="Arial" w:hAnsi="Arial"/>
          <w:sz w:val="17"/>
          <w:szCs w:val="17"/>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any resulting difference in the respective carrying amount is recognized as profit or loss.</w:t>
      </w:r>
    </w:p>
    <w:p>
      <w:pPr>
        <w:spacing w:after="0" w:line="204" w:lineRule="exact"/>
        <w:rPr>
          <w:sz w:val="20"/>
          <w:szCs w:val="20"/>
          <w:color w:val="auto"/>
        </w:rPr>
      </w:pPr>
    </w:p>
    <w:p>
      <w:pPr>
        <w:ind w:left="1160" w:hanging="490"/>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3" w:lineRule="exact"/>
        <w:rPr>
          <w:rFonts w:ascii="Arial" w:cs="Arial" w:eastAsia="Arial" w:hAnsi="Arial"/>
          <w:sz w:val="18"/>
          <w:szCs w:val="18"/>
          <w:color w:val="auto"/>
        </w:rPr>
      </w:pPr>
    </w:p>
    <w:p>
      <w:pPr>
        <w:ind w:left="1140" w:right="140"/>
        <w:spacing w:after="0" w:line="255" w:lineRule="auto"/>
        <w:rPr>
          <w:rFonts w:ascii="Arial" w:cs="Arial" w:eastAsia="Arial" w:hAnsi="Arial"/>
          <w:sz w:val="18"/>
          <w:szCs w:val="18"/>
          <w:color w:val="auto"/>
        </w:rPr>
      </w:pPr>
      <w:r>
        <w:rPr>
          <w:rFonts w:ascii="Arial" w:cs="Arial" w:eastAsia="Arial" w:hAnsi="Arial"/>
          <w:sz w:val="18"/>
          <w:szCs w:val="18"/>
          <w:color w:val="auto"/>
        </w:rPr>
        <w:t>Financial assets and liabilities are offset and the net amount is reported in the consolidated statements of financial position when there is a legally enforceable right to offset the recognized amounts and Management has the intention to settle on a net basis, or realize the assets and settle the liability simultaneously.</w:t>
      </w:r>
    </w:p>
    <w:p>
      <w:pPr>
        <w:spacing w:after="0" w:line="217" w:lineRule="exact"/>
        <w:rPr>
          <w:rFonts w:ascii="Arial" w:cs="Arial" w:eastAsia="Arial" w:hAnsi="Arial"/>
          <w:sz w:val="18"/>
          <w:szCs w:val="18"/>
          <w:color w:val="auto"/>
        </w:rPr>
      </w:pPr>
    </w:p>
    <w:p>
      <w:pPr>
        <w:ind w:left="1160" w:hanging="490"/>
        <w:spacing w:after="0"/>
        <w:tabs>
          <w:tab w:leader="none" w:pos="11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Impairment of financial assets -</w:t>
      </w:r>
    </w:p>
    <w:p>
      <w:pPr>
        <w:spacing w:after="0" w:line="23" w:lineRule="exact"/>
        <w:rPr>
          <w:rFonts w:ascii="Arial" w:cs="Arial" w:eastAsia="Arial" w:hAnsi="Arial"/>
          <w:sz w:val="18"/>
          <w:szCs w:val="18"/>
          <w:color w:val="auto"/>
        </w:rPr>
      </w:pPr>
    </w:p>
    <w:p>
      <w:pPr>
        <w:ind w:left="1140"/>
        <w:spacing w:after="0" w:line="268" w:lineRule="auto"/>
        <w:rPr>
          <w:rFonts w:ascii="Arial" w:cs="Arial" w:eastAsia="Arial" w:hAnsi="Arial"/>
          <w:sz w:val="18"/>
          <w:szCs w:val="18"/>
          <w:color w:val="auto"/>
        </w:rPr>
      </w:pPr>
      <w:r>
        <w:rPr>
          <w:rFonts w:ascii="Arial" w:cs="Arial" w:eastAsia="Arial" w:hAnsi="Arial"/>
          <w:sz w:val="17"/>
          <w:szCs w:val="17"/>
          <w:color w:val="auto"/>
        </w:rPr>
        <w:t>The Group assesses at each date of the consolidated statements of financial position date whether there is any objective evidence that a financial asset or a group of financial assets is impaired. A financial asset or a group of financial assets is deemed to be impaired if, and only if, there is objective evidence of impairment as a result of one or more events that has occurred after the initial recognition of the asset (an incurred loss event) and that loss event (or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Criteria used for each category of financial assets is as follows: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3" w:lineRule="exact"/>
        <w:rPr>
          <w:rFonts w:ascii="Arial" w:cs="Arial" w:eastAsia="Arial" w:hAnsi="Arial"/>
          <w:sz w:val="18"/>
          <w:szCs w:val="18"/>
          <w:color w:val="auto"/>
        </w:rPr>
      </w:pPr>
    </w:p>
    <w:p>
      <w:pPr>
        <w:ind w:left="1620" w:right="180"/>
        <w:spacing w:after="0" w:line="270" w:lineRule="auto"/>
        <w:rPr>
          <w:rFonts w:ascii="Arial" w:cs="Arial" w:eastAsia="Arial" w:hAnsi="Arial"/>
          <w:sz w:val="18"/>
          <w:szCs w:val="18"/>
          <w:color w:val="auto"/>
        </w:rPr>
      </w:pPr>
      <w:r>
        <w:rPr>
          <w:rFonts w:ascii="Arial" w:cs="Arial" w:eastAsia="Arial" w:hAnsi="Arial"/>
          <w:sz w:val="17"/>
          <w:szCs w:val="17"/>
          <w:color w:val="auto"/>
        </w:rPr>
        <w:t>For loans and receivables that are carried at amortized cost, the Group first assesses whether objective evidence of impairment exists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205" w:lineRule="exact"/>
        <w:rPr>
          <w:rFonts w:ascii="Arial" w:cs="Arial" w:eastAsia="Arial" w:hAnsi="Arial"/>
          <w:sz w:val="18"/>
          <w:szCs w:val="18"/>
          <w:color w:val="auto"/>
        </w:rPr>
      </w:pPr>
    </w:p>
    <w:p>
      <w:pPr>
        <w:ind w:left="1620"/>
        <w:spacing w:after="0" w:line="289" w:lineRule="auto"/>
        <w:rPr>
          <w:rFonts w:ascii="Arial" w:cs="Arial" w:eastAsia="Arial" w:hAnsi="Arial"/>
          <w:sz w:val="18"/>
          <w:szCs w:val="18"/>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(excluding future expected credit losses that have not yet been incurred). The carrying amount of the asset is reduced through the use of an allowance account and the amount of the loss is recognized in the consolidated income statement. Interest income, if applicable, is accrued on the reduced carrying amount based on the original effective interest rate of the asset. Loans, together with the associated allowance, are written off when there is no realistic prospect of future recovery and all collateral has been realized or has been transferred to the Group. If in a subsequent year, the amount of the estimated impairment loss increases or decreases because of an event occurring after the impairment was recognized, the previously recognized impairment loss is increased or reduced by adjusting the allowance account. If in the future a write-off is later recovered, the recovery is recognized in the consolidated income statements, as a credit to the caption “Provision for loan losses”.</w:t>
      </w:r>
    </w:p>
    <w:p>
      <w:pPr>
        <w:spacing w:after="0" w:line="193" w:lineRule="exact"/>
        <w:rPr>
          <w:rFonts w:ascii="Arial" w:cs="Arial" w:eastAsia="Arial" w:hAnsi="Arial"/>
          <w:sz w:val="18"/>
          <w:szCs w:val="18"/>
          <w:color w:val="auto"/>
        </w:rPr>
      </w:pPr>
    </w:p>
    <w:p>
      <w:pPr>
        <w:ind w:left="1620" w:right="80"/>
        <w:spacing w:after="0" w:line="279" w:lineRule="auto"/>
        <w:rPr>
          <w:rFonts w:ascii="Arial" w:cs="Arial" w:eastAsia="Arial" w:hAnsi="Arial"/>
          <w:sz w:val="18"/>
          <w:szCs w:val="18"/>
          <w:color w:val="auto"/>
        </w:rPr>
      </w:pPr>
      <w:r>
        <w:rPr>
          <w:rFonts w:ascii="Arial" w:cs="Arial" w:eastAsia="Arial" w:hAnsi="Arial"/>
          <w:sz w:val="17"/>
          <w:szCs w:val="17"/>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98" w:lineRule="exact"/>
        <w:rPr>
          <w:rFonts w:ascii="Arial" w:cs="Arial" w:eastAsia="Arial" w:hAnsi="Arial"/>
          <w:sz w:val="18"/>
          <w:szCs w:val="18"/>
          <w:color w:val="auto"/>
        </w:rPr>
      </w:pPr>
    </w:p>
    <w:p>
      <w:pPr>
        <w:ind w:left="1620" w:right="400"/>
        <w:spacing w:after="0" w:line="342" w:lineRule="auto"/>
        <w:rPr>
          <w:rFonts w:ascii="Arial" w:cs="Arial" w:eastAsia="Arial" w:hAnsi="Arial"/>
          <w:sz w:val="18"/>
          <w:szCs w:val="18"/>
          <w:color w:val="auto"/>
        </w:rPr>
      </w:pPr>
      <w:r>
        <w:rPr>
          <w:rFonts w:ascii="Arial" w:cs="Arial" w:eastAsia="Arial" w:hAnsi="Arial"/>
          <w:sz w:val="16"/>
          <w:szCs w:val="16"/>
          <w:color w:val="auto"/>
        </w:rPr>
        <w:t>For a collective evaluation impairment, financial assets are grouped considering the Group’s internal credit grading system, which considers credit risk characteristics; i.e. asset type, industry, geographical location, collateral type and past-due status.</w:t>
      </w:r>
    </w:p>
    <w:p>
      <w:pPr>
        <w:spacing w:after="0" w:line="150" w:lineRule="exact"/>
        <w:rPr>
          <w:rFonts w:ascii="Arial" w:cs="Arial" w:eastAsia="Arial" w:hAnsi="Arial"/>
          <w:sz w:val="18"/>
          <w:szCs w:val="18"/>
          <w:color w:val="auto"/>
        </w:rPr>
      </w:pPr>
    </w:p>
    <w:p>
      <w:pPr>
        <w:ind w:left="1620" w:right="40"/>
        <w:spacing w:after="0" w:line="297" w:lineRule="auto"/>
        <w:rPr>
          <w:rFonts w:ascii="Arial" w:cs="Arial" w:eastAsia="Arial" w:hAnsi="Arial"/>
          <w:sz w:val="18"/>
          <w:szCs w:val="18"/>
          <w:color w:val="auto"/>
        </w:rPr>
      </w:pPr>
      <w:r>
        <w:rPr>
          <w:rFonts w:ascii="Arial" w:cs="Arial" w:eastAsia="Arial" w:hAnsi="Arial"/>
          <w:sz w:val="16"/>
          <w:szCs w:val="16"/>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3" w:lineRule="exact"/>
        <w:rPr>
          <w:rFonts w:ascii="Arial" w:cs="Arial" w:eastAsia="Arial" w:hAnsi="Arial"/>
          <w:sz w:val="18"/>
          <w:szCs w:val="18"/>
          <w:color w:val="auto"/>
        </w:rPr>
      </w:pPr>
    </w:p>
    <w:p>
      <w:pPr>
        <w:ind w:left="1620" w:right="580"/>
        <w:spacing w:after="0" w:line="261" w:lineRule="auto"/>
        <w:rPr>
          <w:rFonts w:ascii="Arial" w:cs="Arial" w:eastAsia="Arial" w:hAnsi="Arial"/>
          <w:sz w:val="18"/>
          <w:szCs w:val="18"/>
          <w:color w:val="auto"/>
        </w:rPr>
      </w:pPr>
      <w:r>
        <w:rPr>
          <w:rFonts w:ascii="Arial" w:cs="Arial" w:eastAsia="Arial" w:hAnsi="Arial"/>
          <w:sz w:val="18"/>
          <w:szCs w:val="18"/>
          <w:color w:val="auto"/>
        </w:rPr>
        <w:t>For available-for-sale financial investments, the Group assesses at each date of the consolidated statements of financial position whether there is objective evidence that an investment or a group of investments is impaired.</w:t>
      </w:r>
    </w:p>
    <w:p>
      <w:pPr>
        <w:spacing w:after="0" w:line="210" w:lineRule="exact"/>
        <w:rPr>
          <w:rFonts w:ascii="Arial" w:cs="Arial" w:eastAsia="Arial" w:hAnsi="Arial"/>
          <w:sz w:val="18"/>
          <w:szCs w:val="18"/>
          <w:color w:val="auto"/>
        </w:rPr>
      </w:pPr>
    </w:p>
    <w:p>
      <w:pPr>
        <w:ind w:left="1620" w:right="80"/>
        <w:spacing w:after="0" w:line="272" w:lineRule="auto"/>
        <w:rPr>
          <w:rFonts w:ascii="Arial" w:cs="Arial" w:eastAsia="Arial" w:hAnsi="Arial"/>
          <w:sz w:val="18"/>
          <w:szCs w:val="18"/>
          <w:color w:val="auto"/>
        </w:rPr>
      </w:pPr>
      <w:r>
        <w:rPr>
          <w:rFonts w:ascii="Arial" w:cs="Arial" w:eastAsia="Arial" w:hAnsi="Arial"/>
          <w:sz w:val="17"/>
          <w:szCs w:val="17"/>
          <w:color w:val="auto"/>
        </w:rPr>
        <w:t>In the case of equity investments, objective evidence would include a significant or prolonged decline in the fair value of the investment below its cost. “Significant” is to be evaluated against the original cost of the investment and “prolonged” against the period in which the fair value has been below its original cost. Where there is evidence of impairment, the cumulative loss (measured as the difference between the acquisition cost and the current fair value, less any previously recognized impairment loss) is removed from available-for-sale reserve and recognized in the consolidated income statement. Impairment losses on equity investments are not reversed through the consolidated income statement; increases in their fair value after impairment are recognized directly in the consolidated statements of comprehensive income.</w:t>
      </w:r>
    </w:p>
    <w:p>
      <w:pPr>
        <w:spacing w:after="0" w:line="204" w:lineRule="exact"/>
        <w:rPr>
          <w:rFonts w:ascii="Arial" w:cs="Arial" w:eastAsia="Arial" w:hAnsi="Arial"/>
          <w:sz w:val="18"/>
          <w:szCs w:val="18"/>
          <w:color w:val="auto"/>
        </w:rPr>
      </w:pPr>
    </w:p>
    <w:p>
      <w:pPr>
        <w:ind w:left="1620"/>
        <w:spacing w:after="0" w:line="271" w:lineRule="auto"/>
        <w:rPr>
          <w:rFonts w:ascii="Arial" w:cs="Arial" w:eastAsia="Arial" w:hAnsi="Arial"/>
          <w:sz w:val="18"/>
          <w:szCs w:val="18"/>
          <w:color w:val="auto"/>
        </w:rPr>
      </w:pPr>
      <w:r>
        <w:rPr>
          <w:rFonts w:ascii="Arial" w:cs="Arial" w:eastAsia="Arial" w:hAnsi="Arial"/>
          <w:sz w:val="17"/>
          <w:szCs w:val="17"/>
          <w:color w:val="auto"/>
        </w:rPr>
        <w:t>In the case of debt instruments, impairment is assessed based on the same criteria as financial assets carried at amortized cost (loans and receivables). However, the amount recorded for impairment is the cumulative loss measured as the difference between the amortized cost and the current fair value, less any impairment loss on that investment previously recognized in the consolidated income statement. Future interest income is based on the reduced carrying amount and is accrued using the interest rate used to discount the future cash flows for the purpose of measuring the impairment loss. Interest income is recorded as part of “Interest and dividend income”. If in a subsequent year, the fair value of a debt instrument increases and the increase can be objectively related to an event occurring after the impairment loss was recognized in the consolidated income statement, the impairment loss is reversed through the consolidated income statement.</w:t>
      </w:r>
    </w:p>
    <w:p>
      <w:pPr>
        <w:spacing w:after="0" w:line="205" w:lineRule="exact"/>
        <w:rPr>
          <w:rFonts w:ascii="Arial" w:cs="Arial" w:eastAsia="Arial" w:hAnsi="Arial"/>
          <w:sz w:val="18"/>
          <w:szCs w:val="18"/>
          <w:color w:val="auto"/>
        </w:rPr>
      </w:pPr>
    </w:p>
    <w:p>
      <w:pPr>
        <w:ind w:left="1620" w:hanging="478"/>
        <w:spacing w:after="0"/>
        <w:tabs>
          <w:tab w:leader="none" w:pos="1620" w:val="left"/>
        </w:tabs>
        <w:numPr>
          <w:ilvl w:val="1"/>
          <w:numId w:val="174"/>
        </w:numPr>
        <w:rPr>
          <w:rFonts w:ascii="Arial" w:cs="Arial" w:eastAsia="Arial" w:hAnsi="Arial"/>
          <w:sz w:val="18"/>
          <w:szCs w:val="18"/>
          <w:color w:val="auto"/>
        </w:rPr>
      </w:pPr>
      <w:r>
        <w:rPr>
          <w:rFonts w:ascii="Arial" w:cs="Arial" w:eastAsia="Arial" w:hAnsi="Arial"/>
          <w:sz w:val="18"/>
          <w:szCs w:val="18"/>
          <w:color w:val="auto"/>
        </w:rPr>
        <w:t>Renegotiated loans:</w:t>
      </w:r>
    </w:p>
    <w:p>
      <w:pPr>
        <w:spacing w:after="0" w:line="23" w:lineRule="exact"/>
        <w:rPr>
          <w:rFonts w:ascii="Arial" w:cs="Arial" w:eastAsia="Arial" w:hAnsi="Arial"/>
          <w:sz w:val="18"/>
          <w:szCs w:val="18"/>
          <w:color w:val="auto"/>
        </w:rPr>
      </w:pPr>
    </w:p>
    <w:p>
      <w:pPr>
        <w:ind w:left="1620" w:right="80"/>
        <w:spacing w:after="0" w:line="250" w:lineRule="auto"/>
        <w:rPr>
          <w:rFonts w:ascii="Arial" w:cs="Arial" w:eastAsia="Arial" w:hAnsi="Arial"/>
          <w:sz w:val="18"/>
          <w:szCs w:val="18"/>
          <w:color w:val="auto"/>
        </w:rPr>
      </w:pPr>
      <w:r>
        <w:rPr>
          <w:rFonts w:ascii="Arial" w:cs="Arial" w:eastAsia="Arial" w:hAnsi="Arial"/>
          <w:sz w:val="18"/>
          <w:szCs w:val="18"/>
          <w:color w:val="auto"/>
        </w:rPr>
        <w:t>Where possible, the Group seeks to refinance or restructure loans rather than to take possession of collateral. This may involve extending the payment arrangements and the agreement of new loan conditions. Once the terms have been renegotiated, the loan is no longer considered past due. Management continuously reviews refinanced and restructured loans to ensure that all criteria are met and that future payments are likely to occur. Renegotiated loans continue to be subject to an individual or collective impairment assessment, calculated using the loan’s original effective interest rate.</w:t>
      </w:r>
    </w:p>
    <w:p>
      <w:pPr>
        <w:spacing w:after="0" w:line="2" w:lineRule="exact"/>
        <w:rPr>
          <w:rFonts w:ascii="Arial" w:cs="Arial" w:eastAsia="Arial" w:hAnsi="Arial"/>
          <w:sz w:val="18"/>
          <w:szCs w:val="18"/>
          <w:color w:val="auto"/>
        </w:rPr>
      </w:pPr>
    </w:p>
    <w:p>
      <w:pPr>
        <w:ind w:left="1160" w:hanging="490"/>
        <w:spacing w:after="0"/>
        <w:tabs>
          <w:tab w:leader="none" w:pos="11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Leases -</w:t>
      </w:r>
    </w:p>
    <w:p>
      <w:pPr>
        <w:spacing w:after="0" w:line="9" w:lineRule="exact"/>
        <w:rPr>
          <w:rFonts w:ascii="Arial" w:cs="Arial" w:eastAsia="Arial" w:hAnsi="Arial"/>
          <w:sz w:val="18"/>
          <w:szCs w:val="18"/>
          <w:color w:val="auto"/>
        </w:rPr>
      </w:pPr>
    </w:p>
    <w:p>
      <w:pPr>
        <w:ind w:left="1140" w:right="200"/>
        <w:spacing w:after="0" w:line="323" w:lineRule="auto"/>
        <w:rPr>
          <w:rFonts w:ascii="Arial" w:cs="Arial" w:eastAsia="Arial" w:hAnsi="Arial"/>
          <w:sz w:val="18"/>
          <w:szCs w:val="18"/>
          <w:color w:val="auto"/>
        </w:rPr>
      </w:pPr>
      <w:r>
        <w:rPr>
          <w:rFonts w:ascii="Arial" w:cs="Arial" w:eastAsia="Arial" w:hAnsi="Arial"/>
          <w:sz w:val="16"/>
          <w:szCs w:val="16"/>
          <w:color w:val="auto"/>
        </w:rPr>
        <w:t>The determination of whether an arrangement is, or contains, a lease is based in the substance of the arrangement at inception date: whether fulfillment of the arrangement is dependent on the use of a specific asset or assets on the arrangement conveys a right to use the asset.</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Operating leases:</w:t>
      </w:r>
    </w:p>
    <w:p>
      <w:pPr>
        <w:spacing w:after="0" w:line="23" w:lineRule="exact"/>
        <w:rPr>
          <w:sz w:val="20"/>
          <w:szCs w:val="20"/>
          <w:color w:val="auto"/>
        </w:rPr>
      </w:pPr>
    </w:p>
    <w:p>
      <w:pPr>
        <w:ind w:left="1140" w:right="140"/>
        <w:spacing w:after="0" w:line="261" w:lineRule="auto"/>
        <w:rPr>
          <w:sz w:val="20"/>
          <w:szCs w:val="20"/>
          <w:color w:val="auto"/>
        </w:rPr>
      </w:pPr>
      <w:r>
        <w:rPr>
          <w:rFonts w:ascii="Arial" w:cs="Arial" w:eastAsia="Arial" w:hAnsi="Arial"/>
          <w:sz w:val="18"/>
          <w:szCs w:val="18"/>
          <w:color w:val="auto"/>
        </w:rPr>
        <w:t>Leases in which a significant portion of the risks and benefits of the asset are hold by the lessor are classified as operating leases. Under this concept the Group has mainly leases used as BCP’s branches.</w:t>
      </w:r>
    </w:p>
    <w:p>
      <w:pPr>
        <w:spacing w:after="0" w:line="211" w:lineRule="exact"/>
        <w:rPr>
          <w:sz w:val="20"/>
          <w:szCs w:val="20"/>
          <w:color w:val="auto"/>
        </w:rPr>
      </w:pPr>
    </w:p>
    <w:p>
      <w:pPr>
        <w:ind w:left="1140" w:right="260"/>
        <w:spacing w:after="0" w:line="277" w:lineRule="auto"/>
        <w:rPr>
          <w:sz w:val="20"/>
          <w:szCs w:val="20"/>
          <w:color w:val="auto"/>
        </w:rPr>
      </w:pPr>
      <w:r>
        <w:rPr>
          <w:rFonts w:ascii="Arial" w:cs="Arial" w:eastAsia="Arial" w:hAnsi="Arial"/>
          <w:sz w:val="18"/>
          <w:szCs w:val="18"/>
          <w:color w:val="auto"/>
        </w:rPr>
        <w:t>When an operating lease is terminated before the lease period has expired, any penalty payment to the lessor is recognized as an expense in the period in which termination takes place.</w:t>
      </w:r>
    </w:p>
    <w:p>
      <w:pPr>
        <w:spacing w:after="0" w:line="19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Finance leases:</w:t>
      </w:r>
    </w:p>
    <w:p>
      <w:pPr>
        <w:spacing w:after="0" w:line="23" w:lineRule="exact"/>
        <w:rPr>
          <w:sz w:val="20"/>
          <w:szCs w:val="20"/>
          <w:color w:val="auto"/>
        </w:rPr>
      </w:pPr>
    </w:p>
    <w:p>
      <w:pPr>
        <w:ind w:left="1140" w:right="80"/>
        <w:spacing w:after="0" w:line="255" w:lineRule="auto"/>
        <w:rPr>
          <w:sz w:val="20"/>
          <w:szCs w:val="20"/>
          <w:color w:val="auto"/>
        </w:rPr>
      </w:pPr>
      <w:r>
        <w:rPr>
          <w:rFonts w:ascii="Arial" w:cs="Arial" w:eastAsia="Arial" w:hAnsi="Arial"/>
          <w:sz w:val="18"/>
          <w:szCs w:val="18"/>
          <w:color w:val="auto"/>
        </w:rPr>
        <w:t>Finance leases are recognized as granted loans at the present value of the lease collections. The difference between the gross receivable amount and the present value of the loan is recognized as unearned interest. Lease income is recognized over the term of the lease agreement using the effective interest method, which reflects a constant periodic rate of return.</w:t>
      </w:r>
    </w:p>
    <w:p>
      <w:pPr>
        <w:spacing w:after="0" w:line="217" w:lineRule="exact"/>
        <w:rPr>
          <w:sz w:val="20"/>
          <w:szCs w:val="20"/>
          <w:color w:val="auto"/>
        </w:rPr>
      </w:pPr>
    </w:p>
    <w:p>
      <w:pPr>
        <w:ind w:left="1160" w:hanging="490"/>
        <w:spacing w:after="0"/>
        <w:tabs>
          <w:tab w:leader="none" w:pos="11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3" w:lineRule="exact"/>
        <w:rPr>
          <w:rFonts w:ascii="Arial" w:cs="Arial" w:eastAsia="Arial" w:hAnsi="Arial"/>
          <w:sz w:val="18"/>
          <w:szCs w:val="18"/>
          <w:color w:val="auto"/>
        </w:rPr>
      </w:pPr>
    </w:p>
    <w:p>
      <w:pPr>
        <w:ind w:left="1140" w:right="180"/>
        <w:spacing w:after="0" w:line="271" w:lineRule="auto"/>
        <w:rPr>
          <w:rFonts w:ascii="Arial" w:cs="Arial" w:eastAsia="Arial" w:hAnsi="Arial"/>
          <w:sz w:val="18"/>
          <w:szCs w:val="18"/>
          <w:color w:val="auto"/>
        </w:rPr>
      </w:pPr>
      <w:r>
        <w:rPr>
          <w:rFonts w:ascii="Arial" w:cs="Arial" w:eastAsia="Arial" w:hAnsi="Arial"/>
          <w:sz w:val="17"/>
          <w:szCs w:val="17"/>
          <w:color w:val="auto"/>
        </w:rPr>
        <w:t>Land and buildings comprise mainly branches and offices. All property, furniture and equipment are stated at historical acquisition cost less depreciation and impairment, if applicable. Historical acquisition costs include expenditures that are directly attributable to the acquired property, furniture or equipment. Maintenance and repair costs are charged to the consolidated income statement, and significant renewals and improvements are capitalized when it is probable that future economic benefits, in excess of the originally assessed standard of performance, will flow from the use of the acquired property, furniture or equipment.</w:t>
      </w:r>
    </w:p>
    <w:p>
      <w:pPr>
        <w:spacing w:after="0" w:line="205" w:lineRule="exact"/>
        <w:rPr>
          <w:rFonts w:ascii="Arial" w:cs="Arial" w:eastAsia="Arial" w:hAnsi="Arial"/>
          <w:sz w:val="18"/>
          <w:szCs w:val="18"/>
          <w:color w:val="auto"/>
        </w:rPr>
      </w:pPr>
    </w:p>
    <w:p>
      <w:pPr>
        <w:ind w:left="1140"/>
        <w:spacing w:after="0" w:line="277" w:lineRule="auto"/>
        <w:rPr>
          <w:rFonts w:ascii="Arial" w:cs="Arial" w:eastAsia="Arial" w:hAnsi="Arial"/>
          <w:sz w:val="18"/>
          <w:szCs w:val="18"/>
          <w:color w:val="auto"/>
        </w:rPr>
      </w:pPr>
      <w:r>
        <w:rPr>
          <w:rFonts w:ascii="Arial" w:cs="Arial" w:eastAsia="Arial" w:hAnsi="Arial"/>
          <w:sz w:val="18"/>
          <w:szCs w:val="18"/>
          <w:color w:val="auto"/>
        </w:rPr>
        <w:t>Land is not depreciated. Depreciation of other assets in this caption is calculated using the straight-line method over their estimated useful life,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40" w:type="dxa"/>
            <w:vAlign w:val="bottom"/>
          </w:tcPr>
          <w:p>
            <w:pPr>
              <w:spacing w:after="0"/>
              <w:rPr>
                <w:sz w:val="20"/>
                <w:szCs w:val="20"/>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Years</w:t>
            </w: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Buildings and other construction</w:t>
            </w:r>
          </w:p>
        </w:tc>
        <w:tc>
          <w:tcPr>
            <w:tcW w:w="92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9"/>
              </w:rPr>
              <w:t>33</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Installations</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Computer hardware</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30"/>
        </w:trPr>
        <w:tc>
          <w:tcPr>
            <w:tcW w:w="8140" w:type="dxa"/>
            <w:vAlign w:val="bottom"/>
          </w:tcPr>
          <w:p>
            <w:pPr>
              <w:spacing w:after="0"/>
              <w:rPr>
                <w:sz w:val="20"/>
                <w:szCs w:val="20"/>
                <w:color w:val="auto"/>
              </w:rPr>
            </w:pPr>
            <w:r>
              <w:rPr>
                <w:rFonts w:ascii="Arial" w:cs="Arial" w:eastAsia="Arial" w:hAnsi="Arial"/>
                <w:sz w:val="18"/>
                <w:szCs w:val="18"/>
                <w:color w:val="auto"/>
              </w:rPr>
              <w:t>Vehicles and equipment</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5</w:t>
            </w:r>
          </w:p>
        </w:tc>
      </w:tr>
    </w:tbl>
    <w:p>
      <w:pPr>
        <w:spacing w:after="0" w:line="229" w:lineRule="exact"/>
        <w:rPr>
          <w:sz w:val="20"/>
          <w:szCs w:val="20"/>
          <w:color w:val="auto"/>
        </w:rPr>
      </w:pPr>
    </w:p>
    <w:p>
      <w:pPr>
        <w:ind w:left="1140" w:right="220"/>
        <w:spacing w:after="0" w:line="312" w:lineRule="auto"/>
        <w:rPr>
          <w:sz w:val="20"/>
          <w:szCs w:val="20"/>
          <w:color w:val="auto"/>
        </w:rPr>
      </w:pPr>
      <w:r>
        <w:rPr>
          <w:rFonts w:ascii="Arial" w:cs="Arial" w:eastAsia="Arial" w:hAnsi="Arial"/>
          <w:sz w:val="16"/>
          <w:szCs w:val="16"/>
          <w:color w:val="auto"/>
        </w:rPr>
        <w:t>An item of property, furniture and equipment and any significant part initially recognized is derecognized upon disposal or when no future economic benefits are expected from its use or disposal. Any gain or loss arising on derecognizing of the asset (calculated as the difference between the net disposal proceeds and the carrying amount of the asset) is included in the income statement when the asset is derecognized.</w:t>
      </w:r>
    </w:p>
    <w:p>
      <w:pPr>
        <w:spacing w:after="0" w:line="174" w:lineRule="exact"/>
        <w:rPr>
          <w:sz w:val="20"/>
          <w:szCs w:val="20"/>
          <w:color w:val="auto"/>
        </w:rPr>
      </w:pPr>
    </w:p>
    <w:p>
      <w:pPr>
        <w:ind w:left="1140" w:right="60"/>
        <w:spacing w:after="0" w:line="277" w:lineRule="auto"/>
        <w:rPr>
          <w:sz w:val="20"/>
          <w:szCs w:val="20"/>
          <w:color w:val="auto"/>
        </w:rPr>
      </w:pPr>
      <w:r>
        <w:rPr>
          <w:rFonts w:ascii="Arial" w:cs="Arial" w:eastAsia="Arial" w:hAnsi="Arial"/>
          <w:sz w:val="18"/>
          <w:szCs w:val="18"/>
          <w:color w:val="auto"/>
        </w:rPr>
        <w:t>Asset’s residual value, useful life and the selected depreciation method are periodically reviewed to ensure that they are consistent with actual economic benefits and life expectations.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Seized assets -</w:t>
      </w:r>
    </w:p>
    <w:p>
      <w:pPr>
        <w:spacing w:after="0" w:line="23" w:lineRule="exact"/>
        <w:rPr>
          <w:rFonts w:ascii="Arial" w:cs="Arial" w:eastAsia="Arial" w:hAnsi="Arial"/>
          <w:sz w:val="18"/>
          <w:szCs w:val="18"/>
          <w:color w:val="auto"/>
        </w:rPr>
      </w:pPr>
    </w:p>
    <w:p>
      <w:pPr>
        <w:ind w:left="1140" w:right="760"/>
        <w:spacing w:after="0" w:line="261" w:lineRule="auto"/>
        <w:rPr>
          <w:rFonts w:ascii="Arial" w:cs="Arial" w:eastAsia="Arial" w:hAnsi="Arial"/>
          <w:sz w:val="18"/>
          <w:szCs w:val="18"/>
          <w:color w:val="auto"/>
        </w:rPr>
      </w:pPr>
      <w:r>
        <w:rPr>
          <w:rFonts w:ascii="Arial" w:cs="Arial" w:eastAsia="Arial" w:hAnsi="Arial"/>
          <w:sz w:val="18"/>
          <w:szCs w:val="18"/>
          <w:color w:val="auto"/>
        </w:rPr>
        <w:t>Seized assets are recorded at the lower of cost or estimated market value, which is obtained from valuations made by independent appraisals. Reductions in book values are recorded in the consolidated income statements.</w:t>
      </w:r>
    </w:p>
    <w:p>
      <w:pPr>
        <w:spacing w:after="0" w:line="210" w:lineRule="exact"/>
        <w:rPr>
          <w:rFonts w:ascii="Arial" w:cs="Arial" w:eastAsia="Arial" w:hAnsi="Arial"/>
          <w:sz w:val="18"/>
          <w:szCs w:val="18"/>
          <w:color w:val="auto"/>
        </w:rPr>
      </w:pPr>
    </w:p>
    <w:p>
      <w:pPr>
        <w:ind w:left="1160" w:hanging="490"/>
        <w:spacing w:after="0"/>
        <w:tabs>
          <w:tab w:leader="none" w:pos="116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3" w:lineRule="exact"/>
        <w:rPr>
          <w:rFonts w:ascii="Arial" w:cs="Arial" w:eastAsia="Arial" w:hAnsi="Arial"/>
          <w:sz w:val="18"/>
          <w:szCs w:val="18"/>
          <w:color w:val="auto"/>
        </w:rPr>
      </w:pPr>
    </w:p>
    <w:p>
      <w:pPr>
        <w:ind w:left="1140" w:right="220"/>
        <w:spacing w:after="0" w:line="255" w:lineRule="auto"/>
        <w:rPr>
          <w:rFonts w:ascii="Arial" w:cs="Arial" w:eastAsia="Arial" w:hAnsi="Arial"/>
          <w:sz w:val="18"/>
          <w:szCs w:val="18"/>
          <w:color w:val="auto"/>
        </w:rPr>
      </w:pPr>
      <w:r>
        <w:rPr>
          <w:rFonts w:ascii="Arial" w:cs="Arial" w:eastAsia="Arial" w:hAnsi="Arial"/>
          <w:sz w:val="18"/>
          <w:szCs w:val="18"/>
          <w:color w:val="auto"/>
        </w:rPr>
        <w:t>Comprise internal developed and acquired software licenses used by the Group. Acquired software licenses are measured on initial recognition at cost. These intangible assets are amortized using the straight-line method over their estimated useful life (between 3 and 5 years).</w:t>
      </w:r>
    </w:p>
    <w:p>
      <w:pPr>
        <w:spacing w:after="0" w:line="217" w:lineRule="exact"/>
        <w:rPr>
          <w:rFonts w:ascii="Arial" w:cs="Arial" w:eastAsia="Arial" w:hAnsi="Arial"/>
          <w:sz w:val="18"/>
          <w:szCs w:val="18"/>
          <w:color w:val="auto"/>
        </w:rPr>
      </w:pPr>
    </w:p>
    <w:p>
      <w:pPr>
        <w:jc w:val="both"/>
        <w:ind w:left="1140"/>
        <w:spacing w:after="0" w:line="286" w:lineRule="auto"/>
        <w:rPr>
          <w:rFonts w:ascii="Arial" w:cs="Arial" w:eastAsia="Arial" w:hAnsi="Arial"/>
          <w:sz w:val="18"/>
          <w:szCs w:val="18"/>
          <w:color w:val="auto"/>
        </w:rPr>
      </w:pPr>
      <w:r>
        <w:rPr>
          <w:rFonts w:ascii="Arial" w:cs="Arial" w:eastAsia="Arial" w:hAnsi="Arial"/>
          <w:sz w:val="17"/>
          <w:szCs w:val="17"/>
          <w:color w:val="auto"/>
        </w:rPr>
        <w:t>Intangible assets identified as a consequence of the acquisition of Edyficar and AFP Unión Vida, note 10 (“Client relationships” and “Brand name”) and other intangible assets, are recognized on the consolidated statements of financial position at their fair values determined on the acquisition date and are amortized using the straight line method over their estimated useful life;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140" w:type="dxa"/>
            <w:vAlign w:val="bottom"/>
          </w:tcPr>
          <w:p>
            <w:pPr>
              <w:spacing w:after="0"/>
              <w:rPr>
                <w:sz w:val="20"/>
                <w:szCs w:val="20"/>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Years</w:t>
            </w:r>
          </w:p>
        </w:tc>
      </w:tr>
      <w:tr>
        <w:trPr>
          <w:trHeight w:val="202"/>
        </w:trPr>
        <w:tc>
          <w:tcPr>
            <w:tcW w:w="8140" w:type="dxa"/>
            <w:vAlign w:val="bottom"/>
          </w:tcPr>
          <w:p>
            <w:pPr>
              <w:spacing w:after="0" w:line="201" w:lineRule="exact"/>
              <w:rPr>
                <w:sz w:val="20"/>
                <w:szCs w:val="20"/>
                <w:color w:val="auto"/>
              </w:rPr>
            </w:pPr>
            <w:r>
              <w:rPr>
                <w:rFonts w:ascii="Arial" w:cs="Arial" w:eastAsia="Arial" w:hAnsi="Arial"/>
                <w:sz w:val="18"/>
                <w:szCs w:val="18"/>
                <w:color w:val="auto"/>
              </w:rPr>
              <w:t>Client relationships – AFP Unión Vida</w:t>
            </w:r>
          </w:p>
        </w:tc>
        <w:tc>
          <w:tcPr>
            <w:tcW w:w="920" w:type="dxa"/>
            <w:vAlign w:val="bottom"/>
          </w:tcPr>
          <w:p>
            <w:pPr>
              <w:jc w:val="center"/>
              <w:ind w:left="10"/>
              <w:spacing w:after="0" w:line="201" w:lineRule="exact"/>
              <w:rPr>
                <w:sz w:val="20"/>
                <w:szCs w:val="20"/>
                <w:color w:val="auto"/>
              </w:rPr>
            </w:pPr>
            <w:r>
              <w:rPr>
                <w:rFonts w:ascii="Arial" w:cs="Arial" w:eastAsia="Arial" w:hAnsi="Arial"/>
                <w:sz w:val="18"/>
                <w:szCs w:val="18"/>
                <w:color w:val="auto"/>
                <w:w w:val="89"/>
              </w:rPr>
              <w:t>20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Client relationships – Edyficar</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89"/>
              </w:rPr>
              <w:t>10</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Brand name – Edyficar</w:t>
            </w:r>
          </w:p>
        </w:tc>
        <w:tc>
          <w:tcPr>
            <w:tcW w:w="920" w:type="dxa"/>
            <w:vAlign w:val="bottom"/>
          </w:tcPr>
          <w:p>
            <w:pPr>
              <w:jc w:val="center"/>
              <w:ind w:left="10"/>
              <w:spacing w:after="0"/>
              <w:rPr>
                <w:sz w:val="20"/>
                <w:szCs w:val="20"/>
                <w:color w:val="auto"/>
              </w:rPr>
            </w:pPr>
            <w:r>
              <w:rPr>
                <w:rFonts w:ascii="Arial" w:cs="Arial" w:eastAsia="Arial" w:hAnsi="Arial"/>
                <w:sz w:val="18"/>
                <w:szCs w:val="18"/>
                <w:color w:val="auto"/>
                <w:w w:val="89"/>
              </w:rPr>
              <w:t>20</w:t>
            </w:r>
          </w:p>
        </w:tc>
      </w:tr>
      <w:tr>
        <w:trPr>
          <w:trHeight w:val="230"/>
        </w:trPr>
        <w:tc>
          <w:tcPr>
            <w:tcW w:w="8140" w:type="dxa"/>
            <w:vAlign w:val="bottom"/>
          </w:tcPr>
          <w:p>
            <w:pPr>
              <w:ind w:left="60"/>
              <w:spacing w:after="0"/>
              <w:rPr>
                <w:sz w:val="20"/>
                <w:szCs w:val="20"/>
                <w:color w:val="auto"/>
              </w:rPr>
            </w:pPr>
            <w:r>
              <w:rPr>
                <w:rFonts w:ascii="Arial" w:cs="Arial" w:eastAsia="Arial" w:hAnsi="Arial"/>
                <w:sz w:val="18"/>
                <w:szCs w:val="18"/>
                <w:color w:val="auto"/>
              </w:rPr>
              <w:t>Other</w:t>
            </w:r>
          </w:p>
        </w:tc>
        <w:tc>
          <w:tcPr>
            <w:tcW w:w="920" w:type="dxa"/>
            <w:vAlign w:val="bottom"/>
          </w:tcPr>
          <w:p>
            <w:pPr>
              <w:jc w:val="center"/>
              <w:spacing w:after="0"/>
              <w:rPr>
                <w:sz w:val="20"/>
                <w:szCs w:val="20"/>
                <w:color w:val="auto"/>
              </w:rPr>
            </w:pPr>
            <w:r>
              <w:rPr>
                <w:rFonts w:ascii="Arial" w:cs="Arial" w:eastAsia="Arial" w:hAnsi="Arial"/>
                <w:sz w:val="18"/>
                <w:szCs w:val="18"/>
                <w:color w:val="auto"/>
                <w:w w:val="79"/>
              </w:rPr>
              <w:t>5</w:t>
            </w:r>
          </w:p>
        </w:tc>
      </w:tr>
    </w:tbl>
    <w:p>
      <w:pPr>
        <w:spacing w:after="0" w:line="229" w:lineRule="exact"/>
        <w:rPr>
          <w:sz w:val="20"/>
          <w:szCs w:val="20"/>
          <w:color w:val="auto"/>
        </w:rPr>
      </w:pPr>
    </w:p>
    <w:p>
      <w:pPr>
        <w:ind w:left="1140" w:right="180"/>
        <w:spacing w:after="0" w:line="308" w:lineRule="auto"/>
        <w:rPr>
          <w:sz w:val="20"/>
          <w:szCs w:val="20"/>
          <w:color w:val="auto"/>
        </w:rPr>
      </w:pPr>
      <w:r>
        <w:rPr>
          <w:rFonts w:ascii="Arial" w:cs="Arial" w:eastAsia="Arial" w:hAnsi="Arial"/>
          <w:sz w:val="17"/>
          <w:szCs w:val="17"/>
          <w:color w:val="auto"/>
        </w:rPr>
        <w:t>Gains or losses arising from derecognition of an intangible asset are measured as the difference between the net disposal proceeds and the carrying amount of the asset and are recognized in the consolidated income statement when the asset is derecognized.</w:t>
      </w:r>
    </w:p>
    <w:p>
      <w:pPr>
        <w:spacing w:after="0" w:line="174" w:lineRule="exact"/>
        <w:rPr>
          <w:sz w:val="20"/>
          <w:szCs w:val="20"/>
          <w:color w:val="auto"/>
        </w:rPr>
      </w:pPr>
    </w:p>
    <w:p>
      <w:pPr>
        <w:ind w:left="1160" w:hanging="490"/>
        <w:spacing w:after="0"/>
        <w:tabs>
          <w:tab w:leader="none" w:pos="11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Goodwill -</w:t>
      </w:r>
    </w:p>
    <w:p>
      <w:pPr>
        <w:spacing w:after="0" w:line="23" w:lineRule="exact"/>
        <w:rPr>
          <w:rFonts w:ascii="Arial" w:cs="Arial" w:eastAsia="Arial" w:hAnsi="Arial"/>
          <w:sz w:val="18"/>
          <w:szCs w:val="18"/>
          <w:color w:val="auto"/>
        </w:rPr>
      </w:pPr>
    </w:p>
    <w:p>
      <w:pPr>
        <w:ind w:left="1140" w:right="440"/>
        <w:spacing w:after="0" w:line="254" w:lineRule="auto"/>
        <w:rPr>
          <w:rFonts w:ascii="Arial" w:cs="Arial" w:eastAsia="Arial" w:hAnsi="Arial"/>
          <w:sz w:val="18"/>
          <w:szCs w:val="18"/>
          <w:color w:val="auto"/>
        </w:rPr>
      </w:pPr>
      <w:r>
        <w:rPr>
          <w:rFonts w:ascii="Arial" w:cs="Arial" w:eastAsia="Arial" w:hAnsi="Arial"/>
          <w:sz w:val="18"/>
          <w:szCs w:val="18"/>
          <w:color w:val="auto"/>
        </w:rPr>
        <w:t>Goodwill represents the excess of the acquisition cost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 See also paragraph (o) below.</w:t>
      </w:r>
    </w:p>
    <w:p>
      <w:pPr>
        <w:spacing w:after="0" w:line="3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510" w:right="41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Impairment of non-financial assets -</w:t>
      </w:r>
    </w:p>
    <w:p>
      <w:pPr>
        <w:spacing w:after="0" w:line="23" w:lineRule="exact"/>
        <w:rPr>
          <w:rFonts w:ascii="Arial" w:cs="Arial" w:eastAsia="Arial" w:hAnsi="Arial"/>
          <w:sz w:val="18"/>
          <w:szCs w:val="18"/>
          <w:color w:val="auto"/>
        </w:rPr>
      </w:pPr>
    </w:p>
    <w:p>
      <w:pPr>
        <w:ind w:left="1140" w:right="300"/>
        <w:spacing w:after="0" w:line="273" w:lineRule="auto"/>
        <w:rPr>
          <w:rFonts w:ascii="Arial" w:cs="Arial" w:eastAsia="Arial" w:hAnsi="Arial"/>
          <w:sz w:val="18"/>
          <w:szCs w:val="18"/>
          <w:color w:val="auto"/>
        </w:rPr>
      </w:pPr>
      <w:r>
        <w:rPr>
          <w:rFonts w:ascii="Arial" w:cs="Arial" w:eastAsia="Arial" w:hAnsi="Arial"/>
          <w:sz w:val="17"/>
          <w:szCs w:val="17"/>
          <w:color w:val="auto"/>
        </w:rPr>
        <w:t>The Group assesses at each reporting date or more frequently if events or changes in circumstances indicate that the carrying value may be impaired, whether there is an indication that a non-financial asset may be impaired. If any such indication exists, the Group estimates the asset’s recoverable amount. Where the carrying amount of an asset (or cash-generating unit) exceeds its recoverable amount, the asset (or cash-generating unit) is considered impaired and is written down to its recoverable amount.</w:t>
      </w:r>
    </w:p>
    <w:p>
      <w:pPr>
        <w:spacing w:after="0" w:line="203" w:lineRule="exact"/>
        <w:rPr>
          <w:rFonts w:ascii="Arial" w:cs="Arial" w:eastAsia="Arial" w:hAnsi="Arial"/>
          <w:sz w:val="18"/>
          <w:szCs w:val="18"/>
          <w:color w:val="auto"/>
        </w:rPr>
      </w:pPr>
    </w:p>
    <w:p>
      <w:pPr>
        <w:ind w:left="1140"/>
        <w:spacing w:after="0" w:line="297" w:lineRule="auto"/>
        <w:rPr>
          <w:rFonts w:ascii="Arial" w:cs="Arial" w:eastAsia="Arial" w:hAnsi="Arial"/>
          <w:sz w:val="18"/>
          <w:szCs w:val="18"/>
          <w:color w:val="auto"/>
        </w:rPr>
      </w:pPr>
      <w:r>
        <w:rPr>
          <w:rFonts w:ascii="Arial" w:cs="Arial" w:eastAsia="Arial" w:hAnsi="Arial"/>
          <w:sz w:val="16"/>
          <w:szCs w:val="16"/>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Impairment losses relating to goodwill cannot be reversed for subsequent increases in its recoverable amount in future periods.</w:t>
      </w:r>
    </w:p>
    <w:p>
      <w:pPr>
        <w:spacing w:after="0" w:line="185" w:lineRule="exact"/>
        <w:rPr>
          <w:rFonts w:ascii="Arial" w:cs="Arial" w:eastAsia="Arial" w:hAnsi="Arial"/>
          <w:sz w:val="18"/>
          <w:szCs w:val="18"/>
          <w:color w:val="auto"/>
        </w:rPr>
      </w:pPr>
    </w:p>
    <w:p>
      <w:pPr>
        <w:ind w:left="1140" w:hanging="484"/>
        <w:spacing w:after="0"/>
        <w:tabs>
          <w:tab w:leader="none" w:pos="11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23" w:lineRule="exact"/>
        <w:rPr>
          <w:rFonts w:ascii="Arial" w:cs="Arial" w:eastAsia="Arial" w:hAnsi="Arial"/>
          <w:sz w:val="18"/>
          <w:szCs w:val="18"/>
          <w:color w:val="auto"/>
        </w:rPr>
      </w:pPr>
    </w:p>
    <w:p>
      <w:pPr>
        <w:ind w:left="1140" w:right="60"/>
        <w:spacing w:after="0" w:line="323" w:lineRule="auto"/>
        <w:rPr>
          <w:rFonts w:ascii="Arial" w:cs="Arial" w:eastAsia="Arial" w:hAnsi="Arial"/>
          <w:sz w:val="18"/>
          <w:szCs w:val="18"/>
          <w:color w:val="auto"/>
        </w:rPr>
      </w:pPr>
      <w:r>
        <w:rPr>
          <w:rFonts w:ascii="Arial" w:cs="Arial" w:eastAsia="Arial" w:hAnsi="Arial"/>
          <w:sz w:val="16"/>
          <w:szCs w:val="16"/>
          <w:color w:val="auto"/>
        </w:rPr>
        <w:t>Due from customers on acceptances corresponds to accounts receivable from customers for import and export transactions, whose obligations have been accepted by the Group. The obligations that must be assumed by the Group for such transactions are recorded as liabilities.</w:t>
      </w:r>
    </w:p>
    <w:p>
      <w:pPr>
        <w:spacing w:after="0" w:line="165" w:lineRule="exact"/>
        <w:rPr>
          <w:rFonts w:ascii="Arial" w:cs="Arial" w:eastAsia="Arial" w:hAnsi="Arial"/>
          <w:sz w:val="18"/>
          <w:szCs w:val="18"/>
          <w:color w:val="auto"/>
        </w:rPr>
      </w:pPr>
    </w:p>
    <w:p>
      <w:pPr>
        <w:ind w:left="1140" w:hanging="484"/>
        <w:spacing w:after="0"/>
        <w:tabs>
          <w:tab w:leader="none" w:pos="11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Financial guarantees -</w:t>
      </w:r>
    </w:p>
    <w:p>
      <w:pPr>
        <w:spacing w:after="0" w:line="23" w:lineRule="exact"/>
        <w:rPr>
          <w:rFonts w:ascii="Arial" w:cs="Arial" w:eastAsia="Arial" w:hAnsi="Arial"/>
          <w:sz w:val="18"/>
          <w:szCs w:val="18"/>
          <w:color w:val="auto"/>
        </w:rPr>
      </w:pPr>
    </w:p>
    <w:p>
      <w:pPr>
        <w:ind w:left="1140" w:right="120"/>
        <w:spacing w:after="0" w:line="253" w:lineRule="auto"/>
        <w:rPr>
          <w:rFonts w:ascii="Arial" w:cs="Arial" w:eastAsia="Arial" w:hAnsi="Arial"/>
          <w:sz w:val="18"/>
          <w:szCs w:val="18"/>
          <w:color w:val="auto"/>
        </w:rPr>
      </w:pPr>
      <w:r>
        <w:rPr>
          <w:rFonts w:ascii="Arial" w:cs="Arial" w:eastAsia="Arial" w:hAnsi="Arial"/>
          <w:sz w:val="18"/>
          <w:szCs w:val="18"/>
          <w:color w:val="auto"/>
        </w:rPr>
        <w:t>In the ordinary course of business, the Group grants financial guarantees, such as letters of credit, guarantees and acceptances. Financial guarantees are initially recognized at fair value (which is equivalent in that moment to the fee received), as “Other liabilities” in the consolidated statements of financial position. Subsequent to initial recognition, the Group’s liability under each guarantee is measured as the higher of the amortized fee and the best estimate of expenditure required to settle any financial obligation arising as a result of the financial guarantee.</w:t>
      </w:r>
    </w:p>
    <w:p>
      <w:pPr>
        <w:spacing w:after="0" w:line="218" w:lineRule="exact"/>
        <w:rPr>
          <w:rFonts w:ascii="Arial" w:cs="Arial" w:eastAsia="Arial" w:hAnsi="Arial"/>
          <w:sz w:val="18"/>
          <w:szCs w:val="18"/>
          <w:color w:val="auto"/>
        </w:rPr>
      </w:pPr>
    </w:p>
    <w:p>
      <w:pPr>
        <w:ind w:left="1140" w:right="100"/>
        <w:spacing w:after="0" w:line="264" w:lineRule="auto"/>
        <w:rPr>
          <w:rFonts w:ascii="Arial" w:cs="Arial" w:eastAsia="Arial" w:hAnsi="Arial"/>
          <w:sz w:val="18"/>
          <w:szCs w:val="18"/>
          <w:color w:val="auto"/>
        </w:rPr>
      </w:pPr>
      <w:r>
        <w:rPr>
          <w:rFonts w:ascii="Arial" w:cs="Arial" w:eastAsia="Arial" w:hAnsi="Arial"/>
          <w:sz w:val="18"/>
          <w:szCs w:val="18"/>
          <w:color w:val="auto"/>
        </w:rPr>
        <w:t>Any increase in the liability relating to a financial guarantee is included in the consolidated statement of income. The fee received is recognized in the consolidated statement of income in the caption “Banking services commissions” on a straight line basis over the life of the granted financial guarantee.</w:t>
      </w:r>
    </w:p>
    <w:p>
      <w:pPr>
        <w:spacing w:after="0" w:line="208" w:lineRule="exact"/>
        <w:rPr>
          <w:rFonts w:ascii="Arial" w:cs="Arial" w:eastAsia="Arial" w:hAnsi="Arial"/>
          <w:sz w:val="18"/>
          <w:szCs w:val="18"/>
          <w:color w:val="auto"/>
        </w:rPr>
      </w:pPr>
    </w:p>
    <w:p>
      <w:pPr>
        <w:ind w:left="1140" w:hanging="484"/>
        <w:spacing w:after="0"/>
        <w:tabs>
          <w:tab w:leader="none" w:pos="11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Defined contribution pension plan -</w:t>
      </w:r>
    </w:p>
    <w:p>
      <w:pPr>
        <w:spacing w:after="0" w:line="23" w:lineRule="exact"/>
        <w:rPr>
          <w:rFonts w:ascii="Arial" w:cs="Arial" w:eastAsia="Arial" w:hAnsi="Arial"/>
          <w:sz w:val="18"/>
          <w:szCs w:val="18"/>
          <w:color w:val="auto"/>
        </w:rPr>
      </w:pPr>
    </w:p>
    <w:p>
      <w:pPr>
        <w:ind w:left="1140" w:right="20"/>
        <w:spacing w:after="0" w:line="255" w:lineRule="auto"/>
        <w:rPr>
          <w:rFonts w:ascii="Arial" w:cs="Arial" w:eastAsia="Arial" w:hAnsi="Arial"/>
          <w:sz w:val="18"/>
          <w:szCs w:val="18"/>
          <w:color w:val="auto"/>
        </w:rPr>
      </w:pPr>
      <w:r>
        <w:rPr>
          <w:rFonts w:ascii="Arial" w:cs="Arial" w:eastAsia="Arial" w:hAnsi="Arial"/>
          <w:sz w:val="18"/>
          <w:szCs w:val="18"/>
          <w:color w:val="auto"/>
        </w:rPr>
        <w:t>The Group only operates a defined contribution pension plan. The contribution payable to a defined contribution pension plan is in proportion to the services rendered to the Group by the employees and; it is recorded as an expense in the caption “Salaries and employees benefits” of the consolidated income statement. Unpaid contributions are recorded as a liability.</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23" w:lineRule="exact"/>
        <w:rPr>
          <w:rFonts w:ascii="Arial" w:cs="Arial" w:eastAsia="Arial" w:hAnsi="Arial"/>
          <w:sz w:val="18"/>
          <w:szCs w:val="18"/>
          <w:color w:val="auto"/>
        </w:rPr>
      </w:pPr>
    </w:p>
    <w:p>
      <w:pPr>
        <w:ind w:left="1140" w:right="20"/>
        <w:spacing w:after="0" w:line="292" w:lineRule="auto"/>
        <w:rPr>
          <w:rFonts w:ascii="Arial" w:cs="Arial" w:eastAsia="Arial" w:hAnsi="Arial"/>
          <w:sz w:val="18"/>
          <w:szCs w:val="18"/>
          <w:color w:val="auto"/>
        </w:rPr>
      </w:pPr>
      <w:r>
        <w:rPr>
          <w:rFonts w:ascii="Arial" w:cs="Arial" w:eastAsia="Arial" w:hAnsi="Arial"/>
          <w:sz w:val="16"/>
          <w:szCs w:val="16"/>
          <w:color w:val="auto"/>
        </w:rPr>
        <w:t>Provisions are recognized when the Group has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income statement net of any reimbursement. If the effect of the time value of money is material, provisions are discounted using a current pre-tax rate that reflects, where appropriate, the risks specific to the liability. Where discounting is used, the increase in the provision due to the passage of time is recognized as a finance cost.</w:t>
      </w:r>
    </w:p>
    <w:p>
      <w:pPr>
        <w:spacing w:after="0" w:line="189" w:lineRule="exact"/>
        <w:rPr>
          <w:rFonts w:ascii="Arial" w:cs="Arial" w:eastAsia="Arial" w:hAnsi="Arial"/>
          <w:sz w:val="18"/>
          <w:szCs w:val="18"/>
          <w:color w:val="auto"/>
        </w:rPr>
      </w:pPr>
    </w:p>
    <w:p>
      <w:pPr>
        <w:ind w:left="1140" w:hanging="484"/>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3" w:lineRule="exact"/>
        <w:rPr>
          <w:rFonts w:ascii="Arial" w:cs="Arial" w:eastAsia="Arial" w:hAnsi="Arial"/>
          <w:sz w:val="18"/>
          <w:szCs w:val="18"/>
          <w:color w:val="auto"/>
        </w:rPr>
      </w:pPr>
    </w:p>
    <w:p>
      <w:pPr>
        <w:ind w:left="1140" w:right="420"/>
        <w:spacing w:after="0" w:line="261" w:lineRule="auto"/>
        <w:rPr>
          <w:rFonts w:ascii="Arial" w:cs="Arial" w:eastAsia="Arial" w:hAnsi="Arial"/>
          <w:sz w:val="18"/>
          <w:szCs w:val="18"/>
          <w:color w:val="auto"/>
        </w:rPr>
      </w:pPr>
      <w:r>
        <w:rPr>
          <w:rFonts w:ascii="Arial" w:cs="Arial" w:eastAsia="Arial" w:hAnsi="Arial"/>
          <w:sz w:val="18"/>
          <w:szCs w:val="18"/>
          <w:color w:val="auto"/>
        </w:rPr>
        <w:t>Contingent liabilities are not recognized in the consolidated financial statements. They are disclosed in notes unless the possibility of an outflow of resources is remote.</w:t>
      </w:r>
    </w:p>
    <w:p>
      <w:pPr>
        <w:spacing w:after="0" w:line="210" w:lineRule="exact"/>
        <w:rPr>
          <w:rFonts w:ascii="Arial" w:cs="Arial" w:eastAsia="Arial" w:hAnsi="Arial"/>
          <w:sz w:val="18"/>
          <w:szCs w:val="18"/>
          <w:color w:val="auto"/>
        </w:rPr>
      </w:pPr>
    </w:p>
    <w:p>
      <w:pPr>
        <w:ind w:left="1140" w:hanging="484"/>
        <w:spacing w:after="0"/>
        <w:tabs>
          <w:tab w:leader="none" w:pos="11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Income tax and workers’ profit sharing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6"/>
          <w:szCs w:val="16"/>
          <w:color w:val="auto"/>
        </w:rPr>
        <w:t>Income tax and workers’ profit sharing are computed based on individual financial statements of Credicorp and each one of its Subsidiaries.</w:t>
      </w:r>
    </w:p>
    <w:p>
      <w:pPr>
        <w:spacing w:after="0" w:line="260"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Deferred income tax and deferred workers’ profit sharing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statements of financial position, to recover or settle the carrying amount of its assets and liabilities.</w:t>
      </w:r>
    </w:p>
    <w:p>
      <w:pPr>
        <w:spacing w:after="0" w:line="220" w:lineRule="exact"/>
        <w:rPr>
          <w:rFonts w:ascii="Arial" w:cs="Arial" w:eastAsia="Arial" w:hAnsi="Arial"/>
          <w:sz w:val="18"/>
          <w:szCs w:val="18"/>
          <w:color w:val="auto"/>
        </w:rPr>
      </w:pPr>
    </w:p>
    <w:p>
      <w:pPr>
        <w:ind w:left="1140" w:right="220"/>
        <w:spacing w:after="0" w:line="259" w:lineRule="auto"/>
        <w:rPr>
          <w:rFonts w:ascii="Arial" w:cs="Arial" w:eastAsia="Arial" w:hAnsi="Arial"/>
          <w:sz w:val="18"/>
          <w:szCs w:val="18"/>
          <w:color w:val="auto"/>
        </w:rPr>
      </w:pPr>
      <w:r>
        <w:rPr>
          <w:rFonts w:ascii="Arial" w:cs="Arial" w:eastAsia="Arial" w:hAnsi="Arial"/>
          <w:sz w:val="18"/>
          <w:szCs w:val="18"/>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date of the consolidated statements of financial position, Credicorp and its Subsidiaries assess unrecognized deferred assets and the carrying amount of recognized deferred assets.</w:t>
      </w:r>
    </w:p>
    <w:p>
      <w:pPr>
        <w:spacing w:after="0" w:line="213" w:lineRule="exact"/>
        <w:rPr>
          <w:rFonts w:ascii="Arial" w:cs="Arial" w:eastAsia="Arial" w:hAnsi="Arial"/>
          <w:sz w:val="18"/>
          <w:szCs w:val="18"/>
          <w:color w:val="auto"/>
        </w:rPr>
      </w:pPr>
    </w:p>
    <w:p>
      <w:pPr>
        <w:ind w:left="1140" w:right="660"/>
        <w:spacing w:after="0" w:line="277" w:lineRule="auto"/>
        <w:rPr>
          <w:rFonts w:ascii="Arial" w:cs="Arial" w:eastAsia="Arial" w:hAnsi="Arial"/>
          <w:sz w:val="18"/>
          <w:szCs w:val="18"/>
          <w:color w:val="auto"/>
        </w:rPr>
      </w:pPr>
      <w:r>
        <w:rPr>
          <w:rFonts w:ascii="Arial" w:cs="Arial" w:eastAsia="Arial" w:hAnsi="Arial"/>
          <w:sz w:val="18"/>
          <w:szCs w:val="18"/>
          <w:color w:val="auto"/>
        </w:rPr>
        <w:t>Credicorp and its Subsidiaries determine the deferred income tax considering the tax rate applicable to its undistributed earnings; any additional tax on dividends distribution is recorded on the date a liability is recognized.</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3" w:lineRule="exact"/>
        <w:rPr>
          <w:rFonts w:ascii="Arial" w:cs="Arial" w:eastAsia="Arial" w:hAnsi="Arial"/>
          <w:sz w:val="18"/>
          <w:szCs w:val="18"/>
          <w:color w:val="auto"/>
        </w:rPr>
      </w:pPr>
    </w:p>
    <w:p>
      <w:pPr>
        <w:jc w:val="both"/>
        <w:ind w:left="1140" w:right="40"/>
        <w:spacing w:after="0" w:line="323" w:lineRule="auto"/>
        <w:rPr>
          <w:rFonts w:ascii="Arial" w:cs="Arial" w:eastAsia="Arial" w:hAnsi="Arial"/>
          <w:sz w:val="18"/>
          <w:szCs w:val="18"/>
          <w:color w:val="auto"/>
        </w:rPr>
      </w:pPr>
      <w:r>
        <w:rPr>
          <w:rFonts w:ascii="Arial" w:cs="Arial" w:eastAsia="Arial" w:hAnsi="Arial"/>
          <w:sz w:val="16"/>
          <w:szCs w:val="16"/>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65"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be issued on the conversion of all the dilutive potential ordinary shares into ordinary shares.</w:t>
      </w:r>
    </w:p>
    <w:p>
      <w:pPr>
        <w:spacing w:after="0" w:line="213" w:lineRule="exact"/>
        <w:rPr>
          <w:rFonts w:ascii="Arial" w:cs="Arial" w:eastAsia="Arial" w:hAnsi="Arial"/>
          <w:sz w:val="18"/>
          <w:szCs w:val="18"/>
          <w:color w:val="auto"/>
        </w:rPr>
      </w:pPr>
    </w:p>
    <w:p>
      <w:pPr>
        <w:ind w:left="1140" w:hanging="484"/>
        <w:spacing w:after="0"/>
        <w:tabs>
          <w:tab w:leader="none" w:pos="11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Share-based payment transactions -</w:t>
      </w:r>
    </w:p>
    <w:p>
      <w:pPr>
        <w:spacing w:after="0" w:line="23" w:lineRule="exact"/>
        <w:rPr>
          <w:rFonts w:ascii="Arial" w:cs="Arial" w:eastAsia="Arial" w:hAnsi="Arial"/>
          <w:sz w:val="18"/>
          <w:szCs w:val="18"/>
          <w:color w:val="auto"/>
        </w:rPr>
      </w:pPr>
    </w:p>
    <w:p>
      <w:pPr>
        <w:ind w:left="1620" w:hanging="478"/>
        <w:spacing w:after="0"/>
        <w:tabs>
          <w:tab w:leader="none" w:pos="16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Cash-settled transactions</w:t>
      </w:r>
    </w:p>
    <w:p>
      <w:pPr>
        <w:spacing w:after="0" w:line="9" w:lineRule="exact"/>
        <w:rPr>
          <w:rFonts w:ascii="Arial" w:cs="Arial" w:eastAsia="Arial" w:hAnsi="Arial"/>
          <w:sz w:val="18"/>
          <w:szCs w:val="18"/>
          <w:color w:val="auto"/>
        </w:rPr>
      </w:pPr>
    </w:p>
    <w:p>
      <w:pPr>
        <w:ind w:left="1620" w:right="160"/>
        <w:spacing w:after="0" w:line="253" w:lineRule="auto"/>
        <w:rPr>
          <w:rFonts w:ascii="Arial" w:cs="Arial" w:eastAsia="Arial" w:hAnsi="Arial"/>
          <w:sz w:val="18"/>
          <w:szCs w:val="18"/>
          <w:color w:val="auto"/>
        </w:rPr>
      </w:pPr>
      <w:r>
        <w:rPr>
          <w:rFonts w:ascii="Arial" w:cs="Arial" w:eastAsia="Arial" w:hAnsi="Arial"/>
          <w:sz w:val="18"/>
          <w:szCs w:val="18"/>
          <w:color w:val="auto"/>
        </w:rPr>
        <w:t>As explained in note 18(a), until April 2008 the Group granted a supplementary remuneration plan to certain employees who had at least one year serving Credicorp or any of its Subsidiaries, in the form of stock appreciation rights (SARs) over a certain number of Credicorp shares. SARs were granted at a fixed price and are exercisable at that price, allowing the employee to obtain a gain in cash (“cash-settled transaction”) arising from the difference between the fixed exercise price and the market price at the date the SARs are executed.</w:t>
      </w:r>
    </w:p>
    <w:p>
      <w:pPr>
        <w:spacing w:after="0" w:line="218" w:lineRule="exact"/>
        <w:rPr>
          <w:rFonts w:ascii="Arial" w:cs="Arial" w:eastAsia="Arial" w:hAnsi="Arial"/>
          <w:sz w:val="18"/>
          <w:szCs w:val="18"/>
          <w:color w:val="auto"/>
        </w:rPr>
      </w:pPr>
    </w:p>
    <w:p>
      <w:pPr>
        <w:ind w:left="1620" w:right="320"/>
        <w:spacing w:after="0" w:line="312" w:lineRule="auto"/>
        <w:rPr>
          <w:rFonts w:ascii="Arial" w:cs="Arial" w:eastAsia="Arial" w:hAnsi="Arial"/>
          <w:sz w:val="18"/>
          <w:szCs w:val="18"/>
          <w:color w:val="auto"/>
        </w:rPr>
      </w:pPr>
      <w:r>
        <w:rPr>
          <w:rFonts w:ascii="Arial" w:cs="Arial" w:eastAsia="Arial" w:hAnsi="Arial"/>
          <w:sz w:val="16"/>
          <w:szCs w:val="16"/>
          <w:color w:val="auto"/>
        </w:rPr>
        <w:t>The SARs fair value is expensed over the period up to the vesting date, with recognition of a corresponding liability. The liability is remeasured to fair value at each reporting date up to and including the settlement date, with changes in fair value recognized in the caption “Salaries and employee benefits”. When the price or term of the SARs are modified, any additional expense is recorded.</w:t>
      </w:r>
    </w:p>
    <w:p>
      <w:pPr>
        <w:spacing w:after="0" w:line="173" w:lineRule="exact"/>
        <w:rPr>
          <w:rFonts w:ascii="Arial" w:cs="Arial" w:eastAsia="Arial" w:hAnsi="Arial"/>
          <w:sz w:val="18"/>
          <w:szCs w:val="18"/>
          <w:color w:val="auto"/>
        </w:rPr>
      </w:pPr>
    </w:p>
    <w:p>
      <w:pPr>
        <w:ind w:left="1640" w:hanging="498"/>
        <w:spacing w:after="0"/>
        <w:tabs>
          <w:tab w:leader="none" w:pos="16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Equity-settled transactions</w:t>
      </w:r>
    </w:p>
    <w:p>
      <w:pPr>
        <w:spacing w:after="0" w:line="23" w:lineRule="exact"/>
        <w:rPr>
          <w:rFonts w:ascii="Arial" w:cs="Arial" w:eastAsia="Arial" w:hAnsi="Arial"/>
          <w:sz w:val="18"/>
          <w:szCs w:val="18"/>
          <w:color w:val="auto"/>
        </w:rPr>
      </w:pPr>
    </w:p>
    <w:p>
      <w:pPr>
        <w:ind w:left="1620" w:right="80"/>
        <w:spacing w:after="0" w:line="261" w:lineRule="auto"/>
        <w:rPr>
          <w:rFonts w:ascii="Arial" w:cs="Arial" w:eastAsia="Arial" w:hAnsi="Arial"/>
          <w:sz w:val="18"/>
          <w:szCs w:val="18"/>
          <w:color w:val="auto"/>
        </w:rPr>
      </w:pPr>
      <w:r>
        <w:rPr>
          <w:rFonts w:ascii="Arial" w:cs="Arial" w:eastAsia="Arial" w:hAnsi="Arial"/>
          <w:sz w:val="18"/>
          <w:szCs w:val="18"/>
          <w:color w:val="auto"/>
        </w:rPr>
        <w:t>As explain in note 18(b), since April 2009, a new supplementary remuneration plan was implemented to replace the SARs plan (see (i) above). The grant date was April 28, 2009, and the granted awards vest 33.3 percent every 12 months.</w:t>
      </w:r>
    </w:p>
    <w:p>
      <w:pPr>
        <w:spacing w:after="0" w:line="210" w:lineRule="exact"/>
        <w:rPr>
          <w:rFonts w:ascii="Arial" w:cs="Arial" w:eastAsia="Arial" w:hAnsi="Arial"/>
          <w:sz w:val="18"/>
          <w:szCs w:val="18"/>
          <w:color w:val="auto"/>
        </w:rPr>
      </w:pPr>
    </w:p>
    <w:p>
      <w:pPr>
        <w:ind w:left="1620"/>
        <w:spacing w:after="0" w:line="302" w:lineRule="auto"/>
        <w:rPr>
          <w:rFonts w:ascii="Arial" w:cs="Arial" w:eastAsia="Arial" w:hAnsi="Arial"/>
          <w:sz w:val="18"/>
          <w:szCs w:val="18"/>
          <w:color w:val="auto"/>
        </w:rPr>
      </w:pPr>
      <w:r>
        <w:rPr>
          <w:rFonts w:ascii="Arial" w:cs="Arial" w:eastAsia="Arial" w:hAnsi="Arial"/>
          <w:sz w:val="16"/>
          <w:szCs w:val="16"/>
          <w:color w:val="auto"/>
        </w:rPr>
        <w:t>The cost of this equity-settled plan is recognized, together with a corresponding increase in equity, over the period in which the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20"/>
        <w:spacing w:after="0" w:line="279" w:lineRule="auto"/>
        <w:rPr>
          <w:sz w:val="20"/>
          <w:szCs w:val="20"/>
          <w:color w:val="auto"/>
        </w:rPr>
      </w:pPr>
      <w:r>
        <w:rPr>
          <w:rFonts w:ascii="Arial" w:cs="Arial" w:eastAsia="Arial" w:hAnsi="Arial"/>
          <w:sz w:val="17"/>
          <w:szCs w:val="17"/>
          <w:color w:val="auto"/>
        </w:rPr>
        <w:t>The expense is recorded in the caption “Salaries and employees benefits” of the consolidated income statement. When the terms of an equity-settled award are modified, the minimum expense recognized in “Salaries and employees benefits”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198" w:lineRule="exact"/>
        <w:rPr>
          <w:sz w:val="20"/>
          <w:szCs w:val="20"/>
          <w:color w:val="auto"/>
        </w:rPr>
      </w:pPr>
    </w:p>
    <w:p>
      <w:pPr>
        <w:ind w:left="1620"/>
        <w:spacing w:after="0" w:line="277" w:lineRule="auto"/>
        <w:rPr>
          <w:sz w:val="20"/>
          <w:szCs w:val="20"/>
          <w:color w:val="auto"/>
        </w:rPr>
      </w:pPr>
      <w:r>
        <w:rPr>
          <w:rFonts w:ascii="Arial" w:cs="Arial" w:eastAsia="Arial" w:hAnsi="Arial"/>
          <w:sz w:val="18"/>
          <w:szCs w:val="18"/>
          <w:color w:val="auto"/>
        </w:rPr>
        <w:t>The dilutive effect of outstanding stock awards is reflected as a share dilution in the computation of diluted earnings per share, see Note 3(v).</w:t>
      </w:r>
    </w:p>
    <w:p>
      <w:pPr>
        <w:spacing w:after="0" w:line="197" w:lineRule="exact"/>
        <w:rPr>
          <w:sz w:val="20"/>
          <w:szCs w:val="20"/>
          <w:color w:val="auto"/>
        </w:rPr>
      </w:pPr>
    </w:p>
    <w:p>
      <w:pPr>
        <w:ind w:left="1140" w:right="7840" w:hanging="484"/>
        <w:spacing w:after="0" w:line="258" w:lineRule="auto"/>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Derivative financial instruments - Trading:</w:t>
      </w:r>
    </w:p>
    <w:p>
      <w:pPr>
        <w:spacing w:after="0" w:line="1" w:lineRule="exact"/>
        <w:rPr>
          <w:rFonts w:ascii="Arial" w:cs="Arial" w:eastAsia="Arial" w:hAnsi="Arial"/>
          <w:sz w:val="18"/>
          <w:szCs w:val="18"/>
          <w:color w:val="auto"/>
        </w:rPr>
      </w:pPr>
    </w:p>
    <w:p>
      <w:pPr>
        <w:ind w:left="1140" w:right="60"/>
        <w:spacing w:after="0" w:line="261" w:lineRule="auto"/>
        <w:rPr>
          <w:rFonts w:ascii="Arial" w:cs="Arial" w:eastAsia="Arial" w:hAnsi="Arial"/>
          <w:sz w:val="18"/>
          <w:szCs w:val="18"/>
          <w:color w:val="auto"/>
        </w:rPr>
      </w:pPr>
      <w:r>
        <w:rPr>
          <w:rFonts w:ascii="Arial" w:cs="Arial" w:eastAsia="Arial" w:hAnsi="Arial"/>
          <w:sz w:val="18"/>
          <w:szCs w:val="18"/>
          <w:color w:val="auto"/>
        </w:rPr>
        <w:t>Part of transactions with derivatives, while providing effective economic hedges under Group’s risk management positions, do not qualify for hedge accounting under the specific rules of IAS 39 and are, therefore, treated as trading derivatives.</w:t>
      </w:r>
    </w:p>
    <w:p>
      <w:pPr>
        <w:spacing w:after="0" w:line="210" w:lineRule="exact"/>
        <w:rPr>
          <w:rFonts w:ascii="Arial" w:cs="Arial" w:eastAsia="Arial" w:hAnsi="Arial"/>
          <w:sz w:val="18"/>
          <w:szCs w:val="18"/>
          <w:color w:val="auto"/>
        </w:rPr>
      </w:pPr>
    </w:p>
    <w:p>
      <w:pPr>
        <w:ind w:left="1140" w:right="220"/>
        <w:spacing w:after="0" w:line="259" w:lineRule="auto"/>
        <w:rPr>
          <w:rFonts w:ascii="Arial" w:cs="Arial" w:eastAsia="Arial" w:hAnsi="Arial"/>
          <w:sz w:val="18"/>
          <w:szCs w:val="18"/>
          <w:color w:val="auto"/>
        </w:rPr>
      </w:pPr>
      <w:r>
        <w:rPr>
          <w:rFonts w:ascii="Arial" w:cs="Arial" w:eastAsia="Arial" w:hAnsi="Arial"/>
          <w:sz w:val="18"/>
          <w:szCs w:val="18"/>
          <w:color w:val="auto"/>
        </w:rPr>
        <w:t>Derivative financial instruments are initially recognized in the consolidated statements of financial position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income statement.</w:t>
      </w:r>
    </w:p>
    <w:p>
      <w:pPr>
        <w:spacing w:after="0" w:line="21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Hedge:</w:t>
      </w:r>
    </w:p>
    <w:p>
      <w:pPr>
        <w:spacing w:after="0" w:line="23" w:lineRule="exact"/>
        <w:rPr>
          <w:rFonts w:ascii="Arial" w:cs="Arial" w:eastAsia="Arial" w:hAnsi="Arial"/>
          <w:sz w:val="18"/>
          <w:szCs w:val="18"/>
          <w:color w:val="auto"/>
        </w:rPr>
      </w:pPr>
    </w:p>
    <w:p>
      <w:pPr>
        <w:ind w:left="1140" w:right="380"/>
        <w:spacing w:after="0" w:line="261" w:lineRule="auto"/>
        <w:rPr>
          <w:rFonts w:ascii="Arial" w:cs="Arial" w:eastAsia="Arial" w:hAnsi="Arial"/>
          <w:sz w:val="18"/>
          <w:szCs w:val="18"/>
          <w:color w:val="auto"/>
        </w:rPr>
      </w:pPr>
      <w:r>
        <w:rPr>
          <w:rFonts w:ascii="Arial" w:cs="Arial" w:eastAsia="Arial" w:hAnsi="Arial"/>
          <w:sz w:val="18"/>
          <w:szCs w:val="18"/>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210" w:lineRule="exact"/>
        <w:rPr>
          <w:rFonts w:ascii="Arial" w:cs="Arial" w:eastAsia="Arial" w:hAnsi="Arial"/>
          <w:sz w:val="18"/>
          <w:szCs w:val="18"/>
          <w:color w:val="auto"/>
        </w:rPr>
      </w:pPr>
    </w:p>
    <w:p>
      <w:pPr>
        <w:ind w:left="1140" w:right="180"/>
        <w:spacing w:after="0" w:line="264" w:lineRule="auto"/>
        <w:rPr>
          <w:rFonts w:ascii="Arial" w:cs="Arial" w:eastAsia="Arial" w:hAnsi="Arial"/>
          <w:sz w:val="18"/>
          <w:szCs w:val="18"/>
          <w:color w:val="auto"/>
        </w:rPr>
      </w:pPr>
      <w:r>
        <w:rPr>
          <w:rFonts w:ascii="Arial" w:cs="Arial" w:eastAsia="Arial" w:hAnsi="Arial"/>
          <w:sz w:val="18"/>
          <w:szCs w:val="18"/>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208" w:lineRule="exact"/>
        <w:rPr>
          <w:rFonts w:ascii="Arial" w:cs="Arial" w:eastAsia="Arial" w:hAnsi="Arial"/>
          <w:sz w:val="18"/>
          <w:szCs w:val="18"/>
          <w:color w:val="auto"/>
        </w:rPr>
      </w:pPr>
    </w:p>
    <w:p>
      <w:pPr>
        <w:ind w:left="1140" w:right="180"/>
        <w:spacing w:after="0" w:line="259" w:lineRule="auto"/>
        <w:rPr>
          <w:rFonts w:ascii="Arial" w:cs="Arial" w:eastAsia="Arial" w:hAnsi="Arial"/>
          <w:sz w:val="18"/>
          <w:szCs w:val="18"/>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changes in fair value or cash flows attributable to the hedged risk during the period for which the hedge is designated is expected to offset in a range between 80 percent and 125 percent.</w:t>
      </w:r>
    </w:p>
    <w:p>
      <w:pPr>
        <w:spacing w:after="0" w:line="21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accounting treatment is established according to the nature of the hedged item and compliance with the hedge criteria.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Cash flow hedges</w:t>
      </w:r>
    </w:p>
    <w:p>
      <w:pPr>
        <w:spacing w:after="0" w:line="23" w:lineRule="exact"/>
        <w:rPr>
          <w:rFonts w:ascii="Arial" w:cs="Arial" w:eastAsia="Arial" w:hAnsi="Arial"/>
          <w:sz w:val="18"/>
          <w:szCs w:val="18"/>
          <w:color w:val="auto"/>
        </w:rPr>
      </w:pPr>
    </w:p>
    <w:p>
      <w:pPr>
        <w:ind w:left="1620" w:right="280"/>
        <w:spacing w:after="0" w:line="323" w:lineRule="auto"/>
        <w:rPr>
          <w:rFonts w:ascii="Arial" w:cs="Arial" w:eastAsia="Arial" w:hAnsi="Arial"/>
          <w:sz w:val="18"/>
          <w:szCs w:val="18"/>
          <w:color w:val="auto"/>
        </w:rPr>
      </w:pPr>
      <w:r>
        <w:rPr>
          <w:rFonts w:ascii="Arial" w:cs="Arial" w:eastAsia="Arial" w:hAnsi="Arial"/>
          <w:sz w:val="16"/>
          <w:szCs w:val="16"/>
          <w:color w:val="auto"/>
        </w:rPr>
        <w:t>The effective portion of the gain or loss on the hedging instrument is recognized directly as other comprehensive income in the cash flow hedge reserve, while any ineffective portion is recognized immediately in the consolidated income statement in finance costs.</w:t>
      </w:r>
    </w:p>
    <w:p>
      <w:pPr>
        <w:spacing w:after="0" w:line="165" w:lineRule="exact"/>
        <w:rPr>
          <w:rFonts w:ascii="Arial" w:cs="Arial" w:eastAsia="Arial" w:hAnsi="Arial"/>
          <w:sz w:val="18"/>
          <w:szCs w:val="18"/>
          <w:color w:val="auto"/>
        </w:rPr>
      </w:pPr>
    </w:p>
    <w:p>
      <w:pPr>
        <w:ind w:left="1620" w:right="80"/>
        <w:spacing w:after="0" w:line="279" w:lineRule="auto"/>
        <w:rPr>
          <w:rFonts w:ascii="Arial" w:cs="Arial" w:eastAsia="Arial" w:hAnsi="Arial"/>
          <w:sz w:val="18"/>
          <w:szCs w:val="18"/>
          <w:color w:val="auto"/>
        </w:rPr>
      </w:pPr>
      <w:r>
        <w:rPr>
          <w:rFonts w:ascii="Arial" w:cs="Arial" w:eastAsia="Arial" w:hAnsi="Arial"/>
          <w:sz w:val="17"/>
          <w:szCs w:val="17"/>
          <w:color w:val="auto"/>
        </w:rPr>
        <w:t>Amounts recognized as other comprehensive income are transferred to the consolidated income statement when the hedged transaction affects profit or loss, such as when the hedged financial income or financial expense is recognized or when a forecast sale occurs. Where the hedged item is the cost of a non-financial asset or non-financial liability, the amounts recognized as other comprehensive income are transferred to the initial carrying amount of the non-financial asset or liability.</w:t>
      </w:r>
    </w:p>
    <w:p>
      <w:pPr>
        <w:spacing w:after="0" w:line="198" w:lineRule="exact"/>
        <w:rPr>
          <w:rFonts w:ascii="Arial" w:cs="Arial" w:eastAsia="Arial" w:hAnsi="Arial"/>
          <w:sz w:val="18"/>
          <w:szCs w:val="18"/>
          <w:color w:val="auto"/>
        </w:rPr>
      </w:pPr>
    </w:p>
    <w:p>
      <w:pPr>
        <w:ind w:left="1620"/>
        <w:spacing w:after="0" w:line="257" w:lineRule="auto"/>
        <w:rPr>
          <w:rFonts w:ascii="Arial" w:cs="Arial" w:eastAsia="Arial" w:hAnsi="Arial"/>
          <w:sz w:val="18"/>
          <w:szCs w:val="18"/>
          <w:color w:val="auto"/>
        </w:rPr>
      </w:pPr>
      <w:r>
        <w:rPr>
          <w:rFonts w:ascii="Arial" w:cs="Arial" w:eastAsia="Arial" w:hAnsi="Arial"/>
          <w:sz w:val="18"/>
          <w:szCs w:val="18"/>
          <w:color w:val="auto"/>
        </w:rPr>
        <w:t>If the forecast transaction or firm commitment is no longer expected to occur, the cumulative gain or loss previously recognized in the cash flow hedge reserve are transferred to the consolidated income statement. If the hedging instrument expires or is sold, terminated or exercised without replacement or rollover, or if its designation as a hedge is revoked, any cumulative gain or loss previously recognized in the cash flow hedge reserve remains in the cash flow hedge reserve until the forecast transaction or firm commitment affects profit or loss.</w:t>
      </w:r>
    </w:p>
    <w:p>
      <w:pPr>
        <w:spacing w:after="0" w:line="215" w:lineRule="exact"/>
        <w:rPr>
          <w:rFonts w:ascii="Arial" w:cs="Arial" w:eastAsia="Arial" w:hAnsi="Arial"/>
          <w:sz w:val="18"/>
          <w:szCs w:val="18"/>
          <w:color w:val="auto"/>
        </w:rPr>
      </w:pPr>
    </w:p>
    <w:p>
      <w:pPr>
        <w:ind w:left="1620" w:hanging="478"/>
        <w:spacing w:after="0"/>
        <w:tabs>
          <w:tab w:leader="none" w:pos="16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Fair value hedges</w:t>
      </w:r>
    </w:p>
    <w:p>
      <w:pPr>
        <w:spacing w:after="0" w:line="23" w:lineRule="exact"/>
        <w:rPr>
          <w:rFonts w:ascii="Arial" w:cs="Arial" w:eastAsia="Arial" w:hAnsi="Arial"/>
          <w:sz w:val="18"/>
          <w:szCs w:val="18"/>
          <w:color w:val="auto"/>
        </w:rPr>
      </w:pPr>
    </w:p>
    <w:p>
      <w:pPr>
        <w:ind w:left="1620" w:right="220"/>
        <w:spacing w:after="0" w:line="255" w:lineRule="auto"/>
        <w:rPr>
          <w:rFonts w:ascii="Arial" w:cs="Arial" w:eastAsia="Arial" w:hAnsi="Arial"/>
          <w:sz w:val="18"/>
          <w:szCs w:val="18"/>
          <w:color w:val="auto"/>
        </w:rPr>
      </w:pPr>
      <w:r>
        <w:rPr>
          <w:rFonts w:ascii="Arial" w:cs="Arial" w:eastAsia="Arial" w:hAnsi="Arial"/>
          <w:sz w:val="18"/>
          <w:szCs w:val="18"/>
          <w:color w:val="auto"/>
        </w:rPr>
        <w:t>The change in the fair value of an interest rate hedging derivative is recognized in the consolidated income statement in finance costs. The change in the fair value of the hedged item attributable to the risk hedged is recorded as a part of the carrying value of the hedged item and is also recognized in the consolidated income statement in finance costs.</w:t>
      </w:r>
    </w:p>
    <w:p>
      <w:pPr>
        <w:spacing w:after="0" w:line="217" w:lineRule="exact"/>
        <w:rPr>
          <w:rFonts w:ascii="Arial" w:cs="Arial" w:eastAsia="Arial" w:hAnsi="Arial"/>
          <w:sz w:val="18"/>
          <w:szCs w:val="18"/>
          <w:color w:val="auto"/>
        </w:rPr>
      </w:pPr>
    </w:p>
    <w:p>
      <w:pPr>
        <w:ind w:left="1620" w:right="60"/>
        <w:spacing w:after="0" w:line="259" w:lineRule="auto"/>
        <w:rPr>
          <w:rFonts w:ascii="Arial" w:cs="Arial" w:eastAsia="Arial" w:hAnsi="Arial"/>
          <w:sz w:val="18"/>
          <w:szCs w:val="18"/>
          <w:color w:val="auto"/>
        </w:rPr>
      </w:pPr>
      <w:r>
        <w:rPr>
          <w:rFonts w:ascii="Arial" w:cs="Arial" w:eastAsia="Arial" w:hAnsi="Arial"/>
          <w:sz w:val="18"/>
          <w:szCs w:val="18"/>
          <w:color w:val="auto"/>
        </w:rPr>
        <w:t>For fair value hedges relating to consolidated items carried at amortized cost, the adjustment to carrying value is amortized through the consolidated income statement over the remaining maturity term. Effective interest rate amortization may begin as soon as an adjustment exists and shall begin no later than when the hedged item ceases to be adjusted for changes in its fair value attributable to the risk being hedged.</w:t>
      </w:r>
    </w:p>
    <w:p>
      <w:pPr>
        <w:spacing w:after="0" w:line="213"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7"/>
          <w:szCs w:val="17"/>
          <w:color w:val="auto"/>
        </w:rPr>
        <w:t>If the hedge item is derecognized, the unamortized fair value is recognized immediately in the consolidated income statement.</w:t>
      </w:r>
    </w:p>
    <w:p>
      <w:pPr>
        <w:spacing w:after="0" w:line="263" w:lineRule="exact"/>
        <w:rPr>
          <w:rFonts w:ascii="Arial" w:cs="Arial" w:eastAsia="Arial" w:hAnsi="Arial"/>
          <w:sz w:val="18"/>
          <w:szCs w:val="18"/>
          <w:color w:val="auto"/>
        </w:rPr>
      </w:pPr>
    </w:p>
    <w:p>
      <w:pPr>
        <w:ind w:left="1620" w:right="40"/>
        <w:spacing w:after="0" w:line="264" w:lineRule="auto"/>
        <w:rPr>
          <w:rFonts w:ascii="Arial" w:cs="Arial" w:eastAsia="Arial" w:hAnsi="Arial"/>
          <w:sz w:val="18"/>
          <w:szCs w:val="18"/>
          <w:color w:val="auto"/>
        </w:rPr>
      </w:pPr>
      <w:r>
        <w:rPr>
          <w:rFonts w:ascii="Arial" w:cs="Arial" w:eastAsia="Arial" w:hAnsi="Arial"/>
          <w:sz w:val="18"/>
          <w:szCs w:val="18"/>
          <w:color w:val="auto"/>
        </w:rPr>
        <w:t>When an unrecognized firm commitment is designated as a hedged item, the subsequent cumulative change in the fair value of the firm commitment attributable to the hedged risk is recognized as an asset or liability with a corresponding gain or loss recognized in the consolidated income statement.</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Embedded derivates:</w:t>
      </w:r>
    </w:p>
    <w:p>
      <w:pPr>
        <w:spacing w:after="0" w:line="23" w:lineRule="exact"/>
        <w:rPr>
          <w:rFonts w:ascii="Arial" w:cs="Arial" w:eastAsia="Arial" w:hAnsi="Arial"/>
          <w:sz w:val="18"/>
          <w:szCs w:val="18"/>
          <w:color w:val="auto"/>
        </w:rPr>
      </w:pPr>
    </w:p>
    <w:p>
      <w:pPr>
        <w:jc w:val="both"/>
        <w:ind w:left="1620" w:right="740"/>
        <w:spacing w:after="0" w:line="255" w:lineRule="auto"/>
        <w:rPr>
          <w:rFonts w:ascii="Arial" w:cs="Arial" w:eastAsia="Arial" w:hAnsi="Arial"/>
          <w:sz w:val="18"/>
          <w:szCs w:val="18"/>
          <w:color w:val="auto"/>
        </w:rPr>
      </w:pPr>
      <w:r>
        <w:rPr>
          <w:rFonts w:ascii="Arial" w:cs="Arial" w:eastAsia="Arial" w:hAnsi="Arial"/>
          <w:sz w:val="18"/>
          <w:szCs w:val="18"/>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217" w:lineRule="exact"/>
        <w:rPr>
          <w:rFonts w:ascii="Arial" w:cs="Arial" w:eastAsia="Arial" w:hAnsi="Arial"/>
          <w:sz w:val="18"/>
          <w:szCs w:val="18"/>
          <w:color w:val="auto"/>
        </w:rPr>
      </w:pPr>
    </w:p>
    <w:p>
      <w:pPr>
        <w:ind w:left="1620" w:right="80"/>
        <w:spacing w:after="0" w:line="264" w:lineRule="auto"/>
        <w:rPr>
          <w:rFonts w:ascii="Arial" w:cs="Arial" w:eastAsia="Arial" w:hAnsi="Arial"/>
          <w:sz w:val="18"/>
          <w:szCs w:val="18"/>
          <w:color w:val="auto"/>
        </w:rPr>
      </w:pPr>
      <w:r>
        <w:rPr>
          <w:rFonts w:ascii="Arial" w:cs="Arial" w:eastAsia="Arial" w:hAnsi="Arial"/>
          <w:sz w:val="18"/>
          <w:szCs w:val="18"/>
          <w:color w:val="auto"/>
        </w:rPr>
        <w:t>The Group has certificates indexed to the price of Credicorp Ltd. shares that will be settled in cash, and investments indexed to certain life insurance contracts liabilities, denominated “Unit Link”. These instruments have been classified at inception by the Group as “Financial instruments at fair value though profit or loss”, see 3(f)(i), and note 7.</w:t>
      </w:r>
    </w:p>
    <w:p>
      <w:pPr>
        <w:spacing w:after="0" w:line="208" w:lineRule="exact"/>
        <w:rPr>
          <w:rFonts w:ascii="Arial" w:cs="Arial" w:eastAsia="Arial" w:hAnsi="Arial"/>
          <w:sz w:val="18"/>
          <w:szCs w:val="18"/>
          <w:color w:val="auto"/>
        </w:rPr>
      </w:pPr>
    </w:p>
    <w:p>
      <w:pPr>
        <w:ind w:left="1140" w:hanging="484"/>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3" w:lineRule="exact"/>
        <w:rPr>
          <w:rFonts w:ascii="Arial" w:cs="Arial" w:eastAsia="Arial" w:hAnsi="Arial"/>
          <w:sz w:val="18"/>
          <w:szCs w:val="18"/>
          <w:color w:val="auto"/>
        </w:rPr>
      </w:pPr>
    </w:p>
    <w:p>
      <w:pPr>
        <w:ind w:left="1140"/>
        <w:spacing w:after="0" w:line="292" w:lineRule="auto"/>
        <w:rPr>
          <w:rFonts w:ascii="Arial" w:cs="Arial" w:eastAsia="Arial" w:hAnsi="Arial"/>
          <w:sz w:val="18"/>
          <w:szCs w:val="18"/>
          <w:color w:val="auto"/>
        </w:rPr>
      </w:pPr>
      <w:r>
        <w:rPr>
          <w:rFonts w:ascii="Arial" w:cs="Arial" w:eastAsia="Arial" w:hAnsi="Arial"/>
          <w:sz w:val="16"/>
          <w:szCs w:val="16"/>
          <w:color w:val="auto"/>
        </w:rPr>
        <w:t>The Group reports financial and descriptive information about its reportable segments. Reportable segments are operating segments or aggregations of operating segments that meet specified criteria. Operating segments are a component of an entity for which separate financial information is available that is evaluated regularly by the entity’s Chief Operating Decision maker (“CODM”) in making decisions about how to allocate resources and is assessing performance. Generally, financial information is required to be reported on the same basis as it is used internally for evaluating operating segment performance and deciding how to allocate resources to segments, note 26.</w:t>
      </w:r>
    </w:p>
    <w:p>
      <w:pPr>
        <w:spacing w:after="0" w:line="189" w:lineRule="exact"/>
        <w:rPr>
          <w:rFonts w:ascii="Arial" w:cs="Arial" w:eastAsia="Arial" w:hAnsi="Arial"/>
          <w:sz w:val="18"/>
          <w:szCs w:val="18"/>
          <w:color w:val="auto"/>
        </w:rPr>
      </w:pPr>
    </w:p>
    <w:p>
      <w:pPr>
        <w:ind w:left="1140" w:hanging="484"/>
        <w:spacing w:after="0"/>
        <w:tabs>
          <w:tab w:leader="none" w:pos="11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Fiduciary activities, management of funds and pension funds -</w:t>
      </w:r>
    </w:p>
    <w:p>
      <w:pPr>
        <w:spacing w:after="0" w:line="23" w:lineRule="exact"/>
        <w:rPr>
          <w:rFonts w:ascii="Arial" w:cs="Arial" w:eastAsia="Arial" w:hAnsi="Arial"/>
          <w:sz w:val="18"/>
          <w:szCs w:val="18"/>
          <w:color w:val="auto"/>
        </w:rPr>
      </w:pPr>
    </w:p>
    <w:p>
      <w:pPr>
        <w:ind w:left="1140" w:right="20"/>
        <w:spacing w:after="0" w:line="255" w:lineRule="auto"/>
        <w:rPr>
          <w:rFonts w:ascii="Arial" w:cs="Arial" w:eastAsia="Arial" w:hAnsi="Arial"/>
          <w:sz w:val="18"/>
          <w:szCs w:val="18"/>
          <w:color w:val="auto"/>
        </w:rPr>
      </w:pPr>
      <w:r>
        <w:rPr>
          <w:rFonts w:ascii="Arial" w:cs="Arial" w:eastAsia="Arial" w:hAnsi="Arial"/>
          <w:sz w:val="18"/>
          <w:szCs w:val="18"/>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29.8.</w:t>
      </w:r>
    </w:p>
    <w:p>
      <w:pPr>
        <w:spacing w:after="0" w:line="217"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Commissions generated for these activities are included in the caption “Other income” of the consolidated income statements.</w:t>
      </w:r>
    </w:p>
    <w:p>
      <w:pPr>
        <w:spacing w:after="0" w:line="252" w:lineRule="exact"/>
        <w:rPr>
          <w:sz w:val="20"/>
          <w:szCs w:val="20"/>
          <w:color w:val="auto"/>
        </w:rPr>
      </w:pPr>
    </w:p>
    <w:p>
      <w:pPr>
        <w:ind w:left="1140" w:hanging="484"/>
        <w:spacing w:after="0"/>
        <w:tabs>
          <w:tab w:leader="none" w:pos="11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Sale and repurchase agreements -</w:t>
      </w:r>
    </w:p>
    <w:p>
      <w:pPr>
        <w:spacing w:after="0" w:line="23" w:lineRule="exact"/>
        <w:rPr>
          <w:rFonts w:ascii="Arial" w:cs="Arial" w:eastAsia="Arial" w:hAnsi="Arial"/>
          <w:sz w:val="18"/>
          <w:szCs w:val="18"/>
          <w:color w:val="auto"/>
        </w:rPr>
      </w:pPr>
    </w:p>
    <w:p>
      <w:pPr>
        <w:ind w:left="1140" w:right="100"/>
        <w:spacing w:after="0" w:line="255" w:lineRule="auto"/>
        <w:rPr>
          <w:rFonts w:ascii="Arial" w:cs="Arial" w:eastAsia="Arial" w:hAnsi="Arial"/>
          <w:sz w:val="18"/>
          <w:szCs w:val="18"/>
          <w:color w:val="auto"/>
        </w:rPr>
      </w:pPr>
      <w:r>
        <w:rPr>
          <w:rFonts w:ascii="Arial" w:cs="Arial" w:eastAsia="Arial" w:hAnsi="Arial"/>
          <w:sz w:val="18"/>
          <w:szCs w:val="18"/>
          <w:color w:val="auto"/>
        </w:rPr>
        <w:t>Securities sold subject to repurchase agreements (‘Repos’) are presented as pledged assets when the counterparty has the right to sell or repledge the collateral; the counterparty liability is included in the caption “Due to banks and correspondents” or “Deposits and obligations”, as appropriate, in the consolidated statements of financial position.</w:t>
      </w:r>
    </w:p>
    <w:p>
      <w:pPr>
        <w:spacing w:after="0" w:line="217" w:lineRule="exact"/>
        <w:rPr>
          <w:rFonts w:ascii="Arial" w:cs="Arial" w:eastAsia="Arial" w:hAnsi="Arial"/>
          <w:sz w:val="18"/>
          <w:szCs w:val="18"/>
          <w:color w:val="auto"/>
        </w:rPr>
      </w:pPr>
    </w:p>
    <w:p>
      <w:pPr>
        <w:ind w:left="1140" w:right="440"/>
        <w:spacing w:after="0" w:line="277" w:lineRule="auto"/>
        <w:rPr>
          <w:rFonts w:ascii="Arial" w:cs="Arial" w:eastAsia="Arial" w:hAnsi="Arial"/>
          <w:sz w:val="18"/>
          <w:szCs w:val="18"/>
          <w:color w:val="auto"/>
        </w:rPr>
      </w:pPr>
      <w:r>
        <w:rPr>
          <w:rFonts w:ascii="Arial" w:cs="Arial" w:eastAsia="Arial" w:hAnsi="Arial"/>
          <w:sz w:val="18"/>
          <w:szCs w:val="18"/>
          <w:color w:val="auto"/>
        </w:rPr>
        <w:t>The difference between sale and repurchase price is considered as interest and is accrued over the life of the related agreement using the effective interest method.</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ind w:left="660"/>
              <w:spacing w:after="0"/>
              <w:rPr>
                <w:sz w:val="20"/>
                <w:szCs w:val="20"/>
                <w:color w:val="auto"/>
              </w:rPr>
            </w:pPr>
            <w:r>
              <w:rPr>
                <w:rFonts w:ascii="Arial" w:cs="Arial" w:eastAsia="Arial" w:hAnsi="Arial"/>
                <w:sz w:val="18"/>
                <w:szCs w:val="18"/>
                <w:color w:val="auto"/>
              </w:rPr>
              <w:t>(ab)</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Cash and cash equivalents -</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2"/>
              </w:rPr>
              <w:t>For the purposes of the consolidated cash flow statement, cash and cash equivalents comprise balances of cash and balances with central</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banks, overnight deposits and amounts due from banks with original maturities of three months or less.</w:t>
            </w:r>
          </w:p>
        </w:tc>
      </w:tr>
      <w:tr>
        <w:trPr>
          <w:trHeight w:val="445"/>
        </w:trPr>
        <w:tc>
          <w:tcPr>
            <w:tcW w:w="1040" w:type="dxa"/>
            <w:vAlign w:val="bottom"/>
          </w:tcPr>
          <w:p>
            <w:pPr>
              <w:ind w:left="660"/>
              <w:spacing w:after="0"/>
              <w:rPr>
                <w:sz w:val="20"/>
                <w:szCs w:val="20"/>
                <w:color w:val="auto"/>
              </w:rPr>
            </w:pPr>
            <w:r>
              <w:rPr>
                <w:rFonts w:ascii="Arial" w:cs="Arial" w:eastAsia="Arial" w:hAnsi="Arial"/>
                <w:sz w:val="18"/>
                <w:szCs w:val="18"/>
                <w:color w:val="auto"/>
              </w:rPr>
              <w:t>(ac)</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Reclassifications -</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2"/>
              </w:rPr>
              <w:t>When it is necessary, the comparative figures have been reclassified to conform to the current year presentation. Certain transactions were</w:t>
            </w:r>
          </w:p>
        </w:tc>
      </w:tr>
      <w:tr>
        <w:trPr>
          <w:trHeight w:val="216"/>
        </w:trPr>
        <w:tc>
          <w:tcPr>
            <w:tcW w:w="1040" w:type="dxa"/>
            <w:vAlign w:val="bottom"/>
          </w:tcPr>
          <w:p>
            <w:pPr>
              <w:spacing w:after="0"/>
              <w:rPr>
                <w:sz w:val="18"/>
                <w:szCs w:val="18"/>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2"/>
              </w:rPr>
              <w:t>reclassified in the current year presentation; in Management’s opinion those reclassifications are not significant to the consolidated financial</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statement as of December 31, 2009 and 2008.</w:t>
            </w:r>
          </w:p>
        </w:tc>
      </w:tr>
      <w:tr>
        <w:trPr>
          <w:trHeight w:val="445"/>
        </w:trPr>
        <w:tc>
          <w:tcPr>
            <w:tcW w:w="1040" w:type="dxa"/>
            <w:vAlign w:val="bottom"/>
          </w:tcPr>
          <w:p>
            <w:pPr>
              <w:ind w:left="660"/>
              <w:spacing w:after="0"/>
              <w:rPr>
                <w:sz w:val="20"/>
                <w:szCs w:val="20"/>
                <w:color w:val="auto"/>
              </w:rPr>
            </w:pPr>
            <w:r>
              <w:rPr>
                <w:rFonts w:ascii="Arial" w:cs="Arial" w:eastAsia="Arial" w:hAnsi="Arial"/>
                <w:sz w:val="18"/>
                <w:szCs w:val="18"/>
                <w:color w:val="auto"/>
              </w:rPr>
              <w:t>(ad)</w:t>
            </w: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rPr>
              <w:t>Recently issued International Financial Reporting Standards but not yet effective -</w:t>
            </w:r>
          </w:p>
        </w:tc>
      </w:tr>
      <w:tr>
        <w:trPr>
          <w:trHeight w:val="230"/>
        </w:trPr>
        <w:tc>
          <w:tcPr>
            <w:tcW w:w="1040" w:type="dxa"/>
            <w:vAlign w:val="bottom"/>
          </w:tcPr>
          <w:p>
            <w:pPr>
              <w:spacing w:after="0"/>
              <w:rPr>
                <w:sz w:val="20"/>
                <w:szCs w:val="20"/>
                <w:color w:val="auto"/>
              </w:rPr>
            </w:pPr>
          </w:p>
        </w:tc>
        <w:tc>
          <w:tcPr>
            <w:tcW w:w="10380" w:type="dxa"/>
            <w:vAlign w:val="bottom"/>
            <w:gridSpan w:val="2"/>
          </w:tcPr>
          <w:p>
            <w:pPr>
              <w:ind w:left="100"/>
              <w:spacing w:after="0"/>
              <w:rPr>
                <w:sz w:val="20"/>
                <w:szCs w:val="20"/>
                <w:color w:val="auto"/>
              </w:rPr>
            </w:pPr>
            <w:r>
              <w:rPr>
                <w:rFonts w:ascii="Arial" w:cs="Arial" w:eastAsia="Arial" w:hAnsi="Arial"/>
                <w:sz w:val="18"/>
                <w:szCs w:val="18"/>
                <w:color w:val="auto"/>
                <w:w w:val="93"/>
              </w:rPr>
              <w:t>The Group decided not to early adopt the following standards and interpretations that were issued but not effective as December 31, 2009:</w:t>
            </w:r>
          </w:p>
        </w:tc>
      </w:tr>
      <w:tr>
        <w:trPr>
          <w:trHeight w:val="445"/>
        </w:trPr>
        <w:tc>
          <w:tcPr>
            <w:tcW w:w="10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0000" w:type="dxa"/>
            <w:vAlign w:val="bottom"/>
          </w:tcPr>
          <w:p>
            <w:pPr>
              <w:ind w:left="200"/>
              <w:spacing w:after="0"/>
              <w:rPr>
                <w:sz w:val="20"/>
                <w:szCs w:val="20"/>
                <w:color w:val="auto"/>
              </w:rPr>
            </w:pPr>
            <w:r>
              <w:rPr>
                <w:rFonts w:ascii="Arial" w:cs="Arial" w:eastAsia="Arial" w:hAnsi="Arial"/>
                <w:sz w:val="18"/>
                <w:szCs w:val="18"/>
                <w:color w:val="auto"/>
                <w:w w:val="95"/>
              </w:rPr>
              <w:t>IFRS 2 “Share-based Payment (Revised): Group Cash-settled Share-based Payment”, effective for periods beginning on or after</w:t>
            </w:r>
          </w:p>
        </w:tc>
      </w:tr>
      <w:tr>
        <w:trPr>
          <w:trHeight w:val="216"/>
        </w:trPr>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w w:val="93"/>
              </w:rPr>
              <w:t>January 1, 2010, with retrospective application. This amendment provides guidance on how to account for cash-settled share-based</w:t>
            </w:r>
          </w:p>
        </w:tc>
      </w:tr>
      <w:tr>
        <w:trPr>
          <w:trHeight w:val="216"/>
        </w:trPr>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w w:val="96"/>
              </w:rPr>
              <w:t>payment transactions in the separate financial statements of an entity. This amendment will not have any impact on the Group´s</w:t>
            </w:r>
          </w:p>
        </w:tc>
      </w:tr>
      <w:tr>
        <w:trPr>
          <w:trHeight w:val="230"/>
        </w:trPr>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rPr>
              <w:t>consolidated financial statements.</w:t>
            </w:r>
          </w:p>
        </w:tc>
      </w:tr>
      <w:tr>
        <w:trPr>
          <w:trHeight w:val="445"/>
        </w:trPr>
        <w:tc>
          <w:tcPr>
            <w:tcW w:w="10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0000" w:type="dxa"/>
            <w:vAlign w:val="bottom"/>
          </w:tcPr>
          <w:p>
            <w:pPr>
              <w:ind w:left="200"/>
              <w:spacing w:after="0"/>
              <w:rPr>
                <w:sz w:val="20"/>
                <w:szCs w:val="20"/>
                <w:color w:val="auto"/>
              </w:rPr>
            </w:pPr>
            <w:r>
              <w:rPr>
                <w:rFonts w:ascii="Arial" w:cs="Arial" w:eastAsia="Arial" w:hAnsi="Arial"/>
                <w:sz w:val="18"/>
                <w:szCs w:val="18"/>
                <w:color w:val="auto"/>
                <w:w w:val="95"/>
              </w:rPr>
              <w:t>IFRS 9 “Financial Instruments “, the IASB issued this IFRS as the first step in its project to replace IAS 39 “Financial Instruments:</w:t>
            </w:r>
          </w:p>
        </w:tc>
      </w:tr>
      <w:tr>
        <w:trPr>
          <w:trHeight w:val="216"/>
        </w:trPr>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w w:val="95"/>
              </w:rPr>
              <w:t>Recognition and Measurement”. IFRS 9 introduces new requirements for classifying and measuring financial assets that must be</w:t>
            </w:r>
          </w:p>
        </w:tc>
      </w:tr>
      <w:tr>
        <w:trPr>
          <w:trHeight w:val="216"/>
        </w:trPr>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w w:val="96"/>
              </w:rPr>
              <w:t>applied starting on January 1, 2013, with early adoption permitted. The IASB intends to expand IFRS 9 during 2010 to add new</w:t>
            </w:r>
          </w:p>
        </w:tc>
      </w:tr>
      <w:tr>
        <w:trPr>
          <w:trHeight w:val="216"/>
        </w:trPr>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w w:val="98"/>
              </w:rPr>
              <w:t>requirements for classifying and measuring financial liabilities, derecognition of financial instruments, impairment, and hedge</w:t>
            </w:r>
          </w:p>
        </w:tc>
      </w:tr>
      <w:tr>
        <w:trPr>
          <w:trHeight w:val="230"/>
        </w:trPr>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rPr>
              <w:t>accounting.</w:t>
            </w:r>
          </w:p>
        </w:tc>
      </w:tr>
      <w:tr>
        <w:trPr>
          <w:trHeight w:val="445"/>
        </w:trPr>
        <w:tc>
          <w:tcPr>
            <w:tcW w:w="1040" w:type="dxa"/>
            <w:vAlign w:val="bottom"/>
          </w:tcPr>
          <w:p>
            <w:pPr>
              <w:spacing w:after="0"/>
              <w:rPr>
                <w:sz w:val="24"/>
                <w:szCs w:val="24"/>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10000" w:type="dxa"/>
            <w:vAlign w:val="bottom"/>
          </w:tcPr>
          <w:p>
            <w:pPr>
              <w:ind w:left="200"/>
              <w:spacing w:after="0"/>
              <w:rPr>
                <w:sz w:val="20"/>
                <w:szCs w:val="20"/>
                <w:color w:val="auto"/>
              </w:rPr>
            </w:pPr>
            <w:r>
              <w:rPr>
                <w:rFonts w:ascii="Arial" w:cs="Arial" w:eastAsia="Arial" w:hAnsi="Arial"/>
                <w:sz w:val="18"/>
                <w:szCs w:val="18"/>
                <w:color w:val="auto"/>
                <w:w w:val="93"/>
              </w:rPr>
              <w:t>IFRS 3 (Revised) “Business Combination and Consolidation” and IAS 27 (Revised) “Separated Financial Statements Consolidation”,</w:t>
            </w:r>
          </w:p>
        </w:tc>
      </w:tr>
      <w:tr>
        <w:trPr>
          <w:trHeight w:val="216"/>
        </w:trPr>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w w:val="97"/>
              </w:rPr>
              <w:t>effective modifications for periods beginning on or after July 1, 2009. Changes in IFRS 3 (Revised) affect the valuation of non-</w:t>
            </w:r>
          </w:p>
        </w:tc>
      </w:tr>
      <w:tr>
        <w:trPr>
          <w:trHeight w:val="216"/>
        </w:trPr>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w w:val="98"/>
              </w:rPr>
              <w:t>controlling interest, the accounting for transactions costs, the initial recognition and subsequent measurement of a contingent</w:t>
            </w:r>
          </w:p>
        </w:tc>
      </w:tr>
      <w:tr>
        <w:trPr>
          <w:trHeight w:val="216"/>
        </w:trPr>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w w:val="93"/>
              </w:rPr>
              <w:t>consideration and business combination achieved in stages. IAS 27 (amended) requires that a change in the ownership interest of a</w:t>
            </w:r>
          </w:p>
        </w:tc>
      </w:tr>
      <w:tr>
        <w:trPr>
          <w:trHeight w:val="230"/>
        </w:trPr>
        <w:tc>
          <w:tcPr>
            <w:tcW w:w="10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0" w:type="dxa"/>
            <w:vAlign w:val="bottom"/>
          </w:tcPr>
          <w:p>
            <w:pPr>
              <w:ind w:left="200"/>
              <w:spacing w:after="0"/>
              <w:rPr>
                <w:sz w:val="20"/>
                <w:szCs w:val="20"/>
                <w:color w:val="auto"/>
              </w:rPr>
            </w:pPr>
            <w:r>
              <w:rPr>
                <w:rFonts w:ascii="Arial" w:cs="Arial" w:eastAsia="Arial" w:hAnsi="Arial"/>
                <w:sz w:val="18"/>
                <w:szCs w:val="18"/>
                <w:color w:val="auto"/>
              </w:rPr>
              <w:t>subsidiary (without loss of control) is accounted for as a transaction with owners in their capacity as owners.</w:t>
            </w:r>
          </w:p>
        </w:tc>
      </w:tr>
      <w:tr>
        <w:trPr>
          <w:trHeight w:val="608"/>
        </w:trPr>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0" w:type="dxa"/>
            <w:vAlign w:val="bottom"/>
          </w:tcPr>
          <w:p>
            <w:pPr>
              <w:ind w:left="4120"/>
              <w:spacing w:after="0"/>
              <w:rPr>
                <w:sz w:val="20"/>
                <w:szCs w:val="20"/>
                <w:color w:val="auto"/>
              </w:rPr>
            </w:pPr>
            <w:r>
              <w:rPr>
                <w:rFonts w:ascii="Arial" w:cs="Arial" w:eastAsia="Arial" w:hAnsi="Arial"/>
                <w:sz w:val="18"/>
                <w:szCs w:val="18"/>
                <w:color w:val="auto"/>
              </w:rPr>
              <w:t>F-39</w:t>
            </w:r>
          </w:p>
        </w:tc>
      </w:tr>
      <w:tr>
        <w:trPr>
          <w:trHeight w:val="118"/>
        </w:trPr>
        <w:tc>
          <w:tcPr>
            <w:tcW w:w="10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00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80" w:hanging="478"/>
        <w:spacing w:after="0" w:line="264" w:lineRule="auto"/>
        <w:tabs>
          <w:tab w:leader="none" w:pos="1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IAS 24 “Related Party Disclosures” (Revised), effective for periods beginning on or after January 1, 2011. The amendment simplifies the identification of related party relationships, particularly in relation to significant influence and joint control. In addition, a partial exemption from the disclosures has been included for government-related entities.</w:t>
      </w:r>
    </w:p>
    <w:p>
      <w:pPr>
        <w:spacing w:after="0" w:line="208" w:lineRule="exact"/>
        <w:rPr>
          <w:rFonts w:ascii="Arial" w:cs="Arial" w:eastAsia="Arial" w:hAnsi="Arial"/>
          <w:sz w:val="18"/>
          <w:szCs w:val="18"/>
          <w:color w:val="auto"/>
        </w:rPr>
      </w:pPr>
    </w:p>
    <w:p>
      <w:pPr>
        <w:ind w:left="1620" w:right="80" w:hanging="478"/>
        <w:spacing w:after="0" w:line="257" w:lineRule="auto"/>
        <w:tabs>
          <w:tab w:leader="none" w:pos="1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IAS 32 “Financial Instruments: Presentation – Classification of Rights Issues” (Amendment), effective for periods beginning on or after February 1, 2010. The definition of a financial liability has been amended to classify rights issues (and certain options or warrants) as equity instruments if, the rights are given pro rata to all of the existing owners of the same class of an entity’s non-derivative equity instruments, and they are used to acquire a fixed number of the entity’s own equity instruments for a fixed amount in any currency.</w:t>
      </w:r>
    </w:p>
    <w:p>
      <w:pPr>
        <w:spacing w:after="0" w:line="215" w:lineRule="exact"/>
        <w:rPr>
          <w:rFonts w:ascii="Arial" w:cs="Arial" w:eastAsia="Arial" w:hAnsi="Arial"/>
          <w:sz w:val="18"/>
          <w:szCs w:val="18"/>
          <w:color w:val="auto"/>
        </w:rPr>
      </w:pPr>
    </w:p>
    <w:p>
      <w:pPr>
        <w:ind w:left="1620" w:right="220" w:hanging="478"/>
        <w:spacing w:after="0" w:line="264" w:lineRule="auto"/>
        <w:tabs>
          <w:tab w:leader="none" w:pos="1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IAS 39 “Financial Instruments: Recognition and Measurement – Eligible Hedged Items”, effective for periods beginning on or after July 1, 2009, the amendment addresses the designation of a one-sided risk in a hedged item, and the designation of inflation as a hedged risk or portion in particular situations.</w:t>
      </w:r>
    </w:p>
    <w:p>
      <w:pPr>
        <w:spacing w:after="0" w:line="208" w:lineRule="exact"/>
        <w:rPr>
          <w:rFonts w:ascii="Arial" w:cs="Arial" w:eastAsia="Arial" w:hAnsi="Arial"/>
          <w:sz w:val="18"/>
          <w:szCs w:val="18"/>
          <w:color w:val="auto"/>
        </w:rPr>
      </w:pPr>
    </w:p>
    <w:p>
      <w:pPr>
        <w:ind w:left="1620" w:right="280" w:hanging="478"/>
        <w:spacing w:after="0" w:line="277" w:lineRule="auto"/>
        <w:tabs>
          <w:tab w:leader="none" w:pos="1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IFRIC 14 “Prepayments of a Minimum Funding Requirement” (Amendment), effective for periods beginning on or after January 1, 2011. The IFRIC permits an entity to treat the prepayment of a minimum funding requirement as an asset.</w:t>
      </w:r>
    </w:p>
    <w:p>
      <w:pPr>
        <w:spacing w:after="0" w:line="197" w:lineRule="exact"/>
        <w:rPr>
          <w:rFonts w:ascii="Arial" w:cs="Arial" w:eastAsia="Arial" w:hAnsi="Arial"/>
          <w:sz w:val="18"/>
          <w:szCs w:val="18"/>
          <w:color w:val="auto"/>
        </w:rPr>
      </w:pPr>
    </w:p>
    <w:p>
      <w:pPr>
        <w:ind w:left="1620" w:right="80" w:hanging="478"/>
        <w:spacing w:after="0" w:line="308" w:lineRule="auto"/>
        <w:tabs>
          <w:tab w:leader="none" w:pos="16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IFRIC 17, “Distributions of Non-Cash Assets to owners”, effective for periods beginning on or after July 1, 2009. Early application is permitted. This interpretation provides guidance in the accounting treatment of distribution of - non cash assets to owners.</w:t>
      </w:r>
    </w:p>
    <w:p>
      <w:pPr>
        <w:spacing w:after="0" w:line="173" w:lineRule="exact"/>
        <w:rPr>
          <w:rFonts w:ascii="Arial" w:cs="Arial" w:eastAsia="Arial" w:hAnsi="Arial"/>
          <w:sz w:val="17"/>
          <w:szCs w:val="17"/>
          <w:color w:val="auto"/>
        </w:rPr>
      </w:pPr>
    </w:p>
    <w:p>
      <w:pPr>
        <w:ind w:left="1620" w:hanging="478"/>
        <w:spacing w:after="0" w:line="259" w:lineRule="auto"/>
        <w:tabs>
          <w:tab w:leader="none" w:pos="1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IFRIC 18, “Transfer of Assets from Customers”, effective for periods beginning on or after July 1, 2009. This interpretation clarifies the requirements of IFRS for agreements in which an entity receives from a customer an item of property, plant and equipment that the entity must then use either to connect the customer to a network or to provide the customer with ongoing access to a supply of goods or services.</w:t>
      </w:r>
    </w:p>
    <w:p>
      <w:pPr>
        <w:spacing w:after="0" w:line="213" w:lineRule="exact"/>
        <w:rPr>
          <w:rFonts w:ascii="Arial" w:cs="Arial" w:eastAsia="Arial" w:hAnsi="Arial"/>
          <w:sz w:val="18"/>
          <w:szCs w:val="18"/>
          <w:color w:val="auto"/>
        </w:rPr>
      </w:pPr>
    </w:p>
    <w:p>
      <w:pPr>
        <w:ind w:left="1620" w:hanging="478"/>
        <w:spacing w:after="0" w:line="264" w:lineRule="auto"/>
        <w:tabs>
          <w:tab w:leader="none" w:pos="16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IFRIC 19 “Extinguishing Financial Liabilities with Equity Instruments”, effective for periods beginning on or after July 1, 2010. The interpretation clarifies that equity instruments issued to a creditor to extinguish a financial liability are consideration paid in accordance with paragraph 41 of IAS 39 “Financial Instruments; Recognition and Measurement”.</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Improvements to IFRSs</w:t>
      </w:r>
    </w:p>
    <w:p>
      <w:pPr>
        <w:spacing w:after="0" w:line="23" w:lineRule="exact"/>
        <w:rPr>
          <w:rFonts w:ascii="Arial" w:cs="Arial" w:eastAsia="Arial" w:hAnsi="Arial"/>
          <w:sz w:val="18"/>
          <w:szCs w:val="18"/>
          <w:color w:val="auto"/>
        </w:rPr>
      </w:pPr>
    </w:p>
    <w:p>
      <w:pPr>
        <w:ind w:left="1620" w:right="160"/>
        <w:spacing w:after="0" w:line="277" w:lineRule="auto"/>
        <w:rPr>
          <w:rFonts w:ascii="Arial" w:cs="Arial" w:eastAsia="Arial" w:hAnsi="Arial"/>
          <w:sz w:val="18"/>
          <w:szCs w:val="18"/>
          <w:color w:val="auto"/>
        </w:rPr>
      </w:pPr>
      <w:r>
        <w:rPr>
          <w:rFonts w:ascii="Arial" w:cs="Arial" w:eastAsia="Arial" w:hAnsi="Arial"/>
          <w:sz w:val="17"/>
          <w:szCs w:val="17"/>
          <w:color w:val="auto"/>
        </w:rPr>
        <w:t>In April 2009 the IASB issued “Improvements to IFRSs”, its second omnibus of amendments to its standards and the related basis for conclusion. There are separate effective date and transitional provisions for each standard. The improvement project is an annual project that provides a mechanism for making necessary but non-urgent or significant amendments.</w:t>
      </w:r>
    </w:p>
    <w:p>
      <w:pPr>
        <w:spacing w:after="0" w:line="20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Group is in process of assessing the impact, if any, that the application of these standards may have on their financial statements.</w:t>
      </w:r>
    </w:p>
    <w:p>
      <w:pPr>
        <w:spacing w:after="0" w:line="200" w:lineRule="exact"/>
        <w:rPr>
          <w:sz w:val="20"/>
          <w:szCs w:val="20"/>
          <w:color w:val="auto"/>
        </w:rPr>
      </w:pPr>
    </w:p>
    <w:p>
      <w:pPr>
        <w:spacing w:after="0" w:line="303" w:lineRule="exact"/>
        <w:rPr>
          <w:sz w:val="20"/>
          <w:szCs w:val="20"/>
          <w:color w:val="auto"/>
        </w:rPr>
      </w:pPr>
    </w:p>
    <w:p>
      <w:pPr>
        <w:ind w:left="500" w:hanging="492"/>
        <w:spacing w:after="0"/>
        <w:tabs>
          <w:tab w:leader="none" w:pos="50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Cash and due from banks</w:t>
      </w:r>
    </w:p>
    <w:p>
      <w:pPr>
        <w:spacing w:after="0" w:line="27" w:lineRule="exact"/>
        <w:rPr>
          <w:rFonts w:ascii="Arial" w:cs="Arial" w:eastAsia="Arial" w:hAnsi="Arial"/>
          <w:sz w:val="18"/>
          <w:szCs w:val="18"/>
          <w:b w:val="1"/>
          <w:bCs w:val="1"/>
          <w:color w:val="auto"/>
        </w:rPr>
      </w:pPr>
    </w:p>
    <w:p>
      <w:pPr>
        <w:ind w:left="980" w:hanging="486"/>
        <w:spacing w:after="0"/>
        <w:tabs>
          <w:tab w:leader="none" w:pos="98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0" w:type="dxa"/>
            <w:vAlign w:val="bottom"/>
          </w:tcPr>
          <w:p>
            <w:pPr>
              <w:spacing w:after="0"/>
              <w:rPr>
                <w:sz w:val="20"/>
                <w:szCs w:val="20"/>
                <w:color w:val="auto"/>
              </w:rPr>
            </w:pPr>
          </w:p>
        </w:tc>
        <w:tc>
          <w:tcPr>
            <w:tcW w:w="15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Cash and clearing</w:t>
            </w:r>
          </w:p>
        </w:tc>
        <w:tc>
          <w:tcPr>
            <w:tcW w:w="15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679,694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625,954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Deposits in Peruvian Central Bank - BCRP</w:t>
            </w:r>
          </w:p>
        </w:tc>
        <w:tc>
          <w:tcPr>
            <w:tcW w:w="1260" w:type="dxa"/>
            <w:vAlign w:val="bottom"/>
          </w:tcPr>
          <w:p>
            <w:pPr>
              <w:jc w:val="right"/>
              <w:spacing w:after="0"/>
              <w:rPr>
                <w:sz w:val="20"/>
                <w:szCs w:val="20"/>
                <w:color w:val="auto"/>
              </w:rPr>
            </w:pPr>
            <w:r>
              <w:rPr>
                <w:rFonts w:ascii="Arial" w:cs="Arial" w:eastAsia="Arial" w:hAnsi="Arial"/>
                <w:sz w:val="18"/>
                <w:szCs w:val="18"/>
                <w:color w:val="auto"/>
              </w:rPr>
              <w:t>2,107,635</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1,952,952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Deposits in banks</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1,047,830</w:t>
            </w:r>
          </w:p>
        </w:tc>
        <w:tc>
          <w:tcPr>
            <w:tcW w:w="28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1,184,729</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3,835,159</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3,763,635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0" w:type="dxa"/>
            <w:vAlign w:val="bottom"/>
            <w:shd w:val="clear" w:color="auto" w:fill="CCFFCC"/>
          </w:tcPr>
          <w:p>
            <w:pPr>
              <w:spacing w:after="0"/>
              <w:rPr>
                <w:sz w:val="20"/>
                <w:szCs w:val="20"/>
                <w:color w:val="auto"/>
              </w:rPr>
            </w:pPr>
            <w:r>
              <w:rPr>
                <w:rFonts w:ascii="Arial" w:cs="Arial" w:eastAsia="Arial" w:hAnsi="Arial"/>
                <w:sz w:val="18"/>
                <w:szCs w:val="18"/>
                <w:color w:val="auto"/>
              </w:rPr>
              <w:t>Accrued interest</w:t>
            </w:r>
          </w:p>
        </w:tc>
        <w:tc>
          <w:tcPr>
            <w:tcW w:w="154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1,499</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3,836,658</w:t>
            </w:r>
          </w:p>
        </w:tc>
        <w:tc>
          <w:tcPr>
            <w:tcW w:w="280" w:type="dxa"/>
            <w:vAlign w:val="bottom"/>
            <w:tcBorders>
              <w:bottom w:val="single" w:sz="8" w:color="CCFFCC"/>
            </w:tcBorders>
            <w:shd w:val="clear" w:color="auto" w:fill="CCFFCC"/>
          </w:tcPr>
          <w:p>
            <w:pPr>
              <w:spacing w:after="0"/>
              <w:rPr>
                <w:sz w:val="22"/>
                <w:szCs w:val="22"/>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3,766,171</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520" w:hanging="484"/>
        <w:spacing w:after="0" w:line="286" w:lineRule="auto"/>
        <w:tabs>
          <w:tab w:leader="none" w:pos="11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As of December 31, 2009 and 2008, cash and due from banks balances include approximately US$2,605.1 and US$2,488.7 million, respectively, mainly from Banco de Crédito del Perú (BCP), which represent the legal reserve that Peruvian banks must maintain for its obligations with the public, and are within the limits established by prevailing Peruvian legislation at those dates.</w:t>
      </w:r>
    </w:p>
    <w:p>
      <w:pPr>
        <w:spacing w:after="0" w:line="192" w:lineRule="exact"/>
        <w:rPr>
          <w:rFonts w:ascii="Arial" w:cs="Arial" w:eastAsia="Arial" w:hAnsi="Arial"/>
          <w:sz w:val="17"/>
          <w:szCs w:val="17"/>
          <w:color w:val="auto"/>
        </w:rPr>
      </w:pPr>
    </w:p>
    <w:p>
      <w:pPr>
        <w:ind w:left="1140"/>
        <w:spacing w:after="0" w:line="259" w:lineRule="auto"/>
        <w:rPr>
          <w:rFonts w:ascii="Arial" w:cs="Arial" w:eastAsia="Arial" w:hAnsi="Arial"/>
          <w:sz w:val="17"/>
          <w:szCs w:val="17"/>
          <w:color w:val="auto"/>
        </w:rPr>
      </w:pPr>
      <w:r>
        <w:rPr>
          <w:rFonts w:ascii="Arial" w:cs="Arial" w:eastAsia="Arial" w:hAnsi="Arial"/>
          <w:sz w:val="18"/>
          <w:szCs w:val="18"/>
          <w:color w:val="auto"/>
        </w:rPr>
        <w:t>The legal reserve funds maintained with BCRP are not interest-bearing, except for the part of the mandatory reserve in U.S. Dollars that exceeds the minimum legal reserve. As of December 31, 2009, this excess amounts to approximately US$1,790.8 million and bears interest in U.S. Dollars at an average annual interest rate of 0.14 percent (approximately US$1,601.6 million and 0.4 percent, respectively as of December 31, 2008).</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0" w:lineRule="exact"/>
        <w:rPr>
          <w:sz w:val="20"/>
          <w:szCs w:val="20"/>
          <w:color w:val="auto"/>
        </w:rPr>
      </w:pPr>
    </w:p>
    <w:p>
      <w:pPr>
        <w:spacing w:after="0" w:line="279" w:lineRule="exact"/>
        <w:rPr>
          <w:sz w:val="20"/>
          <w:szCs w:val="20"/>
          <w:color w:val="auto"/>
        </w:rPr>
      </w:pPr>
    </w:p>
    <w:p>
      <w:pPr>
        <w:ind w:left="660" w:hanging="652"/>
        <w:spacing w:after="0"/>
        <w:tabs>
          <w:tab w:leader="none" w:pos="6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available-for-sale</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2009</w:t>
            </w:r>
          </w:p>
        </w:tc>
        <w:tc>
          <w:tcPr>
            <w:tcW w:w="9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3"/>
                <w:szCs w:val="13"/>
                <w:b w:val="1"/>
                <w:bCs w:val="1"/>
                <w:color w:val="auto"/>
              </w:rPr>
              <w:t>2008</w:t>
            </w: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91"/>
              </w:rPr>
              <w:t>Amortized</w:t>
            </w:r>
          </w:p>
        </w:tc>
        <w:tc>
          <w:tcPr>
            <w:tcW w:w="2320" w:type="dxa"/>
            <w:vAlign w:val="bottom"/>
            <w:gridSpan w:val="4"/>
          </w:tcPr>
          <w:p>
            <w:pPr>
              <w:jc w:val="right"/>
              <w:ind w:right="600"/>
              <w:spacing w:after="0" w:line="135" w:lineRule="exact"/>
              <w:rPr>
                <w:sz w:val="20"/>
                <w:szCs w:val="20"/>
                <w:color w:val="auto"/>
              </w:rPr>
            </w:pPr>
            <w:r>
              <w:rPr>
                <w:rFonts w:ascii="Arial" w:cs="Arial" w:eastAsia="Arial" w:hAnsi="Arial"/>
                <w:sz w:val="13"/>
                <w:szCs w:val="13"/>
                <w:b w:val="1"/>
                <w:bCs w:val="1"/>
                <w:color w:val="auto"/>
              </w:rPr>
              <w:t>Unrealized gross amount</w:t>
            </w: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6"/>
              </w:rPr>
              <w:t>Estimated</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8"/>
              </w:rPr>
              <w:t>Amortized</w:t>
            </w:r>
          </w:p>
        </w:tc>
        <w:tc>
          <w:tcPr>
            <w:tcW w:w="224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Unrealized gross amount</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0"/>
              </w:rPr>
              <w:t>Estimated</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gridSpan w:val="2"/>
          </w:tcPr>
          <w:p>
            <w:pPr>
              <w:jc w:val="center"/>
              <w:ind w:right="240"/>
              <w:spacing w:after="0" w:line="139" w:lineRule="exact"/>
              <w:rPr>
                <w:sz w:val="20"/>
                <w:szCs w:val="20"/>
                <w:color w:val="auto"/>
              </w:rPr>
            </w:pPr>
            <w:r>
              <w:rPr>
                <w:rFonts w:ascii="Arial" w:cs="Arial" w:eastAsia="Arial" w:hAnsi="Arial"/>
                <w:sz w:val="13"/>
                <w:szCs w:val="13"/>
                <w:b w:val="1"/>
                <w:bCs w:val="1"/>
                <w:color w:val="auto"/>
                <w:w w:val="82"/>
              </w:rPr>
              <w:t>cost</w:t>
            </w:r>
          </w:p>
        </w:tc>
        <w:tc>
          <w:tcPr>
            <w:tcW w:w="1180" w:type="dxa"/>
            <w:vAlign w:val="bottom"/>
            <w:gridSpan w:val="2"/>
          </w:tcPr>
          <w:p>
            <w:pPr>
              <w:jc w:val="center"/>
              <w:ind w:right="260"/>
              <w:spacing w:after="0" w:line="139" w:lineRule="exact"/>
              <w:rPr>
                <w:sz w:val="20"/>
                <w:szCs w:val="20"/>
                <w:color w:val="auto"/>
              </w:rPr>
            </w:pPr>
            <w:r>
              <w:rPr>
                <w:rFonts w:ascii="Arial" w:cs="Arial" w:eastAsia="Arial" w:hAnsi="Arial"/>
                <w:sz w:val="13"/>
                <w:szCs w:val="13"/>
                <w:b w:val="1"/>
                <w:bCs w:val="1"/>
                <w:color w:val="auto"/>
                <w:w w:val="88"/>
              </w:rPr>
              <w:t>Gains</w:t>
            </w:r>
          </w:p>
        </w:tc>
        <w:tc>
          <w:tcPr>
            <w:tcW w:w="1140" w:type="dxa"/>
            <w:vAlign w:val="bottom"/>
            <w:gridSpan w:val="2"/>
          </w:tcPr>
          <w:p>
            <w:pPr>
              <w:jc w:val="right"/>
              <w:ind w:right="420"/>
              <w:spacing w:after="0" w:line="139" w:lineRule="exact"/>
              <w:rPr>
                <w:sz w:val="20"/>
                <w:szCs w:val="20"/>
                <w:color w:val="auto"/>
              </w:rPr>
            </w:pPr>
            <w:r>
              <w:rPr>
                <w:rFonts w:ascii="Arial" w:cs="Arial" w:eastAsia="Arial" w:hAnsi="Arial"/>
                <w:sz w:val="13"/>
                <w:szCs w:val="13"/>
                <w:b w:val="1"/>
                <w:bCs w:val="1"/>
                <w:color w:val="auto"/>
              </w:rPr>
              <w:t>Losses (b)</w:t>
            </w:r>
          </w:p>
        </w:tc>
        <w:tc>
          <w:tcPr>
            <w:tcW w:w="112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91"/>
              </w:rPr>
              <w:t>fair value</w:t>
            </w:r>
          </w:p>
        </w:tc>
        <w:tc>
          <w:tcPr>
            <w:tcW w:w="1120" w:type="dxa"/>
            <w:vAlign w:val="bottom"/>
            <w:gridSpan w:val="2"/>
          </w:tcPr>
          <w:p>
            <w:pPr>
              <w:jc w:val="center"/>
              <w:ind w:right="200"/>
              <w:spacing w:after="0" w:line="139" w:lineRule="exact"/>
              <w:rPr>
                <w:sz w:val="20"/>
                <w:szCs w:val="20"/>
                <w:color w:val="auto"/>
              </w:rPr>
            </w:pPr>
            <w:r>
              <w:rPr>
                <w:rFonts w:ascii="Arial" w:cs="Arial" w:eastAsia="Arial" w:hAnsi="Arial"/>
                <w:sz w:val="13"/>
                <w:szCs w:val="13"/>
                <w:b w:val="1"/>
                <w:bCs w:val="1"/>
                <w:color w:val="auto"/>
                <w:w w:val="74"/>
              </w:rPr>
              <w:t>cost</w:t>
            </w:r>
          </w:p>
        </w:tc>
        <w:tc>
          <w:tcPr>
            <w:tcW w:w="1220" w:type="dxa"/>
            <w:vAlign w:val="bottom"/>
            <w:gridSpan w:val="3"/>
          </w:tcPr>
          <w:p>
            <w:pPr>
              <w:jc w:val="center"/>
              <w:ind w:right="300"/>
              <w:spacing w:after="0" w:line="139" w:lineRule="exact"/>
              <w:rPr>
                <w:sz w:val="20"/>
                <w:szCs w:val="20"/>
                <w:color w:val="auto"/>
              </w:rPr>
            </w:pPr>
            <w:r>
              <w:rPr>
                <w:rFonts w:ascii="Arial" w:cs="Arial" w:eastAsia="Arial" w:hAnsi="Arial"/>
                <w:sz w:val="13"/>
                <w:szCs w:val="13"/>
                <w:b w:val="1"/>
                <w:bCs w:val="1"/>
                <w:color w:val="auto"/>
                <w:w w:val="88"/>
              </w:rPr>
              <w:t>Gains</w:t>
            </w:r>
          </w:p>
        </w:tc>
        <w:tc>
          <w:tcPr>
            <w:tcW w:w="1020" w:type="dxa"/>
            <w:vAlign w:val="bottom"/>
            <w:gridSpan w:val="2"/>
          </w:tcPr>
          <w:p>
            <w:pPr>
              <w:jc w:val="right"/>
              <w:ind w:right="400"/>
              <w:spacing w:after="0" w:line="139" w:lineRule="exact"/>
              <w:rPr>
                <w:sz w:val="20"/>
                <w:szCs w:val="20"/>
                <w:color w:val="auto"/>
              </w:rPr>
            </w:pPr>
            <w:r>
              <w:rPr>
                <w:rFonts w:ascii="Arial" w:cs="Arial" w:eastAsia="Arial" w:hAnsi="Arial"/>
                <w:sz w:val="13"/>
                <w:szCs w:val="13"/>
                <w:b w:val="1"/>
                <w:bCs w:val="1"/>
                <w:color w:val="auto"/>
                <w:w w:val="92"/>
              </w:rPr>
              <w:t>Losses (b)</w:t>
            </w:r>
          </w:p>
        </w:tc>
        <w:tc>
          <w:tcPr>
            <w:tcW w:w="1020" w:type="dxa"/>
            <w:vAlign w:val="bottom"/>
            <w:gridSpan w:val="2"/>
          </w:tcPr>
          <w:p>
            <w:pPr>
              <w:jc w:val="center"/>
              <w:ind w:right="100"/>
              <w:spacing w:after="0" w:line="139" w:lineRule="exact"/>
              <w:rPr>
                <w:sz w:val="20"/>
                <w:szCs w:val="20"/>
                <w:color w:val="auto"/>
              </w:rPr>
            </w:pPr>
            <w:r>
              <w:rPr>
                <w:rFonts w:ascii="Arial" w:cs="Arial" w:eastAsia="Arial" w:hAnsi="Arial"/>
                <w:sz w:val="13"/>
                <w:szCs w:val="13"/>
                <w:b w:val="1"/>
                <w:bCs w:val="1"/>
                <w:color w:val="auto"/>
                <w:w w:val="91"/>
              </w:rPr>
              <w:t>fair value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US$(000)</w:t>
            </w:r>
          </w:p>
        </w:tc>
        <w:tc>
          <w:tcPr>
            <w:tcW w:w="1180" w:type="dxa"/>
            <w:vAlign w:val="bottom"/>
            <w:gridSpan w:val="2"/>
          </w:tcPr>
          <w:p>
            <w:pPr>
              <w:jc w:val="center"/>
              <w:ind w:right="240"/>
              <w:spacing w:after="0"/>
              <w:rPr>
                <w:sz w:val="20"/>
                <w:szCs w:val="20"/>
                <w:color w:val="auto"/>
              </w:rPr>
            </w:pPr>
            <w:r>
              <w:rPr>
                <w:rFonts w:ascii="Arial" w:cs="Arial" w:eastAsia="Arial" w:hAnsi="Arial"/>
                <w:sz w:val="13"/>
                <w:szCs w:val="13"/>
                <w:color w:val="auto"/>
                <w:w w:val="89"/>
              </w:rPr>
              <w:t>US$(000)</w:t>
            </w:r>
          </w:p>
        </w:tc>
        <w:tc>
          <w:tcPr>
            <w:tcW w:w="1140" w:type="dxa"/>
            <w:vAlign w:val="bottom"/>
            <w:gridSpan w:val="2"/>
          </w:tcPr>
          <w:p>
            <w:pPr>
              <w:jc w:val="right"/>
              <w:ind w:right="440"/>
              <w:spacing w:after="0"/>
              <w:rPr>
                <w:sz w:val="20"/>
                <w:szCs w:val="20"/>
                <w:color w:val="auto"/>
              </w:rPr>
            </w:pPr>
            <w:r>
              <w:rPr>
                <w:rFonts w:ascii="Arial" w:cs="Arial" w:eastAsia="Arial" w:hAnsi="Arial"/>
                <w:sz w:val="13"/>
                <w:szCs w:val="13"/>
                <w:color w:val="auto"/>
              </w:rPr>
              <w:t>US$(000)</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US$(000)</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color w:val="auto"/>
                <w:w w:val="89"/>
              </w:rPr>
              <w:t>US$(000)</w:t>
            </w:r>
          </w:p>
        </w:tc>
        <w:tc>
          <w:tcPr>
            <w:tcW w:w="1220" w:type="dxa"/>
            <w:vAlign w:val="bottom"/>
            <w:gridSpan w:val="3"/>
          </w:tcPr>
          <w:p>
            <w:pPr>
              <w:jc w:val="center"/>
              <w:ind w:right="320"/>
              <w:spacing w:after="0"/>
              <w:rPr>
                <w:sz w:val="20"/>
                <w:szCs w:val="20"/>
                <w:color w:val="auto"/>
              </w:rPr>
            </w:pPr>
            <w:r>
              <w:rPr>
                <w:rFonts w:ascii="Arial" w:cs="Arial" w:eastAsia="Arial" w:hAnsi="Arial"/>
                <w:sz w:val="13"/>
                <w:szCs w:val="13"/>
                <w:color w:val="auto"/>
                <w:w w:val="89"/>
              </w:rPr>
              <w:t>US$(000)</w:t>
            </w:r>
          </w:p>
        </w:tc>
        <w:tc>
          <w:tcPr>
            <w:tcW w:w="1020" w:type="dxa"/>
            <w:vAlign w:val="bottom"/>
            <w:gridSpan w:val="2"/>
          </w:tcPr>
          <w:p>
            <w:pPr>
              <w:jc w:val="right"/>
              <w:ind w:right="420"/>
              <w:spacing w:after="0"/>
              <w:rPr>
                <w:sz w:val="20"/>
                <w:szCs w:val="20"/>
                <w:color w:val="auto"/>
              </w:rPr>
            </w:pPr>
            <w:r>
              <w:rPr>
                <w:rFonts w:ascii="Arial" w:cs="Arial" w:eastAsia="Arial" w:hAnsi="Arial"/>
                <w:sz w:val="13"/>
                <w:szCs w:val="13"/>
                <w:color w:val="auto"/>
              </w:rPr>
              <w:t>US$(000)</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color w:val="auto"/>
                <w:w w:val="86"/>
              </w:rPr>
              <w:t>US$(000)</w:t>
            </w: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24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Fixed maturity -</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BCRP certificates of deposit (d)</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1,545,343</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386</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1,545,705</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2,209,460</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2,939</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(3,457)</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2,208,942</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5"/>
              </w:rPr>
              <w:t>Corporate, leasing and subordinated bonds</w:t>
            </w: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3"/>
                <w:szCs w:val="13"/>
                <w:color w:val="auto"/>
              </w:rPr>
              <w:t>(e)</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1,440,006</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54,932</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(9,302)</w:t>
            </w:r>
          </w:p>
        </w:tc>
        <w:tc>
          <w:tcPr>
            <w:tcW w:w="900" w:type="dxa"/>
            <w:vAlign w:val="bottom"/>
            <w:shd w:val="clear" w:color="auto" w:fill="CCFFCC"/>
          </w:tcPr>
          <w:p>
            <w:pPr>
              <w:jc w:val="right"/>
              <w:spacing w:after="0"/>
              <w:rPr>
                <w:sz w:val="20"/>
                <w:szCs w:val="20"/>
                <w:color w:val="auto"/>
              </w:rPr>
            </w:pPr>
            <w:r>
              <w:rPr>
                <w:rFonts w:ascii="Arial" w:cs="Arial" w:eastAsia="Arial" w:hAnsi="Arial"/>
                <w:sz w:val="13"/>
                <w:szCs w:val="13"/>
                <w:color w:val="auto"/>
              </w:rPr>
              <w:t>1,485,636</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947,991</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16,015</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(58,109)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905,897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Government’s treasury bonds (f)</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904,424</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103,787</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(438)</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1,007,773</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833,153</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57,678</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(10,231)</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880,600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Central Bank of Bolivia certificates of</w:t>
            </w: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3"/>
                <w:szCs w:val="13"/>
                <w:color w:val="auto"/>
              </w:rPr>
              <w:t>deposit (g)</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111,102</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793</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111,895</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217,516</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3"/>
                <w:szCs w:val="13"/>
                <w:color w:val="auto"/>
              </w:rPr>
              <w:t>115</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(81)</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217,550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Participations in mutual funds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167,052</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7,726</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(240)</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174,538</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97,234</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2,189</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(2,479)</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96,944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6"/>
              </w:rPr>
              <w:t>Collateralized mortgage obligations (CMO)</w:t>
            </w: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160"/>
              <w:spacing w:after="0"/>
              <w:rPr>
                <w:sz w:val="20"/>
                <w:szCs w:val="20"/>
                <w:color w:val="auto"/>
              </w:rPr>
            </w:pPr>
            <w:r>
              <w:rPr>
                <w:rFonts w:ascii="Arial" w:cs="Arial" w:eastAsia="Arial" w:hAnsi="Arial"/>
                <w:sz w:val="13"/>
                <w:szCs w:val="13"/>
                <w:color w:val="auto"/>
              </w:rPr>
              <w:t>(h)</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67,810</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3"/>
                <w:szCs w:val="13"/>
                <w:color w:val="auto"/>
              </w:rPr>
              <w:t>15</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3"/>
                <w:szCs w:val="13"/>
                <w:color w:val="auto"/>
              </w:rPr>
              <w:t>(5,092)</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62,733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3"/>
                <w:szCs w:val="13"/>
                <w:color w:val="auto"/>
              </w:rPr>
              <w:t>96,256</w:t>
            </w:r>
          </w:p>
        </w:tc>
        <w:tc>
          <w:tcPr>
            <w:tcW w:w="920" w:type="dxa"/>
            <w:vAlign w:val="bottom"/>
            <w:shd w:val="clear" w:color="auto" w:fill="CCFFCC"/>
          </w:tcPr>
          <w:p>
            <w:pPr>
              <w:jc w:val="right"/>
              <w:spacing w:after="0"/>
              <w:rPr>
                <w:sz w:val="20"/>
                <w:szCs w:val="20"/>
                <w:color w:val="auto"/>
              </w:rPr>
            </w:pPr>
            <w:r>
              <w:rPr>
                <w:rFonts w:ascii="Arial" w:cs="Arial" w:eastAsia="Arial" w:hAnsi="Arial"/>
                <w:sz w:val="13"/>
                <w:szCs w:val="13"/>
                <w:color w:val="auto"/>
              </w:rPr>
              <w:t>46</w:t>
            </w: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(22,375)</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3"/>
                <w:szCs w:val="13"/>
                <w:color w:val="auto"/>
              </w:rPr>
              <w:t>73,927</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tcPr>
          <w:p>
            <w:pPr>
              <w:spacing w:after="0" w:line="121" w:lineRule="exact"/>
              <w:rPr>
                <w:sz w:val="20"/>
                <w:szCs w:val="20"/>
                <w:color w:val="auto"/>
              </w:rPr>
            </w:pPr>
            <w:r>
              <w:rPr>
                <w:rFonts w:ascii="Arial" w:cs="Arial" w:eastAsia="Arial" w:hAnsi="Arial"/>
                <w:sz w:val="13"/>
                <w:szCs w:val="13"/>
                <w:color w:val="auto"/>
                <w:w w:val="94"/>
              </w:rPr>
              <w:t>US Government – Agencies and Sponsored</w:t>
            </w: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160"/>
              <w:spacing w:after="0"/>
              <w:rPr>
                <w:sz w:val="20"/>
                <w:szCs w:val="20"/>
                <w:color w:val="auto"/>
              </w:rPr>
            </w:pPr>
            <w:r>
              <w:rPr>
                <w:rFonts w:ascii="Arial" w:cs="Arial" w:eastAsia="Arial" w:hAnsi="Arial"/>
                <w:sz w:val="13"/>
                <w:szCs w:val="13"/>
                <w:color w:val="auto"/>
              </w:rPr>
              <w:t>Enterprises (i)</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16,824</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540</w:t>
            </w: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17,364</w:t>
            </w:r>
          </w:p>
        </w:tc>
        <w:tc>
          <w:tcPr>
            <w:tcW w:w="1120" w:type="dxa"/>
            <w:vAlign w:val="bottom"/>
            <w:gridSpan w:val="2"/>
          </w:tcPr>
          <w:p>
            <w:pPr>
              <w:jc w:val="right"/>
              <w:ind w:right="220"/>
              <w:spacing w:after="0"/>
              <w:rPr>
                <w:sz w:val="20"/>
                <w:szCs w:val="20"/>
                <w:color w:val="auto"/>
              </w:rPr>
            </w:pPr>
            <w:r>
              <w:rPr>
                <w:rFonts w:ascii="Arial" w:cs="Arial" w:eastAsia="Arial" w:hAnsi="Arial"/>
                <w:sz w:val="13"/>
                <w:szCs w:val="13"/>
                <w:color w:val="auto"/>
              </w:rPr>
              <w:t>41,000</w:t>
            </w:r>
          </w:p>
        </w:tc>
        <w:tc>
          <w:tcPr>
            <w:tcW w:w="1120" w:type="dxa"/>
            <w:vAlign w:val="bottom"/>
            <w:gridSpan w:val="2"/>
          </w:tcPr>
          <w:p>
            <w:pPr>
              <w:jc w:val="right"/>
              <w:ind w:right="200"/>
              <w:spacing w:after="0"/>
              <w:rPr>
                <w:sz w:val="20"/>
                <w:szCs w:val="20"/>
                <w:color w:val="auto"/>
              </w:rPr>
            </w:pPr>
            <w:r>
              <w:rPr>
                <w:rFonts w:ascii="Arial" w:cs="Arial" w:eastAsia="Arial" w:hAnsi="Arial"/>
                <w:sz w:val="13"/>
                <w:szCs w:val="13"/>
                <w:color w:val="auto"/>
              </w:rPr>
              <w:t>3,718</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(67)</w:t>
            </w:r>
          </w:p>
        </w:tc>
        <w:tc>
          <w:tcPr>
            <w:tcW w:w="1020" w:type="dxa"/>
            <w:vAlign w:val="bottom"/>
            <w:gridSpan w:val="2"/>
          </w:tcPr>
          <w:p>
            <w:pPr>
              <w:jc w:val="right"/>
              <w:ind w:right="100"/>
              <w:spacing w:after="0"/>
              <w:rPr>
                <w:sz w:val="20"/>
                <w:szCs w:val="20"/>
                <w:color w:val="auto"/>
              </w:rPr>
            </w:pPr>
            <w:r>
              <w:rPr>
                <w:rFonts w:ascii="Arial" w:cs="Arial" w:eastAsia="Arial" w:hAnsi="Arial"/>
                <w:sz w:val="13"/>
                <w:szCs w:val="13"/>
                <w:color w:val="auto"/>
              </w:rPr>
              <w:t>44,651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Restricted mutual funds (j)</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53,104</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18,976</w:t>
            </w:r>
          </w:p>
        </w:tc>
        <w:tc>
          <w:tcPr>
            <w:tcW w:w="11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72,080</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49,775</w:t>
            </w:r>
          </w:p>
        </w:tc>
        <w:tc>
          <w:tcPr>
            <w:tcW w:w="11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1,887</w:t>
            </w:r>
          </w:p>
        </w:tc>
        <w:tc>
          <w:tcPr>
            <w:tcW w:w="1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51,662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Participation in RAL’s funds (k)</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83,898</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83,898</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73,268</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73,268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Negotiable certificates of deposit</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24,126</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2,337</w:t>
            </w:r>
          </w:p>
        </w:tc>
        <w:tc>
          <w:tcPr>
            <w:tcW w:w="11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26,463</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41,628</w:t>
            </w:r>
          </w:p>
        </w:tc>
        <w:tc>
          <w:tcPr>
            <w:tcW w:w="11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1,003</w:t>
            </w:r>
          </w:p>
        </w:tc>
        <w:tc>
          <w:tcPr>
            <w:tcW w:w="1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(76)</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42,555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Hedge funds</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10,811</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3,691</w:t>
            </w:r>
          </w:p>
        </w:tc>
        <w:tc>
          <w:tcPr>
            <w:tcW w:w="114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14,502</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31,742</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2,920</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(284)</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34,378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Bonds of international financial entities</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66,267</w:t>
            </w:r>
          </w:p>
        </w:tc>
        <w:tc>
          <w:tcPr>
            <w:tcW w:w="1180" w:type="dxa"/>
            <w:vAlign w:val="bottom"/>
            <w:gridSpan w:val="2"/>
            <w:shd w:val="clear" w:color="auto" w:fill="CCFFCC"/>
          </w:tcPr>
          <w:p>
            <w:pPr>
              <w:jc w:val="right"/>
              <w:ind w:right="240"/>
              <w:spacing w:after="0" w:line="135" w:lineRule="exact"/>
              <w:rPr>
                <w:sz w:val="20"/>
                <w:szCs w:val="20"/>
                <w:color w:val="auto"/>
              </w:rPr>
            </w:pPr>
            <w:r>
              <w:rPr>
                <w:rFonts w:ascii="Arial" w:cs="Arial" w:eastAsia="Arial" w:hAnsi="Arial"/>
                <w:sz w:val="13"/>
                <w:szCs w:val="13"/>
                <w:color w:val="auto"/>
              </w:rPr>
              <w:t>2,811</w:t>
            </w:r>
          </w:p>
        </w:tc>
        <w:tc>
          <w:tcPr>
            <w:tcW w:w="114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69,078</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34,799</w:t>
            </w:r>
          </w:p>
        </w:tc>
        <w:tc>
          <w:tcPr>
            <w:tcW w:w="11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116</w:t>
            </w:r>
          </w:p>
        </w:tc>
        <w:tc>
          <w:tcPr>
            <w:tcW w:w="1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(587)</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34,328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Other</w:t>
            </w: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24,933</w:t>
            </w:r>
          </w:p>
        </w:tc>
        <w:tc>
          <w:tcPr>
            <w:tcW w:w="24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674</w:t>
            </w:r>
          </w:p>
        </w:tc>
        <w:tc>
          <w:tcPr>
            <w:tcW w:w="240" w:type="dxa"/>
            <w:vAlign w:val="bottom"/>
          </w:tcPr>
          <w:p>
            <w:pPr>
              <w:spacing w:after="0"/>
              <w:rPr>
                <w:sz w:val="11"/>
                <w:szCs w:val="11"/>
                <w:color w:val="auto"/>
              </w:rPr>
            </w:pP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(9)</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25,598</w:t>
            </w: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30,892</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(770)</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30,127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4,515,700</w:t>
            </w: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196,668</w:t>
            </w:r>
          </w:p>
        </w:tc>
        <w:tc>
          <w:tcPr>
            <w:tcW w:w="240" w:type="dxa"/>
            <w:vAlign w:val="bottom"/>
            <w:shd w:val="clear" w:color="auto" w:fill="CCFFCC"/>
          </w:tcPr>
          <w:p>
            <w:pPr>
              <w:spacing w:after="0"/>
              <w:rPr>
                <w:sz w:val="11"/>
                <w:szCs w:val="11"/>
                <w:color w:val="auto"/>
              </w:rPr>
            </w:pPr>
          </w:p>
        </w:tc>
        <w:tc>
          <w:tcPr>
            <w:tcW w:w="11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(15,105)</w:t>
            </w:r>
          </w:p>
        </w:tc>
        <w:tc>
          <w:tcPr>
            <w:tcW w:w="90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4,697,263</w:t>
            </w:r>
          </w:p>
        </w:tc>
        <w:tc>
          <w:tcPr>
            <w:tcW w:w="22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4,704,714</w:t>
            </w:r>
          </w:p>
        </w:tc>
        <w:tc>
          <w:tcPr>
            <w:tcW w:w="11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88,631</w:t>
            </w:r>
          </w:p>
        </w:tc>
        <w:tc>
          <w:tcPr>
            <w:tcW w:w="1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(98,516)</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4,694,829</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Shares -</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Listed securities (l)</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106,071</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185,412</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(1,304)</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290,179</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101,593</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109,032</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(5,936)</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204,689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Not-listed securities</w:t>
            </w:r>
          </w:p>
        </w:tc>
        <w:tc>
          <w:tcPr>
            <w:tcW w:w="9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35,464</w:t>
            </w: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5,284</w:t>
            </w:r>
          </w:p>
        </w:tc>
        <w:tc>
          <w:tcPr>
            <w:tcW w:w="240" w:type="dxa"/>
            <w:vAlign w:val="bottom"/>
            <w:shd w:val="clear" w:color="auto" w:fill="CCFFCC"/>
          </w:tcPr>
          <w:p>
            <w:pPr>
              <w:spacing w:after="0"/>
              <w:rPr>
                <w:sz w:val="11"/>
                <w:szCs w:val="11"/>
                <w:color w:val="auto"/>
              </w:rPr>
            </w:pPr>
          </w:p>
        </w:tc>
        <w:tc>
          <w:tcPr>
            <w:tcW w:w="114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(194)</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40,554</w:t>
            </w:r>
          </w:p>
        </w:tc>
        <w:tc>
          <w:tcPr>
            <w:tcW w:w="112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6,242</w:t>
            </w:r>
          </w:p>
        </w:tc>
        <w:tc>
          <w:tcPr>
            <w:tcW w:w="112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1,761</w:t>
            </w:r>
          </w:p>
        </w:tc>
        <w:tc>
          <w:tcPr>
            <w:tcW w:w="1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(3)</w:t>
            </w:r>
          </w:p>
        </w:tc>
        <w:tc>
          <w:tcPr>
            <w:tcW w:w="10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8,000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141,535</w:t>
            </w:r>
          </w:p>
        </w:tc>
        <w:tc>
          <w:tcPr>
            <w:tcW w:w="240" w:type="dxa"/>
            <w:vAlign w:val="bottom"/>
          </w:tcPr>
          <w:p>
            <w:pPr>
              <w:spacing w:after="0"/>
              <w:rPr>
                <w:sz w:val="12"/>
                <w:szCs w:val="12"/>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190,696</w:t>
            </w:r>
          </w:p>
        </w:tc>
        <w:tc>
          <w:tcPr>
            <w:tcW w:w="240" w:type="dxa"/>
            <w:vAlign w:val="bottom"/>
          </w:tcPr>
          <w:p>
            <w:pPr>
              <w:spacing w:after="0"/>
              <w:rPr>
                <w:sz w:val="12"/>
                <w:szCs w:val="12"/>
                <w:color w:val="auto"/>
              </w:rPr>
            </w:pP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(1,498)</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330,733</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107,835</w:t>
            </w:r>
          </w:p>
        </w:tc>
        <w:tc>
          <w:tcPr>
            <w:tcW w:w="920" w:type="dxa"/>
            <w:vAlign w:val="bottom"/>
          </w:tcPr>
          <w:p>
            <w:pPr>
              <w:jc w:val="right"/>
              <w:spacing w:after="0" w:line="135" w:lineRule="exact"/>
              <w:rPr>
                <w:sz w:val="20"/>
                <w:szCs w:val="20"/>
                <w:color w:val="auto"/>
              </w:rPr>
            </w:pPr>
            <w:r>
              <w:rPr>
                <w:rFonts w:ascii="Arial" w:cs="Arial" w:eastAsia="Arial" w:hAnsi="Arial"/>
                <w:sz w:val="13"/>
                <w:szCs w:val="13"/>
                <w:color w:val="auto"/>
              </w:rPr>
              <w:t>110,793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(5,939)</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212,689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tcBorders>
              <w:top w:val="single" w:sz="8" w:color="auto"/>
            </w:tcBorders>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tcBorders>
              <w:top w:val="single" w:sz="8" w:color="auto"/>
            </w:tcBorders>
            <w:shd w:val="clear" w:color="auto" w:fill="CCFFCC"/>
          </w:tcPr>
          <w:p>
            <w:pPr>
              <w:spacing w:after="0"/>
              <w:rPr>
                <w:sz w:val="11"/>
                <w:szCs w:val="11"/>
                <w:color w:val="auto"/>
              </w:rPr>
            </w:pPr>
          </w:p>
        </w:tc>
        <w:tc>
          <w:tcPr>
            <w:tcW w:w="820" w:type="dxa"/>
            <w:vAlign w:val="bottom"/>
            <w:tcBorders>
              <w:top w:val="single" w:sz="8" w:color="auto"/>
            </w:tcBorders>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4,657,235</w:t>
            </w:r>
          </w:p>
        </w:tc>
        <w:tc>
          <w:tcPr>
            <w:tcW w:w="118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387,364</w:t>
            </w:r>
          </w:p>
        </w:tc>
        <w:tc>
          <w:tcPr>
            <w:tcW w:w="11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(16,603)</w:t>
            </w: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5,027,996</w:t>
            </w:r>
          </w:p>
        </w:tc>
        <w:tc>
          <w:tcPr>
            <w:tcW w:w="220" w:type="dxa"/>
            <w:vAlign w:val="bottom"/>
          </w:tcPr>
          <w:p>
            <w:pPr>
              <w:spacing w:after="0"/>
              <w:rPr>
                <w:sz w:val="11"/>
                <w:szCs w:val="11"/>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4,812,549</w:t>
            </w:r>
          </w:p>
        </w:tc>
        <w:tc>
          <w:tcPr>
            <w:tcW w:w="11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199,424</w:t>
            </w:r>
          </w:p>
        </w:tc>
        <w:tc>
          <w:tcPr>
            <w:tcW w:w="10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(104,455)</w:t>
            </w: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4,907,518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Accrued interest</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51,610</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43,236</w:t>
            </w: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240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tcBorders>
              <w:top w:val="single" w:sz="8" w:color="auto"/>
            </w:tcBorders>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Total</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spacing w:after="0" w:line="135" w:lineRule="exact"/>
              <w:rPr>
                <w:sz w:val="20"/>
                <w:szCs w:val="20"/>
                <w:color w:val="auto"/>
              </w:rPr>
            </w:pPr>
            <w:r>
              <w:rPr>
                <w:rFonts w:ascii="Arial" w:cs="Arial" w:eastAsia="Arial" w:hAnsi="Arial"/>
                <w:sz w:val="13"/>
                <w:szCs w:val="13"/>
                <w:color w:val="auto"/>
              </w:rPr>
              <w:t>5,079,606</w:t>
            </w: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4,950,754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 w:hanging="484"/>
        <w:spacing w:after="0" w:line="264" w:lineRule="auto"/>
        <w:tabs>
          <w:tab w:leader="none" w:pos="114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Credicorp’s Management has determined that the unrealized losses as of December 31, 2009 and 2008 are of temporary nature. Management intents and has the ability to hold each investment for a period of time sufficient to allow for an anticipated recovery in fair value, until the earlier of its anticipated recovery or maturity.</w:t>
      </w:r>
    </w:p>
    <w:p>
      <w:pPr>
        <w:spacing w:after="0" w:line="208" w:lineRule="exact"/>
        <w:rPr>
          <w:rFonts w:ascii="Arial" w:cs="Arial" w:eastAsia="Arial" w:hAnsi="Arial"/>
          <w:sz w:val="18"/>
          <w:szCs w:val="18"/>
          <w:color w:val="auto"/>
        </w:rPr>
      </w:pPr>
    </w:p>
    <w:p>
      <w:pPr>
        <w:ind w:left="1140" w:right="480"/>
        <w:spacing w:after="0" w:line="277" w:lineRule="auto"/>
        <w:rPr>
          <w:rFonts w:ascii="Arial" w:cs="Arial" w:eastAsia="Arial" w:hAnsi="Arial"/>
          <w:sz w:val="18"/>
          <w:szCs w:val="18"/>
          <w:color w:val="auto"/>
        </w:rPr>
      </w:pPr>
      <w:r>
        <w:rPr>
          <w:rFonts w:ascii="Arial" w:cs="Arial" w:eastAsia="Arial" w:hAnsi="Arial"/>
          <w:sz w:val="18"/>
          <w:szCs w:val="18"/>
          <w:color w:val="auto"/>
        </w:rPr>
        <w:t>Credicorp’s Management has considered the following criteria in determining whether a loss is temporary or not for equity investments (shares):</w:t>
      </w:r>
    </w:p>
    <w:p>
      <w:pPr>
        <w:spacing w:after="0" w:line="197" w:lineRule="exact"/>
        <w:rPr>
          <w:rFonts w:ascii="Arial" w:cs="Arial" w:eastAsia="Arial" w:hAnsi="Arial"/>
          <w:sz w:val="18"/>
          <w:szCs w:val="18"/>
          <w:color w:val="auto"/>
        </w:rPr>
      </w:pPr>
    </w:p>
    <w:p>
      <w:pPr>
        <w:ind w:left="1620" w:hanging="478"/>
        <w:spacing w:after="0"/>
        <w:tabs>
          <w:tab w:leader="none" w:pos="16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length of time and the extent to which fair value has been below cost;</w:t>
      </w:r>
    </w:p>
    <w:p>
      <w:pPr>
        <w:spacing w:after="0" w:line="23" w:lineRule="exact"/>
        <w:rPr>
          <w:rFonts w:ascii="Arial" w:cs="Arial" w:eastAsia="Arial" w:hAnsi="Arial"/>
          <w:sz w:val="18"/>
          <w:szCs w:val="18"/>
          <w:color w:val="auto"/>
        </w:rPr>
      </w:pPr>
    </w:p>
    <w:p>
      <w:pPr>
        <w:ind w:left="1620" w:hanging="478"/>
        <w:spacing w:after="0"/>
        <w:tabs>
          <w:tab w:leader="none" w:pos="16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severity of the impairment;</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the cause of the impairment and the financial condition and near-term prospects of the issuer; and</w:t>
      </w:r>
    </w:p>
    <w:p>
      <w:pPr>
        <w:spacing w:after="0" w:line="9" w:lineRule="exact"/>
        <w:rPr>
          <w:rFonts w:ascii="Arial" w:cs="Arial" w:eastAsia="Arial" w:hAnsi="Arial"/>
          <w:sz w:val="18"/>
          <w:szCs w:val="18"/>
          <w:color w:val="auto"/>
        </w:rPr>
      </w:pPr>
    </w:p>
    <w:p>
      <w:pPr>
        <w:ind w:left="1620" w:hanging="478"/>
        <w:spacing w:after="0"/>
        <w:tabs>
          <w:tab w:leader="none" w:pos="162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activity in the market of the issuer which may indicate adverse credit conditions.</w:t>
      </w:r>
    </w:p>
    <w:p>
      <w:pPr>
        <w:spacing w:after="0" w:line="238" w:lineRule="exact"/>
        <w:rPr>
          <w:sz w:val="20"/>
          <w:szCs w:val="20"/>
          <w:color w:val="auto"/>
        </w:rPr>
      </w:pPr>
    </w:p>
    <w:p>
      <w:pPr>
        <w:ind w:left="1140" w:right="140"/>
        <w:spacing w:after="0" w:line="277" w:lineRule="auto"/>
        <w:rPr>
          <w:sz w:val="20"/>
          <w:szCs w:val="20"/>
          <w:color w:val="auto"/>
        </w:rPr>
      </w:pPr>
      <w:r>
        <w:rPr>
          <w:rFonts w:ascii="Arial" w:cs="Arial" w:eastAsia="Arial" w:hAnsi="Arial"/>
          <w:sz w:val="18"/>
          <w:szCs w:val="18"/>
          <w:color w:val="auto"/>
        </w:rPr>
        <w:t>Credicorp’s Management has considered the following criteria in determining whether a loss is temporary or not for debt investments (fixed maturity):</w:t>
      </w:r>
    </w:p>
    <w:p>
      <w:pPr>
        <w:spacing w:after="0" w:line="197" w:lineRule="exact"/>
        <w:rPr>
          <w:sz w:val="20"/>
          <w:szCs w:val="20"/>
          <w:color w:val="auto"/>
        </w:rPr>
      </w:pPr>
    </w:p>
    <w:p>
      <w:pPr>
        <w:ind w:left="1620" w:right="20" w:hanging="478"/>
        <w:spacing w:after="0" w:line="255" w:lineRule="auto"/>
        <w:tabs>
          <w:tab w:leader="none" w:pos="16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Assess whether it is probable that the Group will receive all amounts due according to the contractual terms (principal and interest). The identification of credit-impaired debt investments considers a number of factors, including the nature of the debt investment and the underlying collateral, the amount of subordination or credit enhancement, published credit rating and other information, and other evidential data of the probable cash flows from the debt investment. If recovery of all amounts due is not probable; a “credit impairment” is deemed to exist, and the unrealized loss is recorded directly in the consolidated income statement. This unrealized loss recorded in income represents the debt investment decline in fair value, including the decline due to forecasted cash flow shortfalls as well as general market spread widening.</w:t>
      </w:r>
    </w:p>
    <w:p>
      <w:pPr>
        <w:spacing w:after="0" w:line="216" w:lineRule="exact"/>
        <w:rPr>
          <w:rFonts w:ascii="Arial" w:cs="Arial" w:eastAsia="Arial" w:hAnsi="Arial"/>
          <w:sz w:val="18"/>
          <w:szCs w:val="18"/>
          <w:color w:val="auto"/>
        </w:rPr>
      </w:pPr>
    </w:p>
    <w:p>
      <w:pPr>
        <w:ind w:left="1620" w:hanging="478"/>
        <w:spacing w:after="0" w:line="254" w:lineRule="auto"/>
        <w:tabs>
          <w:tab w:leader="none" w:pos="162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For debt investments with unrealized losses but not identified as impairment, Credicorp’s Management determines whether it has the positive intent and ability to hold each investment for a period of time sufficient to allow for an anticipated recovery in its amortized cost. Credicorp’s Management estimates the forecasted recovery period using current estimates of volatility in market interest rates (including liquidity and risk premiums). Management’s assertion regarding its intent and ability to hold investments considers a number of factors, including a quantitative estimate of the expected recovery period and the length of that period (which may extend to maturity), the severity of the impairment, and Credicorp’s Management intended strategy. If Credicorp’s Management does not have the intent and ability to hold the security for a sufficient time period, the unrealized loss is recorded directly in the consolidated income statement.</w:t>
      </w:r>
    </w:p>
    <w:p>
      <w:pPr>
        <w:spacing w:after="0" w:line="219" w:lineRule="exact"/>
        <w:rPr>
          <w:rFonts w:ascii="Arial" w:cs="Arial" w:eastAsia="Arial" w:hAnsi="Arial"/>
          <w:sz w:val="18"/>
          <w:szCs w:val="18"/>
          <w:color w:val="auto"/>
        </w:rPr>
      </w:pPr>
    </w:p>
    <w:p>
      <w:pPr>
        <w:ind w:left="1160" w:right="100" w:hanging="490"/>
        <w:spacing w:after="0" w:line="259" w:lineRule="auto"/>
        <w:tabs>
          <w:tab w:leader="none" w:pos="116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For the year ended December 31, 2009, as a result of the impairment assessment of its investments available-for-sale, the Group recorded an impairment amounting to US$9.8 million (US$60.4 million of gross impairment, and US$55.7 million net of deferred taxes and minority interest as of December 31, 2008), which is presented in the consolidated income statement caption “Impairment loss on available-for-sale investments”.</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movement of “Available-for-sale investments reserves”, net of deferred income tax and minority interest is presented in note 16(c).</w:t>
      </w:r>
    </w:p>
    <w:p>
      <w:pPr>
        <w:spacing w:after="0" w:line="264" w:lineRule="exact"/>
        <w:rPr>
          <w:sz w:val="20"/>
          <w:szCs w:val="20"/>
          <w:color w:val="auto"/>
        </w:rPr>
      </w:pPr>
    </w:p>
    <w:p>
      <w:pPr>
        <w:ind w:left="1140" w:right="200" w:hanging="484"/>
        <w:spacing w:after="0" w:line="264" w:lineRule="auto"/>
        <w:tabs>
          <w:tab w:leader="none" w:pos="11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BCRP certificates of deposit are discounted Nuevo Sol instruments with maturities due within one year and are acquired in public auctions. Annual effective interest rates in Peruvian currency range between 1.13 and 1.39 percent as of December 31, 2009 (between 6.55 and 7.06 annual percent as of December 31, 2008).</w:t>
      </w:r>
    </w:p>
    <w:p>
      <w:pPr>
        <w:spacing w:after="0" w:line="208" w:lineRule="exact"/>
        <w:rPr>
          <w:rFonts w:ascii="Arial" w:cs="Arial" w:eastAsia="Arial" w:hAnsi="Arial"/>
          <w:sz w:val="18"/>
          <w:szCs w:val="18"/>
          <w:color w:val="auto"/>
        </w:rPr>
      </w:pPr>
    </w:p>
    <w:p>
      <w:pPr>
        <w:ind w:left="1140" w:right="280"/>
        <w:spacing w:after="0" w:line="264" w:lineRule="auto"/>
        <w:rPr>
          <w:rFonts w:ascii="Arial" w:cs="Arial" w:eastAsia="Arial" w:hAnsi="Arial"/>
          <w:sz w:val="18"/>
          <w:szCs w:val="18"/>
          <w:color w:val="auto"/>
        </w:rPr>
      </w:pPr>
      <w:r>
        <w:rPr>
          <w:rFonts w:ascii="Arial" w:cs="Arial" w:eastAsia="Arial" w:hAnsi="Arial"/>
          <w:sz w:val="18"/>
          <w:szCs w:val="18"/>
          <w:color w:val="auto"/>
        </w:rPr>
        <w:t>As of December 31, 2008, this amount also included BCRP certificates of deposit in US$ Dollars amounting to US$1,070.7 million, with maturities between January and April 2009. These certificates accrued interests at annual effective rates that range between 0.34 and 1.55 percent.</w:t>
      </w:r>
    </w:p>
    <w:p>
      <w:pPr>
        <w:spacing w:after="0" w:line="208" w:lineRule="exact"/>
        <w:rPr>
          <w:rFonts w:ascii="Arial" w:cs="Arial" w:eastAsia="Arial" w:hAnsi="Arial"/>
          <w:sz w:val="18"/>
          <w:szCs w:val="18"/>
          <w:color w:val="auto"/>
        </w:rPr>
      </w:pPr>
    </w:p>
    <w:p>
      <w:pPr>
        <w:ind w:left="1140" w:right="160"/>
        <w:spacing w:after="0" w:line="264" w:lineRule="auto"/>
        <w:rPr>
          <w:rFonts w:ascii="Arial" w:cs="Arial" w:eastAsia="Arial" w:hAnsi="Arial"/>
          <w:sz w:val="18"/>
          <w:szCs w:val="18"/>
          <w:color w:val="auto"/>
        </w:rPr>
      </w:pPr>
      <w:r>
        <w:rPr>
          <w:rFonts w:ascii="Arial" w:cs="Arial" w:eastAsia="Arial" w:hAnsi="Arial"/>
          <w:sz w:val="18"/>
          <w:szCs w:val="18"/>
          <w:color w:val="auto"/>
        </w:rPr>
        <w:t>As of December 31, 2008, the Group entered into BCRP - Repo transactions in Peruvian currency with its clients using these securities for approximately US$294.2 million. At that date, these transactions earned an annual effective interest rate between 6.75 and 7.00 percent and with maturities between February and November 2009.</w:t>
      </w:r>
    </w:p>
    <w:p>
      <w:pPr>
        <w:spacing w:after="0" w:line="208" w:lineRule="exact"/>
        <w:rPr>
          <w:rFonts w:ascii="Arial" w:cs="Arial" w:eastAsia="Arial" w:hAnsi="Arial"/>
          <w:sz w:val="18"/>
          <w:szCs w:val="18"/>
          <w:color w:val="auto"/>
        </w:rPr>
      </w:pPr>
    </w:p>
    <w:p>
      <w:pPr>
        <w:ind w:left="1140" w:hanging="484"/>
        <w:spacing w:after="0" w:line="286" w:lineRule="auto"/>
        <w:tabs>
          <w:tab w:leader="none" w:pos="114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As of December 31, 2009 and 2008, comprise mainly corporate bonds for US$1,460.9 and US$898.4 million, respectively, with maturities between January 2010 and November 2066 (between January 2009 and November 2066 as of December 31, 2008). These bonds accrue interests at annual effective rates that range between 0.67 and 7.47 percent for the bonds denominated in Peruvian currency (between 2.81 and 8.80 percent as of December 31, 2008), and between 0.38 and 13.93 percent for the bonds denominated in U.S. Dollars (between 1.58 and</w:t>
      </w:r>
    </w:p>
    <w:p>
      <w:pPr>
        <w:spacing w:after="0" w:line="1" w:lineRule="exact"/>
        <w:rPr>
          <w:rFonts w:ascii="Arial" w:cs="Arial" w:eastAsia="Arial" w:hAnsi="Arial"/>
          <w:sz w:val="16"/>
          <w:szCs w:val="16"/>
          <w:color w:val="auto"/>
        </w:rPr>
      </w:pPr>
    </w:p>
    <w:p>
      <w:pPr>
        <w:ind w:left="1140" w:right="180"/>
        <w:spacing w:after="0" w:line="261" w:lineRule="auto"/>
        <w:rPr>
          <w:rFonts w:ascii="Arial" w:cs="Arial" w:eastAsia="Arial" w:hAnsi="Arial"/>
          <w:sz w:val="16"/>
          <w:szCs w:val="16"/>
          <w:color w:val="auto"/>
        </w:rPr>
      </w:pPr>
      <w:r>
        <w:rPr>
          <w:rFonts w:ascii="Arial" w:cs="Arial" w:eastAsia="Arial" w:hAnsi="Arial"/>
          <w:sz w:val="18"/>
          <w:szCs w:val="18"/>
          <w:color w:val="auto"/>
        </w:rPr>
        <w:t>18.4 percent as of December 31, 2008). The unrealized losses on these investments as of December 31, 2008, corresponded to 178 items of which the highest individual unrealized loss amounts to approximately US$2 million.</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20" w:hanging="484"/>
        <w:spacing w:after="0" w:line="255" w:lineRule="auto"/>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Includes principally debt instruments issued by the Peruvian Government in Euros for an equivalent of US$364.4 million, in U.S. dollars for US$257.0 million and in Nuevo Sol for an equivalent of US$165.3 million, the Colombian Government in U.S. dollars for US$89.5 million and Colombian Peso for an equivalent of US$64.3 million, and the Government of Brazil in U.S. dollars for US$19.1 million, as of December 31, 2009 (US$795.2, US$67.7 and US$4.9 million, issued by the Peruvian Government, the Colombian Government and El Salvador Government, respectively, as of December 31, 2008). Their maturities are between March 2010 and August 2046 (between January 2009 and August 2046 as of December 31, 2008) and earned interests at annual effective rates that range between 1.06 and 9.50 percent (between 2.85 and 9.15 percent as of December 31, 2008).</w:t>
      </w:r>
    </w:p>
    <w:p>
      <w:pPr>
        <w:spacing w:after="0" w:line="216" w:lineRule="exact"/>
        <w:rPr>
          <w:rFonts w:ascii="Arial" w:cs="Arial" w:eastAsia="Arial" w:hAnsi="Arial"/>
          <w:sz w:val="18"/>
          <w:szCs w:val="18"/>
          <w:color w:val="auto"/>
        </w:rPr>
      </w:pPr>
    </w:p>
    <w:p>
      <w:pPr>
        <w:ind w:left="1140" w:right="240" w:hanging="484"/>
        <w:spacing w:after="0" w:line="286" w:lineRule="auto"/>
        <w:tabs>
          <w:tab w:leader="none" w:pos="114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As of December 31, 2009 and 2008, certificates of deposit issued by the Central Bank of Bolivia are denominated in Pesos Bolivianos, had maturities between January and December 2010 and between January and July 2009, respectively, and accrued interest at annual effective rates that ranges between 1.50 and 11.77 percent and between 7.42 and 11.45 percent, respectively.</w:t>
      </w:r>
    </w:p>
    <w:p>
      <w:pPr>
        <w:spacing w:after="0" w:line="192" w:lineRule="exact"/>
        <w:rPr>
          <w:rFonts w:ascii="Arial" w:cs="Arial" w:eastAsia="Arial" w:hAnsi="Arial"/>
          <w:sz w:val="17"/>
          <w:szCs w:val="17"/>
          <w:color w:val="auto"/>
        </w:rPr>
      </w:pPr>
    </w:p>
    <w:p>
      <w:pPr>
        <w:jc w:val="both"/>
        <w:ind w:left="1140" w:right="100"/>
        <w:spacing w:after="0" w:line="342" w:lineRule="auto"/>
        <w:rPr>
          <w:rFonts w:ascii="Arial" w:cs="Arial" w:eastAsia="Arial" w:hAnsi="Arial"/>
          <w:sz w:val="17"/>
          <w:szCs w:val="17"/>
          <w:color w:val="auto"/>
        </w:rPr>
      </w:pPr>
      <w:r>
        <w:rPr>
          <w:rFonts w:ascii="Arial" w:cs="Arial" w:eastAsia="Arial" w:hAnsi="Arial"/>
          <w:sz w:val="16"/>
          <w:szCs w:val="16"/>
          <w:color w:val="auto"/>
        </w:rPr>
        <w:t>As of December 31, 2009, the Group entered into Repo transactions in Pesos Bolivianos with its clients for an equivalent of US$35.0 million using these securities. At that date, these transactions earned interest at current market rates in Bolivia and with maturities in February 2010.</w:t>
      </w:r>
    </w:p>
    <w:p>
      <w:pPr>
        <w:spacing w:after="0" w:line="150" w:lineRule="exact"/>
        <w:rPr>
          <w:rFonts w:ascii="Arial" w:cs="Arial" w:eastAsia="Arial" w:hAnsi="Arial"/>
          <w:sz w:val="17"/>
          <w:szCs w:val="17"/>
          <w:color w:val="auto"/>
        </w:rPr>
      </w:pPr>
    </w:p>
    <w:p>
      <w:pPr>
        <w:ind w:left="1140" w:hanging="484"/>
        <w:spacing w:after="0" w:line="276" w:lineRule="auto"/>
        <w:tabs>
          <w:tab w:leader="none" w:pos="114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Collaterized mortgage obligations are not related with “sub prime mortgages”, they correspond to senior tranches and have maturities between May 2033 and January 2047 (between December 2015 and January 2047 as of December 31, 2008) and accrues interest at annual effective rates that ranges between 3.43 and 13.70 percent (between 3.80 and 14.20 percent as of December 31, 2008). The unrealized losses on these instruments as of December 31, 2009 correspond to 21 items of which the highest individual unrealized loss amounts to approximately US$1.8 million (23 items and US$1.5 million, respectively, as of December 31, 2008).</w:t>
      </w:r>
    </w:p>
    <w:p>
      <w:pPr>
        <w:spacing w:after="0" w:line="199" w:lineRule="exact"/>
        <w:rPr>
          <w:rFonts w:ascii="Arial" w:cs="Arial" w:eastAsia="Arial" w:hAnsi="Arial"/>
          <w:sz w:val="17"/>
          <w:szCs w:val="17"/>
          <w:color w:val="auto"/>
        </w:rPr>
      </w:pPr>
    </w:p>
    <w:p>
      <w:pPr>
        <w:ind w:left="1140" w:right="100" w:hanging="484"/>
        <w:spacing w:after="0" w:line="264" w:lineRule="auto"/>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Corresponds to debt instruments issued by US Government – Agencies and Sponsored Enterprises. Their maturities are between January 2010 and August 2038 (between April 2009 and August 2038 as of December 31, 2008) and earned interest at annual effective rates between 3.98 and 5.77 percent (between 4.05 and 6.30 percent as of December 31, 2008).</w:t>
      </w:r>
    </w:p>
    <w:p>
      <w:pPr>
        <w:spacing w:after="0" w:line="208" w:lineRule="exact"/>
        <w:rPr>
          <w:rFonts w:ascii="Arial" w:cs="Arial" w:eastAsia="Arial" w:hAnsi="Arial"/>
          <w:sz w:val="18"/>
          <w:szCs w:val="18"/>
          <w:color w:val="auto"/>
        </w:rPr>
      </w:pPr>
    </w:p>
    <w:p>
      <w:pPr>
        <w:ind w:left="1140" w:right="420" w:hanging="484"/>
        <w:spacing w:after="0" w:line="342" w:lineRule="auto"/>
        <w:tabs>
          <w:tab w:leader="none" w:pos="114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Restricted mutual funds comprise participation quotas on the private pension funds managed by the Group as required by Peruvian regulations. They have a restricted disposal and their profitability is the same as the one obtained by the private pension funds managed.</w:t>
      </w:r>
    </w:p>
    <w:p>
      <w:pPr>
        <w:spacing w:after="0" w:line="150" w:lineRule="exact"/>
        <w:rPr>
          <w:rFonts w:ascii="Arial" w:cs="Arial" w:eastAsia="Arial" w:hAnsi="Arial"/>
          <w:sz w:val="16"/>
          <w:szCs w:val="16"/>
          <w:color w:val="auto"/>
        </w:rPr>
      </w:pPr>
    </w:p>
    <w:p>
      <w:pPr>
        <w:jc w:val="both"/>
        <w:ind w:left="1140" w:right="100" w:hanging="484"/>
        <w:spacing w:after="0" w:line="259" w:lineRule="auto"/>
        <w:tabs>
          <w:tab w:leader="none" w:pos="114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participation quotas in the Fund “Requirement of Cash Assets” (RAL for its Spanish acronym) are denominated in Pesos Bolivianos and comprise investments made by the Group in the Central Bank of Bolivia as collateral for the deposits maintained with the public. Such fund has restrictions for its use and it is required for all banks established in Bolivia. The fund accrues interest at an average annual effective rate of 8.58 and 5.48 percent as of December 31, 2009 and 2008,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 w:hanging="484"/>
        <w:spacing w:after="0" w:line="286" w:lineRule="auto"/>
        <w:tabs>
          <w:tab w:leader="none" w:pos="1140"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As of December 31, 2009, the unrealized gains on listed securities arises mainly from shares in Banco de Crédito e Inversiones de Chile - BCI Chile, Inversiones Centenario S.A., Alicorp S.A.A. and Edelnor S.A., which amounted to US$70.9, US$41.2, US$25.6 and US$22.8 million, respectively (US$18.2, US$28.8, US$8.8 y US$14.9 million, respectively, as of December 31, 2008).</w:t>
      </w:r>
    </w:p>
    <w:p>
      <w:pPr>
        <w:spacing w:after="0" w:line="192" w:lineRule="exact"/>
        <w:rPr>
          <w:rFonts w:ascii="Arial" w:cs="Arial" w:eastAsia="Arial" w:hAnsi="Arial"/>
          <w:sz w:val="17"/>
          <w:szCs w:val="17"/>
          <w:color w:val="auto"/>
        </w:rPr>
      </w:pPr>
    </w:p>
    <w:p>
      <w:pPr>
        <w:ind w:left="1140" w:right="60" w:hanging="484"/>
        <w:spacing w:after="0" w:line="259" w:lineRule="auto"/>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As of December 31, 2009, the Group has cash flow hedges and fair value hedges over investments available for sale for a notional amount of US$71.1 million and US$373.3 million, respectively. These investment under cash flow hedges were economically converted to US$ Dollars with fixed rate; and investment under fair value hedges were economically converted to US$ Dollars with variable rate (global bonds in Euros), and variable rate (fixed bonds in US$), see note 11(b).</w:t>
      </w:r>
    </w:p>
    <w:p>
      <w:pPr>
        <w:spacing w:after="0" w:line="213" w:lineRule="exact"/>
        <w:rPr>
          <w:rFonts w:ascii="Arial" w:cs="Arial" w:eastAsia="Arial" w:hAnsi="Arial"/>
          <w:sz w:val="18"/>
          <w:szCs w:val="18"/>
          <w:color w:val="auto"/>
        </w:rPr>
      </w:pPr>
    </w:p>
    <w:p>
      <w:pPr>
        <w:ind w:left="1140" w:hanging="484"/>
        <w:spacing w:after="0"/>
        <w:tabs>
          <w:tab w:leader="none" w:pos="11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Amortized cost and estimated fair value of investments available-for-sale classified by maturity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1000" w:type="dxa"/>
            <w:vAlign w:val="bottom"/>
          </w:tcPr>
          <w:p>
            <w:pPr>
              <w:spacing w:after="0"/>
              <w:rPr>
                <w:sz w:val="20"/>
                <w:szCs w:val="20"/>
                <w:color w:val="auto"/>
              </w:rPr>
            </w:pPr>
          </w:p>
        </w:tc>
        <w:tc>
          <w:tcPr>
            <w:tcW w:w="16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2008</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560" w:type="dxa"/>
            <w:vAlign w:val="bottom"/>
            <w:tcBorders>
              <w:top w:val="single" w:sz="8" w:color="auto"/>
            </w:tcBorders>
            <w:gridSpan w:val="4"/>
          </w:tcPr>
          <w:p>
            <w:pPr>
              <w:jc w:val="center"/>
              <w:ind w:right="380"/>
              <w:spacing w:after="0" w:line="198" w:lineRule="exact"/>
              <w:rPr>
                <w:sz w:val="20"/>
                <w:szCs w:val="20"/>
                <w:color w:val="auto"/>
              </w:rPr>
            </w:pPr>
            <w:r>
              <w:rPr>
                <w:rFonts w:ascii="Arial" w:cs="Arial" w:eastAsia="Arial" w:hAnsi="Arial"/>
                <w:sz w:val="18"/>
                <w:szCs w:val="18"/>
                <w:b w:val="1"/>
                <w:bCs w:val="1"/>
                <w:color w:val="auto"/>
                <w:w w:val="93"/>
              </w:rPr>
              <w:t>Amortized</w:t>
            </w: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6"/>
              </w:rPr>
              <w:t>Fair</w:t>
            </w:r>
          </w:p>
        </w:tc>
        <w:tc>
          <w:tcPr>
            <w:tcW w:w="180" w:type="dxa"/>
            <w:vAlign w:val="bottom"/>
          </w:tcPr>
          <w:p>
            <w:pPr>
              <w:spacing w:after="0"/>
              <w:rPr>
                <w:sz w:val="17"/>
                <w:szCs w:val="17"/>
                <w:color w:val="auto"/>
              </w:rPr>
            </w:pPr>
          </w:p>
        </w:tc>
        <w:tc>
          <w:tcPr>
            <w:tcW w:w="1500" w:type="dxa"/>
            <w:vAlign w:val="bottom"/>
            <w:tcBorders>
              <w:top w:val="single" w:sz="8" w:color="auto"/>
            </w:tcBorders>
            <w:gridSpan w:val="3"/>
          </w:tcPr>
          <w:p>
            <w:pPr>
              <w:jc w:val="center"/>
              <w:ind w:right="360"/>
              <w:spacing w:after="0" w:line="198" w:lineRule="exact"/>
              <w:rPr>
                <w:sz w:val="20"/>
                <w:szCs w:val="20"/>
                <w:color w:val="auto"/>
              </w:rPr>
            </w:pPr>
            <w:r>
              <w:rPr>
                <w:rFonts w:ascii="Arial" w:cs="Arial" w:eastAsia="Arial" w:hAnsi="Arial"/>
                <w:sz w:val="18"/>
                <w:szCs w:val="18"/>
                <w:b w:val="1"/>
                <w:bCs w:val="1"/>
                <w:color w:val="auto"/>
                <w:w w:val="93"/>
              </w:rPr>
              <w:t>Amortized</w:t>
            </w:r>
          </w:p>
        </w:tc>
        <w:tc>
          <w:tcPr>
            <w:tcW w:w="100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6"/>
              </w:rPr>
              <w:t>Fair</w:t>
            </w: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8"/>
                <w:szCs w:val="18"/>
                <w:b w:val="1"/>
                <w:bCs w:val="1"/>
                <w:color w:val="auto"/>
                <w:w w:val="80"/>
              </w:rPr>
              <w:t>cost</w:t>
            </w:r>
          </w:p>
        </w:tc>
        <w:tc>
          <w:tcPr>
            <w:tcW w:w="100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value</w:t>
            </w:r>
          </w:p>
        </w:tc>
        <w:tc>
          <w:tcPr>
            <w:tcW w:w="180" w:type="dxa"/>
            <w:vAlign w:val="bottom"/>
          </w:tcPr>
          <w:p>
            <w:pPr>
              <w:spacing w:after="0"/>
              <w:rPr>
                <w:sz w:val="19"/>
                <w:szCs w:val="19"/>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value</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60" w:type="dxa"/>
            <w:vAlign w:val="bottom"/>
            <w:gridSpan w:val="4"/>
          </w:tcPr>
          <w:p>
            <w:pPr>
              <w:jc w:val="center"/>
              <w:ind w:right="380"/>
              <w:spacing w:after="0"/>
              <w:rPr>
                <w:sz w:val="20"/>
                <w:szCs w:val="20"/>
                <w:color w:val="auto"/>
              </w:rPr>
            </w:pPr>
            <w:r>
              <w:rPr>
                <w:rFonts w:ascii="Arial" w:cs="Arial" w:eastAsia="Arial" w:hAnsi="Arial"/>
                <w:sz w:val="18"/>
                <w:szCs w:val="18"/>
                <w:color w:val="auto"/>
                <w:w w:val="90"/>
              </w:rPr>
              <w:t>US$(000)</w:t>
            </w: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93"/>
              </w:rPr>
              <w:t>US$(000)</w:t>
            </w:r>
          </w:p>
        </w:tc>
        <w:tc>
          <w:tcPr>
            <w:tcW w:w="180" w:type="dxa"/>
            <w:vAlign w:val="bottom"/>
          </w:tcPr>
          <w:p>
            <w:pPr>
              <w:spacing w:after="0"/>
              <w:rPr>
                <w:sz w:val="20"/>
                <w:szCs w:val="20"/>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8"/>
                <w:szCs w:val="18"/>
                <w:color w:val="auto"/>
                <w:w w:val="93"/>
              </w:rPr>
              <w:t>US$(000)</w:t>
            </w: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1,419,936</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1,451,352</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2,021,269</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2,023,679</w:t>
            </w: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919,290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922,408</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950,129</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946,040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505,941</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524,139</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284,307</w:t>
            </w:r>
          </w:p>
        </w:tc>
        <w:tc>
          <w:tcPr>
            <w:tcW w:w="1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279,245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From 3 to 5 years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677,097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722,548</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262,785</w:t>
            </w:r>
          </w:p>
        </w:tc>
        <w:tc>
          <w:tcPr>
            <w:tcW w:w="16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258,791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993,436</w:t>
            </w:r>
          </w:p>
        </w:tc>
        <w:tc>
          <w:tcPr>
            <w:tcW w:w="2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1,076,816</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1,186,224</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1,187,074</w:t>
            </w: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Without maturity (shares)</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141,535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330,733</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107,835</w:t>
            </w:r>
          </w:p>
        </w:tc>
        <w:tc>
          <w:tcPr>
            <w:tcW w:w="16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212,689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shd w:val="clear" w:color="auto" w:fill="CCFFCC"/>
          </w:tcPr>
          <w:p>
            <w:pPr>
              <w:spacing w:after="0"/>
              <w:rPr>
                <w:sz w:val="18"/>
                <w:szCs w:val="18"/>
                <w:color w:val="auto"/>
              </w:rPr>
            </w:pPr>
          </w:p>
        </w:tc>
        <w:tc>
          <w:tcPr>
            <w:tcW w:w="118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4,657,235</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5,027,996</w:t>
            </w:r>
          </w:p>
        </w:tc>
        <w:tc>
          <w:tcPr>
            <w:tcW w:w="18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4,812,549</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4,907,518</w:t>
            </w: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60" w:type="dxa"/>
            <w:vAlign w:val="bottom"/>
            <w:gridSpan w:val="4"/>
          </w:tcPr>
          <w:p>
            <w:pPr>
              <w:jc w:val="right"/>
              <w:ind w:right="60"/>
              <w:spacing w:after="0"/>
              <w:rPr>
                <w:sz w:val="20"/>
                <w:szCs w:val="20"/>
                <w:color w:val="auto"/>
              </w:rPr>
            </w:pPr>
            <w:r>
              <w:rPr>
                <w:rFonts w:ascii="Arial" w:cs="Arial" w:eastAsia="Arial" w:hAnsi="Arial"/>
                <w:sz w:val="18"/>
                <w:szCs w:val="18"/>
                <w:color w:val="auto"/>
              </w:rPr>
              <w:t>F-46</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color w:val="auto"/>
        </w:rPr>
        <w:t>Loans, net</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197"/>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Direct loans -</w:t>
            </w: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Loans</w:t>
            </w:r>
          </w:p>
        </w:tc>
        <w:tc>
          <w:tcPr>
            <w:tcW w:w="1260" w:type="dxa"/>
            <w:vAlign w:val="bottom"/>
          </w:tcPr>
          <w:p>
            <w:pPr>
              <w:jc w:val="right"/>
              <w:spacing w:after="0"/>
              <w:rPr>
                <w:sz w:val="20"/>
                <w:szCs w:val="20"/>
                <w:color w:val="auto"/>
              </w:rPr>
            </w:pPr>
            <w:r>
              <w:rPr>
                <w:rFonts w:ascii="Arial" w:cs="Arial" w:eastAsia="Arial" w:hAnsi="Arial"/>
                <w:sz w:val="18"/>
                <w:szCs w:val="18"/>
                <w:color w:val="auto"/>
              </w:rPr>
              <w:t>7,927,451</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7,324,485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Leasing receivables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1,997,562</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1,792,827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Credit card receivables</w:t>
            </w:r>
          </w:p>
        </w:tc>
        <w:tc>
          <w:tcPr>
            <w:tcW w:w="1260" w:type="dxa"/>
            <w:vAlign w:val="bottom"/>
          </w:tcPr>
          <w:p>
            <w:pPr>
              <w:jc w:val="right"/>
              <w:spacing w:after="0"/>
              <w:rPr>
                <w:sz w:val="20"/>
                <w:szCs w:val="20"/>
                <w:color w:val="auto"/>
              </w:rPr>
            </w:pPr>
            <w:r>
              <w:rPr>
                <w:rFonts w:ascii="Arial" w:cs="Arial" w:eastAsia="Arial" w:hAnsi="Arial"/>
                <w:sz w:val="18"/>
                <w:szCs w:val="18"/>
                <w:color w:val="auto"/>
              </w:rPr>
              <w:t>1,059,433</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854,968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349,126</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368,648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Advances and overdrafts</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47,147</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102,687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Factoring receivables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163,443</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124,537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Refinanced and restructured loans</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59,459</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55,179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Past due and under legal collection loans</w:t>
            </w: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184,567</w:t>
            </w:r>
          </w:p>
        </w:tc>
        <w:tc>
          <w:tcPr>
            <w:tcW w:w="200" w:type="dxa"/>
            <w:vAlign w:val="bottom"/>
            <w:tcBorders>
              <w:bottom w:val="single" w:sz="8" w:color="CCFFCC"/>
            </w:tcBorders>
            <w:shd w:val="clear" w:color="auto" w:fill="CCFFCC"/>
          </w:tcPr>
          <w:p>
            <w:pPr>
              <w:spacing w:after="0"/>
              <w:rPr>
                <w:sz w:val="19"/>
                <w:szCs w:val="19"/>
                <w:color w:val="auto"/>
              </w:rPr>
            </w:pPr>
          </w:p>
        </w:tc>
        <w:tc>
          <w:tcPr>
            <w:tcW w:w="12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82,867</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11,788,188</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10,706,198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(less) -</w:t>
            </w: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Accrued interest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80,316</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90,094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4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(282,869)</w:t>
            </w:r>
          </w:p>
        </w:tc>
        <w:tc>
          <w:tcPr>
            <w:tcW w:w="13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(249,914)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Allowance for loan losses (d)</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(354,355)</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(224,337)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Total direct loans, net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11,231,280</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10,322,041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Indirect loans, note 19(a)</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2,528,135</w:t>
            </w: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1,755,902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490"/>
        <w:spacing w:after="0"/>
        <w:tabs>
          <w:tab w:leader="none" w:pos="11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Loans by class,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8,566,659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8,058,585</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Residential mortgage loans</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1,753,736</w:t>
            </w:r>
          </w:p>
        </w:tc>
        <w:tc>
          <w:tcPr>
            <w:tcW w:w="1260" w:type="dxa"/>
            <w:vAlign w:val="bottom"/>
          </w:tcPr>
          <w:p>
            <w:pPr>
              <w:jc w:val="right"/>
              <w:spacing w:after="0"/>
              <w:rPr>
                <w:sz w:val="20"/>
                <w:szCs w:val="20"/>
                <w:color w:val="auto"/>
              </w:rPr>
            </w:pPr>
            <w:r>
              <w:rPr>
                <w:rFonts w:ascii="Arial" w:cs="Arial" w:eastAsia="Arial" w:hAnsi="Arial"/>
                <w:sz w:val="18"/>
                <w:szCs w:val="18"/>
                <w:color w:val="auto"/>
              </w:rPr>
              <w:t>1,485,214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Consumer loans</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1,467,793</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1,162,399</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11,788,188</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10,706,198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540" w:right="719" w:hanging="4870"/>
        <w:spacing w:after="0" w:line="731" w:lineRule="auto"/>
        <w:tabs>
          <w:tab w:leader="none" w:pos="1152"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 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510" w:right="1440"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movement in the allowance for loan losses (direct and indirect loans) is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44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Commercial</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7"/>
              </w:rPr>
              <w:t>mortgage</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Consumer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5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4"/>
              </w:rPr>
              <w:t>loans</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4"/>
              </w:rPr>
              <w:t>loans</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US$(000)</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US$(000)</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161,170</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30,832</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56,061</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248,063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Provision</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79,551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9,781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74,060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163,392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12,984</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939</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10,005</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Acquisition of Edyficar, note 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19,443</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1,356</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20,905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Loan portfolio written-off</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(32,364)</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(54,605)</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(87,927)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Translation result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3,905</w:t>
            </w:r>
          </w:p>
        </w:tc>
        <w:tc>
          <w:tcPr>
            <w:tcW w:w="18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7,688</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3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243,796</w:t>
            </w: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41,471</w:t>
            </w:r>
          </w:p>
        </w:tc>
        <w:tc>
          <w:tcPr>
            <w:tcW w:w="18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90,782</w:t>
            </w:r>
          </w:p>
        </w:tc>
        <w:tc>
          <w:tcPr>
            <w:tcW w:w="18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376,049</w:t>
            </w:r>
          </w:p>
        </w:tc>
        <w:tc>
          <w:tcPr>
            <w:tcW w:w="80" w:type="dxa"/>
            <w:vAlign w:val="bottom"/>
            <w:tcBorders>
              <w:bottom w:val="single" w:sz="8" w:color="CCFFCC"/>
            </w:tcBorders>
            <w:shd w:val="clear" w:color="auto" w:fill="CCFFCC"/>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center"/>
              <w:ind w:right="44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b w:val="1"/>
                <w:bCs w:val="1"/>
                <w:color w:val="auto"/>
                <w:w w:val="91"/>
              </w:rPr>
              <w:t>Commercial</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7"/>
              </w:rPr>
              <w:t>mortgage</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Consumer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60" w:type="dxa"/>
            <w:vAlign w:val="bottom"/>
          </w:tcPr>
          <w:p>
            <w:pPr>
              <w:spacing w:after="0"/>
              <w:rPr>
                <w:sz w:val="19"/>
                <w:szCs w:val="19"/>
                <w:color w:val="auto"/>
              </w:rPr>
            </w:pPr>
          </w:p>
        </w:tc>
        <w:tc>
          <w:tcPr>
            <w:tcW w:w="152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4"/>
              </w:rPr>
              <w:t>loans</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4"/>
              </w:rPr>
              <w:t>loans</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US$(000)</w:t>
            </w:r>
          </w:p>
        </w:tc>
        <w:tc>
          <w:tcPr>
            <w:tcW w:w="134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US$(000)</w:t>
            </w: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14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184,584</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14,454</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30,662</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229,700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Provision (recoveries)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(10,667)</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16,024</w:t>
            </w:r>
          </w:p>
        </w:tc>
        <w:tc>
          <w:tcPr>
            <w:tcW w:w="12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43,403</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48,760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19,956</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808</w:t>
            </w:r>
          </w:p>
        </w:tc>
        <w:tc>
          <w:tcPr>
            <w:tcW w:w="12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10,515</w:t>
            </w:r>
          </w:p>
        </w:tc>
        <w:tc>
          <w:tcPr>
            <w:tcW w:w="1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31,279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(31,595)</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(27,422)</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(59,308)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4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(1,108)</w:t>
            </w:r>
          </w:p>
        </w:tc>
        <w:tc>
          <w:tcPr>
            <w:tcW w:w="1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FFCC"/>
          </w:tcPr>
          <w:p>
            <w:pPr>
              <w:spacing w:after="0"/>
              <w:rPr>
                <w:sz w:val="19"/>
                <w:szCs w:val="19"/>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(1,097)</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(2,368)</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6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3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161,170</w:t>
            </w:r>
          </w:p>
        </w:tc>
        <w:tc>
          <w:tcPr>
            <w:tcW w:w="22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30,832</w:t>
            </w:r>
          </w:p>
        </w:tc>
        <w:tc>
          <w:tcPr>
            <w:tcW w:w="180" w:type="dxa"/>
            <w:vAlign w:val="bottom"/>
            <w:tcBorders>
              <w:bottom w:val="single" w:sz="8" w:color="CCFFCC"/>
            </w:tcBorders>
            <w:shd w:val="clear" w:color="auto" w:fill="CCFFCC"/>
          </w:tcPr>
          <w:p>
            <w:pPr>
              <w:spacing w:after="0"/>
              <w:rPr>
                <w:sz w:val="22"/>
                <w:szCs w:val="22"/>
                <w:color w:val="auto"/>
              </w:rPr>
            </w:pPr>
          </w:p>
        </w:tc>
        <w:tc>
          <w:tcPr>
            <w:tcW w:w="120" w:type="dxa"/>
            <w:vAlign w:val="bottom"/>
            <w:tcBorders>
              <w:bottom w:val="single" w:sz="8" w:color="auto"/>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56,061</w:t>
            </w:r>
          </w:p>
        </w:tc>
        <w:tc>
          <w:tcPr>
            <w:tcW w:w="18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248,063</w:t>
            </w:r>
          </w:p>
        </w:tc>
        <w:tc>
          <w:tcPr>
            <w:tcW w:w="80" w:type="dxa"/>
            <w:vAlign w:val="bottom"/>
            <w:tcBorders>
              <w:bottom w:val="single" w:sz="8" w:color="CCFFCC"/>
            </w:tcBorders>
            <w:shd w:val="clear" w:color="auto" w:fill="CCFFCC"/>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20" w:type="dxa"/>
            <w:vAlign w:val="bottom"/>
            <w:gridSpan w:val="3"/>
          </w:tcPr>
          <w:p>
            <w:pPr>
              <w:ind w:left="1160"/>
              <w:spacing w:after="0"/>
              <w:rPr>
                <w:sz w:val="20"/>
                <w:szCs w:val="20"/>
                <w:color w:val="auto"/>
              </w:rPr>
            </w:pPr>
            <w:r>
              <w:rPr>
                <w:rFonts w:ascii="Arial" w:cs="Arial" w:eastAsia="Arial" w:hAnsi="Arial"/>
                <w:sz w:val="18"/>
                <w:szCs w:val="18"/>
                <w:color w:val="auto"/>
                <w:w w:val="91"/>
              </w:rPr>
              <w:t>F-48</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60" w:type="dxa"/>
            <w:vAlign w:val="bottom"/>
            <w:tcBorders>
              <w:bottom w:val="single" w:sz="8" w:color="808080"/>
            </w:tcBorders>
          </w:tcPr>
          <w:p>
            <w:pPr>
              <w:spacing w:after="0"/>
              <w:rPr>
                <w:sz w:val="10"/>
                <w:szCs w:val="10"/>
                <w:color w:val="auto"/>
              </w:rPr>
            </w:pPr>
          </w:p>
        </w:tc>
        <w:tc>
          <w:tcPr>
            <w:tcW w:w="11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2007</w:t>
            </w:r>
          </w:p>
        </w:tc>
        <w:tc>
          <w:tcPr>
            <w:tcW w:w="8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3"/>
          </w:tcPr>
          <w:p>
            <w:pPr>
              <w:jc w:val="center"/>
              <w:ind w:right="28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Commercial</w:t>
            </w: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7"/>
              </w:rPr>
              <w:t>mortgage</w:t>
            </w: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Consumer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4"/>
              </w:rPr>
              <w:t>loans</w:t>
            </w: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loans</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220" w:type="dxa"/>
            <w:vAlign w:val="bottom"/>
            <w:gridSpan w:val="3"/>
          </w:tcPr>
          <w:p>
            <w:pPr>
              <w:jc w:val="center"/>
              <w:ind w:right="260"/>
              <w:spacing w:after="0"/>
              <w:rPr>
                <w:sz w:val="20"/>
                <w:szCs w:val="20"/>
                <w:color w:val="auto"/>
              </w:rPr>
            </w:pPr>
            <w:r>
              <w:rPr>
                <w:rFonts w:ascii="Arial" w:cs="Arial" w:eastAsia="Arial" w:hAnsi="Arial"/>
                <w:sz w:val="18"/>
                <w:szCs w:val="18"/>
                <w:color w:val="auto"/>
                <w:w w:val="93"/>
              </w:rPr>
              <w:t>US$(000)</w:t>
            </w: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183,374</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9,253</w:t>
            </w:r>
          </w:p>
        </w:tc>
        <w:tc>
          <w:tcPr>
            <w:tcW w:w="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17,959</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210,586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Provision (recoveries)</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(5,591)</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4,884</w:t>
            </w:r>
          </w:p>
        </w:tc>
        <w:tc>
          <w:tcPr>
            <w:tcW w:w="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29,146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26,016</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2,587</w:t>
            </w:r>
          </w:p>
        </w:tc>
        <w:tc>
          <w:tcPr>
            <w:tcW w:w="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5,481</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(22,079)</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(2,395)</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(22,792)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(47,266)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2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2,864</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FFCC"/>
          </w:tcPr>
          <w:p>
            <w:pPr>
              <w:spacing w:after="0"/>
              <w:rPr>
                <w:sz w:val="19"/>
                <w:szCs w:val="19"/>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868</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184,584</w:t>
            </w:r>
          </w:p>
        </w:tc>
        <w:tc>
          <w:tcPr>
            <w:tcW w:w="200" w:type="dxa"/>
            <w:vAlign w:val="bottom"/>
            <w:shd w:val="clear" w:color="auto" w:fill="CCFFCC"/>
          </w:tcPr>
          <w:p>
            <w:pPr>
              <w:spacing w:after="0"/>
              <w:rPr>
                <w:sz w:val="20"/>
                <w:szCs w:val="20"/>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14,454</w:t>
            </w:r>
          </w:p>
        </w:tc>
        <w:tc>
          <w:tcPr>
            <w:tcW w:w="18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30,662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229,700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20" w:right="100" w:hanging="478"/>
        <w:spacing w:after="0" w:line="259" w:lineRule="auto"/>
        <w:tabs>
          <w:tab w:leader="none" w:pos="162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movement in the allowance for loan losses includes the allowance for direct and indirect loans for approximately US$354.4 and US$21.7 million, respectively, as of December 31, 2009 (approximately US$224.3 and US$23.7 million; and US$211.3 and US$18.4 million, as of December 31, 2008 and 2007, respectively). The allowance for indirect loan losses is included in the caption “Other liabilities” of the consolidated statements of financial position, note 11(a).</w:t>
      </w:r>
    </w:p>
    <w:p>
      <w:pPr>
        <w:spacing w:after="0" w:line="214" w:lineRule="exact"/>
        <w:rPr>
          <w:sz w:val="20"/>
          <w:szCs w:val="20"/>
          <w:color w:val="auto"/>
        </w:rPr>
      </w:pPr>
    </w:p>
    <w:p>
      <w:pPr>
        <w:ind w:left="1140" w:right="540"/>
        <w:spacing w:after="0" w:line="277" w:lineRule="auto"/>
        <w:rPr>
          <w:sz w:val="20"/>
          <w:szCs w:val="20"/>
          <w:color w:val="auto"/>
        </w:rPr>
      </w:pPr>
      <w:r>
        <w:rPr>
          <w:rFonts w:ascii="Arial" w:cs="Arial" w:eastAsia="Arial" w:hAnsi="Arial"/>
          <w:sz w:val="18"/>
          <w:szCs w:val="18"/>
          <w:color w:val="auto"/>
        </w:rPr>
        <w:t>In Management’s opinion, the allowance for loan losses recorded as of December 31, 2009 and 2008 and 2007 has been established in accordance with IAS 39 and is sufficient to cover the losses on the loan portfolio, note 3(i).</w:t>
      </w:r>
    </w:p>
    <w:p>
      <w:pPr>
        <w:spacing w:after="0" w:line="197" w:lineRule="exact"/>
        <w:rPr>
          <w:sz w:val="20"/>
          <w:szCs w:val="20"/>
          <w:color w:val="auto"/>
        </w:rPr>
      </w:pPr>
    </w:p>
    <w:p>
      <w:pPr>
        <w:ind w:left="1160" w:right="500" w:hanging="490"/>
        <w:spacing w:after="0" w:line="277" w:lineRule="auto"/>
        <w:tabs>
          <w:tab w:leader="none" w:pos="11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Part of the loan portfolio is collateralized with guarantees received from clients, which mainly consist of mortgages, trust assignments, financial instruments and industrial and mercantile pledges.</w:t>
      </w:r>
    </w:p>
    <w:p>
      <w:pPr>
        <w:spacing w:after="0" w:line="197" w:lineRule="exact"/>
        <w:rPr>
          <w:rFonts w:ascii="Arial" w:cs="Arial" w:eastAsia="Arial" w:hAnsi="Arial"/>
          <w:sz w:val="18"/>
          <w:szCs w:val="18"/>
          <w:color w:val="auto"/>
        </w:rPr>
      </w:pPr>
    </w:p>
    <w:p>
      <w:pPr>
        <w:ind w:left="1160" w:hanging="490"/>
        <w:spacing w:after="0"/>
        <w:tabs>
          <w:tab w:leader="none" w:pos="11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Interest on past due and under legal collection loans are recognized when collected.</w:t>
      </w:r>
    </w:p>
    <w:p>
      <w:pPr>
        <w:spacing w:after="0" w:line="23" w:lineRule="exact"/>
        <w:rPr>
          <w:rFonts w:ascii="Arial" w:cs="Arial" w:eastAsia="Arial" w:hAnsi="Arial"/>
          <w:sz w:val="18"/>
          <w:szCs w:val="18"/>
          <w:color w:val="auto"/>
        </w:rPr>
      </w:pPr>
    </w:p>
    <w:p>
      <w:pPr>
        <w:ind w:left="1140"/>
        <w:spacing w:after="0" w:line="261" w:lineRule="auto"/>
        <w:rPr>
          <w:rFonts w:ascii="Arial" w:cs="Arial" w:eastAsia="Arial" w:hAnsi="Arial"/>
          <w:sz w:val="18"/>
          <w:szCs w:val="18"/>
          <w:color w:val="auto"/>
        </w:rPr>
      </w:pPr>
      <w:r>
        <w:rPr>
          <w:rFonts w:ascii="Arial" w:cs="Arial" w:eastAsia="Arial" w:hAnsi="Arial"/>
          <w:sz w:val="18"/>
          <w:szCs w:val="18"/>
          <w:color w:val="auto"/>
        </w:rPr>
        <w:t>Interest income that would have been recorded for these loans in accordance with their original contract terms amounts to approximately US$ 27.9, US$17.0 and US$18.7 million as of December 31, 2009, 2008 and 2007, respectively.</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0" w:right="31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right="80" w:hanging="490"/>
        <w:spacing w:after="0" w:line="277" w:lineRule="auto"/>
        <w:tabs>
          <w:tab w:leader="none" w:pos="11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As of December 31, 2009 and 2008, the direct gross loan portfolio classified by maturity, based on the remaining period to repayment date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Outstanding loans -</w:t>
            </w: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Up to 1 year</w:t>
            </w:r>
          </w:p>
        </w:tc>
        <w:tc>
          <w:tcPr>
            <w:tcW w:w="1260" w:type="dxa"/>
            <w:vAlign w:val="bottom"/>
          </w:tcPr>
          <w:p>
            <w:pPr>
              <w:jc w:val="right"/>
              <w:spacing w:after="0"/>
              <w:rPr>
                <w:sz w:val="20"/>
                <w:szCs w:val="20"/>
                <w:color w:val="auto"/>
              </w:rPr>
            </w:pPr>
            <w:r>
              <w:rPr>
                <w:rFonts w:ascii="Arial" w:cs="Arial" w:eastAsia="Arial" w:hAnsi="Arial"/>
                <w:sz w:val="18"/>
                <w:szCs w:val="18"/>
                <w:color w:val="auto"/>
              </w:rPr>
              <w:t>6,269,810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6,307,197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2,077,950</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1,648,821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From 3 to 5 years</w:t>
            </w:r>
          </w:p>
        </w:tc>
        <w:tc>
          <w:tcPr>
            <w:tcW w:w="1260" w:type="dxa"/>
            <w:vAlign w:val="bottom"/>
          </w:tcPr>
          <w:p>
            <w:pPr>
              <w:jc w:val="right"/>
              <w:spacing w:after="0"/>
              <w:rPr>
                <w:sz w:val="20"/>
                <w:szCs w:val="20"/>
                <w:color w:val="auto"/>
              </w:rPr>
            </w:pPr>
            <w:r>
              <w:rPr>
                <w:rFonts w:ascii="Arial" w:cs="Arial" w:eastAsia="Arial" w:hAnsi="Arial"/>
                <w:sz w:val="18"/>
                <w:szCs w:val="18"/>
                <w:color w:val="auto"/>
              </w:rPr>
              <w:t>1,218,240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1,033,375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2,037,621</w:t>
            </w: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1,633,938</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w:t>
            </w: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Up to 4 months</w:t>
            </w:r>
          </w:p>
        </w:tc>
        <w:tc>
          <w:tcPr>
            <w:tcW w:w="1260" w:type="dxa"/>
            <w:vAlign w:val="bottom"/>
          </w:tcPr>
          <w:p>
            <w:pPr>
              <w:jc w:val="right"/>
              <w:spacing w:after="0"/>
              <w:rPr>
                <w:sz w:val="20"/>
                <w:szCs w:val="20"/>
                <w:color w:val="auto"/>
              </w:rPr>
            </w:pPr>
            <w:r>
              <w:rPr>
                <w:rFonts w:ascii="Arial" w:cs="Arial" w:eastAsia="Arial" w:hAnsi="Arial"/>
                <w:sz w:val="18"/>
                <w:szCs w:val="18"/>
                <w:color w:val="auto"/>
              </w:rPr>
              <w:t>70,602</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34,955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Over 4 months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64,105</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22,569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Under legal collection loans</w:t>
            </w:r>
          </w:p>
        </w:tc>
        <w:tc>
          <w:tcPr>
            <w:tcW w:w="1260" w:type="dxa"/>
            <w:vAlign w:val="bottom"/>
          </w:tcPr>
          <w:p>
            <w:pPr>
              <w:jc w:val="right"/>
              <w:spacing w:after="0"/>
              <w:rPr>
                <w:sz w:val="20"/>
                <w:szCs w:val="20"/>
                <w:color w:val="auto"/>
              </w:rPr>
            </w:pPr>
            <w:r>
              <w:rPr>
                <w:rFonts w:ascii="Arial" w:cs="Arial" w:eastAsia="Arial" w:hAnsi="Arial"/>
                <w:sz w:val="18"/>
                <w:szCs w:val="18"/>
                <w:color w:val="auto"/>
              </w:rPr>
              <w:t>49,860</w:t>
            </w:r>
          </w:p>
        </w:tc>
        <w:tc>
          <w:tcPr>
            <w:tcW w:w="20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25,343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color w:val="auto"/>
              </w:rPr>
              <w:t>11,788,188</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10,706,198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hanging="652"/>
        <w:spacing w:after="0"/>
        <w:tabs>
          <w:tab w:leader="none" w:pos="6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designated at fair value through profit or loss</w:t>
      </w:r>
    </w:p>
    <w:p>
      <w:pPr>
        <w:spacing w:after="0" w:line="2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88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Citigroup indexed certificates (b)</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115,007</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129,631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Investment – Unit Link (c)</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20,663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135,670</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137,945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right="140" w:hanging="490"/>
        <w:spacing w:after="0" w:line="264" w:lineRule="auto"/>
        <w:tabs>
          <w:tab w:leader="none" w:pos="11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connection with the liabilities that result from Credicorp´s stock appreciation rights (SARs), (note 18), BCP signed several contracts with Citigroup Global Markets Holdings Inc., Citigroup Capital Limited, Citigroup Capital Market Inc (hereinafter “Citigroup”) and Calyon Financial Products (Guernsey) Limited (hereinafter “Calyon”).</w:t>
      </w:r>
    </w:p>
    <w:p>
      <w:pPr>
        <w:spacing w:after="0" w:line="208"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These contracts consist of the purchase of certificates indexed to the performance of Credicorp Ltd. (BAP) shares, in the form of “warrants” issued by Citigroup and Calyon, which the same number of Credicorp Ltd. shares. These certificates are cash settled and, at their maturity, they pay an amount equal to the final settlement price minus the strike price (US$ 0.0000001) plus the accrued dividends, less the annual fee multiplied by the number of warrants underlying the certificate. The final settlement price is equivalent to the daily volume-weighted average of the per share price for BAP shares on each business day, on which Citigroup or any of its affiliates or Calyon effects any transactions with respect to BAP shares in order to unwind its position established and maintained to hedge its price and market risk with respect to the issued certificates.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The certificates have a maturity of 5 years but can be settled anytime before their maturity, partially or totally. As of December 31, 2009 and</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2008, the Group had acquired 1,472,414 and 2,487,414 certificates, respectively, at a total cost of US$87.8 and US$129.1 million,</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respectively (US$67.8 and US$51.9 per certificate on average, respectively). At those dates, the estimated market value amounted to</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US$115.0 million and US$129.6 million, respectively (US$78.1 and US$52.1 per certificate on average, as of December 31, 2009 and 2008,</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respectively). For the year 2009, the gain resulting from the difference between cost and estimated market value amounting to approximately</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US$37.3 million (loss of US$67.1 million for the year 2008) has been recorded in the caption “Net gain (loss) on financial assets and</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liabilities designated at fair value through profit and loss” of the consolidated statement of income, according to the accounting principle</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described in note 3(x).</w:t>
      </w:r>
    </w:p>
    <w:p>
      <w:pPr>
        <w:spacing w:after="0" w:line="238" w:lineRule="exact"/>
        <w:rPr>
          <w:sz w:val="20"/>
          <w:szCs w:val="20"/>
          <w:color w:val="auto"/>
        </w:rPr>
      </w:pPr>
    </w:p>
    <w:p>
      <w:pPr>
        <w:ind w:left="1160" w:hanging="490"/>
        <w:spacing w:after="0" w:line="273" w:lineRule="auto"/>
        <w:tabs>
          <w:tab w:leader="none" w:pos="1160" w:val="left"/>
        </w:tabs>
        <w:numPr>
          <w:ilvl w:val="1"/>
          <w:numId w:val="206"/>
        </w:numPr>
        <w:rPr>
          <w:rFonts w:ascii="Arial" w:cs="Arial" w:eastAsia="Arial" w:hAnsi="Arial"/>
          <w:sz w:val="17"/>
          <w:szCs w:val="17"/>
          <w:color w:val="auto"/>
        </w:rPr>
      </w:pPr>
      <w:r>
        <w:rPr>
          <w:rFonts w:ascii="Arial" w:cs="Arial" w:eastAsia="Arial" w:hAnsi="Arial"/>
          <w:sz w:val="17"/>
          <w:szCs w:val="17"/>
          <w:color w:val="auto"/>
        </w:rPr>
        <w:t>The Group issues unit-linked investment policies whereby the policyholder bears the investment risk on the assets held in the unit-linked funds as the policy benefits are directly linked to the value of the assets in the fund. The Group’s exposure to market risk on this business is limited to the extent that income arising from asset management charges is based on the value of assets in the fund. For the year 2009, the gain recorded for these investment amounting to approximately US$5.5 million (gain of US$1.7 million for the year 2008) are presented in the caption “Net gain (loss) on financial assets and liabilities designated at fair value through profit and loss” of the consolidated statement of income, according to the accounting principles described in note 3(x).</w:t>
      </w:r>
    </w:p>
    <w:p>
      <w:pPr>
        <w:spacing w:after="0" w:line="201" w:lineRule="exact"/>
        <w:rPr>
          <w:rFonts w:ascii="Arial" w:cs="Arial" w:eastAsia="Arial" w:hAnsi="Arial"/>
          <w:sz w:val="17"/>
          <w:szCs w:val="17"/>
          <w:color w:val="auto"/>
        </w:rPr>
      </w:pPr>
    </w:p>
    <w:p>
      <w:pPr>
        <w:ind w:left="660" w:hanging="652"/>
        <w:spacing w:after="0"/>
        <w:tabs>
          <w:tab w:leader="none" w:pos="6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 and payable accounts from insurance contracts</w:t>
      </w:r>
    </w:p>
    <w:p>
      <w:pPr>
        <w:spacing w:after="0" w:line="27" w:lineRule="exact"/>
        <w:rPr>
          <w:rFonts w:ascii="Arial" w:cs="Arial" w:eastAsia="Arial" w:hAnsi="Arial"/>
          <w:sz w:val="18"/>
          <w:szCs w:val="18"/>
          <w:b w:val="1"/>
          <w:bCs w:val="1"/>
          <w:color w:val="auto"/>
        </w:rPr>
      </w:pPr>
    </w:p>
    <w:p>
      <w:pPr>
        <w:ind w:left="1160" w:right="20" w:hanging="490"/>
        <w:spacing w:after="0" w:line="261" w:lineRule="auto"/>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As of December 31, 2009 and 2008, the caption “Premiums and other policies receivable” includes balances which primarily due in a current period, have no collaterals and present no material past due balances.</w:t>
      </w:r>
    </w:p>
    <w:p>
      <w:pPr>
        <w:spacing w:after="0" w:line="210" w:lineRule="exact"/>
        <w:rPr>
          <w:rFonts w:ascii="Arial" w:cs="Arial" w:eastAsia="Arial" w:hAnsi="Arial"/>
          <w:sz w:val="18"/>
          <w:szCs w:val="18"/>
          <w:color w:val="auto"/>
        </w:rPr>
      </w:pPr>
    </w:p>
    <w:p>
      <w:pPr>
        <w:ind w:left="1160" w:hanging="490"/>
        <w:spacing w:after="0"/>
        <w:tabs>
          <w:tab w:leader="none" w:pos="116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movements of the captions “Accounts receivable and payable to reinsurers and coinsurers” are as follows: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0" w:right="31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80" w:type="dxa"/>
            <w:vAlign w:val="bottom"/>
          </w:tcPr>
          <w:p>
            <w:pPr>
              <w:ind w:left="1120"/>
              <w:spacing w:after="0"/>
              <w:rPr>
                <w:sz w:val="20"/>
                <w:szCs w:val="20"/>
                <w:color w:val="auto"/>
              </w:rPr>
            </w:pPr>
            <w:r>
              <w:rPr>
                <w:rFonts w:ascii="Arial" w:cs="Arial" w:eastAsia="Arial" w:hAnsi="Arial"/>
                <w:sz w:val="18"/>
                <w:szCs w:val="18"/>
                <w:color w:val="auto"/>
              </w:rPr>
              <w:t>Accounts receivable:</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165,144</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Reported claims of premiums ceded</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51,895</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64,787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Premiums ceded unearned during the year</w:t>
            </w:r>
          </w:p>
        </w:tc>
        <w:tc>
          <w:tcPr>
            <w:tcW w:w="14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(15,381)</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Premiums assumed</w:t>
            </w:r>
          </w:p>
        </w:tc>
        <w:tc>
          <w:tcPr>
            <w:tcW w:w="1260" w:type="dxa"/>
            <w:vAlign w:val="bottom"/>
          </w:tcPr>
          <w:p>
            <w:pPr>
              <w:jc w:val="right"/>
              <w:spacing w:after="0"/>
              <w:rPr>
                <w:sz w:val="20"/>
                <w:szCs w:val="20"/>
                <w:color w:val="auto"/>
              </w:rPr>
            </w:pPr>
            <w:r>
              <w:rPr>
                <w:rFonts w:ascii="Arial" w:cs="Arial" w:eastAsia="Arial" w:hAnsi="Arial"/>
                <w:sz w:val="18"/>
                <w:szCs w:val="18"/>
                <w:color w:val="auto"/>
              </w:rPr>
              <w:t>8,304</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Settled claims of premiums ceded by facultative contracts</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18,713</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14,885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Collections and other</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(91,577)</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(54,387)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260" w:type="dxa"/>
            <w:vAlign w:val="bottom"/>
          </w:tcPr>
          <w:p>
            <w:pPr>
              <w:jc w:val="right"/>
              <w:spacing w:after="0"/>
              <w:rPr>
                <w:sz w:val="20"/>
                <w:szCs w:val="20"/>
                <w:color w:val="auto"/>
              </w:rPr>
            </w:pPr>
            <w:r>
              <w:rPr>
                <w:rFonts w:ascii="Arial" w:cs="Arial" w:eastAsia="Arial" w:hAnsi="Arial"/>
                <w:sz w:val="18"/>
                <w:szCs w:val="18"/>
                <w:color w:val="auto"/>
              </w:rPr>
              <w:t>137,098</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165,144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Accounts receivable as of December 31, 2009 and 2008, include US$16.6 million and US$32.0 million, respectively which correspond to the unearned portion of the ceded premiums to the reinsurers.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880" w:type="dxa"/>
            <w:vAlign w:val="bottom"/>
          </w:tcPr>
          <w:p>
            <w:pPr>
              <w:ind w:left="1120"/>
              <w:spacing w:after="0"/>
              <w:rPr>
                <w:sz w:val="20"/>
                <w:szCs w:val="20"/>
                <w:color w:val="auto"/>
              </w:rPr>
            </w:pPr>
            <w:r>
              <w:rPr>
                <w:rFonts w:ascii="Arial" w:cs="Arial" w:eastAsia="Arial" w:hAnsi="Arial"/>
                <w:sz w:val="18"/>
                <w:szCs w:val="18"/>
                <w:color w:val="auto"/>
              </w:rPr>
              <w:t>Accounts payable:</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8"/>
                <w:szCs w:val="18"/>
                <w:color w:val="auto"/>
              </w:rPr>
              <w:t>US$(000)</w:t>
            </w:r>
          </w:p>
        </w:tc>
        <w:tc>
          <w:tcPr>
            <w:tcW w:w="13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55,841</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Premiums ceded to reinsurers by facultative contracts</w:t>
            </w:r>
          </w:p>
        </w:tc>
        <w:tc>
          <w:tcPr>
            <w:tcW w:w="1260" w:type="dxa"/>
            <w:vAlign w:val="bottom"/>
          </w:tcPr>
          <w:p>
            <w:pPr>
              <w:jc w:val="right"/>
              <w:spacing w:after="0"/>
              <w:rPr>
                <w:sz w:val="20"/>
                <w:szCs w:val="20"/>
                <w:color w:val="auto"/>
              </w:rPr>
            </w:pPr>
            <w:r>
              <w:rPr>
                <w:rFonts w:ascii="Arial" w:cs="Arial" w:eastAsia="Arial" w:hAnsi="Arial"/>
                <w:sz w:val="18"/>
                <w:szCs w:val="18"/>
                <w:color w:val="auto"/>
              </w:rPr>
              <w:t>72,925</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85,355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FFCC"/>
          </w:tcPr>
          <w:p>
            <w:pPr>
              <w:spacing w:after="0"/>
              <w:rPr>
                <w:sz w:val="20"/>
                <w:szCs w:val="20"/>
                <w:color w:val="auto"/>
              </w:rPr>
            </w:pPr>
            <w:r>
              <w:rPr>
                <w:rFonts w:ascii="Arial" w:cs="Arial" w:eastAsia="Arial" w:hAnsi="Arial"/>
                <w:sz w:val="18"/>
                <w:szCs w:val="18"/>
                <w:color w:val="auto"/>
              </w:rPr>
              <w:t>Coinsurance granted</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12,171</w:t>
            </w:r>
          </w:p>
        </w:tc>
        <w:tc>
          <w:tcPr>
            <w:tcW w:w="2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Payments and other</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(92,928)</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(66,008)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260" w:type="dxa"/>
            <w:vAlign w:val="bottom"/>
          </w:tcPr>
          <w:p>
            <w:pPr>
              <w:jc w:val="right"/>
              <w:spacing w:after="0"/>
              <w:rPr>
                <w:sz w:val="20"/>
                <w:szCs w:val="20"/>
                <w:color w:val="auto"/>
              </w:rPr>
            </w:pPr>
            <w:r>
              <w:rPr>
                <w:rFonts w:ascii="Arial" w:cs="Arial" w:eastAsia="Arial" w:hAnsi="Arial"/>
                <w:sz w:val="18"/>
                <w:szCs w:val="18"/>
                <w:color w:val="auto"/>
              </w:rPr>
              <w:t>48,009</w:t>
            </w:r>
          </w:p>
        </w:tc>
        <w:tc>
          <w:tcPr>
            <w:tcW w:w="20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55,841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76" w:lineRule="auto"/>
        <w:rPr>
          <w:sz w:val="20"/>
          <w:szCs w:val="20"/>
          <w:color w:val="auto"/>
        </w:rPr>
      </w:pPr>
      <w:r>
        <w:rPr>
          <w:rFonts w:ascii="Arial" w:cs="Arial" w:eastAsia="Arial" w:hAnsi="Arial"/>
          <w:sz w:val="17"/>
          <w:szCs w:val="17"/>
          <w:color w:val="auto"/>
        </w:rPr>
        <w:t>Accounts payable to reinsurers are primarily related to the proportional facultative contracts for ceded premiums, automatic non-proportional contracts (excess of loss) and reinstallation premiums. For facultative contracts the Group transfers to the reinsurers a percentage or an amount of an insurance contract or individual risk, based on the premium and the covered period. The net movement of the accounts payable of non-proportioned contracts (excess of loss) as well as installation premiums of the years 2009 and 2008 are included in the concept “Payments and other” for US$24.8 million and U$26.4 million, respectively.</w:t>
      </w:r>
    </w:p>
    <w:p>
      <w:pPr>
        <w:spacing w:after="0" w:line="3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27" w:lineRule="exact"/>
        <w:rPr>
          <w:rFonts w:ascii="Arial" w:cs="Arial" w:eastAsia="Arial" w:hAnsi="Arial"/>
          <w:sz w:val="18"/>
          <w:szCs w:val="18"/>
          <w:b w:val="1"/>
          <w:bCs w:val="1"/>
          <w:color w:val="auto"/>
        </w:rPr>
      </w:pPr>
    </w:p>
    <w:p>
      <w:pPr>
        <w:ind w:left="1160" w:hanging="490"/>
        <w:spacing w:after="0" w:line="261" w:lineRule="auto"/>
        <w:tabs>
          <w:tab w:leader="none" w:pos="116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The movement of property, furniture and equipment and accumulated depreciation, for the years ended December 31, 2009 and 2008,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w w:val="89"/>
              </w:rPr>
              <w:t>Buildings and other</w:t>
            </w: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Furniture</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0"/>
              </w:rPr>
              <w:t>Vehicles</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Work</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Land</w:t>
            </w:r>
          </w:p>
        </w:tc>
        <w:tc>
          <w:tcPr>
            <w:tcW w:w="80" w:type="dxa"/>
            <w:vAlign w:val="bottom"/>
          </w:tcPr>
          <w:p>
            <w:pPr>
              <w:spacing w:after="0"/>
              <w:rPr>
                <w:sz w:val="10"/>
                <w:szCs w:val="1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3"/>
              </w:rPr>
              <w:t>construction</w:t>
            </w:r>
          </w:p>
        </w:tc>
        <w:tc>
          <w:tcPr>
            <w:tcW w:w="98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9"/>
              </w:rPr>
              <w:t>Installations</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9"/>
              </w:rPr>
              <w:t>and fixtures</w:t>
            </w:r>
          </w:p>
        </w:tc>
        <w:tc>
          <w:tcPr>
            <w:tcW w:w="1260" w:type="dxa"/>
            <w:vAlign w:val="bottom"/>
            <w:gridSpan w:val="3"/>
          </w:tcPr>
          <w:p>
            <w:pPr>
              <w:jc w:val="right"/>
              <w:ind w:right="220"/>
              <w:spacing w:after="0"/>
              <w:rPr>
                <w:sz w:val="20"/>
                <w:szCs w:val="20"/>
                <w:color w:val="auto"/>
              </w:rPr>
            </w:pPr>
            <w:r>
              <w:rPr>
                <w:rFonts w:ascii="Arial" w:cs="Arial" w:eastAsia="Arial" w:hAnsi="Arial"/>
                <w:sz w:val="11"/>
                <w:szCs w:val="11"/>
                <w:b w:val="1"/>
                <w:bCs w:val="1"/>
                <w:color w:val="auto"/>
                <w:w w:val="98"/>
              </w:rPr>
              <w:t>Computer hardware</w:t>
            </w: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6"/>
              </w:rPr>
              <w:t>and equipment</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in progress</w:t>
            </w:r>
          </w:p>
        </w:tc>
        <w:tc>
          <w:tcPr>
            <w:tcW w:w="800" w:type="dxa"/>
            <w:vAlign w:val="bottom"/>
          </w:tcPr>
          <w:p>
            <w:pPr>
              <w:jc w:val="right"/>
              <w:ind w:right="246"/>
              <w:spacing w:after="0"/>
              <w:rPr>
                <w:sz w:val="20"/>
                <w:szCs w:val="20"/>
                <w:color w:val="auto"/>
              </w:rPr>
            </w:pPr>
            <w:r>
              <w:rPr>
                <w:rFonts w:ascii="Arial" w:cs="Arial" w:eastAsia="Arial" w:hAnsi="Arial"/>
                <w:sz w:val="11"/>
                <w:szCs w:val="11"/>
                <w:b w:val="1"/>
                <w:bCs w:val="1"/>
                <w:color w:val="auto"/>
              </w:rPr>
              <w:t>2009</w:t>
            </w:r>
          </w:p>
        </w:tc>
        <w:tc>
          <w:tcPr>
            <w:tcW w:w="200" w:type="dxa"/>
            <w:vAlign w:val="bottom"/>
          </w:tcPr>
          <w:p>
            <w:pPr>
              <w:spacing w:after="0"/>
              <w:rPr>
                <w:sz w:val="10"/>
                <w:szCs w:val="10"/>
                <w:color w:val="auto"/>
              </w:rPr>
            </w:pPr>
          </w:p>
        </w:tc>
        <w:tc>
          <w:tcPr>
            <w:tcW w:w="800" w:type="dxa"/>
            <w:vAlign w:val="bottom"/>
          </w:tcPr>
          <w:p>
            <w:pPr>
              <w:jc w:val="right"/>
              <w:ind w:right="246"/>
              <w:spacing w:after="0"/>
              <w:rPr>
                <w:sz w:val="20"/>
                <w:szCs w:val="20"/>
                <w:color w:val="auto"/>
              </w:rPr>
            </w:pPr>
            <w:r>
              <w:rPr>
                <w:rFonts w:ascii="Arial" w:cs="Arial" w:eastAsia="Arial" w:hAnsi="Arial"/>
                <w:sz w:val="11"/>
                <w:szCs w:val="11"/>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1"/>
                <w:szCs w:val="11"/>
                <w:color w:val="auto"/>
              </w:rPr>
              <w:t>US$(000)</w:t>
            </w:r>
          </w:p>
        </w:tc>
        <w:tc>
          <w:tcPr>
            <w:tcW w:w="80" w:type="dxa"/>
            <w:vAlign w:val="bottom"/>
          </w:tcPr>
          <w:p>
            <w:pPr>
              <w:spacing w:after="0"/>
              <w:rPr>
                <w:sz w:val="11"/>
                <w:szCs w:val="11"/>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98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92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80" w:type="dxa"/>
            <w:vAlign w:val="bottom"/>
          </w:tcPr>
          <w:p>
            <w:pPr>
              <w:spacing w:after="0"/>
              <w:rPr>
                <w:sz w:val="11"/>
                <w:szCs w:val="11"/>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1"/>
                <w:szCs w:val="11"/>
                <w:color w:val="auto"/>
              </w:rPr>
              <w:t>US$(000)</w:t>
            </w:r>
          </w:p>
        </w:tc>
        <w:tc>
          <w:tcPr>
            <w:tcW w:w="980" w:type="dxa"/>
            <w:vAlign w:val="bottom"/>
            <w:gridSpan w:val="2"/>
          </w:tcPr>
          <w:p>
            <w:pPr>
              <w:jc w:val="center"/>
              <w:ind w:right="220"/>
              <w:spacing w:after="0"/>
              <w:rPr>
                <w:sz w:val="20"/>
                <w:szCs w:val="20"/>
                <w:color w:val="auto"/>
              </w:rPr>
            </w:pPr>
            <w:r>
              <w:rPr>
                <w:rFonts w:ascii="Arial" w:cs="Arial" w:eastAsia="Arial" w:hAnsi="Arial"/>
                <w:sz w:val="11"/>
                <w:szCs w:val="11"/>
                <w:color w:val="auto"/>
                <w:w w:val="93"/>
              </w:rPr>
              <w:t>US$(000)</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Cost -</w:t>
            </w: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line="122" w:lineRule="exact"/>
              <w:rPr>
                <w:sz w:val="20"/>
                <w:szCs w:val="20"/>
                <w:color w:val="auto"/>
              </w:rPr>
            </w:pPr>
            <w:r>
              <w:rPr>
                <w:rFonts w:ascii="Arial" w:cs="Arial" w:eastAsia="Arial" w:hAnsi="Arial"/>
                <w:sz w:val="10"/>
                <w:szCs w:val="10"/>
                <w:b w:val="1"/>
                <w:bCs w:val="1"/>
                <w:color w:val="auto"/>
              </w:rPr>
              <w:t>Balance as of January 1</w:t>
            </w:r>
            <w:r>
              <w:rPr>
                <w:rFonts w:ascii="Arial" w:cs="Arial" w:eastAsia="Arial" w:hAnsi="Arial"/>
                <w:sz w:val="14"/>
                <w:szCs w:val="14"/>
                <w:b w:val="1"/>
                <w:bCs w:val="1"/>
                <w:color w:val="auto"/>
                <w:vertAlign w:val="superscript"/>
              </w:rPr>
              <w:t>st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38,367</w:t>
            </w:r>
          </w:p>
        </w:tc>
        <w:tc>
          <w:tcPr>
            <w:tcW w:w="120" w:type="dxa"/>
            <w:vAlign w:val="bottom"/>
          </w:tcPr>
          <w:p>
            <w:pPr>
              <w:spacing w:after="0"/>
              <w:rPr>
                <w:sz w:val="10"/>
                <w:szCs w:val="10"/>
                <w:color w:val="auto"/>
              </w:rPr>
            </w:pP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277,825</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110,758</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81,099</w:t>
            </w:r>
          </w:p>
        </w:tc>
        <w:tc>
          <w:tcPr>
            <w:tcW w:w="126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219,112</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29,066</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28,766</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784,993</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708,483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Additions</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1,271</w:t>
            </w:r>
          </w:p>
        </w:tc>
        <w:tc>
          <w:tcPr>
            <w:tcW w:w="120" w:type="dxa"/>
            <w:vAlign w:val="bottom"/>
            <w:shd w:val="clear" w:color="auto" w:fill="CCFFCC"/>
          </w:tcPr>
          <w:p>
            <w:pPr>
              <w:spacing w:after="0"/>
              <w:rPr>
                <w:sz w:val="10"/>
                <w:szCs w:val="10"/>
                <w:color w:val="auto"/>
              </w:rPr>
            </w:pPr>
          </w:p>
        </w:tc>
        <w:tc>
          <w:tcPr>
            <w:tcW w:w="12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2,203</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2,068</w:t>
            </w:r>
          </w:p>
        </w:tc>
        <w:tc>
          <w:tcPr>
            <w:tcW w:w="9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4,714</w:t>
            </w:r>
          </w:p>
        </w:tc>
        <w:tc>
          <w:tcPr>
            <w:tcW w:w="126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18,554</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1,537</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14,704</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45,051</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91,353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line="122" w:lineRule="exact"/>
              <w:rPr>
                <w:sz w:val="20"/>
                <w:szCs w:val="20"/>
                <w:color w:val="auto"/>
              </w:rPr>
            </w:pPr>
            <w:r>
              <w:rPr>
                <w:rFonts w:ascii="Arial" w:cs="Arial" w:eastAsia="Arial" w:hAnsi="Arial"/>
                <w:sz w:val="11"/>
                <w:szCs w:val="11"/>
                <w:color w:val="auto"/>
              </w:rPr>
              <w:t>Acquisition of Edyficar, note 2</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2,000</w:t>
            </w:r>
          </w:p>
        </w:tc>
        <w:tc>
          <w:tcPr>
            <w:tcW w:w="120" w:type="dxa"/>
            <w:vAlign w:val="bottom"/>
          </w:tcPr>
          <w:p>
            <w:pPr>
              <w:spacing w:after="0"/>
              <w:rPr>
                <w:sz w:val="10"/>
                <w:szCs w:val="10"/>
                <w:color w:val="auto"/>
              </w:rPr>
            </w:pP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2,733</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2,662</w:t>
            </w:r>
          </w:p>
        </w:tc>
        <w:tc>
          <w:tcPr>
            <w:tcW w:w="126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2,640</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1,771</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11,806</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Transfers</w:t>
            </w:r>
          </w:p>
        </w:tc>
        <w:tc>
          <w:tcPr>
            <w:tcW w:w="9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11,978</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5,268</w:t>
            </w:r>
          </w:p>
        </w:tc>
        <w:tc>
          <w:tcPr>
            <w:tcW w:w="9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1,397</w:t>
            </w:r>
          </w:p>
        </w:tc>
        <w:tc>
          <w:tcPr>
            <w:tcW w:w="126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767</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642</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(20,052)</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Pr>
          <w:p>
            <w:pPr>
              <w:spacing w:after="0" w:line="122" w:lineRule="exact"/>
              <w:rPr>
                <w:sz w:val="20"/>
                <w:szCs w:val="20"/>
                <w:color w:val="auto"/>
              </w:rPr>
            </w:pPr>
            <w:r>
              <w:rPr>
                <w:rFonts w:ascii="Arial" w:cs="Arial" w:eastAsia="Arial" w:hAnsi="Arial"/>
                <w:sz w:val="11"/>
                <w:szCs w:val="11"/>
                <w:color w:val="auto"/>
              </w:rPr>
              <w:t>Sales and other</w:t>
            </w:r>
          </w:p>
        </w:tc>
        <w:tc>
          <w:tcPr>
            <w:tcW w:w="9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(1,348)</w:t>
            </w:r>
          </w:p>
        </w:tc>
        <w:tc>
          <w:tcPr>
            <w:tcW w:w="122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(66)</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(493)</w:t>
            </w:r>
          </w:p>
        </w:tc>
        <w:tc>
          <w:tcPr>
            <w:tcW w:w="9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(862)</w:t>
            </w:r>
          </w:p>
        </w:tc>
        <w:tc>
          <w:tcPr>
            <w:tcW w:w="12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(6,213)</w:t>
            </w:r>
          </w:p>
        </w:tc>
        <w:tc>
          <w:tcPr>
            <w:tcW w:w="9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(4,275)</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1,296</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(11,961)</w:t>
            </w:r>
          </w:p>
        </w:tc>
        <w:tc>
          <w:tcPr>
            <w:tcW w:w="9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(14,843)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 as of December 31</w:t>
            </w:r>
          </w:p>
        </w:tc>
        <w:tc>
          <w:tcPr>
            <w:tcW w:w="80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40,290</w:t>
            </w:r>
          </w:p>
        </w:tc>
        <w:tc>
          <w:tcPr>
            <w:tcW w:w="12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92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294,673</w:t>
            </w:r>
          </w:p>
        </w:tc>
        <w:tc>
          <w:tcPr>
            <w:tcW w:w="22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117,601</w:t>
            </w:r>
          </w:p>
        </w:tc>
        <w:tc>
          <w:tcPr>
            <w:tcW w:w="200" w:type="dxa"/>
            <w:vAlign w:val="bottom"/>
            <w:tcBorders>
              <w:bottom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89,010</w:t>
            </w:r>
          </w:p>
        </w:tc>
        <w:tc>
          <w:tcPr>
            <w:tcW w:w="12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96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234,860</w:t>
            </w:r>
          </w:p>
        </w:tc>
        <w:tc>
          <w:tcPr>
            <w:tcW w:w="220" w:type="dxa"/>
            <w:vAlign w:val="bottom"/>
            <w:tcBorders>
              <w:bottom w:val="single" w:sz="8" w:color="CCFFCC"/>
            </w:tcBorders>
            <w:shd w:val="clear" w:color="auto" w:fill="CCFFCC"/>
          </w:tcPr>
          <w:p>
            <w:pPr>
              <w:spacing w:after="0"/>
              <w:rPr>
                <w:sz w:val="11"/>
                <w:szCs w:val="11"/>
                <w:color w:val="auto"/>
              </w:rPr>
            </w:pPr>
          </w:p>
        </w:tc>
        <w:tc>
          <w:tcPr>
            <w:tcW w:w="78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28,741</w:t>
            </w:r>
          </w:p>
        </w:tc>
        <w:tc>
          <w:tcPr>
            <w:tcW w:w="200" w:type="dxa"/>
            <w:vAlign w:val="bottom"/>
            <w:tcBorders>
              <w:bottom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24,714</w:t>
            </w:r>
          </w:p>
        </w:tc>
        <w:tc>
          <w:tcPr>
            <w:tcW w:w="200" w:type="dxa"/>
            <w:vAlign w:val="bottom"/>
            <w:tcBorders>
              <w:bottom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829,889</w:t>
            </w:r>
          </w:p>
        </w:tc>
        <w:tc>
          <w:tcPr>
            <w:tcW w:w="200" w:type="dxa"/>
            <w:vAlign w:val="bottom"/>
            <w:tcBorders>
              <w:bottom w:val="single" w:sz="8" w:color="CCFFCC"/>
            </w:tcBorders>
            <w:shd w:val="clear" w:color="auto" w:fill="CCFFCC"/>
          </w:tcPr>
          <w:p>
            <w:pPr>
              <w:spacing w:after="0"/>
              <w:rPr>
                <w:sz w:val="11"/>
                <w:szCs w:val="11"/>
                <w:color w:val="auto"/>
              </w:rPr>
            </w:pPr>
          </w:p>
        </w:tc>
        <w:tc>
          <w:tcPr>
            <w:tcW w:w="800" w:type="dxa"/>
            <w:vAlign w:val="bottom"/>
            <w:tcBorders>
              <w:top w:val="single" w:sz="8" w:color="auto"/>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784,993</w:t>
            </w:r>
          </w:p>
        </w:tc>
        <w:tc>
          <w:tcPr>
            <w:tcW w:w="10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Accumulated depreciation -</w:t>
            </w: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line="122" w:lineRule="exact"/>
              <w:rPr>
                <w:sz w:val="20"/>
                <w:szCs w:val="20"/>
                <w:color w:val="auto"/>
              </w:rPr>
            </w:pPr>
            <w:r>
              <w:rPr>
                <w:rFonts w:ascii="Arial" w:cs="Arial" w:eastAsia="Arial" w:hAnsi="Arial"/>
                <w:sz w:val="10"/>
                <w:szCs w:val="10"/>
                <w:b w:val="1"/>
                <w:bCs w:val="1"/>
                <w:color w:val="auto"/>
              </w:rPr>
              <w:t>Balance as of January 1</w:t>
            </w:r>
            <w:r>
              <w:rPr>
                <w:rFonts w:ascii="Arial" w:cs="Arial" w:eastAsia="Arial" w:hAnsi="Arial"/>
                <w:sz w:val="14"/>
                <w:szCs w:val="14"/>
                <w:b w:val="1"/>
                <w:bCs w:val="1"/>
                <w:color w:val="auto"/>
                <w:vertAlign w:val="superscript"/>
              </w:rPr>
              <w:t>st</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145,950</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70,116</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60,515</w:t>
            </w:r>
          </w:p>
        </w:tc>
        <w:tc>
          <w:tcPr>
            <w:tcW w:w="126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169,398</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9,556</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455,535</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433,548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Depreciation for the year</w:t>
            </w:r>
          </w:p>
        </w:tc>
        <w:tc>
          <w:tcPr>
            <w:tcW w:w="9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7,193</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7,249</w:t>
            </w:r>
          </w:p>
        </w:tc>
        <w:tc>
          <w:tcPr>
            <w:tcW w:w="9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3,684</w:t>
            </w:r>
          </w:p>
        </w:tc>
        <w:tc>
          <w:tcPr>
            <w:tcW w:w="126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21,060</w:t>
            </w: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2,686</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41,872</w:t>
            </w:r>
          </w:p>
        </w:tc>
        <w:tc>
          <w:tcPr>
            <w:tcW w:w="9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36,034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220" w:type="dxa"/>
            <w:vAlign w:val="bottom"/>
          </w:tcPr>
          <w:p>
            <w:pPr>
              <w:spacing w:after="0" w:line="122" w:lineRule="exact"/>
              <w:rPr>
                <w:sz w:val="20"/>
                <w:szCs w:val="20"/>
                <w:color w:val="auto"/>
              </w:rPr>
            </w:pPr>
            <w:r>
              <w:rPr>
                <w:rFonts w:ascii="Arial" w:cs="Arial" w:eastAsia="Arial" w:hAnsi="Arial"/>
                <w:sz w:val="11"/>
                <w:szCs w:val="11"/>
                <w:color w:val="auto"/>
              </w:rPr>
              <w:t>Acquisition of Edyficar, note 2</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151</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759</w:t>
            </w:r>
          </w:p>
        </w:tc>
        <w:tc>
          <w:tcPr>
            <w:tcW w:w="126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1,801</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840</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3,551</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Sales and other</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78</w:t>
            </w:r>
          </w:p>
        </w:tc>
        <w:tc>
          <w:tcPr>
            <w:tcW w:w="220" w:type="dxa"/>
            <w:vAlign w:val="bottom"/>
            <w:shd w:val="clear" w:color="auto" w:fill="CCFFCC"/>
          </w:tcPr>
          <w:p>
            <w:pPr>
              <w:spacing w:after="0"/>
              <w:rPr>
                <w:sz w:val="11"/>
                <w:szCs w:val="11"/>
                <w:color w:val="auto"/>
              </w:rPr>
            </w:pPr>
          </w:p>
        </w:tc>
        <w:tc>
          <w:tcPr>
            <w:tcW w:w="9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(472)</w:t>
            </w:r>
          </w:p>
        </w:tc>
        <w:tc>
          <w:tcPr>
            <w:tcW w:w="9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(878)</w:t>
            </w:r>
          </w:p>
        </w:tc>
        <w:tc>
          <w:tcPr>
            <w:tcW w:w="12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(6,123)</w:t>
            </w:r>
          </w:p>
        </w:tc>
        <w:tc>
          <w:tcPr>
            <w:tcW w:w="9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(2,209)</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(9,604)</w:t>
            </w:r>
          </w:p>
        </w:tc>
        <w:tc>
          <w:tcPr>
            <w:tcW w:w="9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(14,047)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CCFFCC"/>
            </w:tcBorders>
          </w:tcPr>
          <w:p>
            <w:pPr>
              <w:spacing w:after="0" w:line="122" w:lineRule="exact"/>
              <w:rPr>
                <w:sz w:val="20"/>
                <w:szCs w:val="20"/>
                <w:color w:val="auto"/>
              </w:rPr>
            </w:pPr>
            <w:r>
              <w:rPr>
                <w:rFonts w:ascii="Arial" w:cs="Arial" w:eastAsia="Arial" w:hAnsi="Arial"/>
                <w:sz w:val="11"/>
                <w:szCs w:val="11"/>
                <w:b w:val="1"/>
                <w:bCs w:val="1"/>
                <w:color w:val="auto"/>
              </w:rPr>
              <w:t>Balance as of December 31</w:t>
            </w: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20" w:type="dxa"/>
            <w:vAlign w:val="bottom"/>
            <w:tcBorders>
              <w:top w:val="single" w:sz="8" w:color="CCFFCC"/>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92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153,372</w:t>
            </w:r>
          </w:p>
        </w:tc>
        <w:tc>
          <w:tcPr>
            <w:tcW w:w="220" w:type="dxa"/>
            <w:vAlign w:val="bottom"/>
            <w:tcBorders>
              <w:top w:val="single" w:sz="8" w:color="CCFFCC"/>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76,893</w:t>
            </w:r>
          </w:p>
        </w:tc>
        <w:tc>
          <w:tcPr>
            <w:tcW w:w="200" w:type="dxa"/>
            <w:vAlign w:val="bottom"/>
            <w:tcBorders>
              <w:top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64,080</w:t>
            </w:r>
          </w:p>
        </w:tc>
        <w:tc>
          <w:tcPr>
            <w:tcW w:w="120" w:type="dxa"/>
            <w:vAlign w:val="bottom"/>
            <w:tcBorders>
              <w:top w:val="single" w:sz="8" w:color="CCFFCC"/>
            </w:tcBorders>
          </w:tcPr>
          <w:p>
            <w:pPr>
              <w:spacing w:after="0"/>
              <w:rPr>
                <w:sz w:val="11"/>
                <w:szCs w:val="11"/>
                <w:color w:val="auto"/>
              </w:rPr>
            </w:pPr>
          </w:p>
        </w:tc>
        <w:tc>
          <w:tcPr>
            <w:tcW w:w="80" w:type="dxa"/>
            <w:vAlign w:val="bottom"/>
            <w:tcBorders>
              <w:top w:val="single" w:sz="8" w:color="CCFFCC"/>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186,136</w:t>
            </w:r>
          </w:p>
        </w:tc>
        <w:tc>
          <w:tcPr>
            <w:tcW w:w="220" w:type="dxa"/>
            <w:vAlign w:val="bottom"/>
            <w:tcBorders>
              <w:top w:val="single" w:sz="8" w:color="CCFFCC"/>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10,873</w:t>
            </w:r>
          </w:p>
        </w:tc>
        <w:tc>
          <w:tcPr>
            <w:tcW w:w="200" w:type="dxa"/>
            <w:vAlign w:val="bottom"/>
            <w:tcBorders>
              <w:top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200" w:type="dxa"/>
            <w:vAlign w:val="bottom"/>
            <w:tcBorders>
              <w:top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491,354</w:t>
            </w:r>
          </w:p>
        </w:tc>
        <w:tc>
          <w:tcPr>
            <w:tcW w:w="200" w:type="dxa"/>
            <w:vAlign w:val="bottom"/>
            <w:tcBorders>
              <w:top w:val="single" w:sz="8" w:color="CCFFCC"/>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455,535</w:t>
            </w:r>
          </w:p>
        </w:tc>
        <w:tc>
          <w:tcPr>
            <w:tcW w:w="100" w:type="dxa"/>
            <w:vAlign w:val="bottom"/>
            <w:tcBorders>
              <w:top w:val="single" w:sz="8" w:color="CCFFCC"/>
            </w:tcBorders>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220" w:type="dxa"/>
            <w:vAlign w:val="bottom"/>
          </w:tcPr>
          <w:p>
            <w:pPr>
              <w:spacing w:after="0" w:line="122" w:lineRule="exact"/>
              <w:rPr>
                <w:sz w:val="20"/>
                <w:szCs w:val="20"/>
                <w:color w:val="auto"/>
              </w:rPr>
            </w:pPr>
            <w:r>
              <w:rPr>
                <w:rFonts w:ascii="Arial" w:cs="Arial" w:eastAsia="Arial" w:hAnsi="Arial"/>
                <w:sz w:val="11"/>
                <w:szCs w:val="11"/>
                <w:b w:val="1"/>
                <w:bCs w:val="1"/>
                <w:color w:val="auto"/>
              </w:rPr>
              <w:t>Net book value</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40,290</w:t>
            </w:r>
          </w:p>
        </w:tc>
        <w:tc>
          <w:tcPr>
            <w:tcW w:w="120" w:type="dxa"/>
            <w:vAlign w:val="bottom"/>
          </w:tcPr>
          <w:p>
            <w:pPr>
              <w:spacing w:after="0"/>
              <w:rPr>
                <w:sz w:val="10"/>
                <w:szCs w:val="10"/>
                <w:color w:val="auto"/>
              </w:rPr>
            </w:pPr>
          </w:p>
        </w:tc>
        <w:tc>
          <w:tcPr>
            <w:tcW w:w="12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141,301</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40,708</w:t>
            </w:r>
          </w:p>
        </w:tc>
        <w:tc>
          <w:tcPr>
            <w:tcW w:w="9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24,930</w:t>
            </w:r>
          </w:p>
        </w:tc>
        <w:tc>
          <w:tcPr>
            <w:tcW w:w="126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48,724</w:t>
            </w:r>
          </w:p>
        </w:tc>
        <w:tc>
          <w:tcPr>
            <w:tcW w:w="9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17,868</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24,714</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338,535</w:t>
            </w:r>
          </w:p>
        </w:tc>
        <w:tc>
          <w:tcPr>
            <w:tcW w:w="9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329,458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490"/>
        <w:spacing w:after="0"/>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Banks, financial institutions and insurance entities operating in Peru are not allowed to pledge their fixed assets.</w:t>
      </w:r>
    </w:p>
    <w:p>
      <w:pPr>
        <w:spacing w:after="0" w:line="252" w:lineRule="exact"/>
        <w:rPr>
          <w:rFonts w:ascii="Arial" w:cs="Arial" w:eastAsia="Arial" w:hAnsi="Arial"/>
          <w:sz w:val="18"/>
          <w:szCs w:val="18"/>
          <w:color w:val="auto"/>
        </w:rPr>
      </w:pPr>
    </w:p>
    <w:p>
      <w:pPr>
        <w:jc w:val="both"/>
        <w:ind w:left="1160" w:right="500" w:hanging="490"/>
        <w:spacing w:after="0" w:line="264" w:lineRule="auto"/>
        <w:tabs>
          <w:tab w:leader="none" w:pos="11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As of December 31, 2009, Credicorp and its Subsidiaries have property available for sale for approximately US$24.2 million, net of its accumulated depreciation amounting to approximately US$9.6 million (US$25.0 and US$8.8 million, respectively, as of December 31, 2008).</w:t>
      </w:r>
    </w:p>
    <w:p>
      <w:pPr>
        <w:spacing w:after="0" w:line="208" w:lineRule="exact"/>
        <w:rPr>
          <w:rFonts w:ascii="Arial" w:cs="Arial" w:eastAsia="Arial" w:hAnsi="Arial"/>
          <w:sz w:val="18"/>
          <w:szCs w:val="18"/>
          <w:color w:val="auto"/>
        </w:rPr>
      </w:pPr>
    </w:p>
    <w:p>
      <w:pPr>
        <w:ind w:left="1160" w:right="100" w:hanging="490"/>
        <w:spacing w:after="0" w:line="286" w:lineRule="auto"/>
        <w:tabs>
          <w:tab w:leader="none" w:pos="11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2009 and 2008 there is no evidence of impairment of the Group’s property, furniture and equipment.</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assets and goodwill, net</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210"/>
        </w:numPr>
        <w:rPr>
          <w:rFonts w:ascii="Arial" w:cs="Arial" w:eastAsia="Arial" w:hAnsi="Arial"/>
          <w:sz w:val="18"/>
          <w:szCs w:val="18"/>
          <w:color w:val="auto"/>
        </w:rPr>
      </w:pPr>
      <w:r>
        <w:rPr>
          <w:rFonts w:ascii="Arial" w:cs="Arial" w:eastAsia="Arial" w:hAnsi="Arial"/>
          <w:sz w:val="18"/>
          <w:szCs w:val="18"/>
          <w:color w:val="auto"/>
        </w:rPr>
        <w:t>Intangibles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movement of intangible assets for the years ended December 31, 2009 and 2008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Client</w:t>
            </w:r>
          </w:p>
        </w:tc>
        <w:tc>
          <w:tcPr>
            <w:tcW w:w="12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Brand name</w:t>
            </w:r>
          </w:p>
        </w:tc>
        <w:tc>
          <w:tcPr>
            <w:tcW w:w="130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Software</w:t>
            </w:r>
          </w:p>
        </w:tc>
        <w:tc>
          <w:tcPr>
            <w:tcW w:w="12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Developments</w:t>
            </w: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2009</w:t>
            </w:r>
          </w:p>
        </w:tc>
        <w:tc>
          <w:tcPr>
            <w:tcW w:w="220" w:type="dxa"/>
            <w:vAlign w:val="bottom"/>
          </w:tcPr>
          <w:p>
            <w:pPr>
              <w:spacing w:after="0"/>
              <w:rPr>
                <w:sz w:val="14"/>
                <w:szCs w:val="14"/>
                <w:color w:val="auto"/>
              </w:rPr>
            </w:pPr>
          </w:p>
        </w:tc>
        <w:tc>
          <w:tcPr>
            <w:tcW w:w="10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760" w:type="dxa"/>
            <w:vAlign w:val="bottom"/>
            <w:gridSpan w:val="2"/>
            <w:vMerge w:val="continue"/>
          </w:tcPr>
          <w:p>
            <w:pPr>
              <w:spacing w:after="0"/>
              <w:rPr>
                <w:sz w:val="13"/>
                <w:szCs w:val="13"/>
                <w:color w:val="auto"/>
              </w:rPr>
            </w:pPr>
          </w:p>
        </w:tc>
        <w:tc>
          <w:tcPr>
            <w:tcW w:w="12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1"/>
              </w:rPr>
              <w:t>Relationships</w:t>
            </w:r>
          </w:p>
        </w:tc>
        <w:tc>
          <w:tcPr>
            <w:tcW w:w="1280" w:type="dxa"/>
            <w:vAlign w:val="bottom"/>
            <w:gridSpan w:val="2"/>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color w:val="auto"/>
                <w:w w:val="93"/>
              </w:rPr>
              <w:t>US$(000)</w:t>
            </w:r>
          </w:p>
        </w:tc>
        <w:tc>
          <w:tcPr>
            <w:tcW w:w="1280" w:type="dxa"/>
            <w:vAlign w:val="bottom"/>
            <w:gridSpan w:val="2"/>
          </w:tcPr>
          <w:p>
            <w:pPr>
              <w:jc w:val="right"/>
              <w:ind w:right="480"/>
              <w:spacing w:after="0"/>
              <w:rPr>
                <w:sz w:val="20"/>
                <w:szCs w:val="20"/>
                <w:color w:val="auto"/>
              </w:rPr>
            </w:pPr>
            <w:r>
              <w:rPr>
                <w:rFonts w:ascii="Arial" w:cs="Arial" w:eastAsia="Arial" w:hAnsi="Arial"/>
                <w:sz w:val="14"/>
                <w:szCs w:val="14"/>
                <w:color w:val="auto"/>
              </w:rPr>
              <w:t>US$(000)</w:t>
            </w:r>
          </w:p>
        </w:tc>
        <w:tc>
          <w:tcPr>
            <w:tcW w:w="1300" w:type="dxa"/>
            <w:vAlign w:val="bottom"/>
            <w:gridSpan w:val="2"/>
          </w:tcPr>
          <w:p>
            <w:pPr>
              <w:jc w:val="right"/>
              <w:ind w:right="480"/>
              <w:spacing w:after="0"/>
              <w:rPr>
                <w:sz w:val="20"/>
                <w:szCs w:val="20"/>
                <w:color w:val="auto"/>
              </w:rPr>
            </w:pPr>
            <w:r>
              <w:rPr>
                <w:rFonts w:ascii="Arial" w:cs="Arial" w:eastAsia="Arial" w:hAnsi="Arial"/>
                <w:sz w:val="14"/>
                <w:szCs w:val="14"/>
                <w:color w:val="auto"/>
              </w:rPr>
              <w:t>US$(000)</w:t>
            </w:r>
          </w:p>
        </w:tc>
        <w:tc>
          <w:tcPr>
            <w:tcW w:w="1220" w:type="dxa"/>
            <w:vAlign w:val="bottom"/>
            <w:gridSpan w:val="2"/>
          </w:tcPr>
          <w:p>
            <w:pPr>
              <w:jc w:val="right"/>
              <w:ind w:right="440"/>
              <w:spacing w:after="0"/>
              <w:rPr>
                <w:sz w:val="20"/>
                <w:szCs w:val="20"/>
                <w:color w:val="auto"/>
              </w:rPr>
            </w:pPr>
            <w:r>
              <w:rPr>
                <w:rFonts w:ascii="Arial" w:cs="Arial" w:eastAsia="Arial" w:hAnsi="Arial"/>
                <w:sz w:val="14"/>
                <w:szCs w:val="14"/>
                <w:color w:val="auto"/>
              </w:rPr>
              <w:t>US$(000)</w:t>
            </w:r>
          </w:p>
        </w:tc>
        <w:tc>
          <w:tcPr>
            <w:tcW w:w="1240" w:type="dxa"/>
            <w:vAlign w:val="bottom"/>
            <w:gridSpan w:val="2"/>
          </w:tcPr>
          <w:p>
            <w:pPr>
              <w:jc w:val="right"/>
              <w:ind w:right="440"/>
              <w:spacing w:after="0"/>
              <w:rPr>
                <w:sz w:val="20"/>
                <w:szCs w:val="20"/>
                <w:color w:val="auto"/>
              </w:rPr>
            </w:pPr>
            <w:r>
              <w:rPr>
                <w:rFonts w:ascii="Arial" w:cs="Arial" w:eastAsia="Arial" w:hAnsi="Arial"/>
                <w:sz w:val="14"/>
                <w:szCs w:val="14"/>
                <w:color w:val="auto"/>
              </w:rPr>
              <w:t>US$(000)</w:t>
            </w:r>
          </w:p>
        </w:tc>
        <w:tc>
          <w:tcPr>
            <w:tcW w:w="122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Cost -</w:t>
            </w: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10"/>
                <w:szCs w:val="10"/>
                <w:color w:val="auto"/>
              </w:rPr>
              <w:t>st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88,378</w:t>
            </w: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69,160</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54,926</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11,598</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224,062</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187,237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Additions</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12,128</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935</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39,612</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52,675</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39,261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Acquisition of Edyficar, note 2</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6,574</w:t>
            </w: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13,159</w:t>
            </w: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2,951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22,684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Transfers</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CCFFCC"/>
          </w:tcPr>
          <w:p>
            <w:pPr>
              <w:spacing w:after="0"/>
              <w:rPr>
                <w:sz w:val="12"/>
                <w:szCs w:val="12"/>
                <w:color w:val="auto"/>
              </w:rPr>
            </w:pP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19,767</w:t>
            </w: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(19,771)</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Withdrawls and other</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(349)</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(619)</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(1,375)</w:t>
            </w:r>
          </w:p>
        </w:tc>
        <w:tc>
          <w:tcPr>
            <w:tcW w:w="12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(2,343)</w:t>
            </w:r>
          </w:p>
        </w:tc>
        <w:tc>
          <w:tcPr>
            <w:tcW w:w="11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94,952</w:t>
            </w:r>
          </w:p>
        </w:tc>
        <w:tc>
          <w:tcPr>
            <w:tcW w:w="240" w:type="dxa"/>
            <w:vAlign w:val="bottom"/>
            <w:shd w:val="clear" w:color="auto" w:fill="CCFFCC"/>
          </w:tcPr>
          <w:p>
            <w:pPr>
              <w:spacing w:after="0"/>
              <w:rPr>
                <w:sz w:val="13"/>
                <w:szCs w:val="13"/>
                <w:color w:val="auto"/>
              </w:rPr>
            </w:pPr>
          </w:p>
        </w:tc>
        <w:tc>
          <w:tcPr>
            <w:tcW w:w="12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13,159</w:t>
            </w:r>
          </w:p>
        </w:tc>
        <w:tc>
          <w:tcPr>
            <w:tcW w:w="13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83,894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75,009</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30,064</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297,078</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224,062</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tcBorders>
              <w:top w:val="single" w:sz="8" w:color="CCFFC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Accumulated amortization -</w:t>
            </w: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as of January 1</w:t>
            </w:r>
            <w:r>
              <w:rPr>
                <w:rFonts w:ascii="Arial" w:cs="Arial" w:eastAsia="Arial" w:hAnsi="Arial"/>
                <w:sz w:val="10"/>
                <w:szCs w:val="10"/>
                <w:color w:val="auto"/>
              </w:rPr>
              <w:t>st</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9,436</w:t>
            </w: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29,483</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21,461</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7,339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67,719</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47,552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Amortization of the year</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4,500</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105</w:t>
            </w:r>
          </w:p>
        </w:tc>
        <w:tc>
          <w:tcPr>
            <w:tcW w:w="24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260"/>
              <w:spacing w:after="0" w:line="149" w:lineRule="exact"/>
              <w:rPr>
                <w:sz w:val="20"/>
                <w:szCs w:val="20"/>
                <w:color w:val="auto"/>
              </w:rPr>
            </w:pPr>
            <w:r>
              <w:rPr>
                <w:rFonts w:ascii="Arial" w:cs="Arial" w:eastAsia="Arial" w:hAnsi="Arial"/>
                <w:sz w:val="14"/>
                <w:szCs w:val="14"/>
                <w:color w:val="auto"/>
              </w:rPr>
              <w:t>12,483</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9,952</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2,187</w:t>
            </w:r>
          </w:p>
        </w:tc>
        <w:tc>
          <w:tcPr>
            <w:tcW w:w="12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29,227</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21,335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color w:val="auto"/>
              </w:rPr>
              <w:t>Acquisition of Edyficar, note 2</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1,072</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1,072</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Withdrawls and other</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w:t>
            </w:r>
          </w:p>
        </w:tc>
        <w:tc>
          <w:tcPr>
            <w:tcW w:w="24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(353)</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(512)</w:t>
            </w: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(615)</w:t>
            </w:r>
          </w:p>
        </w:tc>
        <w:tc>
          <w:tcPr>
            <w:tcW w:w="12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(1,457)</w:t>
            </w:r>
          </w:p>
        </w:tc>
        <w:tc>
          <w:tcPr>
            <w:tcW w:w="11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74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Balance as of December 31</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13,959</w:t>
            </w:r>
          </w:p>
        </w:tc>
        <w:tc>
          <w:tcPr>
            <w:tcW w:w="240" w:type="dxa"/>
            <w:vAlign w:val="bottom"/>
          </w:tcPr>
          <w:p>
            <w:pPr>
              <w:spacing w:after="0"/>
              <w:rPr>
                <w:sz w:val="13"/>
                <w:szCs w:val="13"/>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240" w:type="dxa"/>
            <w:vAlign w:val="bottom"/>
          </w:tcPr>
          <w:p>
            <w:pPr>
              <w:spacing w:after="0"/>
              <w:rPr>
                <w:sz w:val="13"/>
                <w:szCs w:val="13"/>
                <w:color w:val="auto"/>
              </w:rPr>
            </w:pP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42,685</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30,901</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8,911</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96,561</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67,719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74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Net book value</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80,993</w:t>
            </w:r>
          </w:p>
        </w:tc>
        <w:tc>
          <w:tcPr>
            <w:tcW w:w="240" w:type="dxa"/>
            <w:vAlign w:val="bottom"/>
          </w:tcPr>
          <w:p>
            <w:pPr>
              <w:spacing w:after="0"/>
              <w:rPr>
                <w:sz w:val="12"/>
                <w:szCs w:val="12"/>
                <w:color w:val="auto"/>
              </w:rPr>
            </w:pPr>
          </w:p>
        </w:tc>
        <w:tc>
          <w:tcPr>
            <w:tcW w:w="12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13,054</w:t>
            </w:r>
          </w:p>
        </w:tc>
        <w:tc>
          <w:tcPr>
            <w:tcW w:w="13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41,209</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44,108</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21,153</w:t>
            </w:r>
          </w:p>
        </w:tc>
        <w:tc>
          <w:tcPr>
            <w:tcW w:w="12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200,517</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156,343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100"/>
        <w:spacing w:after="0" w:line="277" w:lineRule="auto"/>
        <w:rPr>
          <w:sz w:val="20"/>
          <w:szCs w:val="20"/>
          <w:color w:val="auto"/>
        </w:rPr>
      </w:pPr>
      <w:r>
        <w:rPr>
          <w:rFonts w:ascii="Arial" w:cs="Arial" w:eastAsia="Arial" w:hAnsi="Arial"/>
          <w:sz w:val="18"/>
          <w:szCs w:val="18"/>
          <w:color w:val="auto"/>
        </w:rPr>
        <w:t>During the years ended December 31, 2009 and 2008, Credicorp capitalized disbursements related to the implementation and development of sundry computer systems in BCP (mainly SAP-ERP).</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00" w:type="dxa"/>
            <w:vAlign w:val="bottom"/>
          </w:tcPr>
          <w:p>
            <w:pPr>
              <w:ind w:left="640"/>
              <w:spacing w:after="0"/>
              <w:rPr>
                <w:sz w:val="20"/>
                <w:szCs w:val="20"/>
                <w:color w:val="auto"/>
              </w:rPr>
            </w:pPr>
            <w:r>
              <w:rPr>
                <w:rFonts w:ascii="Arial" w:cs="Arial" w:eastAsia="Arial" w:hAnsi="Arial"/>
                <w:sz w:val="18"/>
                <w:szCs w:val="18"/>
                <w:color w:val="auto"/>
              </w:rPr>
              <w:t>(b)</w:t>
            </w:r>
          </w:p>
        </w:tc>
        <w:tc>
          <w:tcPr>
            <w:tcW w:w="5880" w:type="dxa"/>
            <w:vAlign w:val="bottom"/>
          </w:tcPr>
          <w:p>
            <w:pPr>
              <w:ind w:left="140"/>
              <w:spacing w:after="0"/>
              <w:rPr>
                <w:sz w:val="20"/>
                <w:szCs w:val="20"/>
                <w:color w:val="auto"/>
              </w:rPr>
            </w:pPr>
            <w:r>
              <w:rPr>
                <w:rFonts w:ascii="Arial" w:cs="Arial" w:eastAsia="Arial" w:hAnsi="Arial"/>
                <w:sz w:val="18"/>
                <w:szCs w:val="18"/>
                <w:color w:val="auto"/>
              </w:rPr>
              <w:t>Goodwill -</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80" w:type="dxa"/>
            <w:vAlign w:val="bottom"/>
          </w:tcPr>
          <w:p>
            <w:pPr>
              <w:ind w:left="120"/>
              <w:spacing w:after="0"/>
              <w:rPr>
                <w:sz w:val="20"/>
                <w:szCs w:val="20"/>
                <w:color w:val="auto"/>
              </w:rPr>
            </w:pPr>
            <w:r>
              <w:rPr>
                <w:rFonts w:ascii="Arial" w:cs="Arial" w:eastAsia="Arial" w:hAnsi="Arial"/>
                <w:sz w:val="18"/>
                <w:szCs w:val="18"/>
                <w:color w:val="auto"/>
              </w:rPr>
              <w:t>This item is made up as follows:</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Goodwill -</w:t>
            </w:r>
          </w:p>
        </w:tc>
        <w:tc>
          <w:tcPr>
            <w:tcW w:w="58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Edyficar, note 2</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50,696</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Prima AFP</w:t>
            </w:r>
          </w:p>
        </w:tc>
        <w:tc>
          <w:tcPr>
            <w:tcW w:w="588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44,594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Banco de Crédito del Perú</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18,733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18,609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El Pacífico Peruano – Suiza Compañía de Seguros y Reaseguros</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13,007</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Atlantic Security Holding Corporation</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10,660</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Coporación Novasalud Perú S.A. EPS</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3,744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Borders>
              <w:top w:val="single" w:sz="8" w:color="CCFFCC"/>
            </w:tcBorders>
            <w:gridSpan w:val="2"/>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Book value, net</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141,434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90,614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CCFFCC"/>
            </w:tcBorders>
            <w:shd w:val="clear" w:color="auto" w:fill="CCFFCC"/>
          </w:tcPr>
          <w:p>
            <w:pPr>
              <w:spacing w:after="0" w:line="20" w:lineRule="exact"/>
              <w:rPr>
                <w:sz w:val="1"/>
                <w:szCs w:val="1"/>
                <w:color w:val="auto"/>
              </w:rPr>
            </w:pPr>
          </w:p>
        </w:tc>
        <w:tc>
          <w:tcPr>
            <w:tcW w:w="588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Management annually assesses goodwill to identify any impairment; assumptions used are consistent with previous years. As of December 31, 2009 and 2008, Management concluded that there is no impairment in the recorded goodwill.</w:t>
      </w:r>
    </w:p>
    <w:p>
      <w:pPr>
        <w:spacing w:after="0" w:line="34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510" w:right="47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11.</w:t>
            </w:r>
          </w:p>
        </w:tc>
        <w:tc>
          <w:tcPr>
            <w:tcW w:w="4120" w:type="dxa"/>
            <w:vAlign w:val="bottom"/>
            <w:gridSpan w:val="2"/>
          </w:tcPr>
          <w:p>
            <w:pPr>
              <w:ind w:left="120"/>
              <w:spacing w:after="0"/>
              <w:rPr>
                <w:sz w:val="20"/>
                <w:szCs w:val="20"/>
                <w:color w:val="auto"/>
              </w:rPr>
            </w:pPr>
            <w:r>
              <w:rPr>
                <w:rFonts w:ascii="Arial" w:cs="Arial" w:eastAsia="Arial" w:hAnsi="Arial"/>
                <w:sz w:val="18"/>
                <w:szCs w:val="18"/>
                <w:b w:val="1"/>
                <w:bCs w:val="1"/>
                <w:color w:val="auto"/>
              </w:rPr>
              <w:t>Other assets and other liabilities</w:t>
            </w:r>
          </w:p>
        </w:tc>
        <w:tc>
          <w:tcPr>
            <w:tcW w:w="2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ind w:left="120"/>
              <w:spacing w:after="0"/>
              <w:rPr>
                <w:sz w:val="20"/>
                <w:szCs w:val="20"/>
                <w:color w:val="auto"/>
              </w:rPr>
            </w:pPr>
            <w:r>
              <w:rPr>
                <w:rFonts w:ascii="Arial" w:cs="Arial" w:eastAsia="Arial" w:hAnsi="Arial"/>
                <w:sz w:val="18"/>
                <w:szCs w:val="18"/>
                <w:color w:val="auto"/>
              </w:rPr>
              <w:t>(a)</w:t>
            </w:r>
          </w:p>
        </w:tc>
        <w:tc>
          <w:tcPr>
            <w:tcW w:w="3560" w:type="dxa"/>
            <w:vAlign w:val="bottom"/>
          </w:tcPr>
          <w:p>
            <w:pPr>
              <w:ind w:left="60"/>
              <w:spacing w:after="0"/>
              <w:rPr>
                <w:sz w:val="20"/>
                <w:szCs w:val="20"/>
                <w:color w:val="auto"/>
              </w:rPr>
            </w:pPr>
            <w:r>
              <w:rPr>
                <w:rFonts w:ascii="Arial" w:cs="Arial" w:eastAsia="Arial" w:hAnsi="Arial"/>
                <w:sz w:val="18"/>
                <w:szCs w:val="18"/>
                <w:color w:val="auto"/>
              </w:rPr>
              <w:t>These items are made up as follows:</w:t>
            </w:r>
          </w:p>
        </w:tc>
        <w:tc>
          <w:tcPr>
            <w:tcW w:w="2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50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gridSpan w:val="2"/>
          </w:tcPr>
          <w:p>
            <w:pPr>
              <w:spacing w:after="0"/>
              <w:rPr>
                <w:sz w:val="18"/>
                <w:szCs w:val="18"/>
                <w:color w:val="auto"/>
              </w:rPr>
            </w:pPr>
          </w:p>
        </w:tc>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w w:val="88"/>
              </w:rPr>
              <w:t>Other assets -</w:t>
            </w:r>
          </w:p>
        </w:tc>
        <w:tc>
          <w:tcPr>
            <w:tcW w:w="3560" w:type="dxa"/>
            <w:vAlign w:val="bottom"/>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Financial instruments:</w:t>
            </w: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Value added tax credit</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152,548</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124,880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Derivatives receivable (b)</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97,341</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79,275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Accounts receivable</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61,086</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56,886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Income tax prepayments, net</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59,175</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27,417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Operations in process (c)</w:t>
            </w:r>
          </w:p>
        </w:tc>
        <w:tc>
          <w:tcPr>
            <w:tcW w:w="22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50,072</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38,282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3560" w:type="dxa"/>
            <w:vAlign w:val="bottom"/>
            <w:shd w:val="clear" w:color="auto" w:fill="CCFFCC"/>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420,222</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326,740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Non-financial instruments:</w:t>
            </w:r>
          </w:p>
        </w:tc>
        <w:tc>
          <w:tcPr>
            <w:tcW w:w="224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Deferred income tax asset, note 17(c)</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84,070</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67,173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Prepaid expenses</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66,213</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56,252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7"/>
              </w:rPr>
              <w:t>Deferred fees</w:t>
            </w:r>
          </w:p>
        </w:tc>
        <w:tc>
          <w:tcPr>
            <w:tcW w:w="3560" w:type="dxa"/>
            <w:vAlign w:val="bottom"/>
          </w:tcPr>
          <w:p>
            <w:pPr>
              <w:spacing w:after="0"/>
              <w:rPr>
                <w:sz w:val="18"/>
                <w:szCs w:val="18"/>
                <w:color w:val="auto"/>
              </w:rPr>
            </w:pP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30,130</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36,526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Investments in associates</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8,541</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8,474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18,365</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15,755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560" w:type="dxa"/>
            <w:vAlign w:val="bottom"/>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207,319</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184,180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3560" w:type="dxa"/>
            <w:vAlign w:val="bottom"/>
            <w:shd w:val="clear" w:color="auto" w:fill="CCFFCC"/>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627,541</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510,920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gridSpan w:val="3"/>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b w:val="1"/>
                <w:bCs w:val="1"/>
                <w:color w:val="auto"/>
              </w:rPr>
              <w:t>Other liabilities -</w:t>
            </w:r>
          </w:p>
        </w:tc>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Financial instruments:</w:t>
            </w:r>
          </w:p>
        </w:tc>
        <w:tc>
          <w:tcPr>
            <w:tcW w:w="22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Payroll, taxes, salaries and other personnel expenses</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173,953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126,295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Derivatives payable (b)</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167,849</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256,792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Accounts payable</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156,032</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126,421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Operations in process (c)</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51,187</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36,996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color w:val="auto"/>
                <w:w w:val="99"/>
              </w:rPr>
              <w:t>Contributions</w:t>
            </w:r>
          </w:p>
        </w:tc>
        <w:tc>
          <w:tcPr>
            <w:tcW w:w="3560" w:type="dxa"/>
            <w:vAlign w:val="bottom"/>
          </w:tcPr>
          <w:p>
            <w:pPr>
              <w:spacing w:after="0"/>
              <w:rPr>
                <w:sz w:val="18"/>
                <w:szCs w:val="18"/>
                <w:color w:val="auto"/>
              </w:rPr>
            </w:pP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25,874</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4,882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Allowance for indirect loan losses, note 6(d)</w:t>
            </w:r>
          </w:p>
        </w:tc>
        <w:tc>
          <w:tcPr>
            <w:tcW w:w="22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21,694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23,726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3560" w:type="dxa"/>
            <w:vAlign w:val="bottom"/>
            <w:shd w:val="clear" w:color="auto" w:fill="CCFFCC"/>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596,589</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575,112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Non-financial instruments:</w:t>
            </w:r>
          </w:p>
        </w:tc>
        <w:tc>
          <w:tcPr>
            <w:tcW w:w="224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tcPr>
          <w:p>
            <w:pPr>
              <w:spacing w:after="0"/>
              <w:rPr>
                <w:sz w:val="20"/>
                <w:szCs w:val="20"/>
                <w:color w:val="auto"/>
              </w:rPr>
            </w:pPr>
            <w:r>
              <w:rPr>
                <w:rFonts w:ascii="Arial" w:cs="Arial" w:eastAsia="Arial" w:hAnsi="Arial"/>
                <w:sz w:val="18"/>
                <w:szCs w:val="18"/>
                <w:color w:val="auto"/>
              </w:rPr>
              <w:t>Deferred income tax liability, note 17(c)</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89,406</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66,133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Provision for sundry risks (d)</w:t>
            </w:r>
          </w:p>
        </w:tc>
        <w:tc>
          <w:tcPr>
            <w:tcW w:w="370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27,225</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47,512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12,803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13,642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560" w:type="dxa"/>
            <w:vAlign w:val="bottom"/>
            <w:shd w:val="clear" w:color="auto" w:fill="CCFFCC"/>
          </w:tcPr>
          <w:p>
            <w:pPr>
              <w:spacing w:after="0"/>
              <w:rPr>
                <w:sz w:val="18"/>
                <w:szCs w:val="18"/>
                <w:color w:val="auto"/>
              </w:rPr>
            </w:pPr>
          </w:p>
        </w:tc>
        <w:tc>
          <w:tcPr>
            <w:tcW w:w="3560" w:type="dxa"/>
            <w:vAlign w:val="bottom"/>
            <w:shd w:val="clear" w:color="auto" w:fill="CCFFCC"/>
          </w:tcPr>
          <w:p>
            <w:pPr>
              <w:spacing w:after="0"/>
              <w:rPr>
                <w:sz w:val="18"/>
                <w:szCs w:val="18"/>
                <w:color w:val="auto"/>
              </w:rPr>
            </w:pPr>
          </w:p>
        </w:tc>
        <w:tc>
          <w:tcPr>
            <w:tcW w:w="224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129,434</w:t>
            </w:r>
          </w:p>
        </w:tc>
        <w:tc>
          <w:tcPr>
            <w:tcW w:w="13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127,287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 w:type="dxa"/>
            <w:vAlign w:val="bottom"/>
            <w:shd w:val="clear" w:color="auto" w:fill="CCFFCC"/>
          </w:tcPr>
          <w:p>
            <w:pPr>
              <w:spacing w:after="0"/>
              <w:rPr>
                <w:sz w:val="2"/>
                <w:szCs w:val="2"/>
                <w:color w:val="auto"/>
              </w:rPr>
            </w:pPr>
          </w:p>
        </w:tc>
        <w:tc>
          <w:tcPr>
            <w:tcW w:w="560" w:type="dxa"/>
            <w:vAlign w:val="bottom"/>
            <w:shd w:val="clear" w:color="auto" w:fill="CCFFCC"/>
          </w:tcPr>
          <w:p>
            <w:pPr>
              <w:spacing w:after="0"/>
              <w:rPr>
                <w:sz w:val="2"/>
                <w:szCs w:val="2"/>
                <w:color w:val="auto"/>
              </w:rPr>
            </w:pPr>
          </w:p>
        </w:tc>
        <w:tc>
          <w:tcPr>
            <w:tcW w:w="3560" w:type="dxa"/>
            <w:vAlign w:val="bottom"/>
            <w:shd w:val="clear" w:color="auto" w:fill="CCFFCC"/>
          </w:tcPr>
          <w:p>
            <w:pPr>
              <w:spacing w:after="0"/>
              <w:rPr>
                <w:sz w:val="2"/>
                <w:szCs w:val="2"/>
                <w:color w:val="auto"/>
              </w:rPr>
            </w:pPr>
          </w:p>
        </w:tc>
        <w:tc>
          <w:tcPr>
            <w:tcW w:w="224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726,023</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702,399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3700" w:type="dxa"/>
            <w:vAlign w:val="bottom"/>
            <w:gridSpan w:val="3"/>
          </w:tcPr>
          <w:p>
            <w:pPr>
              <w:jc w:val="right"/>
              <w:ind w:right="2480"/>
              <w:spacing w:after="0"/>
              <w:rPr>
                <w:sz w:val="20"/>
                <w:szCs w:val="20"/>
                <w:color w:val="auto"/>
              </w:rPr>
            </w:pPr>
            <w:r>
              <w:rPr>
                <w:rFonts w:ascii="Arial" w:cs="Arial" w:eastAsia="Arial" w:hAnsi="Arial"/>
                <w:sz w:val="18"/>
                <w:szCs w:val="18"/>
                <w:color w:val="auto"/>
              </w:rPr>
              <w:t>F-56</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560" w:type="dxa"/>
            <w:vAlign w:val="bottom"/>
            <w:tcBorders>
              <w:bottom w:val="single" w:sz="8" w:color="808080"/>
            </w:tcBorders>
          </w:tcPr>
          <w:p>
            <w:pPr>
              <w:spacing w:after="0"/>
              <w:rPr>
                <w:sz w:val="10"/>
                <w:szCs w:val="10"/>
                <w:color w:val="auto"/>
              </w:rPr>
            </w:pPr>
          </w:p>
        </w:tc>
        <w:tc>
          <w:tcPr>
            <w:tcW w:w="3560" w:type="dxa"/>
            <w:vAlign w:val="bottom"/>
            <w:tcBorders>
              <w:bottom w:val="single" w:sz="8" w:color="808080"/>
            </w:tcBorders>
          </w:tcPr>
          <w:p>
            <w:pPr>
              <w:spacing w:after="0"/>
              <w:rPr>
                <w:sz w:val="10"/>
                <w:szCs w:val="10"/>
                <w:color w:val="auto"/>
              </w:rPr>
            </w:pPr>
          </w:p>
        </w:tc>
        <w:tc>
          <w:tcPr>
            <w:tcW w:w="22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line="259" w:lineRule="auto"/>
        <w:tabs>
          <w:tab w:leader="none" w:pos="11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The table below presents the fair value of derivative financial instruments, recorded as an asset or a liability, together with their notional amounts. The notional amount, recorded gross, is the amount of a derivative’s underlying asset and is the basis upon which changes in the value of derivatives are measured. The notional amounts indicate the volume of transactions outstanding at year end and are not indicative of market risk on credit risk, note 19(c).</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2009</w:t>
            </w:r>
          </w:p>
        </w:tc>
        <w:tc>
          <w:tcPr>
            <w:tcW w:w="1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60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Note</w:t>
            </w:r>
          </w:p>
        </w:tc>
        <w:tc>
          <w:tcPr>
            <w:tcW w:w="10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Assets</w:t>
            </w:r>
          </w:p>
        </w:tc>
        <w:tc>
          <w:tcPr>
            <w:tcW w:w="11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Liabilities</w:t>
            </w:r>
          </w:p>
        </w:tc>
        <w:tc>
          <w:tcPr>
            <w:tcW w:w="11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Notional amount</w:t>
            </w:r>
          </w:p>
        </w:tc>
        <w:tc>
          <w:tcPr>
            <w:tcW w:w="1820" w:type="dxa"/>
            <w:vAlign w:val="bottom"/>
          </w:tcPr>
          <w:p>
            <w:pPr>
              <w:ind w:left="720"/>
              <w:spacing w:after="0" w:line="126" w:lineRule="exact"/>
              <w:rPr>
                <w:sz w:val="20"/>
                <w:szCs w:val="20"/>
                <w:color w:val="auto"/>
              </w:rPr>
            </w:pPr>
            <w:r>
              <w:rPr>
                <w:rFonts w:ascii="Arial" w:cs="Arial" w:eastAsia="Arial" w:hAnsi="Arial"/>
                <w:sz w:val="14"/>
                <w:szCs w:val="14"/>
                <w:b w:val="1"/>
                <w:bCs w:val="1"/>
                <w:color w:val="auto"/>
              </w:rPr>
              <w:t>Hedged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1600" w:type="dxa"/>
            <w:vAlign w:val="bottom"/>
            <w:vMerge w:val="continue"/>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920" w:type="dxa"/>
            <w:vAlign w:val="bottom"/>
            <w:gridSpan w:val="2"/>
          </w:tcPr>
          <w:p>
            <w:pPr>
              <w:ind w:left="620"/>
              <w:spacing w:after="0" w:line="153" w:lineRule="exact"/>
              <w:rPr>
                <w:sz w:val="20"/>
                <w:szCs w:val="20"/>
                <w:color w:val="auto"/>
              </w:rPr>
            </w:pPr>
            <w:r>
              <w:rPr>
                <w:rFonts w:ascii="Arial" w:cs="Arial" w:eastAsia="Arial" w:hAnsi="Arial"/>
                <w:sz w:val="14"/>
                <w:szCs w:val="14"/>
                <w:b w:val="1"/>
                <w:bCs w:val="1"/>
                <w:color w:val="auto"/>
              </w:rPr>
              <w:t>instrument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color w:val="auto"/>
              </w:rPr>
              <w:t>US$(000)</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color w:val="auto"/>
              </w:rPr>
              <w:t>US$(000)</w:t>
            </w: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Derivatives held for trading (i) -</w:t>
            </w:r>
          </w:p>
        </w:tc>
        <w:tc>
          <w:tcPr>
            <w:tcW w:w="16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Forward exchange contracts</w:t>
            </w:r>
          </w:p>
        </w:tc>
        <w:tc>
          <w:tcPr>
            <w:tcW w:w="16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39,611</w:t>
            </w:r>
          </w:p>
        </w:tc>
        <w:tc>
          <w:tcPr>
            <w:tcW w:w="22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19,138</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2,614,381</w:t>
            </w:r>
          </w:p>
        </w:tc>
        <w:tc>
          <w:tcPr>
            <w:tcW w:w="18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1600" w:type="dxa"/>
            <w:vAlign w:val="bottom"/>
            <w:shd w:val="clear" w:color="auto" w:fill="CCFFCC"/>
          </w:tcPr>
          <w:p>
            <w:pPr>
              <w:spacing w:after="0"/>
              <w:rPr>
                <w:sz w:val="12"/>
                <w:szCs w:val="12"/>
                <w:color w:val="auto"/>
              </w:rPr>
            </w:pP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29,023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31,695</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618,006</w:t>
            </w:r>
          </w:p>
        </w:tc>
        <w:tc>
          <w:tcPr>
            <w:tcW w:w="1820" w:type="dxa"/>
            <w:vAlign w:val="bottom"/>
            <w:shd w:val="clear" w:color="auto" w:fill="CCFFCC"/>
          </w:tcPr>
          <w:p>
            <w:pPr>
              <w:ind w:left="9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Currency swaps</w:t>
            </w:r>
          </w:p>
        </w:tc>
        <w:tc>
          <w:tcPr>
            <w:tcW w:w="160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14,245</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12,025</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435,518</w:t>
            </w:r>
          </w:p>
        </w:tc>
        <w:tc>
          <w:tcPr>
            <w:tcW w:w="1820" w:type="dxa"/>
            <w:vAlign w:val="bottom"/>
          </w:tcPr>
          <w:p>
            <w:pPr>
              <w:ind w:left="9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Options</w:t>
            </w:r>
          </w:p>
        </w:tc>
        <w:tc>
          <w:tcPr>
            <w:tcW w:w="160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198</w:t>
            </w: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161</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24,374</w:t>
            </w:r>
          </w:p>
        </w:tc>
        <w:tc>
          <w:tcPr>
            <w:tcW w:w="1820" w:type="dxa"/>
            <w:vAlign w:val="bottom"/>
            <w:shd w:val="clear" w:color="auto" w:fill="CCFFCC"/>
          </w:tcPr>
          <w:p>
            <w:pPr>
              <w:ind w:left="9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Derivatives held as hedges -</w:t>
            </w:r>
          </w:p>
        </w:tc>
        <w:tc>
          <w:tcPr>
            <w:tcW w:w="16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b w:val="1"/>
                <w:bCs w:val="1"/>
                <w:color w:val="auto"/>
              </w:rPr>
              <w:t>Cash flow hedge (ii) :</w:t>
            </w: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Forward exchange contracts</w:t>
            </w:r>
          </w:p>
        </w:tc>
        <w:tc>
          <w:tcPr>
            <w:tcW w:w="1600" w:type="dxa"/>
            <w:vAlign w:val="bottom"/>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7"/>
              </w:rPr>
              <w:t>5(m)</w:t>
            </w: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13,532</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71,180</w:t>
            </w:r>
          </w:p>
        </w:tc>
        <w:tc>
          <w:tcPr>
            <w:tcW w:w="19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w w:val="98"/>
              </w:rPr>
              <w:t>Investments available for-sale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160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1"/>
              </w:rPr>
              <w:t>12(a)</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1,706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1,614</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316,021</w:t>
            </w:r>
          </w:p>
        </w:tc>
        <w:tc>
          <w:tcPr>
            <w:tcW w:w="19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Deposits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1600" w:type="dxa"/>
            <w:vAlign w:val="bottom"/>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rPr>
              <w:t>13(a)(i)(*)</w:t>
            </w:r>
          </w:p>
        </w:tc>
        <w:tc>
          <w:tcPr>
            <w:tcW w:w="8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11,395</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410,000</w:t>
            </w:r>
          </w:p>
        </w:tc>
        <w:tc>
          <w:tcPr>
            <w:tcW w:w="19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Due to banks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1600" w:type="dxa"/>
            <w:vAlign w:val="bottom"/>
          </w:tcPr>
          <w:p>
            <w:pPr>
              <w:jc w:val="center"/>
              <w:ind w:left="148"/>
              <w:spacing w:after="0" w:line="149" w:lineRule="exact"/>
              <w:rPr>
                <w:sz w:val="20"/>
                <w:szCs w:val="20"/>
                <w:color w:val="auto"/>
              </w:rPr>
            </w:pPr>
            <w:r>
              <w:rPr>
                <w:rFonts w:ascii="Arial" w:cs="Arial" w:eastAsia="Arial" w:hAnsi="Arial"/>
                <w:sz w:val="14"/>
                <w:szCs w:val="14"/>
                <w:color w:val="auto"/>
                <w:w w:val="91"/>
              </w:rPr>
              <w:t>13(b)</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63,629</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649,177</w:t>
            </w:r>
          </w:p>
        </w:tc>
        <w:tc>
          <w:tcPr>
            <w:tcW w:w="19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Borrowed funds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w:t>
            </w:r>
          </w:p>
        </w:tc>
        <w:tc>
          <w:tcPr>
            <w:tcW w:w="1600" w:type="dxa"/>
            <w:vAlign w:val="bottom"/>
            <w:shd w:val="clear" w:color="auto" w:fill="CCFFCC"/>
          </w:tcPr>
          <w:p>
            <w:pPr>
              <w:jc w:val="center"/>
              <w:ind w:left="148"/>
              <w:spacing w:after="0" w:line="149" w:lineRule="exact"/>
              <w:rPr>
                <w:sz w:val="20"/>
                <w:szCs w:val="20"/>
                <w:color w:val="auto"/>
              </w:rPr>
            </w:pPr>
            <w:r>
              <w:rPr>
                <w:rFonts w:ascii="Arial" w:cs="Arial" w:eastAsia="Arial" w:hAnsi="Arial"/>
                <w:sz w:val="14"/>
                <w:szCs w:val="14"/>
                <w:color w:val="auto"/>
              </w:rPr>
              <w:t>15(a)(i)(*)</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1,737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111,508</w:t>
            </w:r>
          </w:p>
        </w:tc>
        <w:tc>
          <w:tcPr>
            <w:tcW w:w="19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Pr>
          <w:p>
            <w:pPr>
              <w:spacing w:after="0" w:line="149" w:lineRule="exact"/>
              <w:rPr>
                <w:sz w:val="20"/>
                <w:szCs w:val="20"/>
                <w:color w:val="auto"/>
              </w:rPr>
            </w:pPr>
            <w:r>
              <w:rPr>
                <w:rFonts w:ascii="Arial" w:cs="Arial" w:eastAsia="Arial" w:hAnsi="Arial"/>
                <w:sz w:val="14"/>
                <w:szCs w:val="14"/>
                <w:color w:val="auto"/>
              </w:rPr>
              <w:t>Cross currency swaps</w:t>
            </w:r>
          </w:p>
        </w:tc>
        <w:tc>
          <w:tcPr>
            <w:tcW w:w="1600" w:type="dxa"/>
            <w:vAlign w:val="bottom"/>
          </w:tcPr>
          <w:p>
            <w:pPr>
              <w:jc w:val="center"/>
              <w:ind w:left="168"/>
              <w:spacing w:after="0" w:line="149" w:lineRule="exact"/>
              <w:rPr>
                <w:sz w:val="20"/>
                <w:szCs w:val="20"/>
                <w:color w:val="auto"/>
              </w:rPr>
            </w:pPr>
            <w:r>
              <w:rPr>
                <w:rFonts w:ascii="Arial" w:cs="Arial" w:eastAsia="Arial" w:hAnsi="Arial"/>
                <w:sz w:val="14"/>
                <w:szCs w:val="14"/>
                <w:color w:val="auto"/>
                <w:w w:val="97"/>
              </w:rPr>
              <w:t>15(a)(i)</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2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20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15,687</w:t>
            </w:r>
          </w:p>
        </w:tc>
        <w:tc>
          <w:tcPr>
            <w:tcW w:w="19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 and interest rate swaps (iii)</w:t>
            </w:r>
          </w:p>
        </w:tc>
        <w:tc>
          <w:tcPr>
            <w:tcW w:w="1600" w:type="dxa"/>
            <w:vAlign w:val="bottom"/>
            <w:shd w:val="clear" w:color="auto" w:fill="CCFFCC"/>
          </w:tcPr>
          <w:p>
            <w:pPr>
              <w:jc w:val="center"/>
              <w:ind w:left="168"/>
              <w:spacing w:after="0" w:line="149" w:lineRule="exact"/>
              <w:rPr>
                <w:sz w:val="20"/>
                <w:szCs w:val="20"/>
                <w:color w:val="auto"/>
              </w:rPr>
            </w:pPr>
            <w:r>
              <w:rPr>
                <w:rFonts w:ascii="Arial" w:cs="Arial" w:eastAsia="Arial" w:hAnsi="Arial"/>
                <w:sz w:val="14"/>
                <w:szCs w:val="14"/>
                <w:color w:val="auto"/>
                <w:w w:val="97"/>
              </w:rPr>
              <w:t>15(a)(i)</w:t>
            </w: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7,761</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2,855</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113,362</w:t>
            </w:r>
          </w:p>
        </w:tc>
        <w:tc>
          <w:tcPr>
            <w:tcW w:w="19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6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Fair value hedge (iv) :</w:t>
            </w:r>
          </w:p>
        </w:tc>
        <w:tc>
          <w:tcPr>
            <w:tcW w:w="16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Investments available-for-</w:t>
            </w:r>
          </w:p>
        </w:tc>
        <w:tc>
          <w:tcPr>
            <w:tcW w:w="0" w:type="dxa"/>
            <w:vAlign w:val="bottom"/>
          </w:tcPr>
          <w:p>
            <w:pPr>
              <w:spacing w:after="0"/>
              <w:rPr>
                <w:sz w:val="1"/>
                <w:szCs w:val="1"/>
                <w:color w:val="auto"/>
              </w:rPr>
            </w:pPr>
          </w:p>
        </w:tc>
      </w:tr>
      <w:tr>
        <w:trPr>
          <w:trHeight w:val="167"/>
        </w:trPr>
        <w:tc>
          <w:tcPr>
            <w:tcW w:w="3480" w:type="dxa"/>
            <w:vAlign w:val="bottom"/>
            <w:gridSpan w:val="2"/>
          </w:tcPr>
          <w:p>
            <w:pPr>
              <w:spacing w:after="0"/>
              <w:rPr>
                <w:sz w:val="20"/>
                <w:szCs w:val="20"/>
                <w:color w:val="auto"/>
              </w:rPr>
            </w:pPr>
            <w:r>
              <w:rPr>
                <w:rFonts w:ascii="Arial" w:cs="Arial" w:eastAsia="Arial" w:hAnsi="Arial"/>
                <w:sz w:val="14"/>
                <w:szCs w:val="14"/>
                <w:color w:val="auto"/>
              </w:rPr>
              <w:t>Cross currency swaps</w:t>
            </w:r>
          </w:p>
        </w:tc>
        <w:tc>
          <w:tcPr>
            <w:tcW w:w="1600" w:type="dxa"/>
            <w:vAlign w:val="bottom"/>
          </w:tcPr>
          <w:p>
            <w:pPr>
              <w:jc w:val="center"/>
              <w:ind w:left="168"/>
              <w:spacing w:after="0"/>
              <w:rPr>
                <w:sz w:val="20"/>
                <w:szCs w:val="20"/>
                <w:color w:val="auto"/>
              </w:rPr>
            </w:pPr>
            <w:r>
              <w:rPr>
                <w:rFonts w:ascii="Arial" w:cs="Arial" w:eastAsia="Arial" w:hAnsi="Arial"/>
                <w:sz w:val="14"/>
                <w:szCs w:val="14"/>
                <w:color w:val="auto"/>
                <w:w w:val="97"/>
              </w:rPr>
              <w:t>5(m)</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2,464</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11,646</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318,325</w:t>
            </w:r>
          </w:p>
        </w:tc>
        <w:tc>
          <w:tcPr>
            <w:tcW w:w="1920" w:type="dxa"/>
            <w:vAlign w:val="bottom"/>
            <w:gridSpan w:val="2"/>
          </w:tcPr>
          <w:p>
            <w:pPr>
              <w:ind w:left="260"/>
              <w:spacing w:after="0"/>
              <w:rPr>
                <w:sz w:val="20"/>
                <w:szCs w:val="20"/>
                <w:color w:val="auto"/>
              </w:rPr>
            </w:pPr>
            <w:r>
              <w:rPr>
                <w:rFonts w:ascii="Arial" w:cs="Arial" w:eastAsia="Arial" w:hAnsi="Arial"/>
                <w:sz w:val="14"/>
                <w:szCs w:val="14"/>
                <w:color w:val="auto"/>
              </w:rPr>
              <w:t>sale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60" w:type="dxa"/>
            <w:vAlign w:val="bottom"/>
            <w:shd w:val="clear" w:color="auto" w:fill="CCFFCC"/>
          </w:tcPr>
          <w:p>
            <w:pPr>
              <w:spacing w:after="0"/>
              <w:rPr>
                <w:sz w:val="11"/>
                <w:szCs w:val="11"/>
                <w:color w:val="auto"/>
              </w:rPr>
            </w:pPr>
          </w:p>
        </w:tc>
        <w:tc>
          <w:tcPr>
            <w:tcW w:w="16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920" w:type="dxa"/>
            <w:vAlign w:val="bottom"/>
            <w:gridSpan w:val="2"/>
            <w:shd w:val="clear" w:color="auto" w:fill="CCFFCC"/>
          </w:tcPr>
          <w:p>
            <w:pPr>
              <w:ind w:left="80"/>
              <w:spacing w:after="0" w:line="130" w:lineRule="exact"/>
              <w:rPr>
                <w:sz w:val="20"/>
                <w:szCs w:val="20"/>
                <w:color w:val="auto"/>
              </w:rPr>
            </w:pPr>
            <w:r>
              <w:rPr>
                <w:rFonts w:ascii="Arial" w:cs="Arial" w:eastAsia="Arial" w:hAnsi="Arial"/>
                <w:sz w:val="14"/>
                <w:szCs w:val="14"/>
                <w:color w:val="auto"/>
              </w:rPr>
              <w:t>Investments available-for-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4"/>
                <w:szCs w:val="14"/>
                <w:color w:val="auto"/>
              </w:rPr>
              <w:t>Interest rate swaps</w:t>
            </w:r>
          </w:p>
        </w:tc>
        <w:tc>
          <w:tcPr>
            <w:tcW w:w="1600" w:type="dxa"/>
            <w:vAlign w:val="bottom"/>
            <w:shd w:val="clear" w:color="auto" w:fill="CCFFCC"/>
          </w:tcPr>
          <w:p>
            <w:pPr>
              <w:jc w:val="center"/>
              <w:ind w:left="168"/>
              <w:spacing w:after="0"/>
              <w:rPr>
                <w:sz w:val="20"/>
                <w:szCs w:val="20"/>
                <w:color w:val="auto"/>
              </w:rPr>
            </w:pPr>
            <w:r>
              <w:rPr>
                <w:rFonts w:ascii="Arial" w:cs="Arial" w:eastAsia="Arial" w:hAnsi="Arial"/>
                <w:sz w:val="14"/>
                <w:szCs w:val="14"/>
                <w:color w:val="auto"/>
                <w:w w:val="97"/>
              </w:rPr>
              <w:t>5(m)</w:t>
            </w:r>
          </w:p>
        </w:tc>
        <w:tc>
          <w:tcPr>
            <w:tcW w:w="8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572</w:t>
            </w:r>
          </w:p>
        </w:tc>
        <w:tc>
          <w:tcPr>
            <w:tcW w:w="220" w:type="dxa"/>
            <w:vAlign w:val="bottom"/>
            <w:shd w:val="clear" w:color="auto" w:fill="CCFFCC"/>
          </w:tcPr>
          <w:p>
            <w:pPr>
              <w:spacing w:after="0"/>
              <w:rPr>
                <w:sz w:val="15"/>
                <w:szCs w:val="15"/>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53</w:t>
            </w:r>
          </w:p>
        </w:tc>
        <w:tc>
          <w:tcPr>
            <w:tcW w:w="200" w:type="dxa"/>
            <w:vAlign w:val="bottom"/>
            <w:shd w:val="clear" w:color="auto" w:fill="CCFFCC"/>
          </w:tcPr>
          <w:p>
            <w:pPr>
              <w:spacing w:after="0"/>
              <w:rPr>
                <w:sz w:val="15"/>
                <w:szCs w:val="15"/>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55,047</w:t>
            </w:r>
          </w:p>
        </w:tc>
        <w:tc>
          <w:tcPr>
            <w:tcW w:w="1920" w:type="dxa"/>
            <w:vAlign w:val="bottom"/>
            <w:gridSpan w:val="2"/>
            <w:shd w:val="clear" w:color="auto" w:fill="CCFFCC"/>
          </w:tcPr>
          <w:p>
            <w:pPr>
              <w:ind w:left="260"/>
              <w:spacing w:after="0"/>
              <w:rPr>
                <w:sz w:val="20"/>
                <w:szCs w:val="20"/>
                <w:color w:val="auto"/>
              </w:rPr>
            </w:pPr>
            <w:r>
              <w:rPr>
                <w:rFonts w:ascii="Arial" w:cs="Arial" w:eastAsia="Arial" w:hAnsi="Arial"/>
                <w:sz w:val="14"/>
                <w:szCs w:val="14"/>
                <w:color w:val="auto"/>
              </w:rPr>
              <w:t>sale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60" w:type="dxa"/>
            <w:vAlign w:val="bottom"/>
            <w:tcBorders>
              <w:top w:val="single" w:sz="8" w:color="CCFFCC"/>
            </w:tcBorders>
          </w:tcPr>
          <w:p>
            <w:pPr>
              <w:spacing w:after="0"/>
              <w:rPr>
                <w:sz w:val="12"/>
                <w:szCs w:val="12"/>
                <w:color w:val="auto"/>
              </w:rPr>
            </w:pPr>
          </w:p>
        </w:tc>
        <w:tc>
          <w:tcPr>
            <w:tcW w:w="1600" w:type="dxa"/>
            <w:vAlign w:val="bottom"/>
            <w:tcBorders>
              <w:top w:val="single" w:sz="8" w:color="CCFFCC"/>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82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460" w:type="dxa"/>
            <w:vAlign w:val="bottom"/>
            <w:shd w:val="clear" w:color="auto" w:fill="CCFFCC"/>
          </w:tcPr>
          <w:p>
            <w:pPr>
              <w:spacing w:after="0"/>
              <w:rPr>
                <w:sz w:val="14"/>
                <w:szCs w:val="14"/>
                <w:color w:val="auto"/>
              </w:rPr>
            </w:pPr>
          </w:p>
        </w:tc>
        <w:tc>
          <w:tcPr>
            <w:tcW w:w="1600" w:type="dxa"/>
            <w:vAlign w:val="bottom"/>
            <w:shd w:val="clear" w:color="auto" w:fill="CCFFCC"/>
          </w:tcPr>
          <w:p>
            <w:pPr>
              <w:spacing w:after="0"/>
              <w:rPr>
                <w:sz w:val="14"/>
                <w:szCs w:val="14"/>
                <w:color w:val="auto"/>
              </w:rPr>
            </w:pPr>
          </w:p>
        </w:tc>
        <w:tc>
          <w:tcPr>
            <w:tcW w:w="10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97,341</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167,849</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5,752,586</w:t>
            </w:r>
          </w:p>
        </w:tc>
        <w:tc>
          <w:tcPr>
            <w:tcW w:w="18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FFCC"/>
            </w:tcBorders>
            <w:shd w:val="clear" w:color="auto" w:fill="CCFFCC"/>
          </w:tcPr>
          <w:p>
            <w:pPr>
              <w:spacing w:after="0" w:line="20" w:lineRule="exact"/>
              <w:rPr>
                <w:sz w:val="1"/>
                <w:szCs w:val="1"/>
                <w:color w:val="auto"/>
              </w:rPr>
            </w:pPr>
          </w:p>
        </w:tc>
        <w:tc>
          <w:tcPr>
            <w:tcW w:w="16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8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right"/>
              <w:ind w:right="628"/>
              <w:spacing w:after="0"/>
              <w:rPr>
                <w:sz w:val="20"/>
                <w:szCs w:val="20"/>
                <w:color w:val="auto"/>
              </w:rPr>
            </w:pPr>
            <w:r>
              <w:rPr>
                <w:rFonts w:ascii="Arial" w:cs="Arial" w:eastAsia="Arial" w:hAnsi="Arial"/>
                <w:sz w:val="14"/>
                <w:szCs w:val="14"/>
                <w:b w:val="1"/>
                <w:bCs w:val="1"/>
                <w:color w:val="auto"/>
              </w:rPr>
              <w:t>2008</w:t>
            </w:r>
          </w:p>
        </w:tc>
        <w:tc>
          <w:tcPr>
            <w:tcW w:w="1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6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Note</w:t>
            </w: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2"/>
              </w:rPr>
              <w:t>Assets</w:t>
            </w: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Liabilities</w:t>
            </w:r>
          </w:p>
        </w:tc>
        <w:tc>
          <w:tcPr>
            <w:tcW w:w="122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4"/>
              </w:rPr>
              <w:t>Notional amount</w:t>
            </w:r>
          </w:p>
        </w:tc>
        <w:tc>
          <w:tcPr>
            <w:tcW w:w="1720" w:type="dxa"/>
            <w:vAlign w:val="bottom"/>
          </w:tcPr>
          <w:p>
            <w:pPr>
              <w:jc w:val="center"/>
              <w:ind w:left="8"/>
              <w:spacing w:after="0" w:line="126" w:lineRule="exact"/>
              <w:rPr>
                <w:sz w:val="20"/>
                <w:szCs w:val="20"/>
                <w:color w:val="auto"/>
              </w:rPr>
            </w:pPr>
            <w:r>
              <w:rPr>
                <w:rFonts w:ascii="Arial" w:cs="Arial" w:eastAsia="Arial" w:hAnsi="Arial"/>
                <w:sz w:val="14"/>
                <w:szCs w:val="14"/>
                <w:b w:val="1"/>
                <w:bCs w:val="1"/>
                <w:color w:val="auto"/>
                <w:w w:val="86"/>
              </w:rPr>
              <w:t>Hedgee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820" w:type="dxa"/>
            <w:vAlign w:val="bottom"/>
            <w:gridSpan w:val="2"/>
          </w:tcPr>
          <w:p>
            <w:pPr>
              <w:jc w:val="center"/>
              <w:ind w:right="20"/>
              <w:spacing w:after="0" w:line="153" w:lineRule="exact"/>
              <w:rPr>
                <w:sz w:val="20"/>
                <w:szCs w:val="20"/>
                <w:color w:val="auto"/>
              </w:rPr>
            </w:pPr>
            <w:r>
              <w:rPr>
                <w:rFonts w:ascii="Arial" w:cs="Arial" w:eastAsia="Arial" w:hAnsi="Arial"/>
                <w:sz w:val="14"/>
                <w:szCs w:val="14"/>
                <w:b w:val="1"/>
                <w:bCs w:val="1"/>
                <w:color w:val="auto"/>
                <w:w w:val="89"/>
              </w:rPr>
              <w:t>instruments</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US$(000)</w:t>
            </w:r>
          </w:p>
        </w:tc>
        <w:tc>
          <w:tcPr>
            <w:tcW w:w="8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3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Derivatives held for trading (i) -</w:t>
            </w: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Forward exchange contracts</w:t>
            </w:r>
          </w:p>
        </w:tc>
        <w:tc>
          <w:tcPr>
            <w:tcW w:w="14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33,427</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49,979</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2,478,234</w:t>
            </w:r>
          </w:p>
        </w:tc>
        <w:tc>
          <w:tcPr>
            <w:tcW w:w="100" w:type="dxa"/>
            <w:vAlign w:val="bottom"/>
          </w:tcPr>
          <w:p>
            <w:pPr>
              <w:spacing w:after="0"/>
              <w:rPr>
                <w:sz w:val="12"/>
                <w:szCs w:val="12"/>
                <w:color w:val="auto"/>
              </w:rPr>
            </w:pPr>
          </w:p>
        </w:tc>
        <w:tc>
          <w:tcPr>
            <w:tcW w:w="17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32,918</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38,181</w:t>
            </w:r>
          </w:p>
        </w:tc>
        <w:tc>
          <w:tcPr>
            <w:tcW w:w="12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763,126</w:t>
            </w:r>
          </w:p>
        </w:tc>
        <w:tc>
          <w:tcPr>
            <w:tcW w:w="1720" w:type="dxa"/>
            <w:vAlign w:val="bottom"/>
            <w:shd w:val="clear" w:color="auto" w:fill="CCFFCC"/>
          </w:tcPr>
          <w:p>
            <w:pPr>
              <w:jc w:val="center"/>
              <w:ind w:left="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Currency swaps</w:t>
            </w:r>
          </w:p>
        </w:tc>
        <w:tc>
          <w:tcPr>
            <w:tcW w:w="14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12,904</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9,675</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192,899</w:t>
            </w:r>
          </w:p>
        </w:tc>
        <w:tc>
          <w:tcPr>
            <w:tcW w:w="1720" w:type="dxa"/>
            <w:vAlign w:val="bottom"/>
          </w:tcPr>
          <w:p>
            <w:pPr>
              <w:jc w:val="center"/>
              <w:ind w:left="8"/>
              <w:spacing w:after="0" w:line="149" w:lineRule="exact"/>
              <w:rPr>
                <w:sz w:val="20"/>
                <w:szCs w:val="20"/>
                <w:color w:val="auto"/>
              </w:rPr>
            </w:pPr>
            <w:r>
              <w:rPr>
                <w:rFonts w:ascii="Arial" w:cs="Arial" w:eastAsia="Arial" w:hAnsi="Arial"/>
                <w:sz w:val="14"/>
                <w:szCs w:val="14"/>
                <w:color w:val="auto"/>
                <w:w w:val="84"/>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80" w:type="dxa"/>
            <w:vAlign w:val="bottom"/>
            <w:shd w:val="clear" w:color="auto" w:fill="CCFFCC"/>
          </w:tcPr>
          <w:p>
            <w:pPr>
              <w:spacing w:after="0"/>
              <w:rPr>
                <w:sz w:val="12"/>
                <w:szCs w:val="12"/>
                <w:color w:val="auto"/>
              </w:rPr>
            </w:pP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b w:val="1"/>
                <w:bCs w:val="1"/>
                <w:color w:val="auto"/>
              </w:rPr>
              <w:t>Derivatives held as hedges -</w:t>
            </w: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Cash flow hedge (ii) :</w:t>
            </w: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14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1"/>
              </w:rPr>
              <w:t>12(a)</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4,558</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177,902</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Deposits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Interest rate swaps</w:t>
            </w:r>
          </w:p>
        </w:tc>
        <w:tc>
          <w:tcPr>
            <w:tcW w:w="1460" w:type="dxa"/>
            <w:vAlign w:val="bottom"/>
            <w:shd w:val="clear" w:color="auto" w:fill="CCFFCC"/>
          </w:tcPr>
          <w:p>
            <w:pPr>
              <w:jc w:val="center"/>
              <w:ind w:left="128"/>
              <w:spacing w:after="0" w:line="149" w:lineRule="exact"/>
              <w:rPr>
                <w:sz w:val="20"/>
                <w:szCs w:val="20"/>
                <w:color w:val="auto"/>
              </w:rPr>
            </w:pPr>
            <w:r>
              <w:rPr>
                <w:rFonts w:ascii="Arial" w:cs="Arial" w:eastAsia="Arial" w:hAnsi="Arial"/>
                <w:sz w:val="14"/>
                <w:szCs w:val="14"/>
                <w:color w:val="auto"/>
              </w:rPr>
              <w:t>13(a)(i)(*)</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13,038</w:t>
            </w:r>
          </w:p>
        </w:tc>
        <w:tc>
          <w:tcPr>
            <w:tcW w:w="12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410,000</w:t>
            </w:r>
          </w:p>
        </w:tc>
        <w:tc>
          <w:tcPr>
            <w:tcW w:w="18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Due to banks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Interest rate swaps</w:t>
            </w:r>
          </w:p>
        </w:tc>
        <w:tc>
          <w:tcPr>
            <w:tcW w:w="1460" w:type="dxa"/>
            <w:vAlign w:val="bottom"/>
          </w:tcPr>
          <w:p>
            <w:pPr>
              <w:jc w:val="center"/>
              <w:ind w:left="128"/>
              <w:spacing w:after="0" w:line="149" w:lineRule="exact"/>
              <w:rPr>
                <w:sz w:val="20"/>
                <w:szCs w:val="20"/>
                <w:color w:val="auto"/>
              </w:rPr>
            </w:pPr>
            <w:r>
              <w:rPr>
                <w:rFonts w:ascii="Arial" w:cs="Arial" w:eastAsia="Arial" w:hAnsi="Arial"/>
                <w:sz w:val="14"/>
                <w:szCs w:val="14"/>
                <w:color w:val="auto"/>
                <w:w w:val="91"/>
              </w:rPr>
              <w:t>13(b)</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95,382</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696,000</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Borrowed funds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w:t>
            </w: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3,126</w:t>
            </w:r>
          </w:p>
        </w:tc>
        <w:tc>
          <w:tcPr>
            <w:tcW w:w="12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24,009</w:t>
            </w:r>
          </w:p>
        </w:tc>
        <w:tc>
          <w:tcPr>
            <w:tcW w:w="18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Due to banks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Cross currency swaps</w:t>
            </w:r>
          </w:p>
        </w:tc>
        <w:tc>
          <w:tcPr>
            <w:tcW w:w="1460" w:type="dxa"/>
            <w:vAlign w:val="bottom"/>
          </w:tcPr>
          <w:p>
            <w:pPr>
              <w:jc w:val="center"/>
              <w:ind w:left="108"/>
              <w:spacing w:after="0" w:line="149" w:lineRule="exact"/>
              <w:rPr>
                <w:sz w:val="20"/>
                <w:szCs w:val="20"/>
                <w:color w:val="auto"/>
              </w:rPr>
            </w:pPr>
            <w:r>
              <w:rPr>
                <w:rFonts w:ascii="Arial" w:cs="Arial" w:eastAsia="Arial" w:hAnsi="Arial"/>
                <w:sz w:val="14"/>
                <w:szCs w:val="14"/>
                <w:color w:val="auto"/>
                <w:w w:val="97"/>
              </w:rPr>
              <w:t>15(a)(i)</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2,866</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15,687</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 and interest rate swaps (iii)</w:t>
            </w:r>
          </w:p>
        </w:tc>
        <w:tc>
          <w:tcPr>
            <w:tcW w:w="1460" w:type="dxa"/>
            <w:vAlign w:val="bottom"/>
            <w:shd w:val="clear" w:color="auto" w:fill="CCFFCC"/>
          </w:tcPr>
          <w:p>
            <w:pPr>
              <w:jc w:val="center"/>
              <w:ind w:left="108"/>
              <w:spacing w:after="0" w:line="149" w:lineRule="exact"/>
              <w:rPr>
                <w:sz w:val="20"/>
                <w:szCs w:val="20"/>
                <w:color w:val="auto"/>
              </w:rPr>
            </w:pPr>
            <w:r>
              <w:rPr>
                <w:rFonts w:ascii="Arial" w:cs="Arial" w:eastAsia="Arial" w:hAnsi="Arial"/>
                <w:sz w:val="14"/>
                <w:szCs w:val="14"/>
                <w:color w:val="auto"/>
                <w:w w:val="97"/>
              </w:rPr>
              <w:t>15(a)(i)</w:t>
            </w:r>
          </w:p>
        </w:tc>
        <w:tc>
          <w:tcPr>
            <w:tcW w:w="10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19,389</w:t>
            </w:r>
          </w:p>
        </w:tc>
        <w:tc>
          <w:tcPr>
            <w:tcW w:w="122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113,362</w:t>
            </w:r>
          </w:p>
        </w:tc>
        <w:tc>
          <w:tcPr>
            <w:tcW w:w="182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Bonds issued</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38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Fair value hedge (v) :</w:t>
            </w:r>
          </w:p>
        </w:tc>
        <w:tc>
          <w:tcPr>
            <w:tcW w:w="146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380" w:type="dxa"/>
            <w:vAlign w:val="bottom"/>
          </w:tcPr>
          <w:p>
            <w:pPr>
              <w:spacing w:after="0" w:line="149" w:lineRule="exact"/>
              <w:rPr>
                <w:sz w:val="20"/>
                <w:szCs w:val="20"/>
                <w:color w:val="auto"/>
              </w:rPr>
            </w:pPr>
            <w:r>
              <w:rPr>
                <w:rFonts w:ascii="Arial" w:cs="Arial" w:eastAsia="Arial" w:hAnsi="Arial"/>
                <w:sz w:val="14"/>
                <w:szCs w:val="14"/>
                <w:color w:val="auto"/>
              </w:rPr>
              <w:t>Cross currency swaps</w:t>
            </w:r>
          </w:p>
        </w:tc>
        <w:tc>
          <w:tcPr>
            <w:tcW w:w="1460" w:type="dxa"/>
            <w:vAlign w:val="bottom"/>
          </w:tcPr>
          <w:p>
            <w:pPr>
              <w:jc w:val="center"/>
              <w:ind w:left="108"/>
              <w:spacing w:after="0" w:line="149" w:lineRule="exact"/>
              <w:rPr>
                <w:sz w:val="20"/>
                <w:szCs w:val="20"/>
                <w:color w:val="auto"/>
              </w:rPr>
            </w:pPr>
            <w:r>
              <w:rPr>
                <w:rFonts w:ascii="Arial" w:cs="Arial" w:eastAsia="Arial" w:hAnsi="Arial"/>
                <w:sz w:val="14"/>
                <w:szCs w:val="14"/>
                <w:color w:val="auto"/>
              </w:rPr>
              <w:t>15(a)(iii)</w:t>
            </w: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20,598</w:t>
            </w:r>
          </w:p>
        </w:tc>
        <w:tc>
          <w:tcPr>
            <w:tcW w:w="12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163,985</w:t>
            </w:r>
          </w:p>
        </w:tc>
        <w:tc>
          <w:tcPr>
            <w:tcW w:w="182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Subordinated notes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shd w:val="clear" w:color="auto" w:fill="CCFFCC"/>
          </w:tcPr>
          <w:p>
            <w:pPr>
              <w:spacing w:after="0"/>
              <w:rPr>
                <w:sz w:val="12"/>
                <w:szCs w:val="12"/>
                <w:color w:val="auto"/>
              </w:rPr>
            </w:pPr>
          </w:p>
        </w:tc>
        <w:tc>
          <w:tcPr>
            <w:tcW w:w="146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7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color w:val="auto"/>
              </w:rPr>
              <w:t>79,275</w:t>
            </w:r>
          </w:p>
        </w:tc>
        <w:tc>
          <w:tcPr>
            <w:tcW w:w="220" w:type="dxa"/>
            <w:vAlign w:val="bottom"/>
          </w:tcPr>
          <w:p>
            <w:pPr>
              <w:spacing w:after="0"/>
              <w:rPr>
                <w:sz w:val="12"/>
                <w:szCs w:val="12"/>
                <w:color w:val="auto"/>
              </w:rPr>
            </w:pP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256,792</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5,035,204</w:t>
            </w:r>
          </w:p>
        </w:tc>
        <w:tc>
          <w:tcPr>
            <w:tcW w:w="1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620" w:hanging="478"/>
        <w:spacing w:after="0" w:line="264" w:lineRule="auto"/>
        <w:tabs>
          <w:tab w:leader="none" w:pos="16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Group’s derivative trading activities mainly relate to transactions with customers. The Group may also take positions with the expectation of profiting from favorable movements in prices, rates or indexes. Also included under this caption are any derivatives which do not meet IAS 39 hedging requirements.</w:t>
      </w:r>
    </w:p>
    <w:p>
      <w:pPr>
        <w:spacing w:after="0" w:line="208" w:lineRule="exact"/>
        <w:rPr>
          <w:rFonts w:ascii="Arial" w:cs="Arial" w:eastAsia="Arial" w:hAnsi="Arial"/>
          <w:sz w:val="18"/>
          <w:szCs w:val="18"/>
          <w:color w:val="auto"/>
        </w:rPr>
      </w:pPr>
    </w:p>
    <w:p>
      <w:pPr>
        <w:ind w:left="1620" w:right="120" w:hanging="478"/>
        <w:spacing w:after="0" w:line="264" w:lineRule="auto"/>
        <w:tabs>
          <w:tab w:leader="none" w:pos="16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Group is exposed to variability in future interest cash flows on assets and liabilities in foreign currency and/or which bear interest at variable rates. The Group uses interest rate swaps - IRS, cross currency swaps - CCS and forward exchange contract as cash flow hedges of these risks.</w:t>
      </w:r>
    </w:p>
    <w:p>
      <w:pPr>
        <w:spacing w:after="0" w:line="208" w:lineRule="exact"/>
        <w:rPr>
          <w:rFonts w:ascii="Arial" w:cs="Arial" w:eastAsia="Arial" w:hAnsi="Arial"/>
          <w:sz w:val="18"/>
          <w:szCs w:val="18"/>
          <w:color w:val="auto"/>
        </w:rPr>
      </w:pPr>
    </w:p>
    <w:p>
      <w:pPr>
        <w:ind w:left="1620" w:right="520"/>
        <w:spacing w:after="0" w:line="277" w:lineRule="auto"/>
        <w:rPr>
          <w:rFonts w:ascii="Arial" w:cs="Arial" w:eastAsia="Arial" w:hAnsi="Arial"/>
          <w:sz w:val="18"/>
          <w:szCs w:val="18"/>
          <w:color w:val="auto"/>
        </w:rPr>
      </w:pPr>
      <w:r>
        <w:rPr>
          <w:rFonts w:ascii="Arial" w:cs="Arial" w:eastAsia="Arial" w:hAnsi="Arial"/>
          <w:sz w:val="18"/>
          <w:szCs w:val="18"/>
          <w:color w:val="auto"/>
        </w:rPr>
        <w:t>A schedule indicating as of December 31, 2009 the periods when the cash flows hedges are expected to occur and when they are expected to affect the consolidated income statement is as follows: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From 1 to 3</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From 3 to 5</w:t>
            </w: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Up to 1 year</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years</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years</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8"/>
              </w:rPr>
              <w:t>Over 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Cash outflows (liabilities)</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(508,574)</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(683,522)</w:t>
            </w:r>
          </w:p>
        </w:tc>
        <w:tc>
          <w:tcPr>
            <w:tcW w:w="116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(466,844)</w:t>
            </w:r>
          </w:p>
        </w:tc>
        <w:tc>
          <w:tcPr>
            <w:tcW w:w="10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(224,984)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income statement</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(65,449)</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(35,232)</w:t>
            </w:r>
          </w:p>
        </w:tc>
        <w:tc>
          <w:tcPr>
            <w:tcW w:w="116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29,488</w:t>
            </w:r>
          </w:p>
        </w:tc>
        <w:tc>
          <w:tcPr>
            <w:tcW w:w="10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Borders>
              <w:right w:val="single" w:sz="8" w:color="CCFFCC"/>
            </w:tcBorders>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20" w:right="120"/>
        <w:spacing w:after="0" w:line="264" w:lineRule="auto"/>
        <w:rPr>
          <w:sz w:val="20"/>
          <w:szCs w:val="20"/>
          <w:color w:val="auto"/>
        </w:rPr>
      </w:pPr>
      <w:r>
        <w:rPr>
          <w:rFonts w:ascii="Arial" w:cs="Arial" w:eastAsia="Arial" w:hAnsi="Arial"/>
          <w:sz w:val="18"/>
          <w:szCs w:val="18"/>
          <w:color w:val="auto"/>
        </w:rPr>
        <w:t>As of December 31, 2009 and 2008, the accumulated balance of unrealized loss on cash flow hedges recorded as other comprehensive income in the cash flow hedge reserve amounted to US$51.5 and US$118.1 million, respectively, see note 16(c). The transfer of net loss on cash flow hedges to the consolidated income statement is presented in note 16(c).</w:t>
      </w:r>
    </w:p>
    <w:p>
      <w:pPr>
        <w:spacing w:after="0" w:line="208" w:lineRule="exact"/>
        <w:rPr>
          <w:sz w:val="20"/>
          <w:szCs w:val="20"/>
          <w:color w:val="auto"/>
        </w:rPr>
      </w:pPr>
    </w:p>
    <w:p>
      <w:pPr>
        <w:ind w:left="1620" w:right="100" w:hanging="478"/>
        <w:spacing w:after="0" w:line="286" w:lineRule="auto"/>
        <w:tabs>
          <w:tab w:leader="none" w:pos="16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On December 2007 and during the first months of 2008, the Group entered into three CCS contracts which were initially designated as fair value hedges as they reduced the Group’s exposure to changes in the fair value of three fixed-rate corporate bonds issued in Peruvian currency, see note 15 (a)(i); arising from changes in the exchange rate and interest rates.</w:t>
      </w:r>
    </w:p>
    <w:p>
      <w:pPr>
        <w:spacing w:after="0" w:line="192" w:lineRule="exact"/>
        <w:rPr>
          <w:rFonts w:ascii="Arial" w:cs="Arial" w:eastAsia="Arial" w:hAnsi="Arial"/>
          <w:sz w:val="17"/>
          <w:szCs w:val="17"/>
          <w:color w:val="auto"/>
        </w:rPr>
      </w:pPr>
    </w:p>
    <w:p>
      <w:pPr>
        <w:ind w:left="1620"/>
        <w:spacing w:after="0" w:line="279" w:lineRule="auto"/>
        <w:rPr>
          <w:rFonts w:ascii="Arial" w:cs="Arial" w:eastAsia="Arial" w:hAnsi="Arial"/>
          <w:sz w:val="17"/>
          <w:szCs w:val="17"/>
          <w:color w:val="auto"/>
        </w:rPr>
      </w:pPr>
      <w:r>
        <w:rPr>
          <w:rFonts w:ascii="Arial" w:cs="Arial" w:eastAsia="Arial" w:hAnsi="Arial"/>
          <w:sz w:val="17"/>
          <w:szCs w:val="17"/>
          <w:color w:val="auto"/>
        </w:rPr>
        <w:t>During 2008, given the international context, the Group entered into three IRS contracts aimed at mitigating the inherent risks in having a variable interest rate (Libor) for the hedged corporate bonds indicated in the previous paragraph; fixing again their respective interest rates. Therefore, in accordance with IAS 39, the initial designations of fair value hedges were revoked and the combined CCS and IRS were redesignated as cash flow hedges from the date of entering into the IRS contracts.</w:t>
      </w:r>
    </w:p>
    <w:p>
      <w:pPr>
        <w:spacing w:after="0" w:line="198" w:lineRule="exact"/>
        <w:rPr>
          <w:rFonts w:ascii="Arial" w:cs="Arial" w:eastAsia="Arial" w:hAnsi="Arial"/>
          <w:sz w:val="17"/>
          <w:szCs w:val="17"/>
          <w:color w:val="auto"/>
        </w:rPr>
      </w:pPr>
    </w:p>
    <w:p>
      <w:pPr>
        <w:ind w:left="1620" w:right="80" w:hanging="478"/>
        <w:spacing w:after="0" w:line="302" w:lineRule="auto"/>
        <w:tabs>
          <w:tab w:leader="none" w:pos="1620"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Group maintains CCS and IRS designated as fair value hedge of certain investments available for sale. CCS reduce the exposure to changes in the fair value of fixed rate global bonds denominated in Euros, related to variations in the foreign currency exchange and interest rates. Furthermore, IRS reduce the exposure to changes in the fair value of fixed bonds in US$ issued by the Peruvian Government, corporative entities, and international financial entities related to variations in the interest rates, see note 5(m).</w:t>
      </w:r>
    </w:p>
    <w:p>
      <w:pPr>
        <w:spacing w:after="0" w:line="181" w:lineRule="exact"/>
        <w:rPr>
          <w:rFonts w:ascii="Arial" w:cs="Arial" w:eastAsia="Arial" w:hAnsi="Arial"/>
          <w:sz w:val="16"/>
          <w:szCs w:val="16"/>
          <w:color w:val="auto"/>
        </w:rPr>
      </w:pPr>
    </w:p>
    <w:p>
      <w:pPr>
        <w:jc w:val="both"/>
        <w:ind w:left="1620" w:right="40" w:hanging="478"/>
        <w:spacing w:after="0" w:line="264" w:lineRule="auto"/>
        <w:tabs>
          <w:tab w:leader="none" w:pos="16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On January 2008, the Group entered into a CCS contract, initially designated as fair value hedges as it reduced the Group’s exposure to changes in the fair value of fixed-rate subordinated notes issued by BCP in Peruvian currency, see note 15 (a)(iii); arising from changes in the exchange rate and interest rates (Libor).</w:t>
      </w:r>
    </w:p>
    <w:p>
      <w:pPr>
        <w:spacing w:after="0" w:line="208" w:lineRule="exact"/>
        <w:rPr>
          <w:rFonts w:ascii="Arial" w:cs="Arial" w:eastAsia="Arial" w:hAnsi="Arial"/>
          <w:sz w:val="18"/>
          <w:szCs w:val="18"/>
          <w:color w:val="auto"/>
        </w:rPr>
      </w:pPr>
    </w:p>
    <w:p>
      <w:pPr>
        <w:ind w:left="1620" w:right="20"/>
        <w:spacing w:after="0" w:line="257" w:lineRule="auto"/>
        <w:rPr>
          <w:rFonts w:ascii="Arial" w:cs="Arial" w:eastAsia="Arial" w:hAnsi="Arial"/>
          <w:sz w:val="18"/>
          <w:szCs w:val="18"/>
          <w:color w:val="auto"/>
        </w:rPr>
      </w:pPr>
      <w:r>
        <w:rPr>
          <w:rFonts w:ascii="Arial" w:cs="Arial" w:eastAsia="Arial" w:hAnsi="Arial"/>
          <w:sz w:val="18"/>
          <w:szCs w:val="18"/>
          <w:color w:val="auto"/>
        </w:rPr>
        <w:t>On January 2009, the Group entered into an IRS contract aimed at mitigating the inherent risks in having a variable interest rate (Libor) for the hedged subordinated notes indicated in the previous paragraph; fixing their respective interest rates. The initial designation of fair value hedges was revoked and the combined CCS and IRS were redesignated as cash flow hedges from the date of entering into the IRS contracts. Therefore, net loss on these cash flow hedges was recognized directly in the consolidated statements of comprehensive income.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Subsequently, in October 2009, the Group discontinued prospectively the combined cash flow hedge of CCS and IRS through the</w:t>
      </w:r>
    </w:p>
    <w:p>
      <w:pPr>
        <w:spacing w:after="0" w:line="3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unwinding of these instruments. The cumulative gain from the fair value of these hedging instruments amounting to US$5.9 and</w:t>
      </w:r>
    </w:p>
    <w:p>
      <w:pPr>
        <w:spacing w:after="0" w:line="21" w:lineRule="exact"/>
        <w:rPr>
          <w:sz w:val="20"/>
          <w:szCs w:val="20"/>
          <w:color w:val="auto"/>
        </w:rPr>
      </w:pPr>
    </w:p>
    <w:p>
      <w:pPr>
        <w:ind w:left="1620"/>
        <w:spacing w:after="0"/>
        <w:rPr>
          <w:sz w:val="20"/>
          <w:szCs w:val="20"/>
          <w:color w:val="auto"/>
        </w:rPr>
      </w:pPr>
      <w:r>
        <w:rPr>
          <w:rFonts w:ascii="Arial" w:cs="Arial" w:eastAsia="Arial" w:hAnsi="Arial"/>
          <w:sz w:val="16"/>
          <w:szCs w:val="16"/>
          <w:color w:val="auto"/>
        </w:rPr>
        <w:t>US$7.7 million, respectively, previously recognized in the consolidated statements of comprehensive income, will be recognized in the</w:t>
      </w:r>
    </w:p>
    <w:p>
      <w:pPr>
        <w:spacing w:after="0" w:line="32"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consolidated income statement during the remaining term of the underlying liability (subordinated notes), 8 years.</w:t>
      </w:r>
    </w:p>
    <w:p>
      <w:pPr>
        <w:spacing w:after="0" w:line="238" w:lineRule="exact"/>
        <w:rPr>
          <w:sz w:val="20"/>
          <w:szCs w:val="20"/>
          <w:color w:val="auto"/>
        </w:rPr>
      </w:pPr>
    </w:p>
    <w:p>
      <w:pPr>
        <w:ind w:left="1160" w:right="200" w:hanging="490"/>
        <w:spacing w:after="0" w:line="286" w:lineRule="auto"/>
        <w:tabs>
          <w:tab w:leader="none" w:pos="11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Operations in process include deposits received, loans disbursed, loans collected, funds transferred and other similar types of transactions, which are made at the end of the month and not reclassified to their final consolidated statements of financial position account until the first days of the following month. These transactions do not affect the Group’s net consolidated income.</w:t>
      </w:r>
    </w:p>
    <w:p>
      <w:pPr>
        <w:spacing w:after="0" w:line="192" w:lineRule="exact"/>
        <w:rPr>
          <w:rFonts w:ascii="Arial" w:cs="Arial" w:eastAsia="Arial" w:hAnsi="Arial"/>
          <w:sz w:val="17"/>
          <w:szCs w:val="17"/>
          <w:color w:val="auto"/>
        </w:rPr>
      </w:pPr>
    </w:p>
    <w:p>
      <w:pPr>
        <w:ind w:left="1160" w:hanging="490"/>
        <w:spacing w:after="0"/>
        <w:tabs>
          <w:tab w:leader="none" w:pos="11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ended on December 31, 2009, 2008 and 2007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47,512</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24,038</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Provision (i), note 24</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14,425</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37,549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Decreases</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(34,712)</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(14,075)</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27,225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47,512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24,038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20" w:hanging="478"/>
        <w:spacing w:after="0" w:line="259" w:lineRule="auto"/>
        <w:tabs>
          <w:tab w:leader="none" w:pos="162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year 2008 provision include US$36.4 million related to the estimated liability arising from a fund managed by ASHC, which had invested with Bernard L. Madoff Investment Securities LLC (Madoff Securities) on behalf of its clients. The Group disbursed most part of this liability during 2009. In Management’s opinion, based in the information available up to date, it is not expected that any additional liability will be incurred.</w:t>
      </w:r>
    </w:p>
    <w:p>
      <w:pPr>
        <w:spacing w:after="0" w:line="214"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Due to the nature of its business, the Group has some pending legal claims for which it records a provision when, in Management’s and its legal advisor’s opinion, they will result in an additional liability and such amount can be reliably estimated. Regarding any legal claim against the Group which has not been provided for, in Management’s and its legal advisor’s opinion, they will not have a material effect on the Group’s consolidated financial statements.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obligations</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4,751,861</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4,856,112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Demand deposits</w:t>
            </w:r>
          </w:p>
        </w:tc>
        <w:tc>
          <w:tcPr>
            <w:tcW w:w="980" w:type="dxa"/>
            <w:vAlign w:val="bottom"/>
          </w:tcPr>
          <w:p>
            <w:pPr>
              <w:jc w:val="right"/>
              <w:spacing w:after="0"/>
              <w:rPr>
                <w:sz w:val="20"/>
                <w:szCs w:val="20"/>
                <w:color w:val="auto"/>
              </w:rPr>
            </w:pPr>
            <w:r>
              <w:rPr>
                <w:rFonts w:ascii="Arial" w:cs="Arial" w:eastAsia="Arial" w:hAnsi="Arial"/>
                <w:sz w:val="18"/>
                <w:szCs w:val="18"/>
                <w:color w:val="auto"/>
              </w:rPr>
              <w:t>4,521,746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4,578,247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Saving deposits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3,539,665</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2,968,739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980" w:type="dxa"/>
            <w:vAlign w:val="bottom"/>
          </w:tcPr>
          <w:p>
            <w:pPr>
              <w:jc w:val="right"/>
              <w:spacing w:after="0"/>
              <w:rPr>
                <w:sz w:val="20"/>
                <w:szCs w:val="20"/>
                <w:color w:val="auto"/>
              </w:rPr>
            </w:pPr>
            <w:r>
              <w:rPr>
                <w:rFonts w:ascii="Arial" w:cs="Arial" w:eastAsia="Arial" w:hAnsi="Arial"/>
                <w:sz w:val="18"/>
                <w:szCs w:val="18"/>
                <w:color w:val="auto"/>
              </w:rPr>
              <w:t>1,069,506</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1,039,887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Client - Repurchase agreements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294,030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Bank’s negotiable certificates</w:t>
            </w:r>
          </w:p>
        </w:tc>
        <w:tc>
          <w:tcPr>
            <w:tcW w:w="980" w:type="dxa"/>
            <w:vAlign w:val="bottom"/>
          </w:tcPr>
          <w:p>
            <w:pPr>
              <w:jc w:val="right"/>
              <w:spacing w:after="0"/>
              <w:rPr>
                <w:sz w:val="20"/>
                <w:szCs w:val="20"/>
                <w:color w:val="auto"/>
              </w:rPr>
            </w:pPr>
            <w:r>
              <w:rPr>
                <w:rFonts w:ascii="Arial" w:cs="Arial" w:eastAsia="Arial" w:hAnsi="Arial"/>
                <w:sz w:val="18"/>
                <w:szCs w:val="18"/>
                <w:color w:val="auto"/>
              </w:rPr>
              <w:t>120,932</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140,013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14,038,710</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13,877,028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Interest payable</w:t>
            </w:r>
          </w:p>
        </w:tc>
        <w:tc>
          <w:tcPr>
            <w:tcW w:w="980" w:type="dxa"/>
            <w:vAlign w:val="bottom"/>
          </w:tcPr>
          <w:p>
            <w:pPr>
              <w:jc w:val="right"/>
              <w:spacing w:after="0"/>
              <w:rPr>
                <w:sz w:val="20"/>
                <w:szCs w:val="20"/>
                <w:color w:val="auto"/>
              </w:rPr>
            </w:pPr>
            <w:r>
              <w:rPr>
                <w:rFonts w:ascii="Arial" w:cs="Arial" w:eastAsia="Arial" w:hAnsi="Arial"/>
                <w:sz w:val="18"/>
                <w:szCs w:val="18"/>
                <w:color w:val="auto"/>
              </w:rPr>
              <w:t>53,118</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73,409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14,091,828</w:t>
            </w:r>
          </w:p>
        </w:tc>
        <w:tc>
          <w:tcPr>
            <w:tcW w:w="2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13,950,437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240"/>
        <w:spacing w:after="0" w:line="308" w:lineRule="auto"/>
        <w:rPr>
          <w:sz w:val="20"/>
          <w:szCs w:val="20"/>
          <w:color w:val="auto"/>
        </w:rPr>
      </w:pPr>
      <w:r>
        <w:rPr>
          <w:rFonts w:ascii="Arial" w:cs="Arial" w:eastAsia="Arial" w:hAnsi="Arial"/>
          <w:sz w:val="17"/>
          <w:szCs w:val="17"/>
          <w:color w:val="auto"/>
        </w:rPr>
        <w:t>The Group has established a policy to remunerate demand deposits and savings accounts according to an interest rate scale, based on their average balance; on the other hand balances that are lower than a specified amount, do not bear interest.</w:t>
      </w:r>
    </w:p>
    <w:p>
      <w:pPr>
        <w:spacing w:after="0" w:line="174" w:lineRule="exact"/>
        <w:rPr>
          <w:sz w:val="20"/>
          <w:szCs w:val="20"/>
          <w:color w:val="auto"/>
        </w:rPr>
      </w:pPr>
    </w:p>
    <w:p>
      <w:pPr>
        <w:ind w:left="1140"/>
        <w:spacing w:after="0" w:line="259" w:lineRule="auto"/>
        <w:rPr>
          <w:sz w:val="20"/>
          <w:szCs w:val="20"/>
          <w:color w:val="auto"/>
        </w:rPr>
      </w:pPr>
      <w:r>
        <w:rPr>
          <w:rFonts w:ascii="Arial" w:cs="Arial" w:eastAsia="Arial" w:hAnsi="Arial"/>
          <w:sz w:val="18"/>
          <w:szCs w:val="18"/>
          <w:color w:val="auto"/>
        </w:rPr>
        <w:t>Interest rates are determined by the Group considering interest rates prevailing in the market in which each of the Group’s subsidiaries operates. As of December 31, 2009, the Group has hedged time deposits with variable interest rates through interest rate swaps for a notional amount of US$316.0 million (US$177.9 million, as of December 31, 2008); as a result, these time deposits were economically converted to fixed rate, see note 11(b).</w:t>
      </w:r>
    </w:p>
    <w:p>
      <w:pPr>
        <w:spacing w:after="0" w:line="3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amounts of non-interest and interest bearing deposits and obligations are made up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 deposits and obligations -</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In Peru</w:t>
            </w:r>
          </w:p>
        </w:tc>
        <w:tc>
          <w:tcPr>
            <w:tcW w:w="980" w:type="dxa"/>
            <w:vAlign w:val="bottom"/>
          </w:tcPr>
          <w:p>
            <w:pPr>
              <w:jc w:val="right"/>
              <w:spacing w:after="0"/>
              <w:rPr>
                <w:sz w:val="20"/>
                <w:szCs w:val="20"/>
                <w:color w:val="auto"/>
              </w:rPr>
            </w:pPr>
            <w:r>
              <w:rPr>
                <w:rFonts w:ascii="Arial" w:cs="Arial" w:eastAsia="Arial" w:hAnsi="Arial"/>
                <w:sz w:val="18"/>
                <w:szCs w:val="18"/>
                <w:color w:val="auto"/>
              </w:rPr>
              <w:t>2,613,118</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2,710,770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FFCC"/>
          </w:tcPr>
          <w:p>
            <w:pPr>
              <w:ind w:left="120"/>
              <w:spacing w:after="0"/>
              <w:rPr>
                <w:sz w:val="20"/>
                <w:szCs w:val="20"/>
                <w:color w:val="auto"/>
              </w:rPr>
            </w:pPr>
            <w:r>
              <w:rPr>
                <w:rFonts w:ascii="Arial" w:cs="Arial" w:eastAsia="Arial" w:hAnsi="Arial"/>
                <w:sz w:val="18"/>
                <w:szCs w:val="18"/>
                <w:color w:val="auto"/>
              </w:rPr>
              <w:t>In other countries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684,877</w:t>
            </w:r>
          </w:p>
        </w:tc>
        <w:tc>
          <w:tcPr>
            <w:tcW w:w="200" w:type="dxa"/>
            <w:vAlign w:val="bottom"/>
            <w:shd w:val="clear" w:color="auto" w:fill="CCFFCC"/>
          </w:tcPr>
          <w:p>
            <w:pPr>
              <w:spacing w:after="0"/>
              <w:rPr>
                <w:sz w:val="19"/>
                <w:szCs w:val="19"/>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502,759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top w:val="single" w:sz="8" w:color="CCFFCC"/>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3,297,995</w:t>
            </w:r>
          </w:p>
        </w:tc>
        <w:tc>
          <w:tcPr>
            <w:tcW w:w="200" w:type="dxa"/>
            <w:vAlign w:val="bottom"/>
            <w:tcBorders>
              <w:top w:val="single" w:sz="8" w:color="CCFFCC"/>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3,213,529</w:t>
            </w:r>
          </w:p>
        </w:tc>
        <w:tc>
          <w:tcPr>
            <w:tcW w:w="8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Interest bearing deposits and obligations -</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In Peru</w:t>
            </w:r>
          </w:p>
        </w:tc>
        <w:tc>
          <w:tcPr>
            <w:tcW w:w="980" w:type="dxa"/>
            <w:vAlign w:val="bottom"/>
          </w:tcPr>
          <w:p>
            <w:pPr>
              <w:jc w:val="right"/>
              <w:spacing w:after="0"/>
              <w:rPr>
                <w:sz w:val="20"/>
                <w:szCs w:val="20"/>
                <w:color w:val="auto"/>
              </w:rPr>
            </w:pPr>
            <w:r>
              <w:rPr>
                <w:rFonts w:ascii="Arial" w:cs="Arial" w:eastAsia="Arial" w:hAnsi="Arial"/>
                <w:sz w:val="18"/>
                <w:szCs w:val="18"/>
                <w:color w:val="auto"/>
              </w:rPr>
              <w:t>8,778,750</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8,689,977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Borders>
              <w:bottom w:val="single" w:sz="8" w:color="CCFFCC"/>
            </w:tcBorders>
            <w:shd w:val="clear" w:color="auto" w:fill="CCFFCC"/>
          </w:tcPr>
          <w:p>
            <w:pPr>
              <w:ind w:left="120"/>
              <w:spacing w:after="0"/>
              <w:rPr>
                <w:sz w:val="20"/>
                <w:szCs w:val="20"/>
                <w:color w:val="auto"/>
              </w:rPr>
            </w:pPr>
            <w:r>
              <w:rPr>
                <w:rFonts w:ascii="Arial" w:cs="Arial" w:eastAsia="Arial" w:hAnsi="Arial"/>
                <w:sz w:val="18"/>
                <w:szCs w:val="18"/>
                <w:color w:val="auto"/>
              </w:rPr>
              <w:t>In other countries</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1,961,965</w:t>
            </w:r>
          </w:p>
        </w:tc>
        <w:tc>
          <w:tcPr>
            <w:tcW w:w="200" w:type="dxa"/>
            <w:vAlign w:val="bottom"/>
            <w:tcBorders>
              <w:bottom w:val="single" w:sz="8" w:color="CCFFCC"/>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1,973,522</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10,740,715</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10,663,499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Pr>
          <w:p>
            <w:pPr>
              <w:jc w:val="right"/>
              <w:spacing w:after="0"/>
              <w:rPr>
                <w:sz w:val="20"/>
                <w:szCs w:val="20"/>
                <w:color w:val="auto"/>
              </w:rPr>
            </w:pPr>
            <w:r>
              <w:rPr>
                <w:rFonts w:ascii="Arial" w:cs="Arial" w:eastAsia="Arial" w:hAnsi="Arial"/>
                <w:sz w:val="18"/>
                <w:szCs w:val="18"/>
                <w:color w:val="auto"/>
              </w:rPr>
              <w:t>14,038,710</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13,877,028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490"/>
        <w:spacing w:after="0"/>
        <w:tabs>
          <w:tab w:leader="none" w:pos="11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Time deposits balance classified by maturity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3,384,624</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3,039,029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1,134,480</w:t>
            </w:r>
          </w:p>
        </w:tc>
        <w:tc>
          <w:tcPr>
            <w:tcW w:w="960" w:type="dxa"/>
            <w:vAlign w:val="bottom"/>
          </w:tcPr>
          <w:p>
            <w:pPr>
              <w:jc w:val="right"/>
              <w:spacing w:after="0"/>
              <w:rPr>
                <w:sz w:val="20"/>
                <w:szCs w:val="20"/>
                <w:color w:val="auto"/>
              </w:rPr>
            </w:pPr>
            <w:r>
              <w:rPr>
                <w:rFonts w:ascii="Arial" w:cs="Arial" w:eastAsia="Arial" w:hAnsi="Arial"/>
                <w:sz w:val="18"/>
                <w:szCs w:val="18"/>
                <w:color w:val="auto"/>
              </w:rPr>
              <w:t>1,578,258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147,135</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147,008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to 5 years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82,088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51,876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3,534</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4,751,861</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4,856,112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As of December 31, 2009 and 2008, in Management’s opinion the Group’s deposits and obligations are widely diversified with no significant concentrations.</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Due to banks and correspondents and borrowed funds</w:t>
      </w:r>
    </w:p>
    <w:p>
      <w:pPr>
        <w:spacing w:after="0" w:line="27" w:lineRule="exact"/>
        <w:rPr>
          <w:rFonts w:ascii="Arial" w:cs="Arial" w:eastAsia="Arial" w:hAnsi="Arial"/>
          <w:sz w:val="18"/>
          <w:szCs w:val="18"/>
          <w:b w:val="1"/>
          <w:bCs w:val="1"/>
          <w:color w:val="auto"/>
        </w:rPr>
      </w:pPr>
    </w:p>
    <w:p>
      <w:pPr>
        <w:ind w:left="1140" w:right="7840" w:hanging="484"/>
        <w:spacing w:after="0" w:line="323" w:lineRule="auto"/>
        <w:tabs>
          <w:tab w:leader="none" w:pos="1140" w:val="left"/>
        </w:tabs>
        <w:numPr>
          <w:ilvl w:val="1"/>
          <w:numId w:val="219"/>
        </w:numPr>
        <w:rPr>
          <w:rFonts w:ascii="Arial" w:cs="Arial" w:eastAsia="Arial" w:hAnsi="Arial"/>
          <w:sz w:val="16"/>
          <w:szCs w:val="16"/>
          <w:color w:val="auto"/>
        </w:rPr>
      </w:pPr>
      <w:r>
        <w:rPr>
          <w:rFonts w:ascii="Arial" w:cs="Arial" w:eastAsia="Arial" w:hAnsi="Arial"/>
          <w:sz w:val="16"/>
          <w:szCs w:val="16"/>
          <w:color w:val="auto"/>
        </w:rPr>
        <w:t>Due to bank and correspondents - This item is made up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International funds and others (i)</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1,051,739</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1,016,932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Promotional credit lines (ii)</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81,550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109,730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29,031</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39,216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shd w:val="clear" w:color="auto" w:fill="CCFFCC"/>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1,162,320</w:t>
            </w:r>
          </w:p>
        </w:tc>
        <w:tc>
          <w:tcPr>
            <w:tcW w:w="960" w:type="dxa"/>
            <w:vAlign w:val="bottom"/>
          </w:tcPr>
          <w:p>
            <w:pPr>
              <w:jc w:val="right"/>
              <w:spacing w:after="0"/>
              <w:rPr>
                <w:sz w:val="20"/>
                <w:szCs w:val="20"/>
                <w:color w:val="auto"/>
              </w:rPr>
            </w:pPr>
            <w:r>
              <w:rPr>
                <w:rFonts w:ascii="Arial" w:cs="Arial" w:eastAsia="Arial" w:hAnsi="Arial"/>
                <w:sz w:val="18"/>
                <w:szCs w:val="18"/>
                <w:color w:val="auto"/>
              </w:rPr>
              <w:t>1,165,878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Interest payable</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5,118</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14,113</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1,167,438</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1,179,991</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20" w:hanging="478"/>
        <w:spacing w:after="0"/>
        <w:tabs>
          <w:tab w:leader="none" w:pos="162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20" w:type="dxa"/>
            <w:vAlign w:val="bottom"/>
          </w:tcPr>
          <w:p>
            <w:pPr>
              <w:spacing w:after="0"/>
              <w:rPr>
                <w:sz w:val="19"/>
                <w:szCs w:val="19"/>
                <w:color w:val="auto"/>
              </w:rPr>
            </w:pPr>
          </w:p>
        </w:tc>
        <w:tc>
          <w:tcPr>
            <w:tcW w:w="920" w:type="dxa"/>
            <w:vAlign w:val="bottom"/>
          </w:tcPr>
          <w:p>
            <w:pPr>
              <w:jc w:val="right"/>
              <w:ind w:right="19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980" w:type="dxa"/>
            <w:vAlign w:val="bottom"/>
            <w:gridSpan w:val="2"/>
          </w:tcPr>
          <w:p>
            <w:pPr>
              <w:ind w:left="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Syndicated loan (*)</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410,000</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Corporación Andina de Fomento - CAF</w:t>
            </w:r>
          </w:p>
        </w:tc>
        <w:tc>
          <w:tcPr>
            <w:tcW w:w="920" w:type="dxa"/>
            <w:vAlign w:val="bottom"/>
          </w:tcPr>
          <w:p>
            <w:pPr>
              <w:jc w:val="right"/>
              <w:spacing w:after="0"/>
              <w:rPr>
                <w:sz w:val="20"/>
                <w:szCs w:val="20"/>
                <w:color w:val="auto"/>
              </w:rPr>
            </w:pPr>
            <w:r>
              <w:rPr>
                <w:rFonts w:ascii="Arial" w:cs="Arial" w:eastAsia="Arial" w:hAnsi="Arial"/>
                <w:sz w:val="18"/>
                <w:szCs w:val="18"/>
                <w:color w:val="auto"/>
              </w:rPr>
              <w:t>202,941</w:t>
            </w: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Citibank N.A.</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71,552</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Wells Fargo &amp; Co.</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60,000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60,326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Standard Chartered Bank</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51,030</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Bank of America</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45,000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Commercebank N.A.</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39,000</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Chase Manhattan Bank</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30,000</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Bank of New York</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30,000</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Toronto Dominion Bank</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47,000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Dresdner Bank AG. Frankfurt</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JP Morgan Chase &amp; Co.</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112,216</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179,876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Borders>
              <w:top w:val="single" w:sz="8" w:color="CCFFC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1,051,739</w:t>
            </w:r>
          </w:p>
        </w:tc>
        <w:tc>
          <w:tcPr>
            <w:tcW w:w="200" w:type="dxa"/>
            <w:vAlign w:val="bottom"/>
            <w:tcBorders>
              <w:bottom w:val="single" w:sz="8" w:color="CCFFCC"/>
            </w:tcBorders>
            <w:shd w:val="clear" w:color="auto" w:fill="CCFFCC"/>
          </w:tcPr>
          <w:p>
            <w:pPr>
              <w:spacing w:after="0"/>
              <w:rPr>
                <w:sz w:val="22"/>
                <w:szCs w:val="22"/>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1,016,932</w:t>
            </w:r>
          </w:p>
        </w:tc>
        <w:tc>
          <w:tcPr>
            <w:tcW w:w="8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120" w:hanging="491"/>
        <w:spacing w:after="0" w:line="297" w:lineRule="auto"/>
        <w:tabs>
          <w:tab w:leader="none" w:pos="212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As of December 31, 2009 and 2008, this amount was related to a syndicated loan amounting to US$ 410.0 million obtained from several international financial entities, with maturity due within three years and an interest rate of Libor plus 0.70 percent during the first year, Libor plus 0.75 percent during the second year and Libor plus 0.85 percent during the third year. The syndicated loan, subject to variable interest rate risk, has been hedged through interest rate swap operations for a notional amount of US$410.0 million with the same maturities; as a result, this loan was economically converted to fixed rate, see note 11(b).</w:t>
      </w: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both"/>
        <w:ind w:left="1620" w:right="240"/>
        <w:spacing w:after="0" w:line="264" w:lineRule="auto"/>
        <w:rPr>
          <w:sz w:val="20"/>
          <w:szCs w:val="20"/>
          <w:color w:val="auto"/>
        </w:rPr>
      </w:pPr>
      <w:r>
        <w:rPr>
          <w:rFonts w:ascii="Arial" w:cs="Arial" w:eastAsia="Arial" w:hAnsi="Arial"/>
          <w:sz w:val="18"/>
          <w:szCs w:val="18"/>
          <w:color w:val="auto"/>
        </w:rPr>
        <w:t>As of December 31, 2009, these loans have maturities between January 2010 and February 2019 (between January 2009 and March 2011 as of December 31, 2008) and their annual interest rate is between 0.73 and 12.00 percent (between 3.11 and 7.77 percent as of December 2008).</w:t>
      </w:r>
    </w:p>
    <w:p>
      <w:pPr>
        <w:spacing w:after="0" w:line="208" w:lineRule="exact"/>
        <w:rPr>
          <w:sz w:val="20"/>
          <w:szCs w:val="20"/>
          <w:color w:val="auto"/>
        </w:rPr>
      </w:pPr>
    </w:p>
    <w:p>
      <w:pPr>
        <w:jc w:val="both"/>
        <w:ind w:left="1620" w:right="20"/>
        <w:spacing w:after="0" w:line="264" w:lineRule="auto"/>
        <w:rPr>
          <w:sz w:val="20"/>
          <w:szCs w:val="20"/>
          <w:color w:val="auto"/>
        </w:rPr>
      </w:pPr>
      <w:r>
        <w:rPr>
          <w:rFonts w:ascii="Arial" w:cs="Arial" w:eastAsia="Arial" w:hAnsi="Arial"/>
          <w:sz w:val="18"/>
          <w:szCs w:val="18"/>
          <w:color w:val="auto"/>
        </w:rPr>
        <w:t>Some of these borrowings include standard covenants related to financial ratios, use of funds and other administrative matters, which in Management’s opinion, do not limit the Group’s operations and it has fully complied with as of the consolidated statements of financial position.</w:t>
      </w:r>
    </w:p>
    <w:p>
      <w:pPr>
        <w:spacing w:after="0" w:line="208" w:lineRule="exact"/>
        <w:rPr>
          <w:sz w:val="20"/>
          <w:szCs w:val="20"/>
          <w:color w:val="auto"/>
        </w:rPr>
      </w:pPr>
    </w:p>
    <w:p>
      <w:pPr>
        <w:ind w:left="1620" w:right="20" w:hanging="478"/>
        <w:spacing w:after="0" w:line="257" w:lineRule="auto"/>
        <w:tabs>
          <w:tab w:leader="none" w:pos="162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Promotional credit lines represent loans granted to BCP by Corporación Financiera de Desarrollo (COFIDE) to promote the development of Peru, they have maturities between January 2010 and December 2029 and their annual interest rates are between 6.25 and 7.75 percent (between October 2009 and December 2028 and annual interest rate between 6.20 and 7.75 percent as of December 31, 2008). These credit lines are secured by a loan portfolio amounting to US$81.6 and US$109.7 million as of December 31, 2009 and 2008, respectively.</w:t>
      </w:r>
    </w:p>
    <w:p>
      <w:pPr>
        <w:spacing w:after="0" w:line="215" w:lineRule="exact"/>
        <w:rPr>
          <w:rFonts w:ascii="Arial" w:cs="Arial" w:eastAsia="Arial" w:hAnsi="Arial"/>
          <w:sz w:val="18"/>
          <w:szCs w:val="18"/>
          <w:color w:val="auto"/>
        </w:rPr>
      </w:pPr>
    </w:p>
    <w:p>
      <w:pPr>
        <w:ind w:left="1620" w:right="40"/>
        <w:spacing w:after="0" w:line="264" w:lineRule="auto"/>
        <w:rPr>
          <w:rFonts w:ascii="Arial" w:cs="Arial" w:eastAsia="Arial" w:hAnsi="Arial"/>
          <w:sz w:val="18"/>
          <w:szCs w:val="18"/>
          <w:color w:val="auto"/>
        </w:rPr>
      </w:pPr>
      <w:r>
        <w:rPr>
          <w:rFonts w:ascii="Arial" w:cs="Arial" w:eastAsia="Arial" w:hAnsi="Arial"/>
          <w:sz w:val="18"/>
          <w:szCs w:val="18"/>
          <w:color w:val="auto"/>
        </w:rPr>
        <w:t>Promotional credit lines include standard covenants related to financial ratios, use of funds and other administrative matters, which in Management’s opinion, do not limit the Group’s operations and it has fully complied with as of the consolidated statements of financial position.</w:t>
      </w:r>
    </w:p>
    <w:p>
      <w:pPr>
        <w:spacing w:after="0" w:line="208" w:lineRule="exact"/>
        <w:rPr>
          <w:rFonts w:ascii="Arial" w:cs="Arial" w:eastAsia="Arial" w:hAnsi="Arial"/>
          <w:sz w:val="18"/>
          <w:szCs w:val="18"/>
          <w:color w:val="auto"/>
        </w:rPr>
      </w:pPr>
    </w:p>
    <w:p>
      <w:pPr>
        <w:ind w:left="1140" w:hanging="484"/>
        <w:spacing w:after="0"/>
        <w:tabs>
          <w:tab w:leader="none" w:pos="11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Borrowed funds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680" w:type="dxa"/>
            <w:vAlign w:val="bottom"/>
          </w:tcPr>
          <w:p>
            <w:pPr>
              <w:jc w:val="center"/>
              <w:ind w:left="390"/>
              <w:spacing w:after="0"/>
              <w:rPr>
                <w:sz w:val="20"/>
                <w:szCs w:val="20"/>
                <w:color w:val="auto"/>
              </w:rPr>
            </w:pPr>
            <w:r>
              <w:rPr>
                <w:rFonts w:ascii="Arial" w:cs="Arial" w:eastAsia="Arial" w:hAnsi="Arial"/>
                <w:sz w:val="18"/>
                <w:szCs w:val="18"/>
                <w:b w:val="1"/>
                <w:bCs w:val="1"/>
                <w:color w:val="auto"/>
                <w:w w:val="92"/>
              </w:rPr>
              <w:t>Interest</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68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166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gridSpan w:val="2"/>
          </w:tcPr>
          <w:p>
            <w:pPr>
              <w:spacing w:after="0"/>
              <w:rPr>
                <w:sz w:val="18"/>
                <w:szCs w:val="18"/>
                <w:color w:val="auto"/>
              </w:rPr>
            </w:pPr>
          </w:p>
        </w:tc>
        <w:tc>
          <w:tcPr>
            <w:tcW w:w="2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CCR Inc. MT-100, Payment rights master Trust -</w:t>
            </w:r>
          </w:p>
        </w:tc>
        <w:tc>
          <w:tcPr>
            <w:tcW w:w="26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2005</w:t>
            </w:r>
          </w:p>
        </w:tc>
        <w:tc>
          <w:tcPr>
            <w:tcW w:w="4020" w:type="dxa"/>
            <w:vAlign w:val="bottom"/>
          </w:tcPr>
          <w:p>
            <w:pPr>
              <w:ind w:left="20"/>
              <w:spacing w:after="0"/>
              <w:rPr>
                <w:sz w:val="20"/>
                <w:szCs w:val="20"/>
                <w:color w:val="auto"/>
              </w:rPr>
            </w:pPr>
            <w:r>
              <w:rPr>
                <w:rFonts w:ascii="Arial" w:cs="Arial" w:eastAsia="Arial" w:hAnsi="Arial"/>
                <w:sz w:val="18"/>
                <w:szCs w:val="18"/>
                <w:color w:val="auto"/>
              </w:rPr>
              <w:t>Series A Floating Rate Certificates</w:t>
            </w:r>
          </w:p>
        </w:tc>
        <w:tc>
          <w:tcPr>
            <w:tcW w:w="2680" w:type="dxa"/>
            <w:vAlign w:val="bottom"/>
          </w:tcPr>
          <w:p>
            <w:pPr>
              <w:jc w:val="center"/>
              <w:ind w:left="410"/>
              <w:spacing w:after="0"/>
              <w:rPr>
                <w:sz w:val="20"/>
                <w:szCs w:val="20"/>
                <w:color w:val="auto"/>
              </w:rPr>
            </w:pPr>
            <w:r>
              <w:rPr>
                <w:rFonts w:ascii="Arial" w:cs="Arial" w:eastAsia="Arial" w:hAnsi="Arial"/>
                <w:sz w:val="18"/>
                <w:szCs w:val="18"/>
                <w:color w:val="auto"/>
                <w:w w:val="92"/>
              </w:rPr>
              <w:t>Libor 1m + 21 bps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10/10/2012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213,110</w:t>
            </w:r>
          </w:p>
        </w:tc>
        <w:tc>
          <w:tcPr>
            <w:tcW w:w="1160" w:type="dxa"/>
            <w:vAlign w:val="bottom"/>
          </w:tcPr>
          <w:p>
            <w:pPr>
              <w:jc w:val="right"/>
              <w:spacing w:after="0"/>
              <w:rPr>
                <w:sz w:val="20"/>
                <w:szCs w:val="20"/>
                <w:color w:val="auto"/>
              </w:rPr>
            </w:pPr>
            <w:r>
              <w:rPr>
                <w:rFonts w:ascii="Arial" w:cs="Arial" w:eastAsia="Arial" w:hAnsi="Arial"/>
                <w:sz w:val="18"/>
                <w:szCs w:val="18"/>
                <w:color w:val="auto"/>
              </w:rPr>
              <w:t>221,079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w w:val="89"/>
              </w:rPr>
              <w:t>2005</w:t>
            </w:r>
          </w:p>
        </w:tc>
        <w:tc>
          <w:tcPr>
            <w:tcW w:w="4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Series B Floating Rate Certificates</w:t>
            </w:r>
          </w:p>
        </w:tc>
        <w:tc>
          <w:tcPr>
            <w:tcW w:w="2680" w:type="dxa"/>
            <w:vAlign w:val="bottom"/>
            <w:shd w:val="clear" w:color="auto" w:fill="CCFFCC"/>
          </w:tcPr>
          <w:p>
            <w:pPr>
              <w:jc w:val="center"/>
              <w:ind w:left="410"/>
              <w:spacing w:after="0"/>
              <w:rPr>
                <w:sz w:val="20"/>
                <w:szCs w:val="20"/>
                <w:color w:val="auto"/>
              </w:rPr>
            </w:pPr>
            <w:r>
              <w:rPr>
                <w:rFonts w:ascii="Arial" w:cs="Arial" w:eastAsia="Arial" w:hAnsi="Arial"/>
                <w:sz w:val="18"/>
                <w:szCs w:val="18"/>
                <w:color w:val="auto"/>
                <w:w w:val="92"/>
              </w:rPr>
              <w:t>Libor 1m + 60 bps</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12/10/2009</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2006</w:t>
            </w:r>
          </w:p>
        </w:tc>
        <w:tc>
          <w:tcPr>
            <w:tcW w:w="4020" w:type="dxa"/>
            <w:vAlign w:val="bottom"/>
          </w:tcPr>
          <w:p>
            <w:pPr>
              <w:ind w:left="20"/>
              <w:spacing w:after="0"/>
              <w:rPr>
                <w:sz w:val="20"/>
                <w:szCs w:val="20"/>
                <w:color w:val="auto"/>
              </w:rPr>
            </w:pPr>
            <w:r>
              <w:rPr>
                <w:rFonts w:ascii="Arial" w:cs="Arial" w:eastAsia="Arial" w:hAnsi="Arial"/>
                <w:sz w:val="18"/>
                <w:szCs w:val="18"/>
                <w:color w:val="auto"/>
              </w:rPr>
              <w:t>Series A Floating Rate Certificates</w:t>
            </w:r>
          </w:p>
        </w:tc>
        <w:tc>
          <w:tcPr>
            <w:tcW w:w="2680" w:type="dxa"/>
            <w:vAlign w:val="bottom"/>
          </w:tcPr>
          <w:p>
            <w:pPr>
              <w:jc w:val="center"/>
              <w:ind w:left="410"/>
              <w:spacing w:after="0"/>
              <w:rPr>
                <w:sz w:val="20"/>
                <w:szCs w:val="20"/>
                <w:color w:val="auto"/>
              </w:rPr>
            </w:pPr>
            <w:r>
              <w:rPr>
                <w:rFonts w:ascii="Arial" w:cs="Arial" w:eastAsia="Arial" w:hAnsi="Arial"/>
                <w:sz w:val="18"/>
                <w:szCs w:val="18"/>
                <w:color w:val="auto"/>
                <w:w w:val="92"/>
              </w:rPr>
              <w:t>Libor 1m + 24 bps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10/03/2016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100,000</w:t>
            </w:r>
          </w:p>
        </w:tc>
        <w:tc>
          <w:tcPr>
            <w:tcW w:w="1160" w:type="dxa"/>
            <w:vAlign w:val="bottom"/>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w w:val="89"/>
              </w:rPr>
              <w:t>2007</w:t>
            </w:r>
          </w:p>
        </w:tc>
        <w:tc>
          <w:tcPr>
            <w:tcW w:w="4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Series A Floating Rate Certificates</w:t>
            </w:r>
          </w:p>
        </w:tc>
        <w:tc>
          <w:tcPr>
            <w:tcW w:w="2680" w:type="dxa"/>
            <w:vAlign w:val="bottom"/>
            <w:shd w:val="clear" w:color="auto" w:fill="CCFFCC"/>
          </w:tcPr>
          <w:p>
            <w:pPr>
              <w:jc w:val="center"/>
              <w:ind w:left="410"/>
              <w:spacing w:after="0"/>
              <w:rPr>
                <w:sz w:val="20"/>
                <w:szCs w:val="20"/>
                <w:color w:val="auto"/>
              </w:rPr>
            </w:pPr>
            <w:r>
              <w:rPr>
                <w:rFonts w:ascii="Arial" w:cs="Arial" w:eastAsia="Arial" w:hAnsi="Arial"/>
                <w:sz w:val="18"/>
                <w:szCs w:val="18"/>
                <w:color w:val="auto"/>
                <w:w w:val="92"/>
              </w:rPr>
              <w:t>Libor 1m + 28 bps</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10/07/2017</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350,000</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2007</w:t>
            </w:r>
          </w:p>
        </w:tc>
        <w:tc>
          <w:tcPr>
            <w:tcW w:w="4020" w:type="dxa"/>
            <w:vAlign w:val="bottom"/>
          </w:tcPr>
          <w:p>
            <w:pPr>
              <w:ind w:left="20"/>
              <w:spacing w:after="0"/>
              <w:rPr>
                <w:sz w:val="20"/>
                <w:szCs w:val="20"/>
                <w:color w:val="auto"/>
              </w:rPr>
            </w:pPr>
            <w:r>
              <w:rPr>
                <w:rFonts w:ascii="Arial" w:cs="Arial" w:eastAsia="Arial" w:hAnsi="Arial"/>
                <w:sz w:val="18"/>
                <w:szCs w:val="18"/>
                <w:color w:val="auto"/>
              </w:rPr>
              <w:t>Series B Floating Rate Certificates</w:t>
            </w:r>
          </w:p>
        </w:tc>
        <w:tc>
          <w:tcPr>
            <w:tcW w:w="2680" w:type="dxa"/>
            <w:vAlign w:val="bottom"/>
          </w:tcPr>
          <w:p>
            <w:pPr>
              <w:jc w:val="center"/>
              <w:ind w:left="410"/>
              <w:spacing w:after="0"/>
              <w:rPr>
                <w:sz w:val="20"/>
                <w:szCs w:val="20"/>
                <w:color w:val="auto"/>
              </w:rPr>
            </w:pPr>
            <w:r>
              <w:rPr>
                <w:rFonts w:ascii="Arial" w:cs="Arial" w:eastAsia="Arial" w:hAnsi="Arial"/>
                <w:sz w:val="18"/>
                <w:szCs w:val="18"/>
                <w:color w:val="auto"/>
                <w:w w:val="92"/>
              </w:rPr>
              <w:t>Libor 1m + 25 bps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10/07/2014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116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w w:val="89"/>
              </w:rPr>
              <w:t>2008</w:t>
            </w:r>
          </w:p>
        </w:tc>
        <w:tc>
          <w:tcPr>
            <w:tcW w:w="4020" w:type="dxa"/>
            <w:vAlign w:val="bottom"/>
            <w:shd w:val="clear" w:color="auto" w:fill="CCFFCC"/>
          </w:tcPr>
          <w:p>
            <w:pPr>
              <w:ind w:left="20"/>
              <w:spacing w:after="0"/>
              <w:rPr>
                <w:sz w:val="20"/>
                <w:szCs w:val="20"/>
                <w:color w:val="auto"/>
              </w:rPr>
            </w:pPr>
            <w:r>
              <w:rPr>
                <w:rFonts w:ascii="Arial" w:cs="Arial" w:eastAsia="Arial" w:hAnsi="Arial"/>
                <w:sz w:val="18"/>
                <w:szCs w:val="18"/>
                <w:color w:val="auto"/>
              </w:rPr>
              <w:t>Series A Fixed Rate Certificates</w:t>
            </w:r>
          </w:p>
        </w:tc>
        <w:tc>
          <w:tcPr>
            <w:tcW w:w="2680" w:type="dxa"/>
            <w:vAlign w:val="bottom"/>
            <w:shd w:val="clear" w:color="auto" w:fill="CCFFCC"/>
          </w:tcPr>
          <w:p>
            <w:pPr>
              <w:jc w:val="right"/>
              <w:ind w:right="850"/>
              <w:spacing w:after="0"/>
              <w:rPr>
                <w:sz w:val="20"/>
                <w:szCs w:val="20"/>
                <w:color w:val="auto"/>
              </w:rPr>
            </w:pPr>
            <w:r>
              <w:rPr>
                <w:rFonts w:ascii="Arial" w:cs="Arial" w:eastAsia="Arial" w:hAnsi="Arial"/>
                <w:sz w:val="18"/>
                <w:szCs w:val="18"/>
                <w:color w:val="auto"/>
              </w:rPr>
              <w:t>6.27</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10/06/2015</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126,111</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141,719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2008</w:t>
            </w:r>
          </w:p>
        </w:tc>
        <w:tc>
          <w:tcPr>
            <w:tcW w:w="4020" w:type="dxa"/>
            <w:vAlign w:val="bottom"/>
          </w:tcPr>
          <w:p>
            <w:pPr>
              <w:ind w:left="20"/>
              <w:spacing w:after="0"/>
              <w:rPr>
                <w:sz w:val="20"/>
                <w:szCs w:val="20"/>
                <w:color w:val="auto"/>
              </w:rPr>
            </w:pPr>
            <w:r>
              <w:rPr>
                <w:rFonts w:ascii="Arial" w:cs="Arial" w:eastAsia="Arial" w:hAnsi="Arial"/>
                <w:sz w:val="18"/>
                <w:szCs w:val="18"/>
                <w:color w:val="auto"/>
              </w:rPr>
              <w:t>Series B Floating Rate Certificates</w:t>
            </w:r>
          </w:p>
        </w:tc>
        <w:tc>
          <w:tcPr>
            <w:tcW w:w="2680" w:type="dxa"/>
            <w:vAlign w:val="bottom"/>
          </w:tcPr>
          <w:p>
            <w:pPr>
              <w:jc w:val="center"/>
              <w:ind w:left="390"/>
              <w:spacing w:after="0"/>
              <w:rPr>
                <w:sz w:val="20"/>
                <w:szCs w:val="20"/>
                <w:color w:val="auto"/>
              </w:rPr>
            </w:pPr>
            <w:r>
              <w:rPr>
                <w:rFonts w:ascii="Arial" w:cs="Arial" w:eastAsia="Arial" w:hAnsi="Arial"/>
                <w:sz w:val="18"/>
                <w:szCs w:val="18"/>
                <w:color w:val="auto"/>
                <w:w w:val="93"/>
              </w:rPr>
              <w:t>Libor 1m + 225 bps</w:t>
            </w: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10/12/2015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150,000</w:t>
            </w:r>
          </w:p>
        </w:tc>
        <w:tc>
          <w:tcPr>
            <w:tcW w:w="1160" w:type="dxa"/>
            <w:vAlign w:val="bottom"/>
          </w:tcPr>
          <w:p>
            <w:pPr>
              <w:jc w:val="right"/>
              <w:spacing w:after="0"/>
              <w:rPr>
                <w:sz w:val="20"/>
                <w:szCs w:val="20"/>
                <w:color w:val="auto"/>
              </w:rPr>
            </w:pPr>
            <w:r>
              <w:rPr>
                <w:rFonts w:ascii="Arial" w:cs="Arial" w:eastAsia="Arial" w:hAnsi="Arial"/>
                <w:sz w:val="18"/>
                <w:szCs w:val="18"/>
                <w:color w:val="auto"/>
              </w:rPr>
              <w:t>150,000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4020" w:type="dxa"/>
            <w:vAlign w:val="bottom"/>
            <w:shd w:val="clear" w:color="auto" w:fill="CCFFCC"/>
          </w:tcPr>
          <w:p>
            <w:pPr>
              <w:spacing w:after="0"/>
              <w:rPr>
                <w:sz w:val="18"/>
                <w:szCs w:val="18"/>
                <w:color w:val="auto"/>
              </w:rPr>
            </w:pPr>
          </w:p>
        </w:tc>
        <w:tc>
          <w:tcPr>
            <w:tcW w:w="268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w w:val="83"/>
              </w:rPr>
              <w:t>Total</w:t>
            </w:r>
          </w:p>
        </w:tc>
        <w:tc>
          <w:tcPr>
            <w:tcW w:w="40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1,089,221</w:t>
            </w:r>
          </w:p>
        </w:tc>
        <w:tc>
          <w:tcPr>
            <w:tcW w:w="220" w:type="dxa"/>
            <w:vAlign w:val="bottom"/>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1,150,716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80"/>
        <w:spacing w:after="0" w:line="264" w:lineRule="auto"/>
        <w:rPr>
          <w:sz w:val="20"/>
          <w:szCs w:val="20"/>
          <w:color w:val="auto"/>
        </w:rPr>
      </w:pPr>
      <w:r>
        <w:rPr>
          <w:rFonts w:ascii="Arial" w:cs="Arial" w:eastAsia="Arial" w:hAnsi="Arial"/>
          <w:sz w:val="18"/>
          <w:szCs w:val="18"/>
          <w:color w:val="auto"/>
        </w:rPr>
        <w:t>All issuances are secured by the collection of BCP’s (including its foreign branches) future inflows from electronic messages sent through the Society for Worldwide Interbank Financial Telecommunications network and utilized within the network to instruct correspondent banks to make a payment of a certain amount to a beneficiary that is not a financial institution.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Loans obtained include the obligation to comply with certain covenants which, in Management’s opinion, are being fulfilled at the date of the consolidated statements of financial position.</w:t>
      </w:r>
    </w:p>
    <w:p>
      <w:pPr>
        <w:spacing w:after="0" w:line="197" w:lineRule="exact"/>
        <w:rPr>
          <w:sz w:val="20"/>
          <w:szCs w:val="20"/>
          <w:color w:val="auto"/>
        </w:rPr>
      </w:pPr>
    </w:p>
    <w:p>
      <w:pPr>
        <w:ind w:left="1140" w:right="100"/>
        <w:spacing w:after="0" w:line="277" w:lineRule="auto"/>
        <w:rPr>
          <w:sz w:val="20"/>
          <w:szCs w:val="20"/>
          <w:color w:val="auto"/>
        </w:rPr>
      </w:pPr>
      <w:r>
        <w:rPr>
          <w:rFonts w:ascii="Arial" w:cs="Arial" w:eastAsia="Arial" w:hAnsi="Arial"/>
          <w:sz w:val="18"/>
          <w:szCs w:val="18"/>
          <w:color w:val="auto"/>
        </w:rPr>
        <w:t>BCP has signed an insurance policy with AMBAC Assurance Corporation, which guarantees the timely payment of scheduled principal and certain accrued interest of all of the 2007 and 2006 issuances (Series A y B).</w:t>
      </w:r>
    </w:p>
    <w:p>
      <w:pPr>
        <w:spacing w:after="0" w:line="197" w:lineRule="exact"/>
        <w:rPr>
          <w:sz w:val="20"/>
          <w:szCs w:val="20"/>
          <w:color w:val="auto"/>
        </w:rPr>
      </w:pPr>
    </w:p>
    <w:p>
      <w:pPr>
        <w:ind w:left="1140"/>
        <w:spacing w:after="0" w:line="264" w:lineRule="auto"/>
        <w:rPr>
          <w:sz w:val="20"/>
          <w:szCs w:val="20"/>
          <w:color w:val="auto"/>
        </w:rPr>
      </w:pPr>
      <w:r>
        <w:rPr>
          <w:rFonts w:ascii="Arial" w:cs="Arial" w:eastAsia="Arial" w:hAnsi="Arial"/>
          <w:sz w:val="18"/>
          <w:szCs w:val="18"/>
          <w:color w:val="auto"/>
        </w:rPr>
        <w:t>As of December 31, 2009 and 2008, Series 2007 (A and B) and a portion (70 percent) of the 2005 total issuance (Series A and B), subject to variable interest rate risk, are hedged through an interest rate swap operation; as a result, these issuance were economically converted to fixed rate, see note 11(b).</w:t>
      </w:r>
    </w:p>
    <w:p>
      <w:pPr>
        <w:spacing w:after="0" w:line="208" w:lineRule="exact"/>
        <w:rPr>
          <w:sz w:val="20"/>
          <w:szCs w:val="20"/>
          <w:color w:val="auto"/>
        </w:rPr>
      </w:pPr>
    </w:p>
    <w:p>
      <w:pPr>
        <w:ind w:left="1160" w:right="560" w:hanging="490"/>
        <w:spacing w:after="0" w:line="277" w:lineRule="auto"/>
        <w:tabs>
          <w:tab w:leader="none" w:pos="11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As of December 31, 2009 and 2008, maturities of due to bank and correspondents and borrowed funds are shown below, based on the remaining period to the repayment date:</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Due to bank and correspondents</w:t>
            </w: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622,342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369,483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235,913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256,884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210,125</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to 5 years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31,048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62,892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1,162,320</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1,165,878</w:t>
            </w:r>
          </w:p>
        </w:tc>
        <w:tc>
          <w:tcPr>
            <w:tcW w:w="8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Borrowed funds</w:t>
            </w: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Up to 1 year</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113,857</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1 to 3 years</w:t>
            </w:r>
          </w:p>
        </w:tc>
        <w:tc>
          <w:tcPr>
            <w:tcW w:w="980" w:type="dxa"/>
            <w:vAlign w:val="bottom"/>
          </w:tcPr>
          <w:p>
            <w:pPr>
              <w:jc w:val="right"/>
              <w:spacing w:after="0"/>
              <w:rPr>
                <w:sz w:val="20"/>
                <w:szCs w:val="20"/>
                <w:color w:val="auto"/>
              </w:rPr>
            </w:pPr>
            <w:r>
              <w:rPr>
                <w:rFonts w:ascii="Arial" w:cs="Arial" w:eastAsia="Arial" w:hAnsi="Arial"/>
                <w:sz w:val="18"/>
                <w:szCs w:val="18"/>
                <w:color w:val="auto"/>
              </w:rPr>
              <w:t>394,759</w:t>
            </w:r>
          </w:p>
        </w:tc>
        <w:tc>
          <w:tcPr>
            <w:tcW w:w="2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317,541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From 3 to 5 years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312,297</w:t>
            </w:r>
          </w:p>
        </w:tc>
        <w:tc>
          <w:tcPr>
            <w:tcW w:w="2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362,374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More than 5 years</w:t>
            </w:r>
          </w:p>
        </w:tc>
        <w:tc>
          <w:tcPr>
            <w:tcW w:w="980" w:type="dxa"/>
            <w:vAlign w:val="bottom"/>
          </w:tcPr>
          <w:p>
            <w:pPr>
              <w:jc w:val="right"/>
              <w:spacing w:after="0"/>
              <w:rPr>
                <w:sz w:val="20"/>
                <w:szCs w:val="20"/>
                <w:color w:val="auto"/>
              </w:rPr>
            </w:pPr>
            <w:r>
              <w:rPr>
                <w:rFonts w:ascii="Arial" w:cs="Arial" w:eastAsia="Arial" w:hAnsi="Arial"/>
                <w:sz w:val="18"/>
                <w:szCs w:val="18"/>
                <w:color w:val="auto"/>
              </w:rPr>
              <w:t>268,308</w:t>
            </w:r>
          </w:p>
        </w:tc>
        <w:tc>
          <w:tcPr>
            <w:tcW w:w="2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407,477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1,089,221</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400" w:hanging="484"/>
        <w:spacing w:after="0" w:line="342" w:lineRule="auto"/>
        <w:tabs>
          <w:tab w:leader="none" w:pos="114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As of December 31, 2009 and 2008, credit lines granted by several local and foreign financial institutions, available for future operating activities or to settle capital commitments amounted to US$1,812.2 million (US$1,617.0 million as of December 31, 2008).</w:t>
      </w:r>
    </w:p>
    <w:p>
      <w:pPr>
        <w:spacing w:after="0" w:line="2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0" w:right="31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Technical reserves, insurance claims reserves and reserves for unearned premiums</w:t>
      </w:r>
    </w:p>
    <w:p>
      <w:pPr>
        <w:spacing w:after="0" w:line="2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7"/>
              </w:rPr>
              <w:t>Reserves for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Technical</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direct claims</w:t>
            </w: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Claims assumed</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reserves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70,960</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630,183</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701,143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General insurance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139,539</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2,828</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112,804</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255,171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38,625</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8</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23,844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62,477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249,124</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2,836</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766,831</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1,018,791</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10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112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87"/>
              </w:rPr>
              <w:t>Reserves for</w:t>
            </w: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Technical</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direct claims</w:t>
            </w: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Claims assumed</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3"/>
              </w:rPr>
              <w:t>reserves</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64,553</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553,127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617,680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General insurance</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137,297</w:t>
            </w:r>
          </w:p>
        </w:tc>
        <w:tc>
          <w:tcPr>
            <w:tcW w:w="1520" w:type="dxa"/>
            <w:vAlign w:val="bottom"/>
            <w:gridSpan w:val="3"/>
          </w:tcPr>
          <w:p>
            <w:pPr>
              <w:jc w:val="right"/>
              <w:ind w:right="180"/>
              <w:spacing w:after="0"/>
              <w:rPr>
                <w:sz w:val="20"/>
                <w:szCs w:val="20"/>
                <w:color w:val="auto"/>
              </w:rPr>
            </w:pPr>
            <w:r>
              <w:rPr>
                <w:rFonts w:ascii="Arial" w:cs="Arial" w:eastAsia="Arial" w:hAnsi="Arial"/>
                <w:sz w:val="18"/>
                <w:szCs w:val="18"/>
                <w:color w:val="auto"/>
              </w:rPr>
              <w:t>32,812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124,846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294,955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37,741</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27</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17,367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239,591</w:t>
            </w:r>
          </w:p>
        </w:tc>
        <w:tc>
          <w:tcPr>
            <w:tcW w:w="15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32,839</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695,340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967,770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right="120"/>
        <w:spacing w:after="0" w:line="286" w:lineRule="auto"/>
        <w:rPr>
          <w:sz w:val="20"/>
          <w:szCs w:val="20"/>
          <w:color w:val="auto"/>
        </w:rPr>
      </w:pPr>
      <w:r>
        <w:rPr>
          <w:rFonts w:ascii="Arial" w:cs="Arial" w:eastAsia="Arial" w:hAnsi="Arial"/>
          <w:sz w:val="17"/>
          <w:szCs w:val="17"/>
          <w:color w:val="auto"/>
        </w:rPr>
        <w:t>Insurance claims reserves represent reported claims and an estimation for incurred but non reported claims (IBNR). Reported claims are adjusted on the basis of technical reports received from independent adjusters. Claims to be paid by the reinsurers and coinsurers are shown as ceded claims, which are presented in the caption “Accounts receivable from reinsurers and coinsurers”.</w:t>
      </w:r>
    </w:p>
    <w:p>
      <w:pPr>
        <w:spacing w:after="0" w:line="193" w:lineRule="exact"/>
        <w:rPr>
          <w:sz w:val="20"/>
          <w:szCs w:val="20"/>
          <w:color w:val="auto"/>
        </w:rPr>
      </w:pPr>
    </w:p>
    <w:p>
      <w:pPr>
        <w:ind w:left="1140" w:right="140"/>
        <w:spacing w:after="0" w:line="264" w:lineRule="auto"/>
        <w:rPr>
          <w:sz w:val="20"/>
          <w:szCs w:val="20"/>
          <w:color w:val="auto"/>
        </w:rPr>
      </w:pPr>
      <w:r>
        <w:rPr>
          <w:rFonts w:ascii="Arial" w:cs="Arial" w:eastAsia="Arial" w:hAnsi="Arial"/>
          <w:sz w:val="18"/>
          <w:szCs w:val="18"/>
          <w:color w:val="auto"/>
        </w:rPr>
        <w:t>As of December 31, 2009, the reserves for direct claims include reserves for IBNR for life, general and health insurance for an amount of US$20.2 million, US$4.3 million and US$19.3 million, respectively (US$15.2, US$4.7 and US$20.1 millions, respectively, as of December 31, 2008).</w:t>
      </w:r>
    </w:p>
    <w:p>
      <w:pPr>
        <w:spacing w:after="0" w:line="208" w:lineRule="exact"/>
        <w:rPr>
          <w:sz w:val="20"/>
          <w:szCs w:val="20"/>
          <w:color w:val="auto"/>
        </w:rPr>
      </w:pPr>
    </w:p>
    <w:p>
      <w:pPr>
        <w:ind w:left="1140"/>
        <w:spacing w:after="0" w:line="257" w:lineRule="auto"/>
        <w:rPr>
          <w:sz w:val="20"/>
          <w:szCs w:val="20"/>
          <w:color w:val="auto"/>
        </w:rPr>
      </w:pPr>
      <w:r>
        <w:rPr>
          <w:rFonts w:ascii="Arial" w:cs="Arial" w:eastAsia="Arial" w:hAnsi="Arial"/>
          <w:sz w:val="18"/>
          <w:szCs w:val="18"/>
          <w:color w:val="auto"/>
        </w:rPr>
        <w:t>During 2009 and previous years, the differences between the estimations for the incurred and non-reported claims and the settled and pending liquidation claims have not been significant. In the case of general and health risks, retrospective analysis indicate that the amounts provisioned are greater than the settled claims and those pending liquidation by a percentage that does not exceed 10 percent of the provisioned amounts. Management believes that the estimated IBNR reserve is sufficient to cover any liability as of December 31, 2009 and 2008.</w:t>
      </w:r>
    </w:p>
    <w:p>
      <w:pPr>
        <w:spacing w:after="0" w:line="2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for the years ended December 31, 2009 and 2008 of insurance claims and technical reserves is as follows: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Insurance claims reserves (direct and assumed):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20" w:type="dxa"/>
            <w:vAlign w:val="bottom"/>
            <w:gridSpan w:val="2"/>
          </w:tcPr>
          <w:p>
            <w:pPr>
              <w:jc w:val="right"/>
              <w:ind w:right="120"/>
              <w:spacing w:after="0" w:line="201" w:lineRule="exact"/>
              <w:rPr>
                <w:sz w:val="20"/>
                <w:szCs w:val="20"/>
                <w:color w:val="auto"/>
              </w:rPr>
            </w:pPr>
            <w:r>
              <w:rPr>
                <w:rFonts w:ascii="Arial" w:cs="Arial" w:eastAsia="Arial" w:hAnsi="Arial"/>
                <w:sz w:val="18"/>
                <w:szCs w:val="18"/>
                <w:b w:val="1"/>
                <w:bCs w:val="1"/>
                <w:color w:val="auto"/>
                <w:w w:val="88"/>
              </w:rPr>
              <w:t>Life insurance</w:t>
            </w:r>
          </w:p>
        </w:tc>
        <w:tc>
          <w:tcPr>
            <w:tcW w:w="1660" w:type="dxa"/>
            <w:vAlign w:val="bottom"/>
            <w:gridSpan w:val="3"/>
          </w:tcPr>
          <w:p>
            <w:pPr>
              <w:jc w:val="right"/>
              <w:ind w:right="180"/>
              <w:spacing w:after="0" w:line="201" w:lineRule="exact"/>
              <w:rPr>
                <w:sz w:val="20"/>
                <w:szCs w:val="20"/>
                <w:color w:val="auto"/>
              </w:rPr>
            </w:pPr>
            <w:r>
              <w:rPr>
                <w:rFonts w:ascii="Arial" w:cs="Arial" w:eastAsia="Arial" w:hAnsi="Arial"/>
                <w:sz w:val="18"/>
                <w:szCs w:val="18"/>
                <w:b w:val="1"/>
                <w:bCs w:val="1"/>
                <w:color w:val="auto"/>
                <w:w w:val="92"/>
              </w:rPr>
              <w:t>General insurance</w:t>
            </w:r>
          </w:p>
        </w:tc>
        <w:tc>
          <w:tcPr>
            <w:tcW w:w="1500" w:type="dxa"/>
            <w:vAlign w:val="bottom"/>
            <w:gridSpan w:val="2"/>
          </w:tcPr>
          <w:p>
            <w:pPr>
              <w:jc w:val="right"/>
              <w:ind w:right="180"/>
              <w:spacing w:after="0" w:line="201" w:lineRule="exact"/>
              <w:rPr>
                <w:sz w:val="20"/>
                <w:szCs w:val="20"/>
                <w:color w:val="auto"/>
              </w:rPr>
            </w:pPr>
            <w:r>
              <w:rPr>
                <w:rFonts w:ascii="Arial" w:cs="Arial" w:eastAsia="Arial" w:hAnsi="Arial"/>
                <w:sz w:val="18"/>
                <w:szCs w:val="18"/>
                <w:b w:val="1"/>
                <w:bCs w:val="1"/>
                <w:color w:val="auto"/>
                <w:w w:val="89"/>
              </w:rPr>
              <w:t>Health insurance</w:t>
            </w:r>
          </w:p>
        </w:tc>
        <w:tc>
          <w:tcPr>
            <w:tcW w:w="940" w:type="dxa"/>
            <w:vAlign w:val="bottom"/>
          </w:tcPr>
          <w:p>
            <w:pPr>
              <w:jc w:val="right"/>
              <w:ind w:right="190"/>
              <w:spacing w:after="0" w:line="20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60" w:type="dxa"/>
            <w:vAlign w:val="bottom"/>
          </w:tcPr>
          <w:p>
            <w:pPr>
              <w:spacing w:after="0"/>
              <w:rPr>
                <w:sz w:val="20"/>
                <w:szCs w:val="20"/>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64,553</w:t>
            </w:r>
          </w:p>
        </w:tc>
        <w:tc>
          <w:tcPr>
            <w:tcW w:w="120" w:type="dxa"/>
            <w:vAlign w:val="bottom"/>
            <w:shd w:val="clear" w:color="auto" w:fill="CCFFCC"/>
          </w:tcPr>
          <w:p>
            <w:pPr>
              <w:spacing w:after="0"/>
              <w:rPr>
                <w:sz w:val="18"/>
                <w:szCs w:val="18"/>
                <w:color w:val="auto"/>
              </w:rPr>
            </w:pPr>
          </w:p>
        </w:tc>
        <w:tc>
          <w:tcPr>
            <w:tcW w:w="166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170,109</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37,768</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272,430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Claims</w:t>
            </w:r>
          </w:p>
        </w:tc>
        <w:tc>
          <w:tcPr>
            <w:tcW w:w="1100" w:type="dxa"/>
            <w:vAlign w:val="bottom"/>
          </w:tcPr>
          <w:p>
            <w:pPr>
              <w:jc w:val="right"/>
              <w:spacing w:after="0"/>
              <w:rPr>
                <w:sz w:val="20"/>
                <w:szCs w:val="20"/>
                <w:color w:val="auto"/>
              </w:rPr>
            </w:pPr>
            <w:r>
              <w:rPr>
                <w:rFonts w:ascii="Arial" w:cs="Arial" w:eastAsia="Arial" w:hAnsi="Arial"/>
                <w:sz w:val="18"/>
                <w:szCs w:val="18"/>
                <w:color w:val="auto"/>
              </w:rPr>
              <w:t>80,970</w:t>
            </w:r>
          </w:p>
        </w:tc>
        <w:tc>
          <w:tcPr>
            <w:tcW w:w="120" w:type="dxa"/>
            <w:vAlign w:val="bottom"/>
          </w:tcPr>
          <w:p>
            <w:pPr>
              <w:spacing w:after="0"/>
              <w:rPr>
                <w:sz w:val="18"/>
                <w:szCs w:val="18"/>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108,397</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148,985</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338,352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(76,301)</w:t>
            </w:r>
          </w:p>
        </w:tc>
        <w:tc>
          <w:tcPr>
            <w:tcW w:w="166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(136,315)</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(149,731)</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(362,347)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Translation result</w:t>
            </w:r>
          </w:p>
        </w:tc>
        <w:tc>
          <w:tcPr>
            <w:tcW w:w="1100" w:type="dxa"/>
            <w:vAlign w:val="bottom"/>
          </w:tcPr>
          <w:p>
            <w:pPr>
              <w:jc w:val="right"/>
              <w:spacing w:after="0"/>
              <w:rPr>
                <w:sz w:val="20"/>
                <w:szCs w:val="20"/>
                <w:color w:val="auto"/>
              </w:rPr>
            </w:pPr>
            <w:r>
              <w:rPr>
                <w:rFonts w:ascii="Arial" w:cs="Arial" w:eastAsia="Arial" w:hAnsi="Arial"/>
                <w:sz w:val="18"/>
                <w:szCs w:val="18"/>
                <w:color w:val="auto"/>
              </w:rPr>
              <w:t>1,738</w:t>
            </w:r>
          </w:p>
        </w:tc>
        <w:tc>
          <w:tcPr>
            <w:tcW w:w="120" w:type="dxa"/>
            <w:vAlign w:val="bottom"/>
          </w:tcPr>
          <w:p>
            <w:pPr>
              <w:spacing w:after="0"/>
              <w:rPr>
                <w:sz w:val="19"/>
                <w:szCs w:val="19"/>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176</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1,611</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3,525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00" w:type="dxa"/>
            <w:vAlign w:val="bottom"/>
          </w:tcPr>
          <w:p>
            <w:pPr>
              <w:jc w:val="right"/>
              <w:spacing w:after="0"/>
              <w:rPr>
                <w:sz w:val="20"/>
                <w:szCs w:val="20"/>
                <w:color w:val="auto"/>
              </w:rPr>
            </w:pPr>
            <w:r>
              <w:rPr>
                <w:rFonts w:ascii="Arial" w:cs="Arial" w:eastAsia="Arial" w:hAnsi="Arial"/>
                <w:sz w:val="18"/>
                <w:szCs w:val="18"/>
                <w:color w:val="auto"/>
              </w:rPr>
              <w:t>70,960</w:t>
            </w:r>
          </w:p>
        </w:tc>
        <w:tc>
          <w:tcPr>
            <w:tcW w:w="120" w:type="dxa"/>
            <w:vAlign w:val="bottom"/>
          </w:tcPr>
          <w:p>
            <w:pPr>
              <w:spacing w:after="0"/>
              <w:rPr>
                <w:sz w:val="18"/>
                <w:szCs w:val="18"/>
                <w:color w:val="auto"/>
              </w:rPr>
            </w:pPr>
          </w:p>
        </w:tc>
        <w:tc>
          <w:tcPr>
            <w:tcW w:w="1660" w:type="dxa"/>
            <w:vAlign w:val="bottom"/>
            <w:gridSpan w:val="3"/>
          </w:tcPr>
          <w:p>
            <w:pPr>
              <w:jc w:val="right"/>
              <w:ind w:right="180"/>
              <w:spacing w:after="0"/>
              <w:rPr>
                <w:sz w:val="20"/>
                <w:szCs w:val="20"/>
                <w:color w:val="auto"/>
              </w:rPr>
            </w:pPr>
            <w:r>
              <w:rPr>
                <w:rFonts w:ascii="Arial" w:cs="Arial" w:eastAsia="Arial" w:hAnsi="Arial"/>
                <w:sz w:val="18"/>
                <w:szCs w:val="18"/>
                <w:color w:val="auto"/>
              </w:rPr>
              <w:t>142,367</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38,633</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251,960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2008</w:t>
            </w:r>
          </w:p>
        </w:tc>
        <w:tc>
          <w:tcPr>
            <w:tcW w:w="13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200" w:type="dxa"/>
            <w:vAlign w:val="bottom"/>
            <w:gridSpan w:val="2"/>
          </w:tcPr>
          <w:p>
            <w:pPr>
              <w:jc w:val="right"/>
              <w:ind w:right="100"/>
              <w:spacing w:after="0" w:line="201" w:lineRule="exact"/>
              <w:rPr>
                <w:sz w:val="20"/>
                <w:szCs w:val="20"/>
                <w:color w:val="auto"/>
              </w:rPr>
            </w:pPr>
            <w:r>
              <w:rPr>
                <w:rFonts w:ascii="Arial" w:cs="Arial" w:eastAsia="Arial" w:hAnsi="Arial"/>
                <w:sz w:val="18"/>
                <w:szCs w:val="18"/>
                <w:b w:val="1"/>
                <w:bCs w:val="1"/>
                <w:color w:val="auto"/>
                <w:w w:val="88"/>
              </w:rPr>
              <w:t>Life insurance</w:t>
            </w:r>
          </w:p>
        </w:tc>
        <w:tc>
          <w:tcPr>
            <w:tcW w:w="1680" w:type="dxa"/>
            <w:vAlign w:val="bottom"/>
            <w:gridSpan w:val="3"/>
          </w:tcPr>
          <w:p>
            <w:pPr>
              <w:jc w:val="right"/>
              <w:ind w:right="180"/>
              <w:spacing w:after="0" w:line="201" w:lineRule="exact"/>
              <w:rPr>
                <w:sz w:val="20"/>
                <w:szCs w:val="20"/>
                <w:color w:val="auto"/>
              </w:rPr>
            </w:pPr>
            <w:r>
              <w:rPr>
                <w:rFonts w:ascii="Arial" w:cs="Arial" w:eastAsia="Arial" w:hAnsi="Arial"/>
                <w:sz w:val="18"/>
                <w:szCs w:val="18"/>
                <w:b w:val="1"/>
                <w:bCs w:val="1"/>
                <w:color w:val="auto"/>
                <w:w w:val="94"/>
              </w:rPr>
              <w:t>General insurance</w:t>
            </w:r>
          </w:p>
        </w:tc>
        <w:tc>
          <w:tcPr>
            <w:tcW w:w="1500" w:type="dxa"/>
            <w:vAlign w:val="bottom"/>
            <w:gridSpan w:val="2"/>
          </w:tcPr>
          <w:p>
            <w:pPr>
              <w:jc w:val="right"/>
              <w:ind w:right="180"/>
              <w:spacing w:after="0" w:line="201" w:lineRule="exact"/>
              <w:rPr>
                <w:sz w:val="20"/>
                <w:szCs w:val="20"/>
                <w:color w:val="auto"/>
              </w:rPr>
            </w:pPr>
            <w:r>
              <w:rPr>
                <w:rFonts w:ascii="Arial" w:cs="Arial" w:eastAsia="Arial" w:hAnsi="Arial"/>
                <w:sz w:val="18"/>
                <w:szCs w:val="18"/>
                <w:b w:val="1"/>
                <w:bCs w:val="1"/>
                <w:color w:val="auto"/>
                <w:w w:val="89"/>
              </w:rPr>
              <w:t>Health insurance</w:t>
            </w:r>
          </w:p>
        </w:tc>
        <w:tc>
          <w:tcPr>
            <w:tcW w:w="940" w:type="dxa"/>
            <w:vAlign w:val="bottom"/>
          </w:tcPr>
          <w:p>
            <w:pPr>
              <w:jc w:val="right"/>
              <w:ind w:right="190"/>
              <w:spacing w:after="0" w:line="20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80" w:type="dxa"/>
            <w:vAlign w:val="bottom"/>
          </w:tcPr>
          <w:p>
            <w:pPr>
              <w:spacing w:after="0"/>
              <w:rPr>
                <w:sz w:val="20"/>
                <w:szCs w:val="20"/>
                <w:color w:val="auto"/>
              </w:rPr>
            </w:pPr>
          </w:p>
        </w:tc>
        <w:tc>
          <w:tcPr>
            <w:tcW w:w="1600" w:type="dxa"/>
            <w:vAlign w:val="bottom"/>
            <w:gridSpan w:val="2"/>
          </w:tcPr>
          <w:p>
            <w:pPr>
              <w:jc w:val="right"/>
              <w:ind w:right="540"/>
              <w:spacing w:after="0"/>
              <w:rPr>
                <w:sz w:val="20"/>
                <w:szCs w:val="20"/>
                <w:color w:val="auto"/>
              </w:rPr>
            </w:pPr>
            <w:r>
              <w:rPr>
                <w:rFonts w:ascii="Arial" w:cs="Arial" w:eastAsia="Arial" w:hAnsi="Arial"/>
                <w:sz w:val="18"/>
                <w:szCs w:val="18"/>
                <w:color w:val="auto"/>
              </w:rPr>
              <w:t>US$(000)</w:t>
            </w:r>
          </w:p>
        </w:tc>
        <w:tc>
          <w:tcPr>
            <w:tcW w:w="150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50,046</w:t>
            </w:r>
          </w:p>
        </w:tc>
        <w:tc>
          <w:tcPr>
            <w:tcW w:w="16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114,144</w:t>
            </w:r>
          </w:p>
        </w:tc>
        <w:tc>
          <w:tcPr>
            <w:tcW w:w="15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25,108</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189,298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Claims</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88,059</w:t>
            </w:r>
          </w:p>
        </w:tc>
        <w:tc>
          <w:tcPr>
            <w:tcW w:w="1680" w:type="dxa"/>
            <w:vAlign w:val="bottom"/>
            <w:gridSpan w:val="3"/>
          </w:tcPr>
          <w:p>
            <w:pPr>
              <w:jc w:val="right"/>
              <w:ind w:right="180"/>
              <w:spacing w:after="0"/>
              <w:rPr>
                <w:sz w:val="20"/>
                <w:szCs w:val="20"/>
                <w:color w:val="auto"/>
              </w:rPr>
            </w:pPr>
            <w:r>
              <w:rPr>
                <w:rFonts w:ascii="Arial" w:cs="Arial" w:eastAsia="Arial" w:hAnsi="Arial"/>
                <w:sz w:val="18"/>
                <w:szCs w:val="18"/>
                <w:color w:val="auto"/>
              </w:rPr>
              <w:t>163,251</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155,387</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406,697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(72,676)</w:t>
            </w:r>
          </w:p>
        </w:tc>
        <w:tc>
          <w:tcPr>
            <w:tcW w:w="16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(107,197)</w:t>
            </w:r>
          </w:p>
        </w:tc>
        <w:tc>
          <w:tcPr>
            <w:tcW w:w="15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(141,470)</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(321,343)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Translation result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(876)</w:t>
            </w:r>
          </w:p>
        </w:tc>
        <w:tc>
          <w:tcPr>
            <w:tcW w:w="1680" w:type="dxa"/>
            <w:vAlign w:val="bottom"/>
            <w:gridSpan w:val="3"/>
          </w:tcPr>
          <w:p>
            <w:pPr>
              <w:jc w:val="right"/>
              <w:ind w:right="120"/>
              <w:spacing w:after="0"/>
              <w:rPr>
                <w:sz w:val="20"/>
                <w:szCs w:val="20"/>
                <w:color w:val="auto"/>
              </w:rPr>
            </w:pPr>
            <w:r>
              <w:rPr>
                <w:rFonts w:ascii="Arial" w:cs="Arial" w:eastAsia="Arial" w:hAnsi="Arial"/>
                <w:sz w:val="18"/>
                <w:szCs w:val="18"/>
                <w:color w:val="auto"/>
              </w:rPr>
              <w:t>(89)</w:t>
            </w: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(1,257)</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(2,222)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100" w:type="dxa"/>
            <w:vAlign w:val="bottom"/>
          </w:tcPr>
          <w:p>
            <w:pPr>
              <w:jc w:val="right"/>
              <w:spacing w:after="0"/>
              <w:rPr>
                <w:sz w:val="20"/>
                <w:szCs w:val="20"/>
                <w:color w:val="auto"/>
              </w:rPr>
            </w:pPr>
            <w:r>
              <w:rPr>
                <w:rFonts w:ascii="Arial" w:cs="Arial" w:eastAsia="Arial" w:hAnsi="Arial"/>
                <w:sz w:val="18"/>
                <w:szCs w:val="18"/>
                <w:color w:val="auto"/>
              </w:rPr>
              <w:t>64,553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170,109</w:t>
            </w:r>
          </w:p>
        </w:tc>
        <w:tc>
          <w:tcPr>
            <w:tcW w:w="1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37,768</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272,430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gridSpan w:val="3"/>
          </w:tcPr>
          <w:p>
            <w:pPr>
              <w:jc w:val="right"/>
              <w:ind w:right="1300"/>
              <w:spacing w:after="0"/>
              <w:rPr>
                <w:sz w:val="20"/>
                <w:szCs w:val="20"/>
                <w:color w:val="auto"/>
              </w:rPr>
            </w:pPr>
            <w:r>
              <w:rPr>
                <w:rFonts w:ascii="Arial" w:cs="Arial" w:eastAsia="Arial" w:hAnsi="Arial"/>
                <w:sz w:val="18"/>
                <w:szCs w:val="18"/>
                <w:color w:val="auto"/>
                <w:w w:val="97"/>
              </w:rPr>
              <w:t>F-67</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Pr>
          <w:p>
            <w:pPr>
              <w:ind w:left="640"/>
              <w:spacing w:after="0"/>
              <w:rPr>
                <w:sz w:val="20"/>
                <w:szCs w:val="20"/>
                <w:color w:val="auto"/>
              </w:rPr>
            </w:pPr>
            <w:r>
              <w:rPr>
                <w:rFonts w:ascii="Arial" w:cs="Arial" w:eastAsia="Arial" w:hAnsi="Arial"/>
                <w:sz w:val="18"/>
                <w:szCs w:val="18"/>
                <w:color w:val="auto"/>
              </w:rPr>
              <w:t>(c)</w:t>
            </w:r>
          </w:p>
        </w:tc>
        <w:tc>
          <w:tcPr>
            <w:tcW w:w="3660" w:type="dxa"/>
            <w:vAlign w:val="bottom"/>
          </w:tcPr>
          <w:p>
            <w:pPr>
              <w:ind w:left="20"/>
              <w:spacing w:after="0"/>
              <w:rPr>
                <w:sz w:val="20"/>
                <w:szCs w:val="20"/>
                <w:color w:val="auto"/>
              </w:rPr>
            </w:pPr>
            <w:r>
              <w:rPr>
                <w:rFonts w:ascii="Arial" w:cs="Arial" w:eastAsia="Arial" w:hAnsi="Arial"/>
                <w:sz w:val="18"/>
                <w:szCs w:val="18"/>
                <w:color w:val="auto"/>
              </w:rPr>
              <w:t>Technical reserves:</w:t>
            </w: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2009</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9"/>
              </w:rPr>
              <w:t>Life</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Health</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insurance</w:t>
            </w: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General insurance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6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2"/>
              </w:rPr>
              <w:t>Initial balance</w:t>
            </w:r>
          </w:p>
        </w:tc>
        <w:tc>
          <w:tcPr>
            <w:tcW w:w="36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553,127</w:t>
            </w:r>
          </w:p>
        </w:tc>
        <w:tc>
          <w:tcPr>
            <w:tcW w:w="140" w:type="dxa"/>
            <w:vAlign w:val="bottom"/>
            <w:shd w:val="clear" w:color="auto" w:fill="CCFFCC"/>
          </w:tcPr>
          <w:p>
            <w:pPr>
              <w:spacing w:after="0"/>
              <w:rPr>
                <w:sz w:val="18"/>
                <w:szCs w:val="18"/>
                <w:color w:val="auto"/>
              </w:rPr>
            </w:pP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124,846</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17,367</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Accretion expenses and other</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16,384</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3,393</w:t>
            </w:r>
          </w:p>
        </w:tc>
        <w:tc>
          <w:tcPr>
            <w:tcW w:w="140" w:type="dxa"/>
            <w:vAlign w:val="bottom"/>
            <w:shd w:val="clear" w:color="auto" w:fill="CCFFCC"/>
          </w:tcPr>
          <w:p>
            <w:pPr>
              <w:spacing w:after="0"/>
              <w:rPr>
                <w:sz w:val="18"/>
                <w:szCs w:val="18"/>
                <w:color w:val="auto"/>
              </w:rPr>
            </w:pPr>
          </w:p>
        </w:tc>
        <w:tc>
          <w:tcPr>
            <w:tcW w:w="16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(14,016)</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6,580</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Insurance subscriptions</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79,990</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79,990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36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(8,122)</w:t>
            </w: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(8,122)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(14,589)</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1,974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(12,718)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66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w w:val="96"/>
              </w:rPr>
              <w:t>Final balance</w:t>
            </w:r>
          </w:p>
        </w:tc>
        <w:tc>
          <w:tcPr>
            <w:tcW w:w="3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630,183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112,804</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23,844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766,831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1080" w:type="dxa"/>
            <w:vAlign w:val="bottom"/>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9"/>
              </w:rPr>
              <w:t>Life</w:t>
            </w:r>
          </w:p>
        </w:tc>
        <w:tc>
          <w:tcPr>
            <w:tcW w:w="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94"/>
              </w:rPr>
              <w:t>Health</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insurance</w:t>
            </w:r>
          </w:p>
        </w:tc>
        <w:tc>
          <w:tcPr>
            <w:tcW w:w="16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General insurance</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0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60" w:type="dxa"/>
            <w:vAlign w:val="bottom"/>
          </w:tcPr>
          <w:p>
            <w:pPr>
              <w:spacing w:after="0"/>
              <w:rPr>
                <w:sz w:val="20"/>
                <w:szCs w:val="20"/>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3"/>
          </w:tcPr>
          <w:p>
            <w:pPr>
              <w:spacing w:after="0"/>
              <w:rPr>
                <w:sz w:val="18"/>
                <w:szCs w:val="18"/>
                <w:color w:val="auto"/>
              </w:rPr>
            </w:pPr>
          </w:p>
        </w:tc>
        <w:tc>
          <w:tcPr>
            <w:tcW w:w="112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w w:val="92"/>
              </w:rPr>
              <w:t>Initial balance</w:t>
            </w:r>
          </w:p>
        </w:tc>
        <w:tc>
          <w:tcPr>
            <w:tcW w:w="366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500,768</w:t>
            </w:r>
          </w:p>
        </w:tc>
        <w:tc>
          <w:tcPr>
            <w:tcW w:w="140" w:type="dxa"/>
            <w:vAlign w:val="bottom"/>
            <w:shd w:val="clear" w:color="auto" w:fill="CCFFCC"/>
          </w:tcPr>
          <w:p>
            <w:pPr>
              <w:spacing w:after="0"/>
              <w:rPr>
                <w:sz w:val="18"/>
                <w:szCs w:val="18"/>
                <w:color w:val="auto"/>
              </w:rPr>
            </w:pP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97,646</w:t>
            </w: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15,766</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614,180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Accretion expenses and other</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14,808</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1,433</w:t>
            </w:r>
          </w:p>
        </w:tc>
        <w:tc>
          <w:tcPr>
            <w:tcW w:w="140" w:type="dxa"/>
            <w:vAlign w:val="bottom"/>
            <w:shd w:val="clear" w:color="auto" w:fill="CCFFCC"/>
          </w:tcPr>
          <w:p>
            <w:pPr>
              <w:spacing w:after="0"/>
              <w:rPr>
                <w:sz w:val="18"/>
                <w:szCs w:val="18"/>
                <w:color w:val="auto"/>
              </w:rPr>
            </w:pP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27,200</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1,601</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Insurance subscriptions</w:t>
            </w:r>
          </w:p>
        </w:tc>
        <w:tc>
          <w:tcPr>
            <w:tcW w:w="940" w:type="dxa"/>
            <w:vAlign w:val="bottom"/>
          </w:tcPr>
          <w:p>
            <w:pPr>
              <w:jc w:val="right"/>
              <w:spacing w:after="0"/>
              <w:rPr>
                <w:sz w:val="20"/>
                <w:szCs w:val="20"/>
                <w:color w:val="auto"/>
              </w:rPr>
            </w:pPr>
            <w:r>
              <w:rPr>
                <w:rFonts w:ascii="Arial" w:cs="Arial" w:eastAsia="Arial" w:hAnsi="Arial"/>
                <w:sz w:val="18"/>
                <w:szCs w:val="18"/>
                <w:color w:val="auto"/>
              </w:rPr>
              <w:t>70,311</w:t>
            </w:r>
          </w:p>
        </w:tc>
        <w:tc>
          <w:tcPr>
            <w:tcW w:w="14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70,311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36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(26,732)</w:t>
            </w:r>
          </w:p>
        </w:tc>
        <w:tc>
          <w:tcPr>
            <w:tcW w:w="166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(26,732)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(7,461)</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(7,461)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366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w w:val="96"/>
              </w:rPr>
              <w:t>Final balance</w:t>
            </w:r>
          </w:p>
        </w:tc>
        <w:tc>
          <w:tcPr>
            <w:tcW w:w="36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553,127</w:t>
            </w:r>
          </w:p>
        </w:tc>
        <w:tc>
          <w:tcPr>
            <w:tcW w:w="14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124,846</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17,367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695,340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120"/>
        <w:spacing w:after="0" w:line="277" w:lineRule="auto"/>
        <w:rPr>
          <w:sz w:val="20"/>
          <w:szCs w:val="20"/>
          <w:color w:val="auto"/>
        </w:rPr>
      </w:pPr>
      <w:r>
        <w:rPr>
          <w:rFonts w:ascii="Arial" w:cs="Arial" w:eastAsia="Arial" w:hAnsi="Arial"/>
          <w:sz w:val="18"/>
          <w:szCs w:val="18"/>
          <w:color w:val="auto"/>
        </w:rPr>
        <w:t>As of December 31, 2009 and 2008, no additional reserves were needed as a result of the liability adequacy test. The main assumptions used in estimation of annuities, disability and survivor reserves as of those dates, were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Modality</w:t>
            </w:r>
          </w:p>
        </w:tc>
        <w:tc>
          <w:tcPr>
            <w:tcW w:w="2420" w:type="dxa"/>
            <w:vAlign w:val="bottom"/>
          </w:tcPr>
          <w:p>
            <w:pPr>
              <w:jc w:val="center"/>
              <w:ind w:left="290"/>
              <w:spacing w:after="0"/>
              <w:rPr>
                <w:sz w:val="20"/>
                <w:szCs w:val="20"/>
                <w:color w:val="auto"/>
              </w:rPr>
            </w:pPr>
            <w:r>
              <w:rPr>
                <w:rFonts w:ascii="Arial" w:cs="Arial" w:eastAsia="Arial" w:hAnsi="Arial"/>
                <w:sz w:val="18"/>
                <w:szCs w:val="18"/>
                <w:b w:val="1"/>
                <w:bCs w:val="1"/>
                <w:color w:val="auto"/>
                <w:w w:val="94"/>
              </w:rPr>
              <w:t>Mortality Table</w:t>
            </w:r>
          </w:p>
        </w:tc>
        <w:tc>
          <w:tcPr>
            <w:tcW w:w="4200" w:type="dxa"/>
            <w:vAlign w:val="bottom"/>
          </w:tcPr>
          <w:p>
            <w:pPr>
              <w:jc w:val="center"/>
              <w:ind w:left="430"/>
              <w:spacing w:after="0"/>
              <w:rPr>
                <w:sz w:val="20"/>
                <w:szCs w:val="20"/>
                <w:color w:val="auto"/>
              </w:rPr>
            </w:pPr>
            <w:r>
              <w:rPr>
                <w:rFonts w:ascii="Arial" w:cs="Arial" w:eastAsia="Arial" w:hAnsi="Arial"/>
                <w:sz w:val="18"/>
                <w:szCs w:val="18"/>
                <w:b w:val="1"/>
                <w:bCs w:val="1"/>
                <w:color w:val="auto"/>
                <w:w w:val="88"/>
              </w:rPr>
              <w:t>Technical rates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6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Life Immediate Annuity</w:t>
            </w:r>
          </w:p>
        </w:tc>
        <w:tc>
          <w:tcPr>
            <w:tcW w:w="2420" w:type="dxa"/>
            <w:vAlign w:val="bottom"/>
            <w:shd w:val="clear" w:color="auto" w:fill="CCFFCC"/>
          </w:tcPr>
          <w:p>
            <w:pPr>
              <w:jc w:val="center"/>
              <w:ind w:left="310"/>
              <w:spacing w:after="0"/>
              <w:rPr>
                <w:sz w:val="20"/>
                <w:szCs w:val="20"/>
                <w:color w:val="auto"/>
              </w:rPr>
            </w:pPr>
            <w:r>
              <w:rPr>
                <w:rFonts w:ascii="Arial" w:cs="Arial" w:eastAsia="Arial" w:hAnsi="Arial"/>
                <w:sz w:val="18"/>
                <w:szCs w:val="18"/>
                <w:color w:val="auto"/>
                <w:w w:val="92"/>
              </w:rPr>
              <w:t>RV–2004, B-85 and MI-85</w:t>
            </w:r>
          </w:p>
        </w:tc>
        <w:tc>
          <w:tcPr>
            <w:tcW w:w="4200" w:type="dxa"/>
            <w:vAlign w:val="bottom"/>
            <w:shd w:val="clear" w:color="auto" w:fill="CCFFCC"/>
          </w:tcPr>
          <w:p>
            <w:pPr>
              <w:jc w:val="center"/>
              <w:ind w:left="450"/>
              <w:spacing w:after="0"/>
              <w:rPr>
                <w:sz w:val="20"/>
                <w:szCs w:val="20"/>
                <w:color w:val="auto"/>
              </w:rPr>
            </w:pPr>
            <w:r>
              <w:rPr>
                <w:rFonts w:ascii="Arial" w:cs="Arial" w:eastAsia="Arial" w:hAnsi="Arial"/>
                <w:sz w:val="18"/>
                <w:szCs w:val="18"/>
                <w:color w:val="auto"/>
                <w:w w:val="91"/>
              </w:rPr>
              <w:t>4.90% - 5.22% in US$ and 3.20% in S/</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b w:val="1"/>
                <w:bCs w:val="1"/>
                <w:color w:val="auto"/>
              </w:rPr>
              <w:t>Survorship and Disability Pension</w:t>
            </w:r>
          </w:p>
        </w:tc>
        <w:tc>
          <w:tcPr>
            <w:tcW w:w="2420" w:type="dxa"/>
            <w:vAlign w:val="bottom"/>
          </w:tcPr>
          <w:p>
            <w:pPr>
              <w:jc w:val="center"/>
              <w:ind w:left="290"/>
              <w:spacing w:after="0"/>
              <w:rPr>
                <w:sz w:val="20"/>
                <w:szCs w:val="20"/>
                <w:color w:val="auto"/>
              </w:rPr>
            </w:pPr>
            <w:r>
              <w:rPr>
                <w:rFonts w:ascii="Arial" w:cs="Arial" w:eastAsia="Arial" w:hAnsi="Arial"/>
                <w:sz w:val="18"/>
                <w:szCs w:val="18"/>
                <w:color w:val="auto"/>
                <w:w w:val="92"/>
              </w:rPr>
              <w:t>RV-85, B-85 and MI-85</w:t>
            </w:r>
          </w:p>
        </w:tc>
        <w:tc>
          <w:tcPr>
            <w:tcW w:w="4200" w:type="dxa"/>
            <w:vAlign w:val="bottom"/>
          </w:tcPr>
          <w:p>
            <w:pPr>
              <w:jc w:val="center"/>
              <w:ind w:left="110"/>
              <w:spacing w:after="0"/>
              <w:rPr>
                <w:sz w:val="20"/>
                <w:szCs w:val="20"/>
                <w:color w:val="auto"/>
              </w:rPr>
            </w:pPr>
            <w:r>
              <w:rPr>
                <w:rFonts w:ascii="Arial" w:cs="Arial" w:eastAsia="Arial" w:hAnsi="Arial"/>
                <w:sz w:val="18"/>
                <w:szCs w:val="18"/>
                <w:color w:val="auto"/>
                <w:w w:val="91"/>
              </w:rPr>
              <w:t>Old regime 3.00%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FFCC"/>
          </w:tcPr>
          <w:p>
            <w:pPr>
              <w:spacing w:after="0"/>
              <w:rPr>
                <w:sz w:val="20"/>
                <w:szCs w:val="20"/>
                <w:color w:val="auto"/>
              </w:rPr>
            </w:pPr>
            <w:r>
              <w:rPr>
                <w:rFonts w:ascii="Arial" w:cs="Arial" w:eastAsia="Arial" w:hAnsi="Arial"/>
                <w:sz w:val="18"/>
                <w:szCs w:val="18"/>
                <w:color w:val="auto"/>
              </w:rPr>
              <w:t>Individual Life</w:t>
            </w:r>
          </w:p>
        </w:tc>
        <w:tc>
          <w:tcPr>
            <w:tcW w:w="2420" w:type="dxa"/>
            <w:vAlign w:val="bottom"/>
            <w:shd w:val="clear" w:color="auto" w:fill="CCFFCC"/>
          </w:tcPr>
          <w:p>
            <w:pPr>
              <w:jc w:val="center"/>
              <w:ind w:left="310"/>
              <w:spacing w:after="0"/>
              <w:rPr>
                <w:sz w:val="20"/>
                <w:szCs w:val="20"/>
                <w:color w:val="auto"/>
              </w:rPr>
            </w:pPr>
            <w:r>
              <w:rPr>
                <w:rFonts w:ascii="Arial" w:cs="Arial" w:eastAsia="Arial" w:hAnsi="Arial"/>
                <w:sz w:val="18"/>
                <w:szCs w:val="18"/>
                <w:color w:val="auto"/>
                <w:w w:val="88"/>
              </w:rPr>
              <w:t>CSO 80 adjustable</w:t>
            </w:r>
          </w:p>
        </w:tc>
        <w:tc>
          <w:tcPr>
            <w:tcW w:w="4200" w:type="dxa"/>
            <w:vAlign w:val="bottom"/>
            <w:shd w:val="clear" w:color="auto" w:fill="CCFFCC"/>
          </w:tcPr>
          <w:p>
            <w:pPr>
              <w:jc w:val="right"/>
              <w:ind w:right="1370"/>
              <w:spacing w:after="0"/>
              <w:rPr>
                <w:sz w:val="20"/>
                <w:szCs w:val="20"/>
                <w:color w:val="auto"/>
              </w:rPr>
            </w:pPr>
            <w:r>
              <w:rPr>
                <w:rFonts w:ascii="Arial" w:cs="Arial" w:eastAsia="Arial" w:hAnsi="Arial"/>
                <w:sz w:val="18"/>
                <w:szCs w:val="18"/>
                <w:color w:val="auto"/>
              </w:rPr>
              <w:t>4.00% - 5.00%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200" w:type="dxa"/>
            <w:vAlign w:val="bottom"/>
          </w:tcPr>
          <w:p>
            <w:pPr>
              <w:ind w:left="40"/>
              <w:spacing w:after="0"/>
              <w:rPr>
                <w:sz w:val="20"/>
                <w:szCs w:val="20"/>
                <w:color w:val="auto"/>
              </w:rPr>
            </w:pPr>
            <w:r>
              <w:rPr>
                <w:rFonts w:ascii="Arial" w:cs="Arial" w:eastAsia="Arial" w:hAnsi="Arial"/>
                <w:sz w:val="18"/>
                <w:szCs w:val="18"/>
                <w:color w:val="auto"/>
              </w:rPr>
              <w:t>F-68</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060" w:type="dxa"/>
            <w:vAlign w:val="bottom"/>
            <w:tcBorders>
              <w:bottom w:val="single" w:sz="8" w:color="808080"/>
            </w:tcBorders>
          </w:tcPr>
          <w:p>
            <w:pPr>
              <w:spacing w:after="0"/>
              <w:rPr>
                <w:sz w:val="10"/>
                <w:szCs w:val="10"/>
                <w:color w:val="auto"/>
              </w:rPr>
            </w:pPr>
          </w:p>
        </w:tc>
        <w:tc>
          <w:tcPr>
            <w:tcW w:w="2420" w:type="dxa"/>
            <w:vAlign w:val="bottom"/>
            <w:tcBorders>
              <w:bottom w:val="single" w:sz="8" w:color="808080"/>
            </w:tcBorders>
          </w:tcPr>
          <w:p>
            <w:pPr>
              <w:spacing w:after="0"/>
              <w:rPr>
                <w:sz w:val="10"/>
                <w:szCs w:val="10"/>
                <w:color w:val="auto"/>
              </w:rPr>
            </w:pPr>
          </w:p>
        </w:tc>
        <w:tc>
          <w:tcPr>
            <w:tcW w:w="42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3" w:lineRule="exact"/>
        <w:rPr>
          <w:sz w:val="20"/>
          <w:szCs w:val="20"/>
          <w:color w:val="auto"/>
        </w:rPr>
      </w:pPr>
    </w:p>
    <w:p>
      <w:pPr>
        <w:ind w:left="1140"/>
        <w:spacing w:after="0"/>
        <w:rPr>
          <w:sz w:val="20"/>
          <w:szCs w:val="20"/>
          <w:color w:val="auto"/>
        </w:rPr>
      </w:pPr>
      <w:r>
        <w:rPr>
          <w:rFonts w:ascii="Arial" w:cs="Arial" w:eastAsia="Arial" w:hAnsi="Arial"/>
          <w:sz w:val="22"/>
          <w:szCs w:val="22"/>
          <w:color w:val="auto"/>
        </w:rPr>
        <w:t>The mortality tables used are those recommended by the Peruvian regulator (SBS).</w:t>
      </w:r>
    </w:p>
    <w:p>
      <w:pPr>
        <w:spacing w:after="0" w:line="240" w:lineRule="exact"/>
        <w:rPr>
          <w:sz w:val="20"/>
          <w:szCs w:val="20"/>
          <w:color w:val="auto"/>
        </w:rPr>
      </w:pPr>
    </w:p>
    <w:p>
      <w:pPr>
        <w:ind w:left="1140" w:right="140"/>
        <w:spacing w:after="0" w:line="259" w:lineRule="auto"/>
        <w:rPr>
          <w:sz w:val="20"/>
          <w:szCs w:val="20"/>
          <w:color w:val="auto"/>
        </w:rPr>
      </w:pPr>
      <w:r>
        <w:rPr>
          <w:rFonts w:ascii="Arial" w:cs="Arial" w:eastAsia="Arial" w:hAnsi="Arial"/>
          <w:sz w:val="18"/>
          <w:szCs w:val="18"/>
          <w:color w:val="auto"/>
        </w:rPr>
        <w:t>The sensitivity of the estimates used by the Group to measure its insurance risks is represented primarily by the life insurance risks; the main variables as of December 31, 2009, are the interest rates and the mortality tables used. The Group has evaluated the changes of the reserves related to its most significant life insurance (Life immediate annuities) of +/- 100 bps of the interest rates and of +/- 5 bps of the mortality factors, being the results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0" w:type="dxa"/>
            <w:vAlign w:val="bottom"/>
            <w:gridSpan w:val="3"/>
          </w:tcPr>
          <w:p>
            <w:pPr>
              <w:ind w:left="160"/>
              <w:spacing w:after="0"/>
              <w:rPr>
                <w:sz w:val="20"/>
                <w:szCs w:val="20"/>
                <w:color w:val="auto"/>
              </w:rPr>
            </w:pPr>
            <w:r>
              <w:rPr>
                <w:rFonts w:ascii="Arial" w:cs="Arial" w:eastAsia="Arial" w:hAnsi="Arial"/>
                <w:sz w:val="18"/>
                <w:szCs w:val="18"/>
                <w:b w:val="1"/>
                <w:bCs w:val="1"/>
                <w:color w:val="auto"/>
              </w:rPr>
              <w:t>Variation of the reserve</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400" w:type="dxa"/>
            <w:vAlign w:val="bottom"/>
          </w:tcPr>
          <w:p>
            <w:pPr>
              <w:jc w:val="center"/>
              <w:ind w:left="1830"/>
              <w:spacing w:after="0" w:line="198" w:lineRule="exact"/>
              <w:rPr>
                <w:sz w:val="20"/>
                <w:szCs w:val="20"/>
                <w:color w:val="auto"/>
              </w:rPr>
            </w:pPr>
            <w:r>
              <w:rPr>
                <w:rFonts w:ascii="Arial" w:cs="Arial" w:eastAsia="Arial" w:hAnsi="Arial"/>
                <w:sz w:val="18"/>
                <w:szCs w:val="18"/>
                <w:b w:val="1"/>
                <w:bCs w:val="1"/>
                <w:color w:val="auto"/>
                <w:w w:val="91"/>
              </w:rPr>
              <w:t>Amount of the</w:t>
            </w:r>
          </w:p>
        </w:tc>
        <w:tc>
          <w:tcPr>
            <w:tcW w:w="1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Variables</w:t>
            </w:r>
          </w:p>
        </w:tc>
        <w:tc>
          <w:tcPr>
            <w:tcW w:w="3400" w:type="dxa"/>
            <w:vAlign w:val="bottom"/>
          </w:tcPr>
          <w:p>
            <w:pPr>
              <w:jc w:val="center"/>
              <w:ind w:left="1830"/>
              <w:spacing w:after="0"/>
              <w:rPr>
                <w:sz w:val="20"/>
                <w:szCs w:val="20"/>
                <w:color w:val="auto"/>
              </w:rPr>
            </w:pPr>
            <w:r>
              <w:rPr>
                <w:rFonts w:ascii="Arial" w:cs="Arial" w:eastAsia="Arial" w:hAnsi="Arial"/>
                <w:sz w:val="18"/>
                <w:szCs w:val="18"/>
                <w:b w:val="1"/>
                <w:bCs w:val="1"/>
                <w:color w:val="auto"/>
                <w:w w:val="87"/>
              </w:rPr>
              <w:t>reserve</w:t>
            </w: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Percentage</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400" w:type="dxa"/>
            <w:vAlign w:val="bottom"/>
          </w:tcPr>
          <w:p>
            <w:pPr>
              <w:jc w:val="center"/>
              <w:ind w:left="1830"/>
              <w:spacing w:after="0"/>
              <w:rPr>
                <w:sz w:val="20"/>
                <w:szCs w:val="20"/>
                <w:color w:val="auto"/>
              </w:rPr>
            </w:pPr>
            <w:r>
              <w:rPr>
                <w:rFonts w:ascii="Arial" w:cs="Arial" w:eastAsia="Arial" w:hAnsi="Arial"/>
                <w:sz w:val="18"/>
                <w:szCs w:val="18"/>
                <w:color w:val="auto"/>
                <w:w w:val="93"/>
              </w:rPr>
              <w:t>US$(000)</w:t>
            </w: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US$(000)</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US$ - Basis amount</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340,580</w:t>
            </w:r>
          </w:p>
        </w:tc>
        <w:tc>
          <w:tcPr>
            <w:tcW w:w="1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3400" w:type="dxa"/>
            <w:vAlign w:val="bottom"/>
          </w:tcPr>
          <w:p>
            <w:pPr>
              <w:jc w:val="right"/>
              <w:ind w:right="90"/>
              <w:spacing w:after="0"/>
              <w:rPr>
                <w:sz w:val="20"/>
                <w:szCs w:val="20"/>
                <w:color w:val="auto"/>
              </w:rPr>
            </w:pPr>
            <w:r>
              <w:rPr>
                <w:rFonts w:ascii="Arial" w:cs="Arial" w:eastAsia="Arial" w:hAnsi="Arial"/>
                <w:sz w:val="18"/>
                <w:szCs w:val="18"/>
                <w:color w:val="auto"/>
              </w:rPr>
              <w:t>310,604</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(29,976)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(8.80)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376,083</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35,503</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3400" w:type="dxa"/>
            <w:vAlign w:val="bottom"/>
          </w:tcPr>
          <w:p>
            <w:pPr>
              <w:jc w:val="right"/>
              <w:ind w:right="90"/>
              <w:spacing w:after="0"/>
              <w:rPr>
                <w:sz w:val="20"/>
                <w:szCs w:val="20"/>
                <w:color w:val="auto"/>
              </w:rPr>
            </w:pPr>
            <w:r>
              <w:rPr>
                <w:rFonts w:ascii="Arial" w:cs="Arial" w:eastAsia="Arial" w:hAnsi="Arial"/>
                <w:sz w:val="18"/>
                <w:szCs w:val="18"/>
                <w:color w:val="auto"/>
              </w:rPr>
              <w:t>336,740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(3,840)</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344,631</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4,051</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200" w:type="dxa"/>
            <w:vAlign w:val="bottom"/>
            <w:gridSpan w:val="3"/>
          </w:tcPr>
          <w:p>
            <w:pPr>
              <w:ind w:left="160"/>
              <w:spacing w:after="0"/>
              <w:rPr>
                <w:sz w:val="20"/>
                <w:szCs w:val="20"/>
                <w:color w:val="auto"/>
              </w:rPr>
            </w:pPr>
            <w:r>
              <w:rPr>
                <w:rFonts w:ascii="Arial" w:cs="Arial" w:eastAsia="Arial" w:hAnsi="Arial"/>
                <w:sz w:val="18"/>
                <w:szCs w:val="18"/>
                <w:b w:val="1"/>
                <w:bCs w:val="1"/>
                <w:color w:val="auto"/>
              </w:rPr>
              <w:t>Variation of the reserve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400" w:type="dxa"/>
            <w:vAlign w:val="bottom"/>
          </w:tcPr>
          <w:p>
            <w:pPr>
              <w:jc w:val="center"/>
              <w:ind w:left="1830"/>
              <w:spacing w:after="0" w:line="198" w:lineRule="exact"/>
              <w:rPr>
                <w:sz w:val="20"/>
                <w:szCs w:val="20"/>
                <w:color w:val="auto"/>
              </w:rPr>
            </w:pPr>
            <w:r>
              <w:rPr>
                <w:rFonts w:ascii="Arial" w:cs="Arial" w:eastAsia="Arial" w:hAnsi="Arial"/>
                <w:sz w:val="18"/>
                <w:szCs w:val="18"/>
                <w:b w:val="1"/>
                <w:bCs w:val="1"/>
                <w:color w:val="auto"/>
                <w:w w:val="93"/>
              </w:rPr>
              <w:t>Amount of</w:t>
            </w:r>
          </w:p>
        </w:tc>
        <w:tc>
          <w:tcPr>
            <w:tcW w:w="1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400" w:type="dxa"/>
            <w:vAlign w:val="bottom"/>
          </w:tcPr>
          <w:p>
            <w:pPr>
              <w:jc w:val="center"/>
              <w:ind w:left="1830"/>
              <w:spacing w:after="0"/>
              <w:rPr>
                <w:sz w:val="20"/>
                <w:szCs w:val="20"/>
                <w:color w:val="auto"/>
              </w:rPr>
            </w:pPr>
            <w:r>
              <w:rPr>
                <w:rFonts w:ascii="Arial" w:cs="Arial" w:eastAsia="Arial" w:hAnsi="Arial"/>
                <w:sz w:val="18"/>
                <w:szCs w:val="18"/>
                <w:b w:val="1"/>
                <w:bCs w:val="1"/>
                <w:color w:val="auto"/>
                <w:w w:val="88"/>
              </w:rPr>
              <w:t>the</w:t>
            </w: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Variables</w:t>
            </w:r>
          </w:p>
        </w:tc>
        <w:tc>
          <w:tcPr>
            <w:tcW w:w="3400" w:type="dxa"/>
            <w:vAlign w:val="bottom"/>
          </w:tcPr>
          <w:p>
            <w:pPr>
              <w:jc w:val="center"/>
              <w:ind w:left="1830"/>
              <w:spacing w:after="0"/>
              <w:rPr>
                <w:sz w:val="20"/>
                <w:szCs w:val="20"/>
                <w:color w:val="auto"/>
              </w:rPr>
            </w:pPr>
            <w:r>
              <w:rPr>
                <w:rFonts w:ascii="Arial" w:cs="Arial" w:eastAsia="Arial" w:hAnsi="Arial"/>
                <w:sz w:val="18"/>
                <w:szCs w:val="18"/>
                <w:b w:val="1"/>
                <w:bCs w:val="1"/>
                <w:color w:val="auto"/>
                <w:w w:val="87"/>
              </w:rPr>
              <w:t>reserve</w:t>
            </w: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Amount</w:t>
            </w:r>
          </w:p>
        </w:tc>
        <w:tc>
          <w:tcPr>
            <w:tcW w:w="108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Percentage</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400" w:type="dxa"/>
            <w:vAlign w:val="bottom"/>
          </w:tcPr>
          <w:p>
            <w:pPr>
              <w:jc w:val="center"/>
              <w:ind w:left="1830"/>
              <w:spacing w:after="0"/>
              <w:rPr>
                <w:sz w:val="20"/>
                <w:szCs w:val="20"/>
                <w:color w:val="auto"/>
              </w:rPr>
            </w:pPr>
            <w:r>
              <w:rPr>
                <w:rFonts w:ascii="Arial" w:cs="Arial" w:eastAsia="Arial" w:hAnsi="Arial"/>
                <w:sz w:val="18"/>
                <w:szCs w:val="18"/>
                <w:color w:val="auto"/>
                <w:w w:val="92"/>
              </w:rPr>
              <w:t>US$ (000)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US$ (000)</w:t>
            </w:r>
          </w:p>
        </w:tc>
        <w:tc>
          <w:tcPr>
            <w:tcW w:w="1000" w:type="dxa"/>
            <w:vAlign w:val="bottom"/>
          </w:tcPr>
          <w:p>
            <w:pPr>
              <w:jc w:val="center"/>
              <w:spacing w:after="0"/>
              <w:rPr>
                <w:sz w:val="20"/>
                <w:szCs w:val="20"/>
                <w:color w:val="auto"/>
              </w:rPr>
            </w:pPr>
            <w:r>
              <w:rPr>
                <w:rFonts w:ascii="Arial" w:cs="Arial" w:eastAsia="Arial" w:hAnsi="Arial"/>
                <w:sz w:val="18"/>
                <w:szCs w:val="18"/>
                <w:color w:val="auto"/>
                <w:w w:val="87"/>
              </w:rPr>
              <w:t>%</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S/ - Basis amount</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b w:val="1"/>
                <w:bCs w:val="1"/>
                <w:color w:val="auto"/>
              </w:rPr>
              <w:t>24,386</w:t>
            </w:r>
          </w:p>
        </w:tc>
        <w:tc>
          <w:tcPr>
            <w:tcW w:w="1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3400" w:type="dxa"/>
            <w:vAlign w:val="bottom"/>
          </w:tcPr>
          <w:p>
            <w:pPr>
              <w:jc w:val="right"/>
              <w:ind w:right="90"/>
              <w:spacing w:after="0"/>
              <w:rPr>
                <w:sz w:val="20"/>
                <w:szCs w:val="20"/>
                <w:color w:val="auto"/>
              </w:rPr>
            </w:pPr>
            <w:r>
              <w:rPr>
                <w:rFonts w:ascii="Arial" w:cs="Arial" w:eastAsia="Arial" w:hAnsi="Arial"/>
                <w:sz w:val="18"/>
                <w:szCs w:val="18"/>
                <w:color w:val="auto"/>
              </w:rPr>
              <w:t>21,700</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(2,686)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(11.01)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27,728</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3,342</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13.70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3400" w:type="dxa"/>
            <w:vAlign w:val="bottom"/>
          </w:tcPr>
          <w:p>
            <w:pPr>
              <w:jc w:val="right"/>
              <w:ind w:right="90"/>
              <w:spacing w:after="0"/>
              <w:rPr>
                <w:sz w:val="20"/>
                <w:szCs w:val="20"/>
                <w:color w:val="auto"/>
              </w:rPr>
            </w:pPr>
            <w:r>
              <w:rPr>
                <w:rFonts w:ascii="Arial" w:cs="Arial" w:eastAsia="Arial" w:hAnsi="Arial"/>
                <w:sz w:val="18"/>
                <w:szCs w:val="18"/>
                <w:color w:val="auto"/>
              </w:rPr>
              <w:t>24,205</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340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24,577</w:t>
            </w:r>
          </w:p>
        </w:tc>
        <w:tc>
          <w:tcPr>
            <w:tcW w:w="112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191</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00" w:type="dxa"/>
            <w:vAlign w:val="bottom"/>
          </w:tcPr>
          <w:p>
            <w:pPr>
              <w:jc w:val="right"/>
              <w:ind w:right="1530"/>
              <w:spacing w:after="0"/>
              <w:rPr>
                <w:sz w:val="20"/>
                <w:szCs w:val="20"/>
                <w:color w:val="auto"/>
              </w:rPr>
            </w:pPr>
            <w:r>
              <w:rPr>
                <w:rFonts w:ascii="Arial" w:cs="Arial" w:eastAsia="Arial" w:hAnsi="Arial"/>
                <w:sz w:val="18"/>
                <w:szCs w:val="18"/>
                <w:color w:val="auto"/>
              </w:rPr>
              <w:t>F-69</w:t>
            </w: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15.</w:t>
            </w:r>
          </w:p>
        </w:tc>
        <w:tc>
          <w:tcPr>
            <w:tcW w:w="3280" w:type="dxa"/>
            <w:vAlign w:val="bottom"/>
            <w:gridSpan w:val="3"/>
          </w:tcPr>
          <w:p>
            <w:pPr>
              <w:jc w:val="right"/>
              <w:ind w:right="210"/>
              <w:spacing w:after="0"/>
              <w:rPr>
                <w:sz w:val="20"/>
                <w:szCs w:val="20"/>
                <w:color w:val="auto"/>
              </w:rPr>
            </w:pPr>
            <w:r>
              <w:rPr>
                <w:rFonts w:ascii="Arial" w:cs="Arial" w:eastAsia="Arial" w:hAnsi="Arial"/>
                <w:sz w:val="18"/>
                <w:szCs w:val="18"/>
                <w:b w:val="1"/>
                <w:bCs w:val="1"/>
                <w:color w:val="auto"/>
                <w:w w:val="90"/>
              </w:rPr>
              <w:t>Bonds and subordinated notes issued</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ind w:left="140"/>
              <w:spacing w:after="0"/>
              <w:rPr>
                <w:sz w:val="20"/>
                <w:szCs w:val="20"/>
                <w:color w:val="auto"/>
              </w:rPr>
            </w:pPr>
            <w:r>
              <w:rPr>
                <w:rFonts w:ascii="Arial" w:cs="Arial" w:eastAsia="Arial" w:hAnsi="Arial"/>
                <w:sz w:val="18"/>
                <w:szCs w:val="18"/>
                <w:color w:val="auto"/>
              </w:rPr>
              <w:t>(a)</w:t>
            </w:r>
          </w:p>
        </w:tc>
        <w:tc>
          <w:tcPr>
            <w:tcW w:w="2780" w:type="dxa"/>
            <w:vAlign w:val="bottom"/>
            <w:gridSpan w:val="2"/>
          </w:tcPr>
          <w:p>
            <w:pPr>
              <w:jc w:val="right"/>
              <w:ind w:right="210"/>
              <w:spacing w:after="0"/>
              <w:rPr>
                <w:sz w:val="20"/>
                <w:szCs w:val="20"/>
                <w:color w:val="auto"/>
              </w:rPr>
            </w:pPr>
            <w:r>
              <w:rPr>
                <w:rFonts w:ascii="Arial" w:cs="Arial" w:eastAsia="Arial" w:hAnsi="Arial"/>
                <w:sz w:val="18"/>
                <w:szCs w:val="18"/>
                <w:color w:val="auto"/>
                <w:w w:val="96"/>
              </w:rPr>
              <w:t>This item is made up as follows:</w:t>
            </w:r>
          </w:p>
        </w:tc>
        <w:tc>
          <w:tcPr>
            <w:tcW w:w="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w w:val="98"/>
              </w:rPr>
              <w:t>Weighted</w:t>
            </w:r>
          </w:p>
        </w:tc>
        <w:tc>
          <w:tcPr>
            <w:tcW w:w="8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54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w w:val="97"/>
              </w:rPr>
              <w:t>average annual interest rate</w:t>
            </w:r>
          </w:p>
        </w:tc>
        <w:tc>
          <w:tcPr>
            <w:tcW w:w="3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2009</w:t>
            </w:r>
          </w:p>
        </w:tc>
        <w:tc>
          <w:tcPr>
            <w:tcW w:w="900" w:type="dxa"/>
            <w:vAlign w:val="bottom"/>
          </w:tcPr>
          <w:p>
            <w:pPr>
              <w:spacing w:after="0"/>
              <w:rPr>
                <w:sz w:val="17"/>
                <w:szCs w:val="17"/>
                <w:color w:val="auto"/>
              </w:rPr>
            </w:pPr>
          </w:p>
        </w:tc>
        <w:tc>
          <w:tcPr>
            <w:tcW w:w="840" w:type="dxa"/>
            <w:vAlign w:val="bottom"/>
          </w:tcPr>
          <w:p>
            <w:pPr>
              <w:jc w:val="right"/>
              <w:ind w:right="310"/>
              <w:spacing w:after="0" w:line="201" w:lineRule="exact"/>
              <w:rPr>
                <w:sz w:val="20"/>
                <w:szCs w:val="20"/>
                <w:color w:val="auto"/>
              </w:rPr>
            </w:pPr>
            <w:r>
              <w:rPr>
                <w:rFonts w:ascii="Arial" w:cs="Arial" w:eastAsia="Arial" w:hAnsi="Arial"/>
                <w:sz w:val="18"/>
                <w:szCs w:val="18"/>
                <w:b w:val="1"/>
                <w:bCs w:val="1"/>
                <w:color w:val="auto"/>
              </w:rPr>
              <w:t>2008</w:t>
            </w:r>
          </w:p>
        </w:tc>
        <w:tc>
          <w:tcPr>
            <w:tcW w:w="3280" w:type="dxa"/>
            <w:vAlign w:val="bottom"/>
          </w:tcPr>
          <w:p>
            <w:pPr>
              <w:ind w:left="1280"/>
              <w:spacing w:after="0" w:line="201" w:lineRule="exact"/>
              <w:rPr>
                <w:sz w:val="20"/>
                <w:szCs w:val="20"/>
                <w:color w:val="auto"/>
              </w:rPr>
            </w:pPr>
            <w:r>
              <w:rPr>
                <w:rFonts w:ascii="Arial" w:cs="Arial" w:eastAsia="Arial" w:hAnsi="Arial"/>
                <w:sz w:val="18"/>
                <w:szCs w:val="18"/>
                <w:b w:val="1"/>
                <w:bCs w:val="1"/>
                <w:color w:val="auto"/>
              </w:rPr>
              <w:t>Maturity</w:t>
            </w:r>
          </w:p>
        </w:tc>
        <w:tc>
          <w:tcPr>
            <w:tcW w:w="1140" w:type="dxa"/>
            <w:vAlign w:val="bottom"/>
          </w:tcPr>
          <w:p>
            <w:pPr>
              <w:jc w:val="right"/>
              <w:ind w:right="290"/>
              <w:spacing w:after="0" w:line="201" w:lineRule="exact"/>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7"/>
                <w:szCs w:val="17"/>
                <w:color w:val="auto"/>
              </w:rPr>
            </w:pPr>
          </w:p>
        </w:tc>
        <w:tc>
          <w:tcPr>
            <w:tcW w:w="1140" w:type="dxa"/>
            <w:vAlign w:val="bottom"/>
          </w:tcPr>
          <w:p>
            <w:pPr>
              <w:jc w:val="right"/>
              <w:ind w:right="310"/>
              <w:spacing w:after="0" w:line="201" w:lineRule="exact"/>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0"/>
                <w:szCs w:val="20"/>
                <w:color w:val="auto"/>
              </w:rPr>
            </w:pPr>
          </w:p>
        </w:tc>
        <w:tc>
          <w:tcPr>
            <w:tcW w:w="8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328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gridSpan w:val="3"/>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Corporate bonds (i)</w:t>
            </w:r>
          </w:p>
        </w:tc>
        <w:tc>
          <w:tcPr>
            <w:tcW w:w="90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96"/>
              </w:rPr>
              <w:t>6.04</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6.91</w:t>
            </w:r>
          </w:p>
        </w:tc>
        <w:tc>
          <w:tcPr>
            <w:tcW w:w="3280" w:type="dxa"/>
            <w:vAlign w:val="bottom"/>
            <w:shd w:val="clear" w:color="auto" w:fill="CCFFCC"/>
          </w:tcPr>
          <w:p>
            <w:pPr>
              <w:ind w:left="100"/>
              <w:spacing w:after="0"/>
              <w:rPr>
                <w:sz w:val="20"/>
                <w:szCs w:val="20"/>
                <w:color w:val="auto"/>
              </w:rPr>
            </w:pPr>
            <w:r>
              <w:rPr>
                <w:rFonts w:ascii="Arial" w:cs="Arial" w:eastAsia="Arial" w:hAnsi="Arial"/>
                <w:sz w:val="18"/>
                <w:szCs w:val="18"/>
                <w:color w:val="auto"/>
                <w:w w:val="97"/>
              </w:rPr>
              <w:t>Between September 2010 and July 2018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440,092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Leasing bonds (i)</w:t>
            </w:r>
          </w:p>
        </w:tc>
        <w:tc>
          <w:tcPr>
            <w:tcW w:w="900" w:type="dxa"/>
            <w:vAlign w:val="bottom"/>
          </w:tcPr>
          <w:p>
            <w:pPr>
              <w:jc w:val="right"/>
              <w:ind w:right="450"/>
              <w:spacing w:after="0"/>
              <w:rPr>
                <w:sz w:val="20"/>
                <w:szCs w:val="20"/>
                <w:color w:val="auto"/>
              </w:rPr>
            </w:pPr>
            <w:r>
              <w:rPr>
                <w:rFonts w:ascii="Arial" w:cs="Arial" w:eastAsia="Arial" w:hAnsi="Arial"/>
                <w:sz w:val="18"/>
                <w:szCs w:val="18"/>
                <w:color w:val="auto"/>
                <w:w w:val="96"/>
              </w:rPr>
              <w:t>7.11</w:t>
            </w:r>
          </w:p>
        </w:tc>
        <w:tc>
          <w:tcPr>
            <w:tcW w:w="840" w:type="dxa"/>
            <w:vAlign w:val="bottom"/>
          </w:tcPr>
          <w:p>
            <w:pPr>
              <w:jc w:val="right"/>
              <w:spacing w:after="0"/>
              <w:rPr>
                <w:sz w:val="20"/>
                <w:szCs w:val="20"/>
                <w:color w:val="auto"/>
              </w:rPr>
            </w:pPr>
            <w:r>
              <w:rPr>
                <w:rFonts w:ascii="Arial" w:cs="Arial" w:eastAsia="Arial" w:hAnsi="Arial"/>
                <w:sz w:val="18"/>
                <w:szCs w:val="18"/>
                <w:color w:val="auto"/>
              </w:rPr>
              <w:t>6.87</w:t>
            </w:r>
          </w:p>
        </w:tc>
        <w:tc>
          <w:tcPr>
            <w:tcW w:w="3280" w:type="dxa"/>
            <w:vAlign w:val="bottom"/>
          </w:tcPr>
          <w:p>
            <w:pPr>
              <w:ind w:left="100"/>
              <w:spacing w:after="0"/>
              <w:rPr>
                <w:sz w:val="20"/>
                <w:szCs w:val="20"/>
                <w:color w:val="auto"/>
              </w:rPr>
            </w:pPr>
            <w:r>
              <w:rPr>
                <w:rFonts w:ascii="Arial" w:cs="Arial" w:eastAsia="Arial" w:hAnsi="Arial"/>
                <w:sz w:val="18"/>
                <w:szCs w:val="18"/>
                <w:color w:val="auto"/>
                <w:w w:val="94"/>
              </w:rPr>
              <w:t>Between February 2010 and August 2018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188,265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217,863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Subordinated bonds (i)</w:t>
            </w:r>
          </w:p>
        </w:tc>
        <w:tc>
          <w:tcPr>
            <w:tcW w:w="90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96"/>
              </w:rPr>
              <w:t>7.35</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6.71</w:t>
            </w:r>
          </w:p>
        </w:tc>
        <w:tc>
          <w:tcPr>
            <w:tcW w:w="32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Between October 2010 and May 2027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113,281</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Mortgage bonds</w:t>
            </w:r>
          </w:p>
        </w:tc>
        <w:tc>
          <w:tcPr>
            <w:tcW w:w="900" w:type="dxa"/>
            <w:vAlign w:val="bottom"/>
          </w:tcPr>
          <w:p>
            <w:pPr>
              <w:jc w:val="right"/>
              <w:ind w:right="450"/>
              <w:spacing w:after="0"/>
              <w:rPr>
                <w:sz w:val="20"/>
                <w:szCs w:val="20"/>
                <w:color w:val="auto"/>
              </w:rPr>
            </w:pPr>
            <w:r>
              <w:rPr>
                <w:rFonts w:ascii="Arial" w:cs="Arial" w:eastAsia="Arial" w:hAnsi="Arial"/>
                <w:sz w:val="18"/>
                <w:szCs w:val="18"/>
                <w:color w:val="auto"/>
                <w:w w:val="96"/>
              </w:rPr>
              <w:t>7.67</w:t>
            </w:r>
          </w:p>
        </w:tc>
        <w:tc>
          <w:tcPr>
            <w:tcW w:w="840" w:type="dxa"/>
            <w:vAlign w:val="bottom"/>
          </w:tcPr>
          <w:p>
            <w:pPr>
              <w:jc w:val="right"/>
              <w:spacing w:after="0"/>
              <w:rPr>
                <w:sz w:val="20"/>
                <w:szCs w:val="20"/>
                <w:color w:val="auto"/>
              </w:rPr>
            </w:pPr>
            <w:r>
              <w:rPr>
                <w:rFonts w:ascii="Arial" w:cs="Arial" w:eastAsia="Arial" w:hAnsi="Arial"/>
                <w:sz w:val="18"/>
                <w:szCs w:val="18"/>
                <w:color w:val="auto"/>
              </w:rPr>
              <w:t>7.69</w:t>
            </w:r>
          </w:p>
        </w:tc>
        <w:tc>
          <w:tcPr>
            <w:tcW w:w="3280" w:type="dxa"/>
            <w:vAlign w:val="bottom"/>
          </w:tcPr>
          <w:p>
            <w:pPr>
              <w:ind w:left="100"/>
              <w:spacing w:after="0"/>
              <w:rPr>
                <w:sz w:val="20"/>
                <w:szCs w:val="20"/>
                <w:color w:val="auto"/>
              </w:rPr>
            </w:pPr>
            <w:r>
              <w:rPr>
                <w:rFonts w:ascii="Arial" w:cs="Arial" w:eastAsia="Arial" w:hAnsi="Arial"/>
                <w:sz w:val="18"/>
                <w:szCs w:val="18"/>
                <w:color w:val="auto"/>
              </w:rPr>
              <w:t>Between January 2011 and April 2012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10,504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15,278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780" w:type="dxa"/>
            <w:vAlign w:val="bottom"/>
            <w:gridSpan w:val="4"/>
            <w:shd w:val="clear" w:color="auto" w:fill="CCFFCC"/>
          </w:tcPr>
          <w:p>
            <w:pPr>
              <w:spacing w:after="0" w:line="201" w:lineRule="exact"/>
              <w:rPr>
                <w:sz w:val="20"/>
                <w:szCs w:val="20"/>
                <w:color w:val="auto"/>
              </w:rPr>
            </w:pPr>
            <w:r>
              <w:rPr>
                <w:rFonts w:ascii="Arial" w:cs="Arial" w:eastAsia="Arial" w:hAnsi="Arial"/>
                <w:sz w:val="18"/>
                <w:szCs w:val="18"/>
                <w:color w:val="auto"/>
              </w:rPr>
              <w:t>Subordinated negotiable certificates</w:t>
            </w:r>
          </w:p>
        </w:tc>
        <w:tc>
          <w:tcPr>
            <w:tcW w:w="900" w:type="dxa"/>
            <w:vAlign w:val="bottom"/>
            <w:shd w:val="clear" w:color="auto" w:fill="CCFFCC"/>
          </w:tcPr>
          <w:p>
            <w:pPr>
              <w:jc w:val="right"/>
              <w:ind w:right="450"/>
              <w:spacing w:after="0" w:line="201" w:lineRule="exact"/>
              <w:rPr>
                <w:sz w:val="20"/>
                <w:szCs w:val="20"/>
                <w:color w:val="auto"/>
              </w:rPr>
            </w:pPr>
            <w:r>
              <w:rPr>
                <w:rFonts w:ascii="Arial" w:cs="Arial" w:eastAsia="Arial" w:hAnsi="Arial"/>
                <w:sz w:val="18"/>
                <w:szCs w:val="18"/>
                <w:color w:val="auto"/>
                <w:w w:val="96"/>
              </w:rPr>
              <w:t>6.95</w:t>
            </w:r>
          </w:p>
        </w:tc>
        <w:tc>
          <w:tcPr>
            <w:tcW w:w="840" w:type="dxa"/>
            <w:vAlign w:val="bottom"/>
            <w:shd w:val="clear" w:color="auto" w:fill="CCFFCC"/>
          </w:tcPr>
          <w:p>
            <w:pPr>
              <w:jc w:val="right"/>
              <w:spacing w:after="0" w:line="201" w:lineRule="exact"/>
              <w:rPr>
                <w:sz w:val="20"/>
                <w:szCs w:val="20"/>
                <w:color w:val="auto"/>
              </w:rPr>
            </w:pPr>
            <w:r>
              <w:rPr>
                <w:rFonts w:ascii="Arial" w:cs="Arial" w:eastAsia="Arial" w:hAnsi="Arial"/>
                <w:sz w:val="18"/>
                <w:szCs w:val="18"/>
                <w:color w:val="auto"/>
              </w:rPr>
              <w:t>6.95</w:t>
            </w:r>
          </w:p>
        </w:tc>
        <w:tc>
          <w:tcPr>
            <w:tcW w:w="3280" w:type="dxa"/>
            <w:vAlign w:val="bottom"/>
            <w:shd w:val="clear" w:color="auto" w:fill="CCFFCC"/>
          </w:tcPr>
          <w:p>
            <w:pPr>
              <w:ind w:left="100"/>
              <w:spacing w:after="0" w:line="201" w:lineRule="exact"/>
              <w:rPr>
                <w:sz w:val="20"/>
                <w:szCs w:val="20"/>
                <w:color w:val="auto"/>
              </w:rPr>
            </w:pPr>
            <w:r>
              <w:rPr>
                <w:rFonts w:ascii="Arial" w:cs="Arial" w:eastAsia="Arial" w:hAnsi="Arial"/>
                <w:sz w:val="18"/>
                <w:szCs w:val="18"/>
                <w:color w:val="auto"/>
              </w:rPr>
              <w:t>November 2021</w:t>
            </w: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notes (ii)</w:t>
            </w:r>
          </w:p>
        </w:tc>
        <w:tc>
          <w:tcPr>
            <w:tcW w:w="1980" w:type="dxa"/>
            <w:vAlign w:val="bottom"/>
            <w:shd w:val="clear" w:color="auto" w:fill="CCFFCC"/>
          </w:tcPr>
          <w:p>
            <w:pPr>
              <w:spacing w:after="0"/>
              <w:rPr>
                <w:sz w:val="20"/>
                <w:szCs w:val="20"/>
                <w:color w:val="auto"/>
              </w:rPr>
            </w:pPr>
          </w:p>
        </w:tc>
        <w:tc>
          <w:tcPr>
            <w:tcW w:w="80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328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117,560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tcPr>
          <w:p>
            <w:pPr>
              <w:spacing w:after="0"/>
              <w:rPr>
                <w:sz w:val="20"/>
                <w:szCs w:val="20"/>
                <w:color w:val="auto"/>
              </w:rPr>
            </w:pPr>
            <w:r>
              <w:rPr>
                <w:rFonts w:ascii="Arial" w:cs="Arial" w:eastAsia="Arial" w:hAnsi="Arial"/>
                <w:sz w:val="18"/>
                <w:szCs w:val="18"/>
                <w:color w:val="auto"/>
              </w:rPr>
              <w:t>Subordinated notes (iii)</w:t>
            </w:r>
          </w:p>
        </w:tc>
        <w:tc>
          <w:tcPr>
            <w:tcW w:w="900" w:type="dxa"/>
            <w:vAlign w:val="bottom"/>
          </w:tcPr>
          <w:p>
            <w:pPr>
              <w:jc w:val="right"/>
              <w:ind w:right="450"/>
              <w:spacing w:after="0"/>
              <w:rPr>
                <w:sz w:val="20"/>
                <w:szCs w:val="20"/>
                <w:color w:val="auto"/>
              </w:rPr>
            </w:pPr>
            <w:r>
              <w:rPr>
                <w:rFonts w:ascii="Arial" w:cs="Arial" w:eastAsia="Arial" w:hAnsi="Arial"/>
                <w:sz w:val="18"/>
                <w:szCs w:val="18"/>
                <w:color w:val="auto"/>
                <w:w w:val="96"/>
              </w:rPr>
              <w:t>7.17</w:t>
            </w:r>
          </w:p>
        </w:tc>
        <w:tc>
          <w:tcPr>
            <w:tcW w:w="840" w:type="dxa"/>
            <w:vAlign w:val="bottom"/>
          </w:tcPr>
          <w:p>
            <w:pPr>
              <w:jc w:val="right"/>
              <w:spacing w:after="0"/>
              <w:rPr>
                <w:sz w:val="20"/>
                <w:szCs w:val="20"/>
                <w:color w:val="auto"/>
              </w:rPr>
            </w:pPr>
            <w:r>
              <w:rPr>
                <w:rFonts w:ascii="Arial" w:cs="Arial" w:eastAsia="Arial" w:hAnsi="Arial"/>
                <w:sz w:val="18"/>
                <w:szCs w:val="18"/>
                <w:color w:val="auto"/>
              </w:rPr>
              <w:t>7.17</w:t>
            </w:r>
          </w:p>
        </w:tc>
        <w:tc>
          <w:tcPr>
            <w:tcW w:w="3280" w:type="dxa"/>
            <w:vAlign w:val="bottom"/>
          </w:tcPr>
          <w:p>
            <w:pPr>
              <w:ind w:left="100"/>
              <w:spacing w:after="0"/>
              <w:rPr>
                <w:sz w:val="20"/>
                <w:szCs w:val="20"/>
                <w:color w:val="auto"/>
              </w:rPr>
            </w:pPr>
            <w:r>
              <w:rPr>
                <w:rFonts w:ascii="Arial" w:cs="Arial" w:eastAsia="Arial" w:hAnsi="Arial"/>
                <w:sz w:val="18"/>
                <w:szCs w:val="18"/>
                <w:color w:val="auto"/>
              </w:rPr>
              <w:t>October 2017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154,329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137,761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Junior subordinated notes (iv)</w:t>
            </w:r>
          </w:p>
        </w:tc>
        <w:tc>
          <w:tcPr>
            <w:tcW w:w="90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w w:val="96"/>
              </w:rPr>
              <w:t>9.75</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3280" w:type="dxa"/>
            <w:vAlign w:val="bottom"/>
            <w:shd w:val="clear" w:color="auto" w:fill="CCFFCC"/>
          </w:tcPr>
          <w:p>
            <w:pPr>
              <w:ind w:left="100"/>
              <w:spacing w:after="0"/>
              <w:rPr>
                <w:sz w:val="20"/>
                <w:szCs w:val="20"/>
                <w:color w:val="auto"/>
              </w:rPr>
            </w:pPr>
            <w:r>
              <w:rPr>
                <w:rFonts w:ascii="Arial" w:cs="Arial" w:eastAsia="Arial" w:hAnsi="Arial"/>
                <w:sz w:val="18"/>
                <w:szCs w:val="18"/>
                <w:color w:val="auto"/>
              </w:rPr>
              <w:t>November 2069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249,700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shd w:val="clear" w:color="auto" w:fill="CCFFCC"/>
          </w:tcPr>
          <w:p>
            <w:pPr>
              <w:spacing w:after="0"/>
              <w:rPr>
                <w:sz w:val="2"/>
                <w:szCs w:val="2"/>
                <w:color w:val="auto"/>
              </w:rPr>
            </w:pPr>
          </w:p>
        </w:tc>
        <w:tc>
          <w:tcPr>
            <w:tcW w:w="500" w:type="dxa"/>
            <w:vAlign w:val="bottom"/>
            <w:shd w:val="clear" w:color="auto" w:fill="CCFFCC"/>
          </w:tcPr>
          <w:p>
            <w:pPr>
              <w:spacing w:after="0"/>
              <w:rPr>
                <w:sz w:val="2"/>
                <w:szCs w:val="2"/>
                <w:color w:val="auto"/>
              </w:rPr>
            </w:pPr>
          </w:p>
        </w:tc>
        <w:tc>
          <w:tcPr>
            <w:tcW w:w="198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900" w:type="dxa"/>
            <w:vAlign w:val="bottom"/>
            <w:shd w:val="clear" w:color="auto" w:fill="CCFFCC"/>
          </w:tcPr>
          <w:p>
            <w:pPr>
              <w:spacing w:after="0"/>
              <w:rPr>
                <w:sz w:val="2"/>
                <w:szCs w:val="2"/>
                <w:color w:val="auto"/>
              </w:rPr>
            </w:pPr>
          </w:p>
        </w:tc>
        <w:tc>
          <w:tcPr>
            <w:tcW w:w="840" w:type="dxa"/>
            <w:vAlign w:val="bottom"/>
            <w:shd w:val="clear" w:color="auto" w:fill="CCFFCC"/>
          </w:tcPr>
          <w:p>
            <w:pPr>
              <w:spacing w:after="0"/>
              <w:rPr>
                <w:sz w:val="2"/>
                <w:szCs w:val="2"/>
                <w:color w:val="auto"/>
              </w:rPr>
            </w:pPr>
          </w:p>
        </w:tc>
        <w:tc>
          <w:tcPr>
            <w:tcW w:w="328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1,273,731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777,390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80" w:type="dxa"/>
            <w:vAlign w:val="bottom"/>
            <w:gridSpan w:val="3"/>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8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Interest payable</w:t>
            </w: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13,291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98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328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1,287,022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785,230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80" w:type="dxa"/>
            <w:vAlign w:val="bottom"/>
            <w:vMerge w:val="restart"/>
          </w:tcPr>
          <w:p>
            <w:pPr>
              <w:spacing w:after="0"/>
              <w:rPr>
                <w:sz w:val="20"/>
                <w:szCs w:val="20"/>
                <w:color w:val="auto"/>
              </w:rPr>
            </w:pPr>
            <w:r>
              <w:rPr>
                <w:rFonts w:ascii="Arial" w:cs="Arial" w:eastAsia="Arial" w:hAnsi="Arial"/>
                <w:sz w:val="18"/>
                <w:szCs w:val="18"/>
                <w:color w:val="auto"/>
              </w:rPr>
              <w:t>F-70</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28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32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During 2009 y 2008, the Group issued corporate, subordinated and leasing bonds for the following amounts: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Issuances 2009</w:t>
            </w:r>
          </w:p>
        </w:tc>
        <w:tc>
          <w:tcPr>
            <w:tcW w:w="920" w:type="dxa"/>
            <w:vAlign w:val="bottom"/>
          </w:tcPr>
          <w:p>
            <w:pPr>
              <w:jc w:val="right"/>
              <w:ind w:right="50"/>
              <w:spacing w:after="0"/>
              <w:rPr>
                <w:sz w:val="20"/>
                <w:szCs w:val="20"/>
                <w:color w:val="auto"/>
              </w:rPr>
            </w:pPr>
            <w:r>
              <w:rPr>
                <w:rFonts w:ascii="Arial" w:cs="Arial" w:eastAsia="Arial" w:hAnsi="Arial"/>
                <w:sz w:val="18"/>
                <w:szCs w:val="18"/>
                <w:b w:val="1"/>
                <w:bCs w:val="1"/>
                <w:color w:val="auto"/>
              </w:rPr>
              <w:t>Amount</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1"/>
              </w:rPr>
              <w:t>Currency</w:t>
            </w:r>
          </w:p>
        </w:tc>
        <w:tc>
          <w:tcPr>
            <w:tcW w:w="15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640" w:type="dxa"/>
            <w:vAlign w:val="bottom"/>
          </w:tcPr>
          <w:p>
            <w:pPr>
              <w:ind w:left="64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US$(000)</w:t>
            </w: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Corporate Bonds BCP -</w:t>
            </w:r>
          </w:p>
        </w:tc>
        <w:tc>
          <w:tcPr>
            <w:tcW w:w="92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Fourth issuance - Series A, B, C and D</w:t>
            </w:r>
          </w:p>
        </w:tc>
        <w:tc>
          <w:tcPr>
            <w:tcW w:w="920" w:type="dxa"/>
            <w:vAlign w:val="bottom"/>
          </w:tcPr>
          <w:p>
            <w:pPr>
              <w:jc w:val="right"/>
              <w:spacing w:after="0"/>
              <w:rPr>
                <w:sz w:val="20"/>
                <w:szCs w:val="20"/>
                <w:color w:val="auto"/>
              </w:rPr>
            </w:pPr>
            <w:r>
              <w:rPr>
                <w:rFonts w:ascii="Arial" w:cs="Arial" w:eastAsia="Arial" w:hAnsi="Arial"/>
                <w:sz w:val="18"/>
                <w:szCs w:val="18"/>
                <w:color w:val="auto"/>
              </w:rPr>
              <w:t>63,465</w:t>
            </w: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Nuevo sol</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6.31 - 6.88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Fifth issuance – Series A</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17,301</w:t>
            </w:r>
          </w:p>
        </w:tc>
        <w:tc>
          <w:tcPr>
            <w:tcW w:w="16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Nuevo sol</w:t>
            </w:r>
          </w:p>
        </w:tc>
        <w:tc>
          <w:tcPr>
            <w:tcW w:w="156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2013</w:t>
            </w:r>
          </w:p>
        </w:tc>
        <w:tc>
          <w:tcPr>
            <w:tcW w:w="16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1"/>
              </w:rPr>
              <w:t>5.31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80,766</w:t>
            </w:r>
          </w:p>
        </w:tc>
        <w:tc>
          <w:tcPr>
            <w:tcW w:w="16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156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Subordinated Bonds BCP -</w:t>
            </w:r>
          </w:p>
        </w:tc>
        <w:tc>
          <w:tcPr>
            <w:tcW w:w="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Fourth issuance Series A, B, C and D</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113,822</w:t>
            </w:r>
          </w:p>
        </w:tc>
        <w:tc>
          <w:tcPr>
            <w:tcW w:w="162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1"/>
              </w:rPr>
              <w:t>US$</w:t>
            </w:r>
          </w:p>
        </w:tc>
        <w:tc>
          <w:tcPr>
            <w:tcW w:w="156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89"/>
              </w:rPr>
              <w:t>2016</w:t>
            </w:r>
          </w:p>
        </w:tc>
        <w:tc>
          <w:tcPr>
            <w:tcW w:w="164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8"/>
                <w:szCs w:val="18"/>
                <w:color w:val="auto"/>
                <w:w w:val="90"/>
              </w:rPr>
              <w:t>6.53 – 8.50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38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w w:val="93"/>
              </w:rPr>
              <w:t>Corporate Bonds BCP Emisiones Latam 1</w:t>
            </w:r>
          </w:p>
        </w:tc>
        <w:tc>
          <w:tcPr>
            <w:tcW w:w="920" w:type="dxa"/>
            <w:vAlign w:val="bottom"/>
            <w:shd w:val="clear" w:color="auto" w:fill="CCFFCC"/>
          </w:tcPr>
          <w:p>
            <w:pPr>
              <w:spacing w:after="0"/>
              <w:rPr>
                <w:sz w:val="17"/>
                <w:szCs w:val="17"/>
                <w:color w:val="auto"/>
              </w:rPr>
            </w:pPr>
          </w:p>
        </w:tc>
        <w:tc>
          <w:tcPr>
            <w:tcW w:w="1620" w:type="dxa"/>
            <w:vAlign w:val="bottom"/>
            <w:shd w:val="clear" w:color="auto" w:fill="CCFFCC"/>
          </w:tcPr>
          <w:p>
            <w:pPr>
              <w:spacing w:after="0"/>
              <w:rPr>
                <w:sz w:val="17"/>
                <w:szCs w:val="17"/>
                <w:color w:val="auto"/>
              </w:rPr>
            </w:pPr>
          </w:p>
        </w:tc>
        <w:tc>
          <w:tcPr>
            <w:tcW w:w="1560" w:type="dxa"/>
            <w:vAlign w:val="bottom"/>
            <w:shd w:val="clear" w:color="auto" w:fill="CCFFCC"/>
          </w:tcPr>
          <w:p>
            <w:pPr>
              <w:spacing w:after="0"/>
              <w:rPr>
                <w:sz w:val="17"/>
                <w:szCs w:val="17"/>
                <w:color w:val="auto"/>
              </w:rPr>
            </w:pPr>
          </w:p>
        </w:tc>
        <w:tc>
          <w:tcPr>
            <w:tcW w:w="16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S.A.</w:t>
            </w:r>
          </w:p>
        </w:tc>
        <w:tc>
          <w:tcPr>
            <w:tcW w:w="920" w:type="dxa"/>
            <w:vAlign w:val="bottom"/>
            <w:shd w:val="clear" w:color="auto" w:fill="CCFFCC"/>
          </w:tcPr>
          <w:p>
            <w:pPr>
              <w:spacing w:after="0"/>
              <w:rPr>
                <w:sz w:val="20"/>
                <w:szCs w:val="20"/>
                <w:color w:val="auto"/>
              </w:rPr>
            </w:pPr>
          </w:p>
        </w:tc>
        <w:tc>
          <w:tcPr>
            <w:tcW w:w="1620" w:type="dxa"/>
            <w:vAlign w:val="bottom"/>
            <w:shd w:val="clear" w:color="auto" w:fill="CCFFCC"/>
          </w:tcPr>
          <w:p>
            <w:pPr>
              <w:spacing w:after="0"/>
              <w:rPr>
                <w:sz w:val="20"/>
                <w:szCs w:val="20"/>
                <w:color w:val="auto"/>
              </w:rPr>
            </w:pPr>
          </w:p>
        </w:tc>
        <w:tc>
          <w:tcPr>
            <w:tcW w:w="1560" w:type="dxa"/>
            <w:vAlign w:val="bottom"/>
            <w:shd w:val="clear" w:color="auto" w:fill="CCFFCC"/>
          </w:tcPr>
          <w:p>
            <w:pPr>
              <w:spacing w:after="0"/>
              <w:rPr>
                <w:sz w:val="20"/>
                <w:szCs w:val="20"/>
                <w:color w:val="auto"/>
              </w:rPr>
            </w:pPr>
          </w:p>
        </w:tc>
        <w:tc>
          <w:tcPr>
            <w:tcW w:w="16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First issuance – Series A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111,508</w:t>
            </w: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UF</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3.50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2120" w:right="20" w:hanging="491"/>
        <w:spacing w:after="0" w:line="279" w:lineRule="auto"/>
        <w:tabs>
          <w:tab w:leader="none" w:pos="2120" w:val="left"/>
        </w:tabs>
        <w:numPr>
          <w:ilvl w:val="0"/>
          <w:numId w:val="229"/>
        </w:numPr>
        <w:rPr>
          <w:rFonts w:ascii="Arial" w:cs="Arial" w:eastAsia="Arial" w:hAnsi="Arial"/>
          <w:sz w:val="17"/>
          <w:szCs w:val="17"/>
          <w:color w:val="auto"/>
        </w:rPr>
      </w:pPr>
      <w:r>
        <w:rPr>
          <w:rFonts w:ascii="Arial" w:cs="Arial" w:eastAsia="Arial" w:hAnsi="Arial"/>
          <w:sz w:val="17"/>
          <w:szCs w:val="17"/>
          <w:color w:val="auto"/>
        </w:rPr>
        <w:t>BCP Emisiones Latam 1 S.A. issued corporate bonds (Series A) for 2.7 million “Chilean Unidades de Fomento - UF”. The Group can redeem 100 percent of the bonds only if the legal reserve funds legislation and tax law, related to income tax and value added tax, change in Peru, Panama or Chile. This debt, subject to foreign exchange risk, has been hedged through CCS, as a result, these bonds were economically converted to US$ Dollars, see note 11(b).</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00" w:type="dxa"/>
            <w:vAlign w:val="bottom"/>
            <w:gridSpan w:val="2"/>
          </w:tcPr>
          <w:p>
            <w:pPr>
              <w:spacing w:after="0"/>
              <w:rPr>
                <w:sz w:val="20"/>
                <w:szCs w:val="20"/>
                <w:color w:val="auto"/>
              </w:rPr>
            </w:pPr>
            <w:r>
              <w:rPr>
                <w:rFonts w:ascii="Arial" w:cs="Arial" w:eastAsia="Arial" w:hAnsi="Arial"/>
                <w:sz w:val="18"/>
                <w:szCs w:val="18"/>
                <w:b w:val="1"/>
                <w:bCs w:val="1"/>
                <w:color w:val="auto"/>
              </w:rPr>
              <w:t>Issuances 2008</w:t>
            </w: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Amount</w:t>
            </w:r>
          </w:p>
        </w:tc>
        <w:tc>
          <w:tcPr>
            <w:tcW w:w="980" w:type="dxa"/>
            <w:vAlign w:val="bottom"/>
          </w:tcPr>
          <w:p>
            <w:pPr>
              <w:ind w:left="220"/>
              <w:spacing w:after="0"/>
              <w:rPr>
                <w:sz w:val="20"/>
                <w:szCs w:val="20"/>
                <w:color w:val="auto"/>
              </w:rPr>
            </w:pPr>
            <w:r>
              <w:rPr>
                <w:rFonts w:ascii="Arial" w:cs="Arial" w:eastAsia="Arial" w:hAnsi="Arial"/>
                <w:sz w:val="18"/>
                <w:szCs w:val="18"/>
                <w:b w:val="1"/>
                <w:bCs w:val="1"/>
                <w:color w:val="auto"/>
                <w:w w:val="93"/>
              </w:rPr>
              <w:t>Currency</w:t>
            </w:r>
          </w:p>
        </w:tc>
        <w:tc>
          <w:tcPr>
            <w:tcW w:w="2000" w:type="dxa"/>
            <w:vAlign w:val="bottom"/>
          </w:tcPr>
          <w:p>
            <w:pPr>
              <w:jc w:val="center"/>
              <w:ind w:left="410"/>
              <w:spacing w:after="0"/>
              <w:rPr>
                <w:sz w:val="20"/>
                <w:szCs w:val="20"/>
                <w:color w:val="auto"/>
              </w:rPr>
            </w:pPr>
            <w:r>
              <w:rPr>
                <w:rFonts w:ascii="Arial" w:cs="Arial" w:eastAsia="Arial" w:hAnsi="Arial"/>
                <w:sz w:val="18"/>
                <w:szCs w:val="18"/>
                <w:b w:val="1"/>
                <w:bCs w:val="1"/>
                <w:color w:val="auto"/>
                <w:w w:val="99"/>
              </w:rPr>
              <w:t>Maturity</w:t>
            </w:r>
          </w:p>
        </w:tc>
        <w:tc>
          <w:tcPr>
            <w:tcW w:w="1640" w:type="dxa"/>
            <w:vAlign w:val="bottom"/>
          </w:tcPr>
          <w:p>
            <w:pPr>
              <w:ind w:left="640"/>
              <w:spacing w:after="0"/>
              <w:rPr>
                <w:sz w:val="20"/>
                <w:szCs w:val="20"/>
                <w:color w:val="auto"/>
              </w:rPr>
            </w:pPr>
            <w:r>
              <w:rPr>
                <w:rFonts w:ascii="Arial" w:cs="Arial" w:eastAsia="Arial" w:hAnsi="Arial"/>
                <w:sz w:val="18"/>
                <w:szCs w:val="18"/>
                <w:b w:val="1"/>
                <w:bCs w:val="1"/>
                <w:color w:val="auto"/>
              </w:rPr>
              <w:t>Rate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9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Corporate Bonds BCP -</w:t>
            </w: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Second issuance - Series A</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25,932</w:t>
            </w:r>
          </w:p>
        </w:tc>
        <w:tc>
          <w:tcPr>
            <w:tcW w:w="980" w:type="dxa"/>
            <w:vAlign w:val="bottom"/>
          </w:tcPr>
          <w:p>
            <w:pPr>
              <w:ind w:left="220"/>
              <w:spacing w:after="0"/>
              <w:rPr>
                <w:sz w:val="20"/>
                <w:szCs w:val="20"/>
                <w:color w:val="auto"/>
              </w:rPr>
            </w:pPr>
            <w:r>
              <w:rPr>
                <w:rFonts w:ascii="Arial" w:cs="Arial" w:eastAsia="Arial" w:hAnsi="Arial"/>
                <w:sz w:val="18"/>
                <w:szCs w:val="18"/>
                <w:color w:val="auto"/>
                <w:w w:val="92"/>
              </w:rPr>
              <w:t>Nuevo sol</w:t>
            </w:r>
          </w:p>
        </w:tc>
        <w:tc>
          <w:tcPr>
            <w:tcW w:w="2000" w:type="dxa"/>
            <w:vAlign w:val="bottom"/>
          </w:tcPr>
          <w:p>
            <w:pPr>
              <w:jc w:val="center"/>
              <w:ind w:left="410"/>
              <w:spacing w:after="0"/>
              <w:rPr>
                <w:sz w:val="20"/>
                <w:szCs w:val="20"/>
                <w:color w:val="auto"/>
              </w:rPr>
            </w:pPr>
            <w:r>
              <w:rPr>
                <w:rFonts w:ascii="Arial" w:cs="Arial" w:eastAsia="Arial" w:hAnsi="Arial"/>
                <w:sz w:val="18"/>
                <w:szCs w:val="18"/>
                <w:color w:val="auto"/>
                <w:w w:val="84"/>
              </w:rPr>
              <w:t>2011</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5.78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FFCC"/>
          </w:tcPr>
          <w:p>
            <w:pPr>
              <w:spacing w:after="0"/>
              <w:rPr>
                <w:sz w:val="20"/>
                <w:szCs w:val="20"/>
                <w:color w:val="auto"/>
              </w:rPr>
            </w:pPr>
            <w:r>
              <w:rPr>
                <w:rFonts w:ascii="Arial" w:cs="Arial" w:eastAsia="Arial" w:hAnsi="Arial"/>
                <w:sz w:val="18"/>
                <w:szCs w:val="18"/>
                <w:color w:val="auto"/>
              </w:rPr>
              <w:t>First issuance - Series B</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38,152</w:t>
            </w:r>
          </w:p>
        </w:tc>
        <w:tc>
          <w:tcPr>
            <w:tcW w:w="980" w:type="dxa"/>
            <w:vAlign w:val="bottom"/>
            <w:shd w:val="clear" w:color="auto" w:fill="CCFFCC"/>
          </w:tcPr>
          <w:p>
            <w:pPr>
              <w:ind w:left="220"/>
              <w:spacing w:after="0"/>
              <w:rPr>
                <w:sz w:val="20"/>
                <w:szCs w:val="20"/>
                <w:color w:val="auto"/>
              </w:rPr>
            </w:pPr>
            <w:r>
              <w:rPr>
                <w:rFonts w:ascii="Arial" w:cs="Arial" w:eastAsia="Arial" w:hAnsi="Arial"/>
                <w:sz w:val="18"/>
                <w:szCs w:val="18"/>
                <w:color w:val="auto"/>
                <w:w w:val="92"/>
              </w:rPr>
              <w:t>Nuevo sol</w:t>
            </w:r>
          </w:p>
        </w:tc>
        <w:tc>
          <w:tcPr>
            <w:tcW w:w="2000" w:type="dxa"/>
            <w:vAlign w:val="bottom"/>
            <w:shd w:val="clear" w:color="auto" w:fill="CCFFCC"/>
          </w:tcPr>
          <w:p>
            <w:pPr>
              <w:jc w:val="center"/>
              <w:ind w:left="390"/>
              <w:spacing w:after="0"/>
              <w:rPr>
                <w:sz w:val="20"/>
                <w:szCs w:val="20"/>
                <w:color w:val="auto"/>
              </w:rPr>
            </w:pPr>
            <w:r>
              <w:rPr>
                <w:rFonts w:ascii="Arial" w:cs="Arial" w:eastAsia="Arial" w:hAnsi="Arial"/>
                <w:sz w:val="18"/>
                <w:szCs w:val="18"/>
                <w:color w:val="auto"/>
                <w:w w:val="89"/>
              </w:rPr>
              <w:t>2015</w:t>
            </w:r>
          </w:p>
        </w:tc>
        <w:tc>
          <w:tcPr>
            <w:tcW w:w="1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6.81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Third issuance - Series A and B</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63,694</w:t>
            </w:r>
          </w:p>
        </w:tc>
        <w:tc>
          <w:tcPr>
            <w:tcW w:w="980" w:type="dxa"/>
            <w:vAlign w:val="bottom"/>
          </w:tcPr>
          <w:p>
            <w:pPr>
              <w:ind w:left="220"/>
              <w:spacing w:after="0"/>
              <w:rPr>
                <w:sz w:val="20"/>
                <w:szCs w:val="20"/>
                <w:color w:val="auto"/>
              </w:rPr>
            </w:pPr>
            <w:r>
              <w:rPr>
                <w:rFonts w:ascii="Arial" w:cs="Arial" w:eastAsia="Arial" w:hAnsi="Arial"/>
                <w:sz w:val="18"/>
                <w:szCs w:val="18"/>
                <w:color w:val="auto"/>
                <w:w w:val="92"/>
              </w:rPr>
              <w:t>Nuevo sol</w:t>
            </w:r>
          </w:p>
        </w:tc>
        <w:tc>
          <w:tcPr>
            <w:tcW w:w="2000" w:type="dxa"/>
            <w:vAlign w:val="bottom"/>
          </w:tcPr>
          <w:p>
            <w:pPr>
              <w:jc w:val="center"/>
              <w:ind w:left="390"/>
              <w:spacing w:after="0"/>
              <w:rPr>
                <w:sz w:val="20"/>
                <w:szCs w:val="20"/>
                <w:color w:val="auto"/>
              </w:rPr>
            </w:pPr>
            <w:r>
              <w:rPr>
                <w:rFonts w:ascii="Arial" w:cs="Arial" w:eastAsia="Arial" w:hAnsi="Arial"/>
                <w:sz w:val="18"/>
                <w:szCs w:val="18"/>
                <w:color w:val="auto"/>
                <w:w w:val="89"/>
              </w:rPr>
              <w:t>2018</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7.47 – 8.50</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8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127,778</w:t>
            </w:r>
          </w:p>
        </w:tc>
        <w:tc>
          <w:tcPr>
            <w:tcW w:w="20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spacing w:after="0"/>
              <w:rPr>
                <w:sz w:val="22"/>
                <w:szCs w:val="22"/>
                <w:color w:val="auto"/>
              </w:rPr>
            </w:pPr>
          </w:p>
        </w:tc>
        <w:tc>
          <w:tcPr>
            <w:tcW w:w="2000" w:type="dxa"/>
            <w:vAlign w:val="bottom"/>
            <w:tcBorders>
              <w:bottom w:val="single" w:sz="8" w:color="CCFFCC"/>
            </w:tcBorders>
            <w:shd w:val="clear" w:color="auto" w:fill="CCFFCC"/>
          </w:tcPr>
          <w:p>
            <w:pPr>
              <w:spacing w:after="0"/>
              <w:rPr>
                <w:sz w:val="22"/>
                <w:szCs w:val="22"/>
                <w:color w:val="auto"/>
              </w:rPr>
            </w:pPr>
          </w:p>
        </w:tc>
        <w:tc>
          <w:tcPr>
            <w:tcW w:w="1640" w:type="dxa"/>
            <w:vAlign w:val="bottom"/>
            <w:tcBorders>
              <w:bottom w:val="single" w:sz="8" w:color="CCFFCC"/>
            </w:tcBorders>
            <w:shd w:val="clear" w:color="auto" w:fill="CCFFCC"/>
          </w:tcPr>
          <w:p>
            <w:pPr>
              <w:spacing w:after="0"/>
              <w:rPr>
                <w:sz w:val="22"/>
                <w:szCs w:val="22"/>
                <w:color w:val="auto"/>
              </w:rPr>
            </w:pP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0" w:type="dxa"/>
            <w:vAlign w:val="bottom"/>
          </w:tcPr>
          <w:p>
            <w:pPr>
              <w:ind w:left="40"/>
              <w:spacing w:after="0"/>
              <w:rPr>
                <w:sz w:val="20"/>
                <w:szCs w:val="20"/>
                <w:color w:val="auto"/>
              </w:rPr>
            </w:pPr>
            <w:r>
              <w:rPr>
                <w:rFonts w:ascii="Arial" w:cs="Arial" w:eastAsia="Arial" w:hAnsi="Arial"/>
                <w:sz w:val="18"/>
                <w:szCs w:val="18"/>
                <w:color w:val="auto"/>
              </w:rPr>
              <w:t>F-71</w:t>
            </w:r>
          </w:p>
        </w:tc>
        <w:tc>
          <w:tcPr>
            <w:tcW w:w="16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9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00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Issuances 2008</w:t>
            </w: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Amount</w:t>
            </w:r>
          </w:p>
        </w:tc>
        <w:tc>
          <w:tcPr>
            <w:tcW w:w="1360" w:type="dxa"/>
            <w:vAlign w:val="bottom"/>
          </w:tcPr>
          <w:p>
            <w:pPr>
              <w:jc w:val="center"/>
              <w:ind w:right="130"/>
              <w:spacing w:after="0"/>
              <w:rPr>
                <w:sz w:val="20"/>
                <w:szCs w:val="20"/>
                <w:color w:val="auto"/>
              </w:rPr>
            </w:pPr>
            <w:r>
              <w:rPr>
                <w:rFonts w:ascii="Arial" w:cs="Arial" w:eastAsia="Arial" w:hAnsi="Arial"/>
                <w:sz w:val="18"/>
                <w:szCs w:val="18"/>
                <w:b w:val="1"/>
                <w:bCs w:val="1"/>
                <w:color w:val="auto"/>
                <w:w w:val="93"/>
              </w:rPr>
              <w:t>Currency</w:t>
            </w:r>
          </w:p>
        </w:tc>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1640" w:type="dxa"/>
            <w:vAlign w:val="bottom"/>
          </w:tcPr>
          <w:p>
            <w:pPr>
              <w:ind w:left="64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Leasing Bonds BCP -</w:t>
            </w:r>
          </w:p>
        </w:tc>
        <w:tc>
          <w:tcPr>
            <w:tcW w:w="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16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Fourth issuance - Series A, B, C y D</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83,492</w:t>
            </w:r>
          </w:p>
        </w:tc>
        <w:tc>
          <w:tcPr>
            <w:tcW w:w="1360" w:type="dxa"/>
            <w:vAlign w:val="bottom"/>
          </w:tcPr>
          <w:p>
            <w:pPr>
              <w:jc w:val="center"/>
              <w:ind w:right="110"/>
              <w:spacing w:after="0"/>
              <w:rPr>
                <w:sz w:val="20"/>
                <w:szCs w:val="20"/>
                <w:color w:val="auto"/>
              </w:rPr>
            </w:pPr>
            <w:r>
              <w:rPr>
                <w:rFonts w:ascii="Arial" w:cs="Arial" w:eastAsia="Arial" w:hAnsi="Arial"/>
                <w:sz w:val="18"/>
                <w:szCs w:val="18"/>
                <w:color w:val="auto"/>
                <w:w w:val="91"/>
              </w:rPr>
              <w:t>US$</w:t>
            </w:r>
          </w:p>
        </w:tc>
        <w:tc>
          <w:tcPr>
            <w:tcW w:w="1520" w:type="dxa"/>
            <w:vAlign w:val="bottom"/>
          </w:tcPr>
          <w:p>
            <w:pPr>
              <w:jc w:val="center"/>
              <w:spacing w:after="0"/>
              <w:rPr>
                <w:sz w:val="20"/>
                <w:szCs w:val="20"/>
                <w:color w:val="auto"/>
              </w:rPr>
            </w:pPr>
            <w:r>
              <w:rPr>
                <w:rFonts w:ascii="Arial" w:cs="Arial" w:eastAsia="Arial" w:hAnsi="Arial"/>
                <w:sz w:val="18"/>
                <w:szCs w:val="18"/>
                <w:color w:val="auto"/>
                <w:w w:val="84"/>
              </w:rPr>
              <w:t>2011</w:t>
            </w:r>
          </w:p>
        </w:tc>
        <w:tc>
          <w:tcPr>
            <w:tcW w:w="1640" w:type="dxa"/>
            <w:vAlign w:val="bottom"/>
          </w:tcPr>
          <w:p>
            <w:pPr>
              <w:jc w:val="center"/>
              <w:spacing w:after="0"/>
              <w:rPr>
                <w:sz w:val="20"/>
                <w:szCs w:val="20"/>
                <w:color w:val="auto"/>
              </w:rPr>
            </w:pPr>
            <w:r>
              <w:rPr>
                <w:rFonts w:ascii="Arial" w:cs="Arial" w:eastAsia="Arial" w:hAnsi="Arial"/>
                <w:sz w:val="18"/>
                <w:szCs w:val="18"/>
                <w:color w:val="auto"/>
                <w:w w:val="90"/>
              </w:rPr>
              <w:t>5.47 – 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FFCC"/>
          </w:tcPr>
          <w:p>
            <w:pPr>
              <w:spacing w:after="0"/>
              <w:rPr>
                <w:sz w:val="20"/>
                <w:szCs w:val="20"/>
                <w:color w:val="auto"/>
              </w:rPr>
            </w:pPr>
            <w:r>
              <w:rPr>
                <w:rFonts w:ascii="Arial" w:cs="Arial" w:eastAsia="Arial" w:hAnsi="Arial"/>
                <w:sz w:val="18"/>
                <w:szCs w:val="18"/>
                <w:color w:val="auto"/>
              </w:rPr>
              <w:t xml:space="preserve">Fourth issuance </w:t>
            </w:r>
            <w:r>
              <w:rPr>
                <w:rFonts w:ascii="Arial" w:cs="Arial" w:eastAsia="Arial" w:hAnsi="Arial"/>
                <w:sz w:val="18"/>
                <w:szCs w:val="18"/>
                <w:b w:val="1"/>
                <w:bCs w:val="1"/>
                <w:color w:val="auto"/>
              </w:rPr>
              <w:t>-</w:t>
            </w:r>
            <w:r>
              <w:rPr>
                <w:rFonts w:ascii="Arial" w:cs="Arial" w:eastAsia="Arial" w:hAnsi="Arial"/>
                <w:sz w:val="18"/>
                <w:szCs w:val="18"/>
                <w:color w:val="auto"/>
              </w:rPr>
              <w:t xml:space="preserve"> Series A y B</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14,392</w:t>
            </w:r>
          </w:p>
        </w:tc>
        <w:tc>
          <w:tcPr>
            <w:tcW w:w="1360" w:type="dxa"/>
            <w:vAlign w:val="bottom"/>
            <w:shd w:val="clear" w:color="auto" w:fill="CCFFCC"/>
          </w:tcPr>
          <w:p>
            <w:pPr>
              <w:jc w:val="center"/>
              <w:ind w:right="130"/>
              <w:spacing w:after="0"/>
              <w:rPr>
                <w:sz w:val="20"/>
                <w:szCs w:val="20"/>
                <w:color w:val="auto"/>
              </w:rPr>
            </w:pPr>
            <w:r>
              <w:rPr>
                <w:rFonts w:ascii="Arial" w:cs="Arial" w:eastAsia="Arial" w:hAnsi="Arial"/>
                <w:sz w:val="18"/>
                <w:szCs w:val="18"/>
                <w:color w:val="auto"/>
                <w:w w:val="92"/>
              </w:rPr>
              <w:t>Nuevo sol</w:t>
            </w:r>
          </w:p>
        </w:tc>
        <w:tc>
          <w:tcPr>
            <w:tcW w:w="15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4"/>
              </w:rPr>
              <w:t>2011</w:t>
            </w:r>
          </w:p>
        </w:tc>
        <w:tc>
          <w:tcPr>
            <w:tcW w:w="16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5.72 – 6.06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Sixth issuance - Series A</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31,487</w:t>
            </w:r>
          </w:p>
        </w:tc>
        <w:tc>
          <w:tcPr>
            <w:tcW w:w="200" w:type="dxa"/>
            <w:vAlign w:val="bottom"/>
          </w:tcPr>
          <w:p>
            <w:pPr>
              <w:spacing w:after="0"/>
              <w:rPr>
                <w:sz w:val="19"/>
                <w:szCs w:val="19"/>
                <w:color w:val="auto"/>
              </w:rPr>
            </w:pPr>
          </w:p>
        </w:tc>
        <w:tc>
          <w:tcPr>
            <w:tcW w:w="1360" w:type="dxa"/>
            <w:vAlign w:val="bottom"/>
          </w:tcPr>
          <w:p>
            <w:pPr>
              <w:jc w:val="center"/>
              <w:ind w:right="130"/>
              <w:spacing w:after="0"/>
              <w:rPr>
                <w:sz w:val="20"/>
                <w:szCs w:val="20"/>
                <w:color w:val="auto"/>
              </w:rPr>
            </w:pPr>
            <w:r>
              <w:rPr>
                <w:rFonts w:ascii="Arial" w:cs="Arial" w:eastAsia="Arial" w:hAnsi="Arial"/>
                <w:sz w:val="18"/>
                <w:szCs w:val="18"/>
                <w:color w:val="auto"/>
                <w:w w:val="92"/>
              </w:rPr>
              <w:t>Nuevo sol</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640" w:type="dxa"/>
            <w:vAlign w:val="bottom"/>
          </w:tcPr>
          <w:p>
            <w:pPr>
              <w:jc w:val="center"/>
              <w:spacing w:after="0"/>
              <w:rPr>
                <w:sz w:val="20"/>
                <w:szCs w:val="20"/>
                <w:color w:val="auto"/>
              </w:rPr>
            </w:pPr>
            <w:r>
              <w:rPr>
                <w:rFonts w:ascii="Arial" w:cs="Arial" w:eastAsia="Arial" w:hAnsi="Arial"/>
                <w:sz w:val="18"/>
                <w:szCs w:val="18"/>
                <w:color w:val="auto"/>
                <w:w w:val="91"/>
              </w:rPr>
              <w:t>8.72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48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129,371</w:t>
            </w:r>
          </w:p>
        </w:tc>
        <w:tc>
          <w:tcPr>
            <w:tcW w:w="200" w:type="dxa"/>
            <w:vAlign w:val="bottom"/>
            <w:tcBorders>
              <w:bottom w:val="single" w:sz="8" w:color="CCFFCC"/>
            </w:tcBorders>
            <w:shd w:val="clear" w:color="auto" w:fill="CCFFCC"/>
          </w:tcPr>
          <w:p>
            <w:pPr>
              <w:spacing w:after="0"/>
              <w:rPr>
                <w:sz w:val="22"/>
                <w:szCs w:val="22"/>
                <w:color w:val="auto"/>
              </w:rPr>
            </w:pPr>
          </w:p>
        </w:tc>
        <w:tc>
          <w:tcPr>
            <w:tcW w:w="1360" w:type="dxa"/>
            <w:vAlign w:val="bottom"/>
            <w:tcBorders>
              <w:bottom w:val="single" w:sz="8" w:color="CCFFCC"/>
            </w:tcBorders>
            <w:shd w:val="clear" w:color="auto" w:fill="CCFFCC"/>
          </w:tcPr>
          <w:p>
            <w:pPr>
              <w:spacing w:after="0"/>
              <w:rPr>
                <w:sz w:val="22"/>
                <w:szCs w:val="22"/>
                <w:color w:val="auto"/>
              </w:rPr>
            </w:pPr>
          </w:p>
        </w:tc>
        <w:tc>
          <w:tcPr>
            <w:tcW w:w="1520" w:type="dxa"/>
            <w:vAlign w:val="bottom"/>
            <w:tcBorders>
              <w:bottom w:val="single" w:sz="8" w:color="CCFFCC"/>
            </w:tcBorders>
            <w:shd w:val="clear" w:color="auto" w:fill="CCFFCC"/>
          </w:tcPr>
          <w:p>
            <w:pPr>
              <w:spacing w:after="0"/>
              <w:rPr>
                <w:sz w:val="22"/>
                <w:szCs w:val="22"/>
                <w:color w:val="auto"/>
              </w:rPr>
            </w:pPr>
          </w:p>
        </w:tc>
        <w:tc>
          <w:tcPr>
            <w:tcW w:w="164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620" w:right="80"/>
        <w:spacing w:after="0" w:line="277" w:lineRule="auto"/>
        <w:rPr>
          <w:sz w:val="20"/>
          <w:szCs w:val="20"/>
          <w:color w:val="auto"/>
        </w:rPr>
      </w:pPr>
      <w:r>
        <w:rPr>
          <w:rFonts w:ascii="Arial" w:cs="Arial" w:eastAsia="Arial" w:hAnsi="Arial"/>
          <w:sz w:val="18"/>
          <w:szCs w:val="18"/>
          <w:color w:val="auto"/>
        </w:rPr>
        <w:t>During 2009, redeemed corporate, leasing and subordinate bonds amounted to US$6.9 million, US$34.6 million and US$17.3 million, respectively (US$23.9 million, US$84.8 million and US$40.3 million, respectively, during 2008).</w:t>
      </w:r>
    </w:p>
    <w:p>
      <w:pPr>
        <w:spacing w:after="0" w:line="197" w:lineRule="exact"/>
        <w:rPr>
          <w:sz w:val="20"/>
          <w:szCs w:val="20"/>
          <w:color w:val="auto"/>
        </w:rPr>
      </w:pPr>
    </w:p>
    <w:p>
      <w:pPr>
        <w:ind w:left="1620"/>
        <w:spacing w:after="0" w:line="286" w:lineRule="auto"/>
        <w:rPr>
          <w:sz w:val="20"/>
          <w:szCs w:val="20"/>
          <w:color w:val="auto"/>
        </w:rPr>
      </w:pPr>
      <w:r>
        <w:rPr>
          <w:rFonts w:ascii="Arial" w:cs="Arial" w:eastAsia="Arial" w:hAnsi="Arial"/>
          <w:sz w:val="17"/>
          <w:szCs w:val="17"/>
          <w:color w:val="auto"/>
        </w:rPr>
        <w:t>As of December 31, 2009 and 2008, the Group has hedged fixed corporate and leasing bonds issued in Peruvian currency for a notional amount of US$ US$113.4 million and US$15.7 million, respectively, subjects to foreign exchange and interest rate risk through CCS and IRS; these bonds were economically converted to US Dollars with fixed rate, see note 11(b).</w:t>
      </w:r>
    </w:p>
    <w:p>
      <w:pPr>
        <w:spacing w:after="0" w:line="19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Leasing and mortgages bonds are collateralized by the fixed assets financed by the Group.</w:t>
      </w:r>
    </w:p>
    <w:p>
      <w:pPr>
        <w:spacing w:after="0" w:line="252" w:lineRule="exact"/>
        <w:rPr>
          <w:sz w:val="20"/>
          <w:szCs w:val="20"/>
          <w:color w:val="auto"/>
        </w:rPr>
      </w:pPr>
    </w:p>
    <w:p>
      <w:pPr>
        <w:jc w:val="both"/>
        <w:ind w:left="1620" w:right="300" w:hanging="478"/>
        <w:spacing w:after="0" w:line="259" w:lineRule="auto"/>
        <w:tabs>
          <w:tab w:leader="none" w:pos="16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These certificates were issued in US dollars and accrue a fixed annual interest rate of 6.95 percent for the first 10 years (November 2016), with payment each six months. After the first 10 years, the interest rate will change to a variable interest rate, established as Libor plus 2.79 percent, with semiannual payments. At the end of the first 10 years, the Group can redeem 100 percent of the debt, without penalties.</w:t>
      </w:r>
    </w:p>
    <w:p>
      <w:pPr>
        <w:spacing w:after="0" w:line="213" w:lineRule="exact"/>
        <w:rPr>
          <w:rFonts w:ascii="Arial" w:cs="Arial" w:eastAsia="Arial" w:hAnsi="Arial"/>
          <w:sz w:val="18"/>
          <w:szCs w:val="18"/>
          <w:color w:val="auto"/>
        </w:rPr>
      </w:pPr>
    </w:p>
    <w:p>
      <w:pPr>
        <w:ind w:left="1620" w:right="40" w:hanging="478"/>
        <w:spacing w:after="0" w:line="297" w:lineRule="auto"/>
        <w:tabs>
          <w:tab w:leader="none" w:pos="162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In October 2007, BCP through its Panama branch, issued Subordinated Notes for S/483.3 million in the international market with principal maturity on 2022. This debt accrues a fixed annual interest rate of 7.17 percent for the first 10 years, with semiannual payments. After the first 10 years, interest rate will be the market interest rate for sovereign bonds issued by the Peruvian Government with maturity on 2037, plus 150 basis points, with semiannual payments. At that date, BCP can redeem 100 percent of the notes, without penalties. This debt, subject to foreign exchange risk and interest rate risk, was hedged until October 2009, see note 11(b)(v).</w:t>
      </w:r>
    </w:p>
    <w:p>
      <w:pPr>
        <w:spacing w:after="0" w:line="185" w:lineRule="exact"/>
        <w:rPr>
          <w:rFonts w:ascii="Arial" w:cs="Arial" w:eastAsia="Arial" w:hAnsi="Arial"/>
          <w:sz w:val="16"/>
          <w:szCs w:val="16"/>
          <w:color w:val="auto"/>
        </w:rPr>
      </w:pPr>
    </w:p>
    <w:p>
      <w:pPr>
        <w:ind w:left="1620" w:hanging="478"/>
        <w:spacing w:after="0" w:line="257" w:lineRule="auto"/>
        <w:tabs>
          <w:tab w:leader="none" w:pos="16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In November 2009, BCP through its Panama branch issued Junior Subordinated Notes for US$250.0 million in the international market with principal maturity on 2069. This debt accrues a fixed annual interest rate of 9.75 percent, for the first 10 years, with semiannual payments. After the first 10 years, in November 2019, interest rate will be variable, Libor 3 months plus 816.7 basis points, with quarterly payments; at that date and or any interest payment date, BCP can redeem 100 percent of the notes, without penalties and after full filing certain requirements.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spacing w:after="0" w:line="276" w:lineRule="auto"/>
        <w:rPr>
          <w:sz w:val="20"/>
          <w:szCs w:val="20"/>
          <w:color w:val="auto"/>
        </w:rPr>
      </w:pPr>
      <w:r>
        <w:rPr>
          <w:rFonts w:ascii="Arial" w:cs="Arial" w:eastAsia="Arial" w:hAnsi="Arial"/>
          <w:sz w:val="17"/>
          <w:szCs w:val="17"/>
          <w:color w:val="auto"/>
        </w:rPr>
        <w:t>Interest payments are non-cumulative such that, if an interest payment is not made in full or cancelled as set forth due to BCP’s rights to cancel interest payments, a mandatory prohibitions established by SBS, or if determines that BCP is in non-compliance with applicable minimum regulatory capital; the unpaid interest will not accrue or be due and payable at any time and shall not constitute an acceleration event. In those cases, BCP will not, and will not cause its majority owned subsidiaries to declare, pay or distribute a dividend for a period of time established since the interest payments are not cancelled.</w:t>
      </w:r>
    </w:p>
    <w:p>
      <w:pPr>
        <w:spacing w:after="0" w:line="20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This debt does not have collateral and qualifies as Tier 1 capital for SBS regulations.</w:t>
      </w:r>
    </w:p>
    <w:p>
      <w:pPr>
        <w:spacing w:after="0" w:line="252" w:lineRule="exact"/>
        <w:rPr>
          <w:sz w:val="20"/>
          <w:szCs w:val="20"/>
          <w:color w:val="auto"/>
        </w:rPr>
      </w:pPr>
    </w:p>
    <w:p>
      <w:pPr>
        <w:ind w:left="1160" w:hanging="490"/>
        <w:spacing w:after="0"/>
        <w:tabs>
          <w:tab w:leader="none" w:pos="116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Bonds and subordinated notes, classified by maturity are shown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60" w:type="dxa"/>
            <w:vAlign w:val="bottom"/>
          </w:tcPr>
          <w:p>
            <w:pPr>
              <w:spacing w:after="0"/>
              <w:rPr>
                <w:sz w:val="19"/>
                <w:szCs w:val="19"/>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26,076</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74,413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64,190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191,344</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235,867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From 3 to 5 years</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274,781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75,398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707,117</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400,218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1,273,731</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777,390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right="400"/>
        <w:spacing w:after="0" w:line="277" w:lineRule="auto"/>
        <w:rPr>
          <w:sz w:val="20"/>
          <w:szCs w:val="20"/>
          <w:color w:val="auto"/>
        </w:rPr>
      </w:pPr>
      <w:r>
        <w:rPr>
          <w:rFonts w:ascii="Arial" w:cs="Arial" w:eastAsia="Arial" w:hAnsi="Arial"/>
          <w:sz w:val="18"/>
          <w:szCs w:val="18"/>
          <w:color w:val="auto"/>
        </w:rPr>
        <w:t>Bonds and subordinated notes issued have has certain financial and operating covenants which, in Credicorp Management’s opinion, the Group is in compliance at the date of the consolidated statements of financial position.</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Share capital -</w:t>
      </w:r>
    </w:p>
    <w:p>
      <w:pPr>
        <w:spacing w:after="0" w:line="9"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As of December 31, 2009, 2008 and 2007, 94,382,317 shares of capital stock were issued at US$5 per share.</w:t>
      </w:r>
    </w:p>
    <w:p>
      <w:pPr>
        <w:spacing w:after="0" w:line="237" w:lineRule="exact"/>
        <w:rPr>
          <w:rFonts w:ascii="Arial" w:cs="Arial" w:eastAsia="Arial" w:hAnsi="Arial"/>
          <w:sz w:val="18"/>
          <w:szCs w:val="18"/>
          <w:color w:val="auto"/>
        </w:rPr>
      </w:pPr>
    </w:p>
    <w:p>
      <w:pPr>
        <w:ind w:left="1160" w:hanging="490"/>
        <w:spacing w:after="0"/>
        <w:tabs>
          <w:tab w:leader="none" w:pos="11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3" w:lineRule="exact"/>
        <w:rPr>
          <w:rFonts w:ascii="Arial" w:cs="Arial" w:eastAsia="Arial" w:hAnsi="Arial"/>
          <w:sz w:val="18"/>
          <w:szCs w:val="18"/>
          <w:color w:val="auto"/>
        </w:rPr>
      </w:pPr>
    </w:p>
    <w:p>
      <w:pPr>
        <w:ind w:left="1140" w:right="460"/>
        <w:spacing w:after="0" w:line="261" w:lineRule="auto"/>
        <w:rPr>
          <w:rFonts w:ascii="Arial" w:cs="Arial" w:eastAsia="Arial" w:hAnsi="Arial"/>
          <w:sz w:val="18"/>
          <w:szCs w:val="18"/>
          <w:color w:val="auto"/>
        </w:rPr>
      </w:pPr>
      <w:r>
        <w:rPr>
          <w:rFonts w:ascii="Arial" w:cs="Arial" w:eastAsia="Arial" w:hAnsi="Arial"/>
          <w:sz w:val="18"/>
          <w:szCs w:val="18"/>
          <w:color w:val="auto"/>
        </w:rPr>
        <w:t>As of December 31, 2009, treasury stock comprises the par value of 14,847,842 Credicorp’s shares (14,620,842 Credicorp’s shares as of December, 31, 2008 and 2007) owned by the Group’s companies.</w:t>
      </w:r>
    </w:p>
    <w:p>
      <w:pPr>
        <w:spacing w:after="0" w:line="210" w:lineRule="exact"/>
        <w:rPr>
          <w:rFonts w:ascii="Arial" w:cs="Arial" w:eastAsia="Arial" w:hAnsi="Arial"/>
          <w:sz w:val="18"/>
          <w:szCs w:val="18"/>
          <w:color w:val="auto"/>
        </w:rPr>
      </w:pPr>
    </w:p>
    <w:p>
      <w:pPr>
        <w:ind w:left="1140" w:right="400"/>
        <w:spacing w:after="0" w:line="342" w:lineRule="auto"/>
        <w:rPr>
          <w:rFonts w:ascii="Arial" w:cs="Arial" w:eastAsia="Arial" w:hAnsi="Arial"/>
          <w:sz w:val="18"/>
          <w:szCs w:val="18"/>
          <w:color w:val="auto"/>
        </w:rPr>
      </w:pPr>
      <w:r>
        <w:rPr>
          <w:rFonts w:ascii="Arial" w:cs="Arial" w:eastAsia="Arial" w:hAnsi="Arial"/>
          <w:sz w:val="16"/>
          <w:szCs w:val="16"/>
          <w:color w:val="auto"/>
        </w:rPr>
        <w:t>The difference between their acquisition cost of US$198.0 million and their par value of US$74.2 million, (acquisition cost of US$ 186.5 million and their par value of US$ 73.1 million as of December 31, 2008 and 2007) is presented as a reduction of the “Capital surplus”.</w:t>
      </w:r>
    </w:p>
    <w:p>
      <w:pPr>
        <w:spacing w:after="0" w:line="150" w:lineRule="exact"/>
        <w:rPr>
          <w:rFonts w:ascii="Arial" w:cs="Arial" w:eastAsia="Arial" w:hAnsi="Arial"/>
          <w:sz w:val="18"/>
          <w:szCs w:val="18"/>
          <w:color w:val="auto"/>
        </w:rPr>
      </w:pPr>
    </w:p>
    <w:p>
      <w:pPr>
        <w:ind w:left="1160" w:hanging="490"/>
        <w:spacing w:after="0"/>
        <w:tabs>
          <w:tab w:leader="none" w:pos="1160" w:val="left"/>
        </w:tabs>
        <w:numPr>
          <w:ilvl w:val="1"/>
          <w:numId w:val="232"/>
        </w:numPr>
        <w:rPr>
          <w:rFonts w:ascii="Arial" w:cs="Arial" w:eastAsia="Arial" w:hAnsi="Arial"/>
          <w:sz w:val="18"/>
          <w:szCs w:val="18"/>
          <w:color w:val="auto"/>
        </w:rPr>
      </w:pPr>
      <w:r>
        <w:rPr>
          <w:rFonts w:ascii="Arial" w:cs="Arial" w:eastAsia="Arial" w:hAnsi="Arial"/>
          <w:sz w:val="18"/>
          <w:szCs w:val="18"/>
          <w:color w:val="auto"/>
        </w:rPr>
        <w:t>Reserves -</w:t>
      </w:r>
    </w:p>
    <w:p>
      <w:pPr>
        <w:spacing w:after="0" w:line="23" w:lineRule="exact"/>
        <w:rPr>
          <w:rFonts w:ascii="Arial" w:cs="Arial" w:eastAsia="Arial" w:hAnsi="Arial"/>
          <w:sz w:val="18"/>
          <w:szCs w:val="18"/>
          <w:color w:val="auto"/>
        </w:rPr>
      </w:pPr>
    </w:p>
    <w:p>
      <w:pPr>
        <w:ind w:left="1140"/>
        <w:spacing w:after="0" w:line="253" w:lineRule="auto"/>
        <w:rPr>
          <w:rFonts w:ascii="Arial" w:cs="Arial" w:eastAsia="Arial" w:hAnsi="Arial"/>
          <w:sz w:val="18"/>
          <w:szCs w:val="18"/>
          <w:color w:val="auto"/>
        </w:rPr>
      </w:pPr>
      <w:r>
        <w:rPr>
          <w:rFonts w:ascii="Arial" w:cs="Arial" w:eastAsia="Arial" w:hAnsi="Arial"/>
          <w:sz w:val="18"/>
          <w:szCs w:val="18"/>
          <w:color w:val="auto"/>
        </w:rPr>
        <w:t>In accordance with Peruvian regulation, a reserve of up to at least 35 percent of paid-in capital of the Group’s subsidiaries operating in Peru is required to be established through annual transfers of at least 10 percent of their net income. In accordance with Bolivian regulation, a reserve of up to at least 50 percent of paid-in capital of the Group’s subsidiaries operating in Bolivia is required to be established through annual transfers of at least 10 percent of their net income. As of December 31, 2009, 2008 and 2007, these reserves amounted to approximately US$ 242.9, US$231.7 and US$222.7 million, respectively.</w:t>
      </w:r>
    </w:p>
    <w:p>
      <w:pPr>
        <w:spacing w:after="0" w:line="218" w:lineRule="exact"/>
        <w:rPr>
          <w:rFonts w:ascii="Arial" w:cs="Arial" w:eastAsia="Arial" w:hAnsi="Arial"/>
          <w:sz w:val="18"/>
          <w:szCs w:val="18"/>
          <w:color w:val="auto"/>
        </w:rPr>
      </w:pPr>
    </w:p>
    <w:p>
      <w:pPr>
        <w:ind w:left="1140" w:right="200"/>
        <w:spacing w:after="0" w:line="277" w:lineRule="auto"/>
        <w:rPr>
          <w:rFonts w:ascii="Arial" w:cs="Arial" w:eastAsia="Arial" w:hAnsi="Arial"/>
          <w:sz w:val="18"/>
          <w:szCs w:val="18"/>
          <w:color w:val="auto"/>
        </w:rPr>
      </w:pPr>
      <w:r>
        <w:rPr>
          <w:rFonts w:ascii="Arial" w:cs="Arial" w:eastAsia="Arial" w:hAnsi="Arial"/>
          <w:sz w:val="18"/>
          <w:szCs w:val="18"/>
          <w:color w:val="auto"/>
        </w:rPr>
        <w:t>The Shareholders’ meetings held on March 31, 2009, March 28, 2008 and February 28, 2007 agreed to transfer from “Retained earnings” to “Reserves” an amount of US$238.1, US$228.2 and US$107.3 million, respectively.</w:t>
      </w:r>
    </w:p>
    <w:p>
      <w:pPr>
        <w:spacing w:after="0" w:line="197" w:lineRule="exact"/>
        <w:rPr>
          <w:rFonts w:ascii="Arial" w:cs="Arial" w:eastAsia="Arial" w:hAnsi="Arial"/>
          <w:sz w:val="18"/>
          <w:szCs w:val="18"/>
          <w:color w:val="auto"/>
        </w:rPr>
      </w:pPr>
    </w:p>
    <w:p>
      <w:pPr>
        <w:ind w:left="1140"/>
        <w:spacing w:after="0" w:line="308" w:lineRule="auto"/>
        <w:rPr>
          <w:rFonts w:ascii="Arial" w:cs="Arial" w:eastAsia="Arial" w:hAnsi="Arial"/>
          <w:sz w:val="18"/>
          <w:szCs w:val="18"/>
          <w:color w:val="auto"/>
        </w:rPr>
      </w:pPr>
      <w:r>
        <w:rPr>
          <w:rFonts w:ascii="Arial" w:cs="Arial" w:eastAsia="Arial" w:hAnsi="Arial"/>
          <w:sz w:val="17"/>
          <w:szCs w:val="17"/>
          <w:color w:val="auto"/>
        </w:rPr>
        <w:t>The caption “Other reserves” includes the unrealized net gain (loss) from available-for-sale investments and from derivatives instruments used as cash flows hedge net of its corresponding deferred income tax, and minority interest; its movement is as follows: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92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Unrealized net gain (loss) of:</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92"/>
              </w:rPr>
              <w:t>Available-for-</w:t>
            </w:r>
          </w:p>
        </w:tc>
        <w:tc>
          <w:tcPr>
            <w:tcW w:w="12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sale investments</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Cash flow hedge</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reserve</w:t>
            </w:r>
          </w:p>
        </w:tc>
        <w:tc>
          <w:tcPr>
            <w:tcW w:w="14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reserve</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Total</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Balances as of January 1, 2007</w:t>
            </w:r>
          </w:p>
        </w:tc>
        <w:tc>
          <w:tcPr>
            <w:tcW w:w="14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144,471</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2,938</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147,409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unrealized gain from available-for-sale investments</w:t>
            </w:r>
          </w:p>
        </w:tc>
        <w:tc>
          <w:tcPr>
            <w:tcW w:w="14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85,129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85,129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2"/>
              </w:rPr>
              <w:t>Transfer of net realized gain from investments available-for-sale to the income</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statement, net of realized loss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(17,634)</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(17,634)</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w w:val="94"/>
              </w:rPr>
              <w:t>Transfer of impairment on investment available-for-sale to income statement</w:t>
            </w:r>
          </w:p>
        </w:tc>
        <w:tc>
          <w:tcPr>
            <w:tcW w:w="14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5,017</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unrealized loss on cash flow hedge</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(39,385)</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(39,385)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w w:val="95"/>
              </w:rPr>
              <w:t>Transfer of net realized gain from cash flow hedge to the income statement</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FFCC"/>
            </w:tcBorders>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(986)</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60" w:type="dxa"/>
            <w:vAlign w:val="bottom"/>
            <w:tcBorders>
              <w:right w:val="single" w:sz="8" w:color="CCFFCC"/>
            </w:tcBorders>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Borders>
              <w:right w:val="single" w:sz="8" w:color="CCFFCC"/>
            </w:tcBorders>
            <w:shd w:val="clear" w:color="auto" w:fill="CCFFCC"/>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Balances as of December 31, 2007</w:t>
            </w:r>
          </w:p>
        </w:tc>
        <w:tc>
          <w:tcPr>
            <w:tcW w:w="1260" w:type="dxa"/>
            <w:vAlign w:val="bottom"/>
          </w:tcPr>
          <w:p>
            <w:pPr>
              <w:jc w:val="right"/>
              <w:spacing w:after="0"/>
              <w:rPr>
                <w:sz w:val="20"/>
                <w:szCs w:val="20"/>
                <w:color w:val="auto"/>
              </w:rPr>
            </w:pPr>
            <w:r>
              <w:rPr>
                <w:rFonts w:ascii="Arial" w:cs="Arial" w:eastAsia="Arial" w:hAnsi="Arial"/>
                <w:sz w:val="18"/>
                <w:szCs w:val="18"/>
                <w:color w:val="auto"/>
              </w:rPr>
              <w:t>216,983</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(37,433)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179,550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unrealized loss from available-for-sale investments</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(164,302)</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(164,302)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Borders>
              <w:right w:val="single" w:sz="8" w:color="CCFFCC"/>
            </w:tcBorders>
            <w:shd w:val="clear" w:color="auto" w:fill="CCFFCC"/>
          </w:tcPr>
          <w:p>
            <w:pPr>
              <w:spacing w:after="0" w:line="201" w:lineRule="exact"/>
              <w:rPr>
                <w:sz w:val="20"/>
                <w:szCs w:val="20"/>
                <w:color w:val="auto"/>
              </w:rPr>
            </w:pPr>
            <w:r>
              <w:rPr>
                <w:rFonts w:ascii="Arial" w:cs="Arial" w:eastAsia="Arial" w:hAnsi="Arial"/>
                <w:sz w:val="18"/>
                <w:szCs w:val="18"/>
                <w:color w:val="auto"/>
                <w:w w:val="92"/>
              </w:rPr>
              <w:t>Transfer of net realized gain from investments available-for-sale to the income</w:t>
            </w:r>
          </w:p>
        </w:tc>
        <w:tc>
          <w:tcPr>
            <w:tcW w:w="126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statement, net of realized loss</w:t>
            </w:r>
          </w:p>
        </w:tc>
        <w:tc>
          <w:tcPr>
            <w:tcW w:w="14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(35,684)</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(35,684)</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3"/>
              </w:rPr>
              <w:t>Transfer of impairment on investment available-for-sale to income statement,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note 5(c)</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55,732</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55,732</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unrealized loss on cash flow hedge, note 11(b)(ii)</w:t>
            </w:r>
          </w:p>
        </w:tc>
        <w:tc>
          <w:tcPr>
            <w:tcW w:w="14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(94,937)</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(94,937)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5"/>
              </w:rPr>
              <w:t>Transfer of net realized loss from cash flow hedge to the income statement,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note 11(b)(ii)</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14,248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14,248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Balances as of December 31, 2008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72,729</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(118,122)</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(45,393)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Net unrealized gain from available-for-sale investments</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319,041</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319,041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Borders>
              <w:right w:val="single" w:sz="8" w:color="CCFFCC"/>
            </w:tcBorders>
            <w:shd w:val="clear" w:color="auto" w:fill="CCFFCC"/>
          </w:tcPr>
          <w:p>
            <w:pPr>
              <w:spacing w:after="0" w:line="201" w:lineRule="exact"/>
              <w:rPr>
                <w:sz w:val="20"/>
                <w:szCs w:val="20"/>
                <w:color w:val="auto"/>
              </w:rPr>
            </w:pPr>
            <w:r>
              <w:rPr>
                <w:rFonts w:ascii="Arial" w:cs="Arial" w:eastAsia="Arial" w:hAnsi="Arial"/>
                <w:sz w:val="18"/>
                <w:szCs w:val="18"/>
                <w:color w:val="auto"/>
                <w:w w:val="92"/>
              </w:rPr>
              <w:t>Transfer of net realized gain from investments available-for-sale to the income</w:t>
            </w:r>
          </w:p>
        </w:tc>
        <w:tc>
          <w:tcPr>
            <w:tcW w:w="1260" w:type="dxa"/>
            <w:vAlign w:val="bottom"/>
            <w:shd w:val="clear" w:color="auto" w:fill="CCFFCC"/>
          </w:tcPr>
          <w:p>
            <w:pPr>
              <w:spacing w:after="0"/>
              <w:rPr>
                <w:sz w:val="17"/>
                <w:szCs w:val="17"/>
                <w:color w:val="auto"/>
              </w:rPr>
            </w:pPr>
          </w:p>
        </w:tc>
        <w:tc>
          <w:tcPr>
            <w:tcW w:w="180" w:type="dxa"/>
            <w:vAlign w:val="bottom"/>
            <w:tcBorders>
              <w:right w:val="single" w:sz="8" w:color="CCFFCC"/>
            </w:tcBorders>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statement, net of realized loss</w:t>
            </w:r>
          </w:p>
        </w:tc>
        <w:tc>
          <w:tcPr>
            <w:tcW w:w="14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(112,618)</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0"/>
                <w:szCs w:val="20"/>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(112,618)</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3"/>
              </w:rPr>
              <w:t>Transfer of impairment on investment available-for-sale to income statement,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note 5(c)</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9,825</w:t>
            </w: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9,825</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unrealized gain from cash flow hedge, note 11(b)(ii)</w:t>
            </w:r>
          </w:p>
        </w:tc>
        <w:tc>
          <w:tcPr>
            <w:tcW w:w="144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30,317</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30,317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60" w:type="dxa"/>
            <w:vAlign w:val="bottom"/>
          </w:tcPr>
          <w:p>
            <w:pPr>
              <w:spacing w:after="0" w:line="201" w:lineRule="exact"/>
              <w:rPr>
                <w:sz w:val="20"/>
                <w:szCs w:val="20"/>
                <w:color w:val="auto"/>
              </w:rPr>
            </w:pPr>
            <w:r>
              <w:rPr>
                <w:rFonts w:ascii="Arial" w:cs="Arial" w:eastAsia="Arial" w:hAnsi="Arial"/>
                <w:sz w:val="18"/>
                <w:szCs w:val="18"/>
                <w:color w:val="auto"/>
                <w:w w:val="95"/>
              </w:rPr>
              <w:t>Transfer of net realized loss from cash flow hedge to the income statement,</w:t>
            </w: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60" w:type="dxa"/>
            <w:vAlign w:val="bottom"/>
          </w:tcPr>
          <w:p>
            <w:pPr>
              <w:ind w:left="160"/>
              <w:spacing w:after="0"/>
              <w:rPr>
                <w:sz w:val="20"/>
                <w:szCs w:val="20"/>
                <w:color w:val="auto"/>
              </w:rPr>
            </w:pPr>
            <w:r>
              <w:rPr>
                <w:rFonts w:ascii="Arial" w:cs="Arial" w:eastAsia="Arial" w:hAnsi="Arial"/>
                <w:sz w:val="18"/>
                <w:szCs w:val="18"/>
                <w:color w:val="auto"/>
              </w:rPr>
              <w:t>note 11(b)(ii)</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36,274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36,274</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60" w:type="dxa"/>
            <w:vAlign w:val="bottom"/>
            <w:tcBorders>
              <w:right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b w:val="1"/>
                <w:bCs w:val="1"/>
                <w:color w:val="auto"/>
              </w:rPr>
              <w:t>Balances as of December 31, 2009</w:t>
            </w:r>
          </w:p>
        </w:tc>
        <w:tc>
          <w:tcPr>
            <w:tcW w:w="1260" w:type="dxa"/>
            <w:vAlign w:val="bottom"/>
          </w:tcPr>
          <w:p>
            <w:pPr>
              <w:jc w:val="right"/>
              <w:spacing w:after="0"/>
              <w:rPr>
                <w:sz w:val="20"/>
                <w:szCs w:val="20"/>
                <w:color w:val="auto"/>
              </w:rPr>
            </w:pPr>
            <w:r>
              <w:rPr>
                <w:rFonts w:ascii="Arial" w:cs="Arial" w:eastAsia="Arial" w:hAnsi="Arial"/>
                <w:sz w:val="18"/>
                <w:szCs w:val="18"/>
                <w:color w:val="auto"/>
              </w:rPr>
              <w:t>288,977</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(51,531)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237,446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7200" w:type="dxa"/>
            <w:vAlign w:val="bottom"/>
            <w:gridSpan w:val="3"/>
          </w:tcPr>
          <w:p>
            <w:pPr>
              <w:ind w:left="5520"/>
              <w:spacing w:after="0"/>
              <w:rPr>
                <w:sz w:val="20"/>
                <w:szCs w:val="20"/>
                <w:color w:val="auto"/>
              </w:rPr>
            </w:pPr>
            <w:r>
              <w:rPr>
                <w:rFonts w:ascii="Arial" w:cs="Arial" w:eastAsia="Arial" w:hAnsi="Arial"/>
                <w:sz w:val="18"/>
                <w:szCs w:val="18"/>
                <w:color w:val="auto"/>
              </w:rPr>
              <w:t>F-75</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76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Components of other comprehensive income -</w:t>
      </w:r>
    </w:p>
    <w:p>
      <w:pPr>
        <w:spacing w:after="0" w:line="23" w:lineRule="exact"/>
        <w:rPr>
          <w:rFonts w:ascii="Arial" w:cs="Arial" w:eastAsia="Arial" w:hAnsi="Arial"/>
          <w:sz w:val="18"/>
          <w:szCs w:val="18"/>
          <w:color w:val="auto"/>
        </w:rPr>
      </w:pPr>
    </w:p>
    <w:p>
      <w:pPr>
        <w:ind w:left="1140" w:right="200"/>
        <w:spacing w:after="0" w:line="261" w:lineRule="auto"/>
        <w:rPr>
          <w:rFonts w:ascii="Arial" w:cs="Arial" w:eastAsia="Arial" w:hAnsi="Arial"/>
          <w:sz w:val="18"/>
          <w:szCs w:val="18"/>
          <w:color w:val="auto"/>
        </w:rPr>
      </w:pPr>
      <w:r>
        <w:rPr>
          <w:rFonts w:ascii="Arial" w:cs="Arial" w:eastAsia="Arial" w:hAnsi="Arial"/>
          <w:sz w:val="18"/>
          <w:szCs w:val="18"/>
          <w:color w:val="auto"/>
        </w:rPr>
        <w:t>The consolidated statement of comprehensive income includes other comprehensive income from available-for-sale investments and from derivatives instruments used as cash flows hedges; its movement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Available-for-sale investments:</w:t>
            </w: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gain (loss) from available-for-sale investments</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319,041</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(164,302)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85,129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00" w:type="dxa"/>
            <w:vAlign w:val="bottom"/>
          </w:tcPr>
          <w:p>
            <w:pPr>
              <w:spacing w:after="0" w:line="201" w:lineRule="exact"/>
              <w:rPr>
                <w:sz w:val="20"/>
                <w:szCs w:val="20"/>
                <w:color w:val="auto"/>
              </w:rPr>
            </w:pPr>
            <w:r>
              <w:rPr>
                <w:rFonts w:ascii="Arial" w:cs="Arial" w:eastAsia="Arial" w:hAnsi="Arial"/>
                <w:sz w:val="18"/>
                <w:szCs w:val="18"/>
                <w:color w:val="auto"/>
              </w:rPr>
              <w:t>Transfer of net realized gain from investments available-for-sale to the income</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ind w:left="160"/>
              <w:spacing w:after="0"/>
              <w:rPr>
                <w:sz w:val="20"/>
                <w:szCs w:val="20"/>
                <w:color w:val="auto"/>
              </w:rPr>
            </w:pPr>
            <w:r>
              <w:rPr>
                <w:rFonts w:ascii="Arial" w:cs="Arial" w:eastAsia="Arial" w:hAnsi="Arial"/>
                <w:sz w:val="18"/>
                <w:szCs w:val="18"/>
                <w:color w:val="auto"/>
              </w:rPr>
              <w:t>statement, net of realized loss</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(112,618)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(35,684)</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Transfer of impairment on investment available-for-sale to income statement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9,825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55,732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Sub total</w:t>
            </w:r>
          </w:p>
        </w:tc>
        <w:tc>
          <w:tcPr>
            <w:tcW w:w="1000" w:type="dxa"/>
            <w:vAlign w:val="bottom"/>
          </w:tcPr>
          <w:p>
            <w:pPr>
              <w:jc w:val="right"/>
              <w:spacing w:after="0"/>
              <w:rPr>
                <w:sz w:val="20"/>
                <w:szCs w:val="20"/>
                <w:color w:val="auto"/>
              </w:rPr>
            </w:pPr>
            <w:r>
              <w:rPr>
                <w:rFonts w:ascii="Arial" w:cs="Arial" w:eastAsia="Arial" w:hAnsi="Arial"/>
                <w:sz w:val="18"/>
                <w:szCs w:val="18"/>
                <w:color w:val="auto"/>
              </w:rPr>
              <w:t>216,248</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(144,254)</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72,512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 of available-for-sale</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45,019</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(32,876)</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7,283</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(21,516)</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11,046</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268,550</w:t>
            </w:r>
          </w:p>
        </w:tc>
        <w:tc>
          <w:tcPr>
            <w:tcW w:w="18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(198,646)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83,132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Cash flow hedge: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Net unrealized gain (loss) on cash flow hedge</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30,317</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(94,937)</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(39,385)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w w:val="97"/>
              </w:rPr>
              <w:t>Transfer of net realized loss (gain) from cash flow hedge to the income statement</w:t>
            </w:r>
          </w:p>
        </w:tc>
        <w:tc>
          <w:tcPr>
            <w:tcW w:w="1000" w:type="dxa"/>
            <w:vAlign w:val="bottom"/>
          </w:tcPr>
          <w:p>
            <w:pPr>
              <w:jc w:val="right"/>
              <w:spacing w:after="0"/>
              <w:rPr>
                <w:sz w:val="20"/>
                <w:szCs w:val="20"/>
                <w:color w:val="auto"/>
              </w:rPr>
            </w:pPr>
            <w:r>
              <w:rPr>
                <w:rFonts w:ascii="Arial" w:cs="Arial" w:eastAsia="Arial" w:hAnsi="Arial"/>
                <w:sz w:val="18"/>
                <w:szCs w:val="18"/>
                <w:color w:val="auto"/>
              </w:rPr>
              <w:t>36,274</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14,248</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Sub total</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66,591</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(80,689)</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Minority interest of cash flow hedge</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875</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(604)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(1,442)</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00" w:type="dxa"/>
            <w:vAlign w:val="bottom"/>
            <w:shd w:val="clear" w:color="auto" w:fill="CCFFCC"/>
          </w:tcPr>
          <w:p>
            <w:pPr>
              <w:spacing w:after="0"/>
              <w:rPr>
                <w:sz w:val="20"/>
                <w:szCs w:val="20"/>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66,024</w:t>
            </w: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(81,293)</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(40,371)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60" w:hanging="490"/>
        <w:spacing w:after="0"/>
        <w:tabs>
          <w:tab w:leader="none" w:pos="116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Dividend distribution -</w:t>
      </w:r>
    </w:p>
    <w:p>
      <w:pPr>
        <w:spacing w:after="0" w:line="23" w:lineRule="exact"/>
        <w:rPr>
          <w:rFonts w:ascii="Arial" w:cs="Arial" w:eastAsia="Arial" w:hAnsi="Arial"/>
          <w:sz w:val="18"/>
          <w:szCs w:val="18"/>
          <w:color w:val="auto"/>
        </w:rPr>
      </w:pPr>
    </w:p>
    <w:p>
      <w:pPr>
        <w:ind w:left="1140"/>
        <w:spacing w:after="0" w:line="261" w:lineRule="auto"/>
        <w:rPr>
          <w:rFonts w:ascii="Arial" w:cs="Arial" w:eastAsia="Arial" w:hAnsi="Arial"/>
          <w:sz w:val="18"/>
          <w:szCs w:val="18"/>
          <w:color w:val="auto"/>
        </w:rPr>
      </w:pPr>
      <w:r>
        <w:rPr>
          <w:rFonts w:ascii="Arial" w:cs="Arial" w:eastAsia="Arial" w:hAnsi="Arial"/>
          <w:sz w:val="18"/>
          <w:szCs w:val="18"/>
          <w:color w:val="auto"/>
        </w:rPr>
        <w:t>During 2009, 2008 and 2007, Credicorp paid cash dividends, net of the effect of treasury shares, for approximately US$119.3, US$119.6 and US$103.7 million, respectively.</w:t>
      </w:r>
    </w:p>
    <w:p>
      <w:pPr>
        <w:spacing w:after="0" w:line="210" w:lineRule="exact"/>
        <w:rPr>
          <w:rFonts w:ascii="Arial" w:cs="Arial" w:eastAsia="Arial" w:hAnsi="Arial"/>
          <w:sz w:val="18"/>
          <w:szCs w:val="18"/>
          <w:color w:val="auto"/>
        </w:rPr>
      </w:pPr>
    </w:p>
    <w:p>
      <w:pPr>
        <w:ind w:left="1140" w:right="100"/>
        <w:spacing w:after="0" w:line="308" w:lineRule="auto"/>
        <w:rPr>
          <w:rFonts w:ascii="Arial" w:cs="Arial" w:eastAsia="Arial" w:hAnsi="Arial"/>
          <w:sz w:val="18"/>
          <w:szCs w:val="18"/>
          <w:color w:val="auto"/>
        </w:rPr>
      </w:pPr>
      <w:r>
        <w:rPr>
          <w:rFonts w:ascii="Arial" w:cs="Arial" w:eastAsia="Arial" w:hAnsi="Arial"/>
          <w:sz w:val="17"/>
          <w:szCs w:val="17"/>
          <w:color w:val="auto"/>
        </w:rPr>
        <w:t>The Shareholders Meeting dated on March 31, 2010 agreed to declare a cash dividend of US$1.70 per Common Share for a total amount of approximately US$160.4 million, corresponding to the results of 2009, which was paid in cash on May 11, 2010.</w:t>
      </w:r>
    </w:p>
    <w:p>
      <w:pPr>
        <w:spacing w:after="0" w:line="173" w:lineRule="exact"/>
        <w:rPr>
          <w:rFonts w:ascii="Arial" w:cs="Arial" w:eastAsia="Arial" w:hAnsi="Arial"/>
          <w:sz w:val="18"/>
          <w:szCs w:val="18"/>
          <w:color w:val="auto"/>
        </w:rPr>
      </w:pPr>
    </w:p>
    <w:p>
      <w:pPr>
        <w:ind w:left="1140" w:right="360"/>
        <w:spacing w:after="0" w:line="308" w:lineRule="auto"/>
        <w:rPr>
          <w:rFonts w:ascii="Arial" w:cs="Arial" w:eastAsia="Arial" w:hAnsi="Arial"/>
          <w:sz w:val="18"/>
          <w:szCs w:val="18"/>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Dividends paid by the Peruvian subsidiaries to Credicorp are subject to a withholding tax of 4.1 percent.</w:t>
      </w:r>
    </w:p>
    <w:p>
      <w:pPr>
        <w:spacing w:after="0" w:line="3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0" w:right="37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Equity for legal purposes (Regulatory capital) -</w:t>
      </w:r>
    </w:p>
    <w:p>
      <w:pPr>
        <w:spacing w:after="0" w:line="23" w:lineRule="exact"/>
        <w:rPr>
          <w:rFonts w:ascii="Arial" w:cs="Arial" w:eastAsia="Arial" w:hAnsi="Arial"/>
          <w:sz w:val="18"/>
          <w:szCs w:val="18"/>
          <w:color w:val="auto"/>
        </w:rPr>
      </w:pPr>
    </w:p>
    <w:p>
      <w:pPr>
        <w:ind w:left="1140" w:right="160"/>
        <w:spacing w:after="0" w:line="254" w:lineRule="auto"/>
        <w:rPr>
          <w:rFonts w:ascii="Arial" w:cs="Arial" w:eastAsia="Arial" w:hAnsi="Arial"/>
          <w:sz w:val="18"/>
          <w:szCs w:val="18"/>
          <w:color w:val="auto"/>
        </w:rPr>
      </w:pPr>
      <w:r>
        <w:rPr>
          <w:rFonts w:ascii="Arial" w:cs="Arial" w:eastAsia="Arial" w:hAnsi="Arial"/>
          <w:sz w:val="18"/>
          <w:szCs w:val="18"/>
          <w:color w:val="auto"/>
        </w:rPr>
        <w:t>As of December 31, 2009 and 2008, the regulatory capital for Credicorp’s subsidiaries engaged in financial and insurance activities in Peru calculated following SBS regulations amounted to approximately US$ 2,221.1 and US$1,604.7 million, respectively. On the other hand, the consolidated regulatory capital for Credicorp exceeds by approximately US$660.3 million the minimum regulatory capital required as of December 31, 2009 (approximately US$263.6 million as of December 31, 2008).</w:t>
      </w:r>
    </w:p>
    <w:p>
      <w:pPr>
        <w:spacing w:after="0" w:line="212" w:lineRule="exact"/>
        <w:rPr>
          <w:rFonts w:ascii="Arial" w:cs="Arial" w:eastAsia="Arial" w:hAnsi="Arial"/>
          <w:sz w:val="18"/>
          <w:szCs w:val="18"/>
          <w:color w:val="auto"/>
        </w:rPr>
      </w:pPr>
    </w:p>
    <w:p>
      <w:pPr>
        <w:ind w:left="660" w:hanging="652"/>
        <w:spacing w:after="0"/>
        <w:tabs>
          <w:tab w:leader="none" w:pos="66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7" w:lineRule="exact"/>
        <w:rPr>
          <w:rFonts w:ascii="Arial" w:cs="Arial" w:eastAsia="Arial" w:hAnsi="Arial"/>
          <w:sz w:val="18"/>
          <w:szCs w:val="18"/>
          <w:b w:val="1"/>
          <w:bCs w:val="1"/>
          <w:color w:val="auto"/>
        </w:rPr>
      </w:pPr>
    </w:p>
    <w:p>
      <w:pPr>
        <w:ind w:left="1160" w:right="60" w:hanging="490"/>
        <w:spacing w:after="0" w:line="277" w:lineRule="auto"/>
        <w:tabs>
          <w:tab w:leader="none" w:pos="1160" w:val="left"/>
        </w:tabs>
        <w:numPr>
          <w:ilvl w:val="1"/>
          <w:numId w:val="236"/>
        </w:numPr>
        <w:rPr>
          <w:rFonts w:ascii="Arial" w:cs="Arial" w:eastAsia="Arial" w:hAnsi="Arial"/>
          <w:sz w:val="17"/>
          <w:szCs w:val="17"/>
          <w:color w:val="auto"/>
        </w:rPr>
      </w:pPr>
      <w:r>
        <w:rPr>
          <w:rFonts w:ascii="Arial" w:cs="Arial" w:eastAsia="Arial" w:hAnsi="Arial"/>
          <w:sz w:val="17"/>
          <w:szCs w:val="17"/>
          <w:color w:val="auto"/>
        </w:rPr>
        <w:t>Credicorp is not subject to income tax or any taxes on capital gains, equity or property. Credicorp’s Peruvian subsidiaries are subject to corporate taxation on income under the Peruvian Tax system. The statutory Income Tax rate is 30 percent on taxable income after calculating the workers’ profit sharing, which in accordance with current legislation is determined using a 5 percent rate.</w:t>
      </w:r>
    </w:p>
    <w:p>
      <w:pPr>
        <w:spacing w:after="0" w:line="200" w:lineRule="exact"/>
        <w:rPr>
          <w:rFonts w:ascii="Arial" w:cs="Arial" w:eastAsia="Arial" w:hAnsi="Arial"/>
          <w:sz w:val="17"/>
          <w:szCs w:val="17"/>
          <w:color w:val="auto"/>
        </w:rPr>
      </w:pPr>
    </w:p>
    <w:p>
      <w:pPr>
        <w:ind w:left="1140" w:right="60"/>
        <w:spacing w:after="0" w:line="277" w:lineRule="auto"/>
        <w:rPr>
          <w:rFonts w:ascii="Arial" w:cs="Arial" w:eastAsia="Arial" w:hAnsi="Arial"/>
          <w:sz w:val="17"/>
          <w:szCs w:val="17"/>
          <w:color w:val="auto"/>
        </w:rPr>
      </w:pPr>
      <w:r>
        <w:rPr>
          <w:rFonts w:ascii="Arial" w:cs="Arial" w:eastAsia="Arial" w:hAnsi="Arial"/>
          <w:sz w:val="18"/>
          <w:szCs w:val="18"/>
          <w:color w:val="auto"/>
        </w:rPr>
        <w:t>Credicorp´s Bolivian subsidiaries are subject to corporate taxation on income under the Bolivian Tax system. The statutory income tax rate is 25 percent.</w:t>
      </w:r>
    </w:p>
    <w:p>
      <w:pPr>
        <w:spacing w:after="0" w:line="197" w:lineRule="exact"/>
        <w:rPr>
          <w:rFonts w:ascii="Arial" w:cs="Arial" w:eastAsia="Arial" w:hAnsi="Arial"/>
          <w:sz w:val="17"/>
          <w:szCs w:val="17"/>
          <w:color w:val="auto"/>
        </w:rPr>
      </w:pPr>
    </w:p>
    <w:p>
      <w:pPr>
        <w:ind w:left="1140" w:right="20"/>
        <w:spacing w:after="0" w:line="277" w:lineRule="auto"/>
        <w:rPr>
          <w:rFonts w:ascii="Arial" w:cs="Arial" w:eastAsia="Arial" w:hAnsi="Arial"/>
          <w:sz w:val="17"/>
          <w:szCs w:val="17"/>
          <w:color w:val="auto"/>
        </w:rPr>
      </w:pPr>
      <w:r>
        <w:rPr>
          <w:rFonts w:ascii="Arial" w:cs="Arial" w:eastAsia="Arial" w:hAnsi="Arial"/>
          <w:sz w:val="18"/>
          <w:szCs w:val="18"/>
          <w:color w:val="auto"/>
        </w:rPr>
        <w:t>ASHC and its Subsidiaries are not subject to taxes in the Cayman Islands or Panama. For the three years ended December 31, 2009, 2008 and 2007, no taxable income was generated from its operations in the United States of America.</w:t>
      </w:r>
    </w:p>
    <w:p>
      <w:pPr>
        <w:spacing w:after="0" w:line="197" w:lineRule="exact"/>
        <w:rPr>
          <w:rFonts w:ascii="Arial" w:cs="Arial" w:eastAsia="Arial" w:hAnsi="Arial"/>
          <w:sz w:val="17"/>
          <w:szCs w:val="17"/>
          <w:color w:val="auto"/>
        </w:rPr>
      </w:pPr>
    </w:p>
    <w:p>
      <w:pPr>
        <w:ind w:left="1140"/>
        <w:spacing w:after="0"/>
        <w:rPr>
          <w:rFonts w:ascii="Arial" w:cs="Arial" w:eastAsia="Arial" w:hAnsi="Arial"/>
          <w:sz w:val="17"/>
          <w:szCs w:val="17"/>
          <w:color w:val="auto"/>
        </w:rPr>
      </w:pPr>
      <w:r>
        <w:rPr>
          <w:rFonts w:ascii="Arial" w:cs="Arial" w:eastAsia="Arial" w:hAnsi="Arial"/>
          <w:sz w:val="18"/>
          <w:szCs w:val="18"/>
          <w:color w:val="auto"/>
        </w:rPr>
        <w:t>The reconciliation between the statutory income tax rate and the effective tax rate for the Group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80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80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gridSpan w:val="2"/>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statutory income tax rate</w:t>
            </w:r>
          </w:p>
        </w:tc>
        <w:tc>
          <w:tcPr>
            <w:tcW w:w="19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30.00</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30.00</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the statutory tax rate due to:</w:t>
            </w: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w:t>
            </w:r>
          </w:p>
        </w:tc>
        <w:tc>
          <w:tcPr>
            <w:tcW w:w="51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1"/>
              </w:rPr>
              <w:t>Increase arising from net income of subsidiaries not domiciled in Peru</w:t>
            </w:r>
          </w:p>
        </w:tc>
        <w:tc>
          <w:tcPr>
            <w:tcW w:w="19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0.26</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4.39</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(ii)</w:t>
            </w:r>
          </w:p>
        </w:tc>
        <w:tc>
          <w:tcPr>
            <w:tcW w:w="5100" w:type="dxa"/>
            <w:vAlign w:val="bottom"/>
          </w:tcPr>
          <w:p>
            <w:pPr>
              <w:ind w:left="60"/>
              <w:spacing w:after="0"/>
              <w:rPr>
                <w:sz w:val="20"/>
                <w:szCs w:val="20"/>
                <w:color w:val="auto"/>
              </w:rPr>
            </w:pPr>
            <w:r>
              <w:rPr>
                <w:rFonts w:ascii="Arial" w:cs="Arial" w:eastAsia="Arial" w:hAnsi="Arial"/>
                <w:sz w:val="18"/>
                <w:szCs w:val="18"/>
                <w:color w:val="auto"/>
              </w:rPr>
              <w:t>Non-taxable income, net</w:t>
            </w:r>
          </w:p>
        </w:tc>
        <w:tc>
          <w:tcPr>
            <w:tcW w:w="1980" w:type="dxa"/>
            <w:vAlign w:val="bottom"/>
            <w:gridSpan w:val="3"/>
          </w:tcPr>
          <w:p>
            <w:pPr>
              <w:jc w:val="right"/>
              <w:ind w:right="120"/>
              <w:spacing w:after="0"/>
              <w:rPr>
                <w:sz w:val="20"/>
                <w:szCs w:val="20"/>
                <w:color w:val="auto"/>
              </w:rPr>
            </w:pPr>
            <w:r>
              <w:rPr>
                <w:rFonts w:ascii="Arial" w:cs="Arial" w:eastAsia="Arial" w:hAnsi="Arial"/>
                <w:sz w:val="18"/>
                <w:szCs w:val="18"/>
                <w:color w:val="auto"/>
              </w:rPr>
              <w:t>(3.98)</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(14.90)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(5.76)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(iii) Translation results not considered for tax purposes</w:t>
            </w:r>
          </w:p>
        </w:tc>
        <w:tc>
          <w:tcPr>
            <w:tcW w:w="198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(4.74)</w:t>
            </w: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3.38</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500" w:type="dxa"/>
            <w:vAlign w:val="bottom"/>
            <w:tcBorders>
              <w:top w:val="single" w:sz="8" w:color="CCFFCC"/>
            </w:tcBorders>
            <w:gridSpan w:val="2"/>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50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Effective income tax rate</w:t>
            </w:r>
          </w:p>
        </w:tc>
        <w:tc>
          <w:tcPr>
            <w:tcW w:w="800" w:type="dxa"/>
            <w:vAlign w:val="bottom"/>
            <w:shd w:val="clear" w:color="auto" w:fill="CCFFCC"/>
          </w:tcPr>
          <w:p>
            <w:pPr>
              <w:spacing w:after="0"/>
              <w:rPr>
                <w:sz w:val="22"/>
                <w:szCs w:val="22"/>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21.54</w:t>
            </w:r>
          </w:p>
        </w:tc>
        <w:tc>
          <w:tcPr>
            <w:tcW w:w="180" w:type="dxa"/>
            <w:vAlign w:val="bottom"/>
            <w:shd w:val="clear" w:color="auto" w:fill="CCFFCC"/>
          </w:tcPr>
          <w:p>
            <w:pPr>
              <w:spacing w:after="0"/>
              <w:rPr>
                <w:sz w:val="22"/>
                <w:szCs w:val="22"/>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22.87</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21.55</w:t>
            </w: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00" w:type="dxa"/>
            <w:vAlign w:val="bottom"/>
            <w:tcBorders>
              <w:top w:val="single" w:sz="8" w:color="CCFFCC"/>
            </w:tcBorders>
          </w:tcPr>
          <w:p>
            <w:pPr>
              <w:spacing w:after="0"/>
              <w:rPr>
                <w:sz w:val="24"/>
                <w:szCs w:val="24"/>
                <w:color w:val="auto"/>
              </w:rPr>
            </w:pPr>
          </w:p>
        </w:tc>
        <w:tc>
          <w:tcPr>
            <w:tcW w:w="5100" w:type="dxa"/>
            <w:vAlign w:val="bottom"/>
            <w:tcBorders>
              <w:top w:val="single" w:sz="8" w:color="CCFFCC"/>
            </w:tcBorders>
          </w:tcPr>
          <w:p>
            <w:pPr>
              <w:spacing w:after="0"/>
              <w:rPr>
                <w:sz w:val="24"/>
                <w:szCs w:val="24"/>
                <w:color w:val="auto"/>
              </w:rPr>
            </w:pPr>
          </w:p>
        </w:tc>
        <w:tc>
          <w:tcPr>
            <w:tcW w:w="800" w:type="dxa"/>
            <w:vAlign w:val="bottom"/>
            <w:tcBorders>
              <w:top w:val="single" w:sz="8" w:color="CCFFCC"/>
            </w:tcBorders>
          </w:tcPr>
          <w:p>
            <w:pPr>
              <w:ind w:left="20"/>
              <w:spacing w:after="0"/>
              <w:rPr>
                <w:sz w:val="20"/>
                <w:szCs w:val="20"/>
                <w:color w:val="auto"/>
              </w:rPr>
            </w:pPr>
            <w:r>
              <w:rPr>
                <w:rFonts w:ascii="Arial" w:cs="Arial" w:eastAsia="Arial" w:hAnsi="Arial"/>
                <w:sz w:val="18"/>
                <w:szCs w:val="18"/>
                <w:color w:val="auto"/>
              </w:rPr>
              <w:t>F-77</w:t>
            </w:r>
          </w:p>
        </w:tc>
        <w:tc>
          <w:tcPr>
            <w:tcW w:w="1000" w:type="dxa"/>
            <w:vAlign w:val="bottom"/>
            <w:tcBorders>
              <w:top w:val="single" w:sz="8" w:color="auto"/>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CCFFCC"/>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510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Income tax expense as of December 31, 2009, 2008 and 2007 comprises: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w:t>
            </w: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 Peru</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143,925</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110,365</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114,496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In other countries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3,537</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30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147,052</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113,902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117,208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Deferred -</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In Peru</w:t>
            </w: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(8,552)</w:t>
            </w:r>
          </w:p>
        </w:tc>
        <w:tc>
          <w:tcPr>
            <w:tcW w:w="11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(4,394)</w:t>
            </w: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(14,921)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138,500</w:t>
            </w: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109,508</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102,287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deferred income tax has been calculated on all temporary differences considering an income tax rate of 30 percent.</w:t>
      </w:r>
    </w:p>
    <w:p>
      <w:pPr>
        <w:spacing w:after="0" w:line="252" w:lineRule="exact"/>
        <w:rPr>
          <w:sz w:val="20"/>
          <w:szCs w:val="20"/>
          <w:color w:val="auto"/>
        </w:rPr>
      </w:pPr>
    </w:p>
    <w:p>
      <w:pPr>
        <w:ind w:left="1160" w:hanging="490"/>
        <w:spacing w:after="0"/>
        <w:tabs>
          <w:tab w:leader="none" w:pos="11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following table presents a summary of the Group’s deferred income tax: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384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4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US$(000)</w:t>
            </w: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88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Allowance for loan losses, net</w:t>
            </w:r>
          </w:p>
        </w:tc>
        <w:tc>
          <w:tcPr>
            <w:tcW w:w="4020" w:type="dxa"/>
            <w:vAlign w:val="bottom"/>
            <w:gridSpan w:val="3"/>
          </w:tcPr>
          <w:p>
            <w:pPr>
              <w:jc w:val="right"/>
              <w:ind w:right="180"/>
              <w:spacing w:after="0"/>
              <w:rPr>
                <w:sz w:val="20"/>
                <w:szCs w:val="20"/>
                <w:color w:val="auto"/>
              </w:rPr>
            </w:pPr>
            <w:r>
              <w:rPr>
                <w:rFonts w:ascii="Arial" w:cs="Arial" w:eastAsia="Arial" w:hAnsi="Arial"/>
                <w:sz w:val="18"/>
                <w:szCs w:val="18"/>
                <w:color w:val="auto"/>
              </w:rPr>
              <w:t>40,830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28,337</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Share-based compensation rights provision</w:t>
            </w:r>
          </w:p>
        </w:tc>
        <w:tc>
          <w:tcPr>
            <w:tcW w:w="4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14,539</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11,578</w:t>
            </w: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Reserve for sundry risks, net</w:t>
            </w:r>
          </w:p>
        </w:tc>
        <w:tc>
          <w:tcPr>
            <w:tcW w:w="4020" w:type="dxa"/>
            <w:vAlign w:val="bottom"/>
            <w:gridSpan w:val="3"/>
          </w:tcPr>
          <w:p>
            <w:pPr>
              <w:jc w:val="right"/>
              <w:ind w:right="180"/>
              <w:spacing w:after="0"/>
              <w:rPr>
                <w:sz w:val="20"/>
                <w:szCs w:val="20"/>
                <w:color w:val="auto"/>
              </w:rPr>
            </w:pPr>
            <w:r>
              <w:rPr>
                <w:rFonts w:ascii="Arial" w:cs="Arial" w:eastAsia="Arial" w:hAnsi="Arial"/>
                <w:sz w:val="18"/>
                <w:szCs w:val="18"/>
                <w:color w:val="auto"/>
              </w:rPr>
              <w:t>11,369</w:t>
            </w:r>
          </w:p>
        </w:tc>
        <w:tc>
          <w:tcPr>
            <w:tcW w:w="940" w:type="dxa"/>
            <w:vAlign w:val="bottom"/>
          </w:tcPr>
          <w:p>
            <w:pPr>
              <w:jc w:val="right"/>
              <w:spacing w:after="0"/>
              <w:rPr>
                <w:sz w:val="20"/>
                <w:szCs w:val="20"/>
                <w:color w:val="auto"/>
              </w:rPr>
            </w:pPr>
            <w:r>
              <w:rPr>
                <w:rFonts w:ascii="Arial" w:cs="Arial" w:eastAsia="Arial" w:hAnsi="Arial"/>
                <w:sz w:val="18"/>
                <w:szCs w:val="18"/>
                <w:color w:val="auto"/>
              </w:rPr>
              <w:t>9,709</w:t>
            </w: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Non-accrued interest</w:t>
            </w:r>
          </w:p>
        </w:tc>
        <w:tc>
          <w:tcPr>
            <w:tcW w:w="40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1,763</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1,713</w:t>
            </w: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Tax loss carry-forward –PPS</w:t>
            </w:r>
          </w:p>
        </w:tc>
        <w:tc>
          <w:tcPr>
            <w:tcW w:w="4020" w:type="dxa"/>
            <w:vAlign w:val="bottom"/>
            <w:gridSpan w:val="3"/>
          </w:tcPr>
          <w:p>
            <w:pPr>
              <w:jc w:val="right"/>
              <w:ind w:right="180"/>
              <w:spacing w:after="0"/>
              <w:rPr>
                <w:sz w:val="20"/>
                <w:szCs w:val="20"/>
                <w:color w:val="auto"/>
              </w:rPr>
            </w:pPr>
            <w:r>
              <w:rPr>
                <w:rFonts w:ascii="Arial" w:cs="Arial" w:eastAsia="Arial" w:hAnsi="Arial"/>
                <w:sz w:val="18"/>
                <w:szCs w:val="18"/>
                <w:color w:val="auto"/>
              </w:rPr>
              <w:t>251</w:t>
            </w:r>
          </w:p>
        </w:tc>
        <w:tc>
          <w:tcPr>
            <w:tcW w:w="940" w:type="dxa"/>
            <w:vAlign w:val="bottom"/>
          </w:tcPr>
          <w:p>
            <w:pPr>
              <w:jc w:val="right"/>
              <w:spacing w:after="0"/>
              <w:rPr>
                <w:sz w:val="20"/>
                <w:szCs w:val="20"/>
                <w:color w:val="auto"/>
              </w:rPr>
            </w:pPr>
            <w:r>
              <w:rPr>
                <w:rFonts w:ascii="Arial" w:cs="Arial" w:eastAsia="Arial" w:hAnsi="Arial"/>
                <w:sz w:val="18"/>
                <w:szCs w:val="18"/>
                <w:color w:val="auto"/>
              </w:rPr>
              <w:t>6,013</w:t>
            </w: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2880" w:type="dxa"/>
            <w:vAlign w:val="bottom"/>
            <w:tcBorders>
              <w:bottom w:val="single" w:sz="8" w:color="CCFFCC"/>
            </w:tcBorders>
            <w:shd w:val="clear" w:color="auto" w:fill="CCFFCC"/>
          </w:tcPr>
          <w:p>
            <w:pPr>
              <w:spacing w:after="0"/>
              <w:rPr>
                <w:sz w:val="19"/>
                <w:szCs w:val="19"/>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15,318</w:t>
            </w:r>
          </w:p>
        </w:tc>
        <w:tc>
          <w:tcPr>
            <w:tcW w:w="180" w:type="dxa"/>
            <w:vAlign w:val="bottom"/>
            <w:tcBorders>
              <w:bottom w:val="single" w:sz="8" w:color="CCFFCC"/>
            </w:tcBorders>
            <w:shd w:val="clear" w:color="auto" w:fill="CCFFCC"/>
          </w:tcPr>
          <w:p>
            <w:pPr>
              <w:spacing w:after="0"/>
              <w:rPr>
                <w:sz w:val="19"/>
                <w:szCs w:val="19"/>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9,823</w:t>
            </w:r>
          </w:p>
        </w:tc>
        <w:tc>
          <w:tcPr>
            <w:tcW w:w="80" w:type="dxa"/>
            <w:vAlign w:val="bottom"/>
            <w:tcBorders>
              <w:bottom w:val="single" w:sz="8" w:color="CCFFCC"/>
            </w:tcBorders>
            <w:shd w:val="clear" w:color="auto" w:fill="CCFFCC"/>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Deferred income tax asset</w:t>
            </w:r>
          </w:p>
        </w:tc>
        <w:tc>
          <w:tcPr>
            <w:tcW w:w="4020" w:type="dxa"/>
            <w:vAlign w:val="bottom"/>
            <w:gridSpan w:val="3"/>
          </w:tcPr>
          <w:p>
            <w:pPr>
              <w:jc w:val="right"/>
              <w:ind w:right="180"/>
              <w:spacing w:after="0"/>
              <w:rPr>
                <w:sz w:val="20"/>
                <w:szCs w:val="20"/>
                <w:color w:val="auto"/>
              </w:rPr>
            </w:pPr>
            <w:r>
              <w:rPr>
                <w:rFonts w:ascii="Arial" w:cs="Arial" w:eastAsia="Arial" w:hAnsi="Arial"/>
                <w:sz w:val="18"/>
                <w:szCs w:val="18"/>
                <w:color w:val="auto"/>
              </w:rPr>
              <w:t>84,070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67,173</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FFCC"/>
          </w:tcPr>
          <w:p>
            <w:pPr>
              <w:spacing w:after="0"/>
              <w:rPr>
                <w:sz w:val="18"/>
                <w:szCs w:val="18"/>
                <w:color w:val="auto"/>
              </w:rPr>
            </w:pPr>
          </w:p>
        </w:tc>
        <w:tc>
          <w:tcPr>
            <w:tcW w:w="28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Unrealized net gains on investments</w:t>
            </w:r>
          </w:p>
        </w:tc>
        <w:tc>
          <w:tcPr>
            <w:tcW w:w="4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(28,771)</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(13,494)</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Intangibles assets, net</w:t>
            </w:r>
          </w:p>
        </w:tc>
        <w:tc>
          <w:tcPr>
            <w:tcW w:w="4020" w:type="dxa"/>
            <w:vAlign w:val="bottom"/>
            <w:gridSpan w:val="3"/>
          </w:tcPr>
          <w:p>
            <w:pPr>
              <w:jc w:val="right"/>
              <w:ind w:right="120"/>
              <w:spacing w:after="0"/>
              <w:rPr>
                <w:sz w:val="20"/>
                <w:szCs w:val="20"/>
                <w:color w:val="auto"/>
              </w:rPr>
            </w:pPr>
            <w:r>
              <w:rPr>
                <w:rFonts w:ascii="Arial" w:cs="Arial" w:eastAsia="Arial" w:hAnsi="Arial"/>
                <w:sz w:val="18"/>
                <w:szCs w:val="18"/>
                <w:color w:val="auto"/>
              </w:rPr>
              <w:t>(24,960)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(23,128)</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Deferred commissions</w:t>
            </w:r>
          </w:p>
        </w:tc>
        <w:tc>
          <w:tcPr>
            <w:tcW w:w="4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(7,996)</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(6,926)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Indexed certificates</w:t>
            </w:r>
          </w:p>
        </w:tc>
        <w:tc>
          <w:tcPr>
            <w:tcW w:w="4020" w:type="dxa"/>
            <w:vAlign w:val="bottom"/>
            <w:gridSpan w:val="3"/>
          </w:tcPr>
          <w:p>
            <w:pPr>
              <w:jc w:val="right"/>
              <w:ind w:right="120"/>
              <w:spacing w:after="0"/>
              <w:rPr>
                <w:sz w:val="20"/>
                <w:szCs w:val="20"/>
                <w:color w:val="auto"/>
              </w:rPr>
            </w:pPr>
            <w:r>
              <w:rPr>
                <w:rFonts w:ascii="Arial" w:cs="Arial" w:eastAsia="Arial" w:hAnsi="Arial"/>
                <w:sz w:val="18"/>
                <w:szCs w:val="18"/>
                <w:color w:val="auto"/>
              </w:rPr>
              <w:t>(7,388)</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(815)</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Leasing operations, net</w:t>
            </w:r>
          </w:p>
        </w:tc>
        <w:tc>
          <w:tcPr>
            <w:tcW w:w="402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(2,303)</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(1,862)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Gain for difference tax exchange</w:t>
            </w:r>
          </w:p>
        </w:tc>
        <w:tc>
          <w:tcPr>
            <w:tcW w:w="4020" w:type="dxa"/>
            <w:vAlign w:val="bottom"/>
            <w:gridSpan w:val="3"/>
          </w:tcPr>
          <w:p>
            <w:pPr>
              <w:jc w:val="right"/>
              <w:ind w:right="120"/>
              <w:spacing w:after="0"/>
              <w:rPr>
                <w:sz w:val="20"/>
                <w:szCs w:val="20"/>
                <w:color w:val="auto"/>
              </w:rPr>
            </w:pPr>
            <w:r>
              <w:rPr>
                <w:rFonts w:ascii="Arial" w:cs="Arial" w:eastAsia="Arial" w:hAnsi="Arial"/>
                <w:sz w:val="18"/>
                <w:szCs w:val="18"/>
                <w:color w:val="auto"/>
              </w:rPr>
              <w:t>(1,434)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(5,502)</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28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(16,554)</w:t>
            </w:r>
          </w:p>
        </w:tc>
        <w:tc>
          <w:tcPr>
            <w:tcW w:w="10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(14,406)</w:t>
            </w: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shd w:val="clear" w:color="auto" w:fill="CCFFCC"/>
          </w:tcPr>
          <w:p>
            <w:pPr>
              <w:spacing w:after="0"/>
              <w:rPr>
                <w:sz w:val="2"/>
                <w:szCs w:val="2"/>
                <w:color w:val="auto"/>
              </w:rPr>
            </w:pPr>
          </w:p>
        </w:tc>
        <w:tc>
          <w:tcPr>
            <w:tcW w:w="28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Deferred income tax liability</w:t>
            </w:r>
          </w:p>
        </w:tc>
        <w:tc>
          <w:tcPr>
            <w:tcW w:w="288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(89,406)</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(66,133)</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FFCC"/>
          </w:tcPr>
          <w:p>
            <w:pPr>
              <w:spacing w:after="0"/>
              <w:rPr>
                <w:sz w:val="18"/>
                <w:szCs w:val="18"/>
                <w:color w:val="auto"/>
              </w:rPr>
            </w:pPr>
          </w:p>
        </w:tc>
        <w:tc>
          <w:tcPr>
            <w:tcW w:w="28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Net deferred income tax asset (liability)</w:t>
            </w:r>
          </w:p>
        </w:tc>
        <w:tc>
          <w:tcPr>
            <w:tcW w:w="28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(5,336)</w:t>
            </w:r>
          </w:p>
        </w:tc>
        <w:tc>
          <w:tcPr>
            <w:tcW w:w="940" w:type="dxa"/>
            <w:vAlign w:val="bottom"/>
          </w:tcPr>
          <w:p>
            <w:pPr>
              <w:jc w:val="right"/>
              <w:spacing w:after="0"/>
              <w:rPr>
                <w:sz w:val="20"/>
                <w:szCs w:val="20"/>
                <w:color w:val="auto"/>
              </w:rPr>
            </w:pPr>
            <w:r>
              <w:rPr>
                <w:rFonts w:ascii="Arial" w:cs="Arial" w:eastAsia="Arial" w:hAnsi="Arial"/>
                <w:sz w:val="18"/>
                <w:szCs w:val="18"/>
                <w:color w:val="auto"/>
              </w:rPr>
              <w:t>1,040</w:t>
            </w: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020" w:type="dxa"/>
            <w:vAlign w:val="bottom"/>
            <w:gridSpan w:val="3"/>
          </w:tcPr>
          <w:p>
            <w:pPr>
              <w:jc w:val="right"/>
              <w:ind w:right="2460"/>
              <w:spacing w:after="0"/>
              <w:rPr>
                <w:sz w:val="20"/>
                <w:szCs w:val="20"/>
                <w:color w:val="auto"/>
              </w:rPr>
            </w:pPr>
            <w:r>
              <w:rPr>
                <w:rFonts w:ascii="Arial" w:cs="Arial" w:eastAsia="Arial" w:hAnsi="Arial"/>
                <w:sz w:val="18"/>
                <w:szCs w:val="18"/>
                <w:color w:val="auto"/>
              </w:rPr>
              <w:t>F-78</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300" w:type="dxa"/>
            <w:vAlign w:val="bottom"/>
            <w:tcBorders>
              <w:bottom w:val="single" w:sz="8" w:color="808080"/>
            </w:tcBorders>
          </w:tcPr>
          <w:p>
            <w:pPr>
              <w:spacing w:after="0"/>
              <w:rPr>
                <w:sz w:val="10"/>
                <w:szCs w:val="10"/>
                <w:color w:val="auto"/>
              </w:rPr>
            </w:pPr>
          </w:p>
        </w:tc>
        <w:tc>
          <w:tcPr>
            <w:tcW w:w="28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100"/>
        <w:spacing w:after="0" w:line="257" w:lineRule="auto"/>
        <w:rPr>
          <w:sz w:val="20"/>
          <w:szCs w:val="20"/>
          <w:color w:val="auto"/>
        </w:rPr>
      </w:pPr>
      <w:r>
        <w:rPr>
          <w:rFonts w:ascii="Arial" w:cs="Arial" w:eastAsia="Arial" w:hAnsi="Arial"/>
          <w:sz w:val="18"/>
          <w:szCs w:val="18"/>
          <w:color w:val="auto"/>
        </w:rPr>
        <w:t>Credicorp and its subsidiaries have recorded a deferred income tax as part of the equity caption “Other reserves” for US$14.1, US$19.6, and US$10.1 million, as of December 31, 2009, 2008, and 2007, respectively, related to the income tax effects of unrealized gains and losses on investments available for sale and cash flow hedges. Likewise, the Group recognized the deferred tax liability arising from the acquisition of Edyficar (Note 2) and AFP Unión Vida (year 2006) for approximately US$24.3 million as of December 31, 2009 (US$23.4 million as of December 31, 2008).</w:t>
      </w:r>
    </w:p>
    <w:p>
      <w:pPr>
        <w:spacing w:after="0" w:line="215" w:lineRule="exact"/>
        <w:rPr>
          <w:sz w:val="20"/>
          <w:szCs w:val="20"/>
          <w:color w:val="auto"/>
        </w:rPr>
      </w:pPr>
    </w:p>
    <w:p>
      <w:pPr>
        <w:ind w:left="1160" w:right="20" w:hanging="490"/>
        <w:spacing w:after="0" w:line="312" w:lineRule="auto"/>
        <w:tabs>
          <w:tab w:leader="none" w:pos="116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The Peruvian Tax Authority has the right to review and, if necessary, amend the annual tax returns of the Peruvian subsidiaries up to four years after their filing. BCP’s tax returns for years 2001-2005 and PPS’s tax returns for years 2001-2006, were reviewed by the Tax Authority; no significant additional taxes arose from said reviews. Management of each subsidiary has filed an appeal in the applicable cases.</w:t>
      </w:r>
    </w:p>
    <w:p>
      <w:pPr>
        <w:spacing w:after="0" w:line="173" w:lineRule="exact"/>
        <w:rPr>
          <w:rFonts w:ascii="Arial" w:cs="Arial" w:eastAsia="Arial" w:hAnsi="Arial"/>
          <w:sz w:val="16"/>
          <w:szCs w:val="16"/>
          <w:color w:val="auto"/>
        </w:rPr>
      </w:pPr>
    </w:p>
    <w:p>
      <w:pPr>
        <w:jc w:val="both"/>
        <w:ind w:left="1140"/>
        <w:spacing w:after="0" w:line="279" w:lineRule="auto"/>
        <w:rPr>
          <w:rFonts w:ascii="Arial" w:cs="Arial" w:eastAsia="Arial" w:hAnsi="Arial"/>
          <w:sz w:val="16"/>
          <w:szCs w:val="16"/>
          <w:color w:val="auto"/>
        </w:rPr>
      </w:pPr>
      <w:r>
        <w:rPr>
          <w:rFonts w:ascii="Arial" w:cs="Arial" w:eastAsia="Arial" w:hAnsi="Arial"/>
          <w:sz w:val="17"/>
          <w:szCs w:val="17"/>
          <w:color w:val="auto"/>
        </w:rPr>
        <w:t>The annual tax returns 2006 to 2008 for BCP and 2007 to 2008 for PPS, are pending review. Any additional tax arising as a result of the Tax Authority review will be charged to income in the year when such additional tax is determined. At present, it is not possible to estimate the adjustments that the Tax Authority may determine; however, in Management’s opinion, it is not expected that any additional tax will be determined in amounts considered significant to the consolidated financial statements as of December 31, 2009 and 2008.</w:t>
      </w:r>
    </w:p>
    <w:p>
      <w:pPr>
        <w:spacing w:after="0" w:line="194" w:lineRule="exact"/>
        <w:rPr>
          <w:rFonts w:ascii="Arial" w:cs="Arial" w:eastAsia="Arial" w:hAnsi="Arial"/>
          <w:sz w:val="16"/>
          <w:szCs w:val="16"/>
          <w:color w:val="auto"/>
        </w:rPr>
      </w:pPr>
    </w:p>
    <w:p>
      <w:pPr>
        <w:ind w:left="660" w:hanging="652"/>
        <w:spacing w:after="0"/>
        <w:tabs>
          <w:tab w:leader="none" w:pos="660"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7" w:lineRule="exact"/>
        <w:rPr>
          <w:rFonts w:ascii="Arial" w:cs="Arial" w:eastAsia="Arial" w:hAnsi="Arial"/>
          <w:sz w:val="18"/>
          <w:szCs w:val="18"/>
          <w:b w:val="1"/>
          <w:bCs w:val="1"/>
          <w:color w:val="auto"/>
        </w:rPr>
      </w:pPr>
    </w:p>
    <w:p>
      <w:pPr>
        <w:ind w:left="1160" w:hanging="490"/>
        <w:spacing w:after="0"/>
        <w:tabs>
          <w:tab w:leader="none" w:pos="11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9" w:lineRule="exact"/>
        <w:rPr>
          <w:rFonts w:ascii="Arial" w:cs="Arial" w:eastAsia="Arial" w:hAnsi="Arial"/>
          <w:sz w:val="18"/>
          <w:szCs w:val="18"/>
          <w:color w:val="auto"/>
        </w:rPr>
      </w:pPr>
    </w:p>
    <w:p>
      <w:pPr>
        <w:jc w:val="both"/>
        <w:ind w:left="1140"/>
        <w:spacing w:after="0" w:line="255" w:lineRule="auto"/>
        <w:rPr>
          <w:rFonts w:ascii="Arial" w:cs="Arial" w:eastAsia="Arial" w:hAnsi="Arial"/>
          <w:sz w:val="18"/>
          <w:szCs w:val="18"/>
          <w:color w:val="auto"/>
        </w:rPr>
      </w:pPr>
      <w:r>
        <w:rPr>
          <w:rFonts w:ascii="Arial" w:cs="Arial" w:eastAsia="Arial" w:hAnsi="Arial"/>
          <w:sz w:val="18"/>
          <w:szCs w:val="18"/>
          <w:color w:val="auto"/>
        </w:rPr>
        <w:t>As indicated in note 3(w), Credicorp has granted stock appreciation rights (SARs) to certain key employees who have at least one year serving Credicorp or any of its subsidiaries. At the grant date and in each one of the subsequent three years, the granted SARs may be exercised up to 25 percent of all SARs granted in the plan. The SARs expire up to 2014.</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number of outstanding SARs and their exercise prices are as follows:</w:t>
      </w:r>
    </w:p>
    <w:p>
      <w:pPr>
        <w:spacing w:after="0" w:line="248"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1840" w:type="dxa"/>
            <w:vAlign w:val="bottom"/>
          </w:tcPr>
          <w:p>
            <w:pPr>
              <w:jc w:val="center"/>
              <w:ind w:right="230"/>
              <w:spacing w:after="0"/>
              <w:rPr>
                <w:sz w:val="20"/>
                <w:szCs w:val="20"/>
                <w:color w:val="auto"/>
              </w:rPr>
            </w:pPr>
            <w:r>
              <w:rPr>
                <w:rFonts w:ascii="Arial" w:cs="Arial" w:eastAsia="Arial" w:hAnsi="Arial"/>
                <w:sz w:val="18"/>
                <w:szCs w:val="18"/>
                <w:b w:val="1"/>
                <w:bCs w:val="1"/>
                <w:color w:val="auto"/>
                <w:w w:val="91"/>
              </w:rPr>
              <w:t>Year of</w:t>
            </w:r>
          </w:p>
        </w:tc>
        <w:tc>
          <w:tcPr>
            <w:tcW w:w="238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Number of outstanding SARs</w:t>
            </w:r>
          </w:p>
        </w:tc>
        <w:tc>
          <w:tcPr>
            <w:tcW w:w="400" w:type="dxa"/>
            <w:vAlign w:val="bottom"/>
          </w:tcPr>
          <w:p>
            <w:pPr>
              <w:spacing w:after="0"/>
              <w:rPr>
                <w:sz w:val="18"/>
                <w:szCs w:val="18"/>
                <w:color w:val="auto"/>
              </w:rPr>
            </w:pPr>
          </w:p>
        </w:tc>
        <w:tc>
          <w:tcPr>
            <w:tcW w:w="230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9"/>
              </w:rPr>
              <w:t>Number of Vested SARs</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1"/>
        </w:trPr>
        <w:tc>
          <w:tcPr>
            <w:tcW w:w="1840" w:type="dxa"/>
            <w:vAlign w:val="bottom"/>
          </w:tcPr>
          <w:p>
            <w:pPr>
              <w:jc w:val="center"/>
              <w:ind w:right="210"/>
              <w:spacing w:after="0"/>
              <w:rPr>
                <w:sz w:val="20"/>
                <w:szCs w:val="20"/>
                <w:color w:val="auto"/>
              </w:rPr>
            </w:pPr>
            <w:r>
              <w:rPr>
                <w:rFonts w:ascii="Arial" w:cs="Arial" w:eastAsia="Arial" w:hAnsi="Arial"/>
                <w:sz w:val="18"/>
                <w:szCs w:val="18"/>
                <w:b w:val="1"/>
                <w:bCs w:val="1"/>
                <w:color w:val="auto"/>
                <w:w w:val="85"/>
              </w:rPr>
              <w:t>Issuance</w:t>
            </w:r>
          </w:p>
        </w:tc>
        <w:tc>
          <w:tcPr>
            <w:tcW w:w="23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5"/>
              </w:rPr>
              <w:t>issued as of December 31</w:t>
            </w:r>
          </w:p>
        </w:tc>
        <w:tc>
          <w:tcPr>
            <w:tcW w:w="400" w:type="dxa"/>
            <w:vAlign w:val="bottom"/>
          </w:tcPr>
          <w:p>
            <w:pPr>
              <w:spacing w:after="0"/>
              <w:rPr>
                <w:sz w:val="20"/>
                <w:szCs w:val="20"/>
                <w:color w:val="auto"/>
              </w:rPr>
            </w:pPr>
          </w:p>
        </w:tc>
        <w:tc>
          <w:tcPr>
            <w:tcW w:w="230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as of December 31</w:t>
            </w:r>
          </w:p>
        </w:tc>
        <w:tc>
          <w:tcPr>
            <w:tcW w:w="380" w:type="dxa"/>
            <w:vAlign w:val="bottom"/>
          </w:tcPr>
          <w:p>
            <w:pPr>
              <w:spacing w:after="0"/>
              <w:rPr>
                <w:sz w:val="20"/>
                <w:szCs w:val="20"/>
                <w:color w:val="auto"/>
              </w:rPr>
            </w:pPr>
          </w:p>
        </w:tc>
        <w:tc>
          <w:tcPr>
            <w:tcW w:w="2380" w:type="dxa"/>
            <w:vAlign w:val="bottom"/>
            <w:gridSpan w:val="3"/>
          </w:tcPr>
          <w:p>
            <w:pPr>
              <w:ind w:left="600"/>
              <w:spacing w:after="0"/>
              <w:rPr>
                <w:sz w:val="20"/>
                <w:szCs w:val="20"/>
                <w:color w:val="auto"/>
              </w:rPr>
            </w:pPr>
            <w:r>
              <w:rPr>
                <w:rFonts w:ascii="Arial" w:cs="Arial" w:eastAsia="Arial" w:hAnsi="Arial"/>
                <w:sz w:val="18"/>
                <w:szCs w:val="18"/>
                <w:b w:val="1"/>
                <w:bCs w:val="1"/>
                <w:color w:val="auto"/>
              </w:rPr>
              <w:t>Exercise price</w:t>
            </w:r>
          </w:p>
        </w:tc>
      </w:tr>
      <w:tr>
        <w:trPr>
          <w:trHeight w:val="202"/>
        </w:trPr>
        <w:tc>
          <w:tcPr>
            <w:tcW w:w="1840" w:type="dxa"/>
            <w:vAlign w:val="bottom"/>
          </w:tcPr>
          <w:p>
            <w:pPr>
              <w:spacing w:after="0"/>
              <w:rPr>
                <w:sz w:val="17"/>
                <w:szCs w:val="17"/>
                <w:color w:val="auto"/>
              </w:rPr>
            </w:pPr>
          </w:p>
        </w:tc>
        <w:tc>
          <w:tcPr>
            <w:tcW w:w="98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b w:val="1"/>
                <w:bCs w:val="1"/>
                <w:color w:val="auto"/>
              </w:rPr>
              <w:t>2009</w:t>
            </w:r>
          </w:p>
        </w:tc>
        <w:tc>
          <w:tcPr>
            <w:tcW w:w="1400" w:type="dxa"/>
            <w:vAlign w:val="bottom"/>
            <w:tcBorders>
              <w:top w:val="single" w:sz="8" w:color="auto"/>
            </w:tcBorders>
            <w:gridSpan w:val="2"/>
          </w:tcPr>
          <w:p>
            <w:pPr>
              <w:jc w:val="right"/>
              <w:ind w:right="70"/>
              <w:spacing w:after="0" w:line="201" w:lineRule="exact"/>
              <w:rPr>
                <w:sz w:val="20"/>
                <w:szCs w:val="20"/>
                <w:color w:val="auto"/>
              </w:rPr>
            </w:pPr>
            <w:r>
              <w:rPr>
                <w:rFonts w:ascii="Arial" w:cs="Arial" w:eastAsia="Arial" w:hAnsi="Arial"/>
                <w:sz w:val="18"/>
                <w:szCs w:val="18"/>
                <w:b w:val="1"/>
                <w:bCs w:val="1"/>
                <w:color w:val="auto"/>
              </w:rPr>
              <w:t>2008(*)</w:t>
            </w:r>
          </w:p>
        </w:tc>
        <w:tc>
          <w:tcPr>
            <w:tcW w:w="400" w:type="dxa"/>
            <w:vAlign w:val="bottom"/>
          </w:tcPr>
          <w:p>
            <w:pPr>
              <w:spacing w:after="0"/>
              <w:rPr>
                <w:sz w:val="17"/>
                <w:szCs w:val="17"/>
                <w:color w:val="auto"/>
              </w:rPr>
            </w:pPr>
          </w:p>
        </w:tc>
        <w:tc>
          <w:tcPr>
            <w:tcW w:w="960" w:type="dxa"/>
            <w:vAlign w:val="bottom"/>
            <w:tcBorders>
              <w:top w:val="single" w:sz="8" w:color="auto"/>
            </w:tcBorders>
          </w:tcPr>
          <w:p>
            <w:pPr>
              <w:jc w:val="right"/>
              <w:ind w:right="210"/>
              <w:spacing w:after="0" w:line="201" w:lineRule="exact"/>
              <w:rPr>
                <w:sz w:val="20"/>
                <w:szCs w:val="20"/>
                <w:color w:val="auto"/>
              </w:rPr>
            </w:pPr>
            <w:r>
              <w:rPr>
                <w:rFonts w:ascii="Arial" w:cs="Arial" w:eastAsia="Arial" w:hAnsi="Arial"/>
                <w:sz w:val="18"/>
                <w:szCs w:val="18"/>
                <w:b w:val="1"/>
                <w:bCs w:val="1"/>
                <w:color w:val="auto"/>
              </w:rPr>
              <w:t>2009</w:t>
            </w:r>
          </w:p>
        </w:tc>
        <w:tc>
          <w:tcPr>
            <w:tcW w:w="1340" w:type="dxa"/>
            <w:vAlign w:val="bottom"/>
            <w:tcBorders>
              <w:top w:val="single" w:sz="8" w:color="auto"/>
            </w:tcBorders>
            <w:gridSpan w:val="2"/>
          </w:tcPr>
          <w:p>
            <w:pPr>
              <w:jc w:val="right"/>
              <w:ind w:right="210"/>
              <w:spacing w:after="0" w:line="201" w:lineRule="exact"/>
              <w:rPr>
                <w:sz w:val="20"/>
                <w:szCs w:val="20"/>
                <w:color w:val="auto"/>
              </w:rPr>
            </w:pPr>
            <w:r>
              <w:rPr>
                <w:rFonts w:ascii="Arial" w:cs="Arial" w:eastAsia="Arial" w:hAnsi="Arial"/>
                <w:sz w:val="18"/>
                <w:szCs w:val="18"/>
                <w:b w:val="1"/>
                <w:bCs w:val="1"/>
                <w:color w:val="auto"/>
              </w:rPr>
              <w:t>2008</w:t>
            </w:r>
          </w:p>
        </w:tc>
        <w:tc>
          <w:tcPr>
            <w:tcW w:w="380" w:type="dxa"/>
            <w:vAlign w:val="bottom"/>
          </w:tcPr>
          <w:p>
            <w:pPr>
              <w:spacing w:after="0"/>
              <w:rPr>
                <w:sz w:val="17"/>
                <w:szCs w:val="17"/>
                <w:color w:val="auto"/>
              </w:rPr>
            </w:pPr>
          </w:p>
        </w:tc>
        <w:tc>
          <w:tcPr>
            <w:tcW w:w="1280" w:type="dxa"/>
            <w:vAlign w:val="bottom"/>
            <w:tcBorders>
              <w:top w:val="single" w:sz="8" w:color="auto"/>
            </w:tcBorders>
          </w:tcPr>
          <w:p>
            <w:pPr>
              <w:jc w:val="right"/>
              <w:ind w:right="530"/>
              <w:spacing w:after="0" w:line="201" w:lineRule="exact"/>
              <w:rPr>
                <w:sz w:val="20"/>
                <w:szCs w:val="20"/>
                <w:color w:val="auto"/>
              </w:rPr>
            </w:pPr>
            <w:r>
              <w:rPr>
                <w:rFonts w:ascii="Arial" w:cs="Arial" w:eastAsia="Arial" w:hAnsi="Arial"/>
                <w:sz w:val="18"/>
                <w:szCs w:val="18"/>
                <w:b w:val="1"/>
                <w:bCs w:val="1"/>
                <w:color w:val="auto"/>
              </w:rPr>
              <w:t>2009</w:t>
            </w:r>
          </w:p>
        </w:tc>
        <w:tc>
          <w:tcPr>
            <w:tcW w:w="1020" w:type="dxa"/>
            <w:vAlign w:val="bottom"/>
            <w:tcBorders>
              <w:top w:val="single" w:sz="8" w:color="auto"/>
            </w:tcBorders>
          </w:tcPr>
          <w:p>
            <w:pPr>
              <w:jc w:val="right"/>
              <w:ind w:right="230"/>
              <w:spacing w:after="0" w:line="201" w:lineRule="exact"/>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17"/>
                <w:szCs w:val="17"/>
                <w:color w:val="auto"/>
              </w:rPr>
            </w:pPr>
          </w:p>
        </w:tc>
      </w:tr>
      <w:tr>
        <w:trPr>
          <w:trHeight w:val="230"/>
        </w:trPr>
        <w:tc>
          <w:tcPr>
            <w:tcW w:w="1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US$</w:t>
            </w:r>
          </w:p>
        </w:tc>
        <w:tc>
          <w:tcPr>
            <w:tcW w:w="1100" w:type="dxa"/>
            <w:vAlign w:val="bottom"/>
            <w:gridSpan w:val="2"/>
          </w:tcPr>
          <w:p>
            <w:pPr>
              <w:ind w:left="360"/>
              <w:spacing w:after="0"/>
              <w:rPr>
                <w:sz w:val="20"/>
                <w:szCs w:val="20"/>
                <w:color w:val="auto"/>
              </w:rPr>
            </w:pPr>
            <w:r>
              <w:rPr>
                <w:rFonts w:ascii="Arial" w:cs="Arial" w:eastAsia="Arial" w:hAnsi="Arial"/>
                <w:sz w:val="18"/>
                <w:szCs w:val="18"/>
                <w:color w:val="auto"/>
              </w:rPr>
              <w:t>US$</w:t>
            </w:r>
          </w:p>
        </w:tc>
      </w:tr>
      <w:tr>
        <w:trPr>
          <w:trHeight w:val="216"/>
        </w:trPr>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840" w:type="dxa"/>
            <w:vAlign w:val="bottom"/>
            <w:shd w:val="clear" w:color="auto" w:fill="CCFFCC"/>
          </w:tcPr>
          <w:p>
            <w:pPr>
              <w:jc w:val="center"/>
              <w:ind w:right="230"/>
              <w:spacing w:after="0"/>
              <w:rPr>
                <w:sz w:val="20"/>
                <w:szCs w:val="20"/>
                <w:color w:val="auto"/>
              </w:rPr>
            </w:pPr>
            <w:r>
              <w:rPr>
                <w:rFonts w:ascii="Arial" w:cs="Arial" w:eastAsia="Arial" w:hAnsi="Arial"/>
                <w:sz w:val="18"/>
                <w:szCs w:val="18"/>
                <w:color w:val="auto"/>
                <w:w w:val="89"/>
              </w:rPr>
              <w:t>2001</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60,000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60,000</w:t>
            </w:r>
          </w:p>
        </w:tc>
        <w:tc>
          <w:tcPr>
            <w:tcW w:w="16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4.30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w:t>
            </w:r>
          </w:p>
        </w:tc>
        <w:tc>
          <w:tcPr>
            <w:tcW w:w="80" w:type="dxa"/>
            <w:vAlign w:val="bottom"/>
            <w:shd w:val="clear" w:color="auto" w:fill="CCFFCC"/>
          </w:tcPr>
          <w:p>
            <w:pPr>
              <w:spacing w:after="0"/>
              <w:rPr>
                <w:sz w:val="18"/>
                <w:szCs w:val="18"/>
                <w:color w:val="auto"/>
              </w:rPr>
            </w:pPr>
          </w:p>
        </w:tc>
      </w:tr>
      <w:tr>
        <w:trPr>
          <w:trHeight w:val="216"/>
        </w:trPr>
        <w:tc>
          <w:tcPr>
            <w:tcW w:w="1840" w:type="dxa"/>
            <w:vAlign w:val="bottom"/>
          </w:tcPr>
          <w:p>
            <w:pPr>
              <w:jc w:val="center"/>
              <w:ind w:right="230"/>
              <w:spacing w:after="0"/>
              <w:rPr>
                <w:sz w:val="20"/>
                <w:szCs w:val="20"/>
                <w:color w:val="auto"/>
              </w:rPr>
            </w:pPr>
            <w:r>
              <w:rPr>
                <w:rFonts w:ascii="Arial" w:cs="Arial" w:eastAsia="Arial" w:hAnsi="Arial"/>
                <w:sz w:val="18"/>
                <w:szCs w:val="18"/>
                <w:color w:val="auto"/>
                <w:w w:val="89"/>
              </w:rPr>
              <w:t>2002</w:t>
            </w:r>
          </w:p>
        </w:tc>
        <w:tc>
          <w:tcPr>
            <w:tcW w:w="980" w:type="dxa"/>
            <w:vAlign w:val="bottom"/>
          </w:tcPr>
          <w:p>
            <w:pPr>
              <w:jc w:val="right"/>
              <w:spacing w:after="0"/>
              <w:rPr>
                <w:sz w:val="20"/>
                <w:szCs w:val="20"/>
                <w:color w:val="auto"/>
              </w:rPr>
            </w:pPr>
            <w:r>
              <w:rPr>
                <w:rFonts w:ascii="Arial" w:cs="Arial" w:eastAsia="Arial" w:hAnsi="Arial"/>
                <w:sz w:val="18"/>
                <w:szCs w:val="18"/>
                <w:color w:val="auto"/>
              </w:rPr>
              <w:t>52,500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52,500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1660" w:type="dxa"/>
            <w:vAlign w:val="bottom"/>
            <w:gridSpan w:val="2"/>
          </w:tcPr>
          <w:p>
            <w:pPr>
              <w:jc w:val="right"/>
              <w:ind w:right="230"/>
              <w:spacing w:after="0"/>
              <w:rPr>
                <w:sz w:val="20"/>
                <w:szCs w:val="20"/>
                <w:color w:val="auto"/>
              </w:rPr>
            </w:pPr>
            <w:r>
              <w:rPr>
                <w:rFonts w:ascii="Arial" w:cs="Arial" w:eastAsia="Arial" w:hAnsi="Arial"/>
                <w:sz w:val="18"/>
                <w:szCs w:val="18"/>
                <w:color w:val="auto"/>
              </w:rPr>
              <w:t>5.98</w:t>
            </w:r>
          </w:p>
        </w:tc>
        <w:tc>
          <w:tcPr>
            <w:tcW w:w="102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r>
      <w:tr>
        <w:trPr>
          <w:trHeight w:val="216"/>
        </w:trPr>
        <w:tc>
          <w:tcPr>
            <w:tcW w:w="1840" w:type="dxa"/>
            <w:vAlign w:val="bottom"/>
            <w:shd w:val="clear" w:color="auto" w:fill="CCFFCC"/>
          </w:tcPr>
          <w:p>
            <w:pPr>
              <w:jc w:val="center"/>
              <w:ind w:right="230"/>
              <w:spacing w:after="0"/>
              <w:rPr>
                <w:sz w:val="20"/>
                <w:szCs w:val="20"/>
                <w:color w:val="auto"/>
              </w:rPr>
            </w:pPr>
            <w:r>
              <w:rPr>
                <w:rFonts w:ascii="Arial" w:cs="Arial" w:eastAsia="Arial" w:hAnsi="Arial"/>
                <w:sz w:val="18"/>
                <w:szCs w:val="18"/>
                <w:color w:val="auto"/>
                <w:w w:val="89"/>
              </w:rPr>
              <w:t>2003</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96,900</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134,900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96,900</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134,900</w:t>
            </w:r>
          </w:p>
        </w:tc>
        <w:tc>
          <w:tcPr>
            <w:tcW w:w="16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7.17</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7.67</w:t>
            </w:r>
          </w:p>
        </w:tc>
        <w:tc>
          <w:tcPr>
            <w:tcW w:w="80" w:type="dxa"/>
            <w:vAlign w:val="bottom"/>
            <w:shd w:val="clear" w:color="auto" w:fill="CCFFCC"/>
          </w:tcPr>
          <w:p>
            <w:pPr>
              <w:spacing w:after="0"/>
              <w:rPr>
                <w:sz w:val="18"/>
                <w:szCs w:val="18"/>
                <w:color w:val="auto"/>
              </w:rPr>
            </w:pPr>
          </w:p>
        </w:tc>
      </w:tr>
      <w:tr>
        <w:trPr>
          <w:trHeight w:val="216"/>
        </w:trPr>
        <w:tc>
          <w:tcPr>
            <w:tcW w:w="1840" w:type="dxa"/>
            <w:vAlign w:val="bottom"/>
          </w:tcPr>
          <w:p>
            <w:pPr>
              <w:jc w:val="center"/>
              <w:ind w:right="230"/>
              <w:spacing w:after="0"/>
              <w:rPr>
                <w:sz w:val="20"/>
                <w:szCs w:val="20"/>
                <w:color w:val="auto"/>
              </w:rPr>
            </w:pPr>
            <w:r>
              <w:rPr>
                <w:rFonts w:ascii="Arial" w:cs="Arial" w:eastAsia="Arial" w:hAnsi="Arial"/>
                <w:sz w:val="18"/>
                <w:szCs w:val="18"/>
                <w:color w:val="auto"/>
                <w:w w:val="89"/>
              </w:rPr>
              <w:t>2004</w:t>
            </w:r>
          </w:p>
        </w:tc>
        <w:tc>
          <w:tcPr>
            <w:tcW w:w="980" w:type="dxa"/>
            <w:vAlign w:val="bottom"/>
          </w:tcPr>
          <w:p>
            <w:pPr>
              <w:jc w:val="right"/>
              <w:spacing w:after="0"/>
              <w:rPr>
                <w:sz w:val="20"/>
                <w:szCs w:val="20"/>
                <w:color w:val="auto"/>
              </w:rPr>
            </w:pPr>
            <w:r>
              <w:rPr>
                <w:rFonts w:ascii="Arial" w:cs="Arial" w:eastAsia="Arial" w:hAnsi="Arial"/>
                <w:sz w:val="18"/>
                <w:szCs w:val="18"/>
                <w:color w:val="auto"/>
              </w:rPr>
              <w:t>118,750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185,950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118,750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185,950</w:t>
            </w:r>
          </w:p>
        </w:tc>
        <w:tc>
          <w:tcPr>
            <w:tcW w:w="1660" w:type="dxa"/>
            <w:vAlign w:val="bottom"/>
            <w:gridSpan w:val="2"/>
          </w:tcPr>
          <w:p>
            <w:pPr>
              <w:jc w:val="right"/>
              <w:ind w:right="230"/>
              <w:spacing w:after="0"/>
              <w:rPr>
                <w:sz w:val="20"/>
                <w:szCs w:val="20"/>
                <w:color w:val="auto"/>
              </w:rPr>
            </w:pPr>
            <w:r>
              <w:rPr>
                <w:rFonts w:ascii="Arial" w:cs="Arial" w:eastAsia="Arial" w:hAnsi="Arial"/>
                <w:sz w:val="18"/>
                <w:szCs w:val="18"/>
                <w:color w:val="auto"/>
              </w:rPr>
              <w:t>9.99</w:t>
            </w:r>
          </w:p>
        </w:tc>
        <w:tc>
          <w:tcPr>
            <w:tcW w:w="1020" w:type="dxa"/>
            <w:vAlign w:val="bottom"/>
          </w:tcPr>
          <w:p>
            <w:pPr>
              <w:jc w:val="right"/>
              <w:spacing w:after="0"/>
              <w:rPr>
                <w:sz w:val="20"/>
                <w:szCs w:val="20"/>
                <w:color w:val="auto"/>
              </w:rPr>
            </w:pPr>
            <w:r>
              <w:rPr>
                <w:rFonts w:ascii="Arial" w:cs="Arial" w:eastAsia="Arial" w:hAnsi="Arial"/>
                <w:sz w:val="18"/>
                <w:szCs w:val="18"/>
                <w:color w:val="auto"/>
              </w:rPr>
              <w:t>10.49</w:t>
            </w:r>
          </w:p>
        </w:tc>
        <w:tc>
          <w:tcPr>
            <w:tcW w:w="80" w:type="dxa"/>
            <w:vAlign w:val="bottom"/>
          </w:tcPr>
          <w:p>
            <w:pPr>
              <w:spacing w:after="0"/>
              <w:rPr>
                <w:sz w:val="18"/>
                <w:szCs w:val="18"/>
                <w:color w:val="auto"/>
              </w:rPr>
            </w:pPr>
          </w:p>
        </w:tc>
      </w:tr>
      <w:tr>
        <w:trPr>
          <w:trHeight w:val="216"/>
        </w:trPr>
        <w:tc>
          <w:tcPr>
            <w:tcW w:w="1840" w:type="dxa"/>
            <w:vAlign w:val="bottom"/>
            <w:shd w:val="clear" w:color="auto" w:fill="CCFFCC"/>
          </w:tcPr>
          <w:p>
            <w:pPr>
              <w:jc w:val="center"/>
              <w:ind w:right="230"/>
              <w:spacing w:after="0"/>
              <w:rPr>
                <w:sz w:val="20"/>
                <w:szCs w:val="20"/>
                <w:color w:val="auto"/>
              </w:rPr>
            </w:pPr>
            <w:r>
              <w:rPr>
                <w:rFonts w:ascii="Arial" w:cs="Arial" w:eastAsia="Arial" w:hAnsi="Arial"/>
                <w:sz w:val="18"/>
                <w:szCs w:val="18"/>
                <w:color w:val="auto"/>
                <w:w w:val="89"/>
              </w:rPr>
              <w:t>2005</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155,000</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241,700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155,000</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241,700</w:t>
            </w:r>
          </w:p>
        </w:tc>
        <w:tc>
          <w:tcPr>
            <w:tcW w:w="16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15.00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FFCC"/>
          </w:tcPr>
          <w:p>
            <w:pPr>
              <w:spacing w:after="0"/>
              <w:rPr>
                <w:sz w:val="18"/>
                <w:szCs w:val="18"/>
                <w:color w:val="auto"/>
              </w:rPr>
            </w:pPr>
          </w:p>
        </w:tc>
      </w:tr>
      <w:tr>
        <w:trPr>
          <w:trHeight w:val="216"/>
        </w:trPr>
        <w:tc>
          <w:tcPr>
            <w:tcW w:w="1840" w:type="dxa"/>
            <w:vAlign w:val="bottom"/>
          </w:tcPr>
          <w:p>
            <w:pPr>
              <w:jc w:val="center"/>
              <w:ind w:right="230"/>
              <w:spacing w:after="0"/>
              <w:rPr>
                <w:sz w:val="20"/>
                <w:szCs w:val="20"/>
                <w:color w:val="auto"/>
              </w:rPr>
            </w:pPr>
            <w:r>
              <w:rPr>
                <w:rFonts w:ascii="Arial" w:cs="Arial" w:eastAsia="Arial" w:hAnsi="Arial"/>
                <w:sz w:val="18"/>
                <w:szCs w:val="18"/>
                <w:color w:val="auto"/>
                <w:w w:val="89"/>
              </w:rPr>
              <w:t>2006</w:t>
            </w:r>
          </w:p>
        </w:tc>
        <w:tc>
          <w:tcPr>
            <w:tcW w:w="980" w:type="dxa"/>
            <w:vAlign w:val="bottom"/>
          </w:tcPr>
          <w:p>
            <w:pPr>
              <w:jc w:val="right"/>
              <w:spacing w:after="0"/>
              <w:rPr>
                <w:sz w:val="20"/>
                <w:szCs w:val="20"/>
                <w:color w:val="auto"/>
              </w:rPr>
            </w:pPr>
            <w:r>
              <w:rPr>
                <w:rFonts w:ascii="Arial" w:cs="Arial" w:eastAsia="Arial" w:hAnsi="Arial"/>
                <w:sz w:val="18"/>
                <w:szCs w:val="18"/>
                <w:color w:val="auto"/>
              </w:rPr>
              <w:t>226,250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362,800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226,250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327,784</w:t>
            </w:r>
          </w:p>
        </w:tc>
        <w:tc>
          <w:tcPr>
            <w:tcW w:w="1660" w:type="dxa"/>
            <w:vAlign w:val="bottom"/>
            <w:gridSpan w:val="2"/>
          </w:tcPr>
          <w:p>
            <w:pPr>
              <w:jc w:val="right"/>
              <w:ind w:right="230"/>
              <w:spacing w:after="0"/>
              <w:rPr>
                <w:sz w:val="20"/>
                <w:szCs w:val="20"/>
                <w:color w:val="auto"/>
              </w:rPr>
            </w:pPr>
            <w:r>
              <w:rPr>
                <w:rFonts w:ascii="Arial" w:cs="Arial" w:eastAsia="Arial" w:hAnsi="Arial"/>
                <w:sz w:val="18"/>
                <w:szCs w:val="18"/>
                <w:color w:val="auto"/>
              </w:rPr>
              <w:t>24.32</w:t>
            </w:r>
          </w:p>
        </w:tc>
        <w:tc>
          <w:tcPr>
            <w:tcW w:w="1020" w:type="dxa"/>
            <w:vAlign w:val="bottom"/>
          </w:tcPr>
          <w:p>
            <w:pPr>
              <w:jc w:val="right"/>
              <w:spacing w:after="0"/>
              <w:rPr>
                <w:sz w:val="20"/>
                <w:szCs w:val="20"/>
                <w:color w:val="auto"/>
              </w:rPr>
            </w:pPr>
            <w:r>
              <w:rPr>
                <w:rFonts w:ascii="Arial" w:cs="Arial" w:eastAsia="Arial" w:hAnsi="Arial"/>
                <w:sz w:val="18"/>
                <w:szCs w:val="18"/>
                <w:color w:val="auto"/>
              </w:rPr>
              <w:t>24.82</w:t>
            </w:r>
          </w:p>
        </w:tc>
        <w:tc>
          <w:tcPr>
            <w:tcW w:w="80" w:type="dxa"/>
            <w:vAlign w:val="bottom"/>
          </w:tcPr>
          <w:p>
            <w:pPr>
              <w:spacing w:after="0"/>
              <w:rPr>
                <w:sz w:val="18"/>
                <w:szCs w:val="18"/>
                <w:color w:val="auto"/>
              </w:rPr>
            </w:pPr>
          </w:p>
        </w:tc>
      </w:tr>
      <w:tr>
        <w:trPr>
          <w:trHeight w:val="216"/>
        </w:trPr>
        <w:tc>
          <w:tcPr>
            <w:tcW w:w="1840" w:type="dxa"/>
            <w:vAlign w:val="bottom"/>
            <w:shd w:val="clear" w:color="auto" w:fill="CCFFCC"/>
          </w:tcPr>
          <w:p>
            <w:pPr>
              <w:jc w:val="center"/>
              <w:ind w:right="230"/>
              <w:spacing w:after="0"/>
              <w:rPr>
                <w:sz w:val="20"/>
                <w:szCs w:val="20"/>
                <w:color w:val="auto"/>
              </w:rPr>
            </w:pPr>
            <w:r>
              <w:rPr>
                <w:rFonts w:ascii="Arial" w:cs="Arial" w:eastAsia="Arial" w:hAnsi="Arial"/>
                <w:sz w:val="18"/>
                <w:szCs w:val="18"/>
                <w:color w:val="auto"/>
                <w:w w:val="89"/>
              </w:rPr>
              <w:t>2007</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235,785</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513,125</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214,831</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320,859</w:t>
            </w:r>
          </w:p>
        </w:tc>
        <w:tc>
          <w:tcPr>
            <w:tcW w:w="16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24.32</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48.00</w:t>
            </w:r>
          </w:p>
        </w:tc>
        <w:tc>
          <w:tcPr>
            <w:tcW w:w="80" w:type="dxa"/>
            <w:vAlign w:val="bottom"/>
            <w:shd w:val="clear" w:color="auto" w:fill="CCFFCC"/>
          </w:tcPr>
          <w:p>
            <w:pPr>
              <w:spacing w:after="0"/>
              <w:rPr>
                <w:sz w:val="18"/>
                <w:szCs w:val="18"/>
                <w:color w:val="auto"/>
              </w:rPr>
            </w:pPr>
          </w:p>
        </w:tc>
      </w:tr>
      <w:tr>
        <w:trPr>
          <w:trHeight w:val="216"/>
        </w:trPr>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1840" w:type="dxa"/>
            <w:vAlign w:val="bottom"/>
            <w:shd w:val="clear" w:color="auto" w:fill="CCFFCC"/>
          </w:tcPr>
          <w:p>
            <w:pPr>
              <w:jc w:val="center"/>
              <w:ind w:right="230"/>
              <w:spacing w:after="0"/>
              <w:rPr>
                <w:sz w:val="20"/>
                <w:szCs w:val="20"/>
                <w:color w:val="auto"/>
              </w:rPr>
            </w:pPr>
            <w:r>
              <w:rPr>
                <w:rFonts w:ascii="Arial" w:cs="Arial" w:eastAsia="Arial" w:hAnsi="Arial"/>
                <w:sz w:val="18"/>
                <w:szCs w:val="18"/>
                <w:color w:val="auto"/>
                <w:w w:val="89"/>
              </w:rPr>
              <w:t>2008</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262,278</w:t>
            </w:r>
          </w:p>
        </w:tc>
        <w:tc>
          <w:tcPr>
            <w:tcW w:w="14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656,750</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174,045</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286,625</w:t>
            </w:r>
          </w:p>
        </w:tc>
        <w:tc>
          <w:tcPr>
            <w:tcW w:w="166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24.32</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72.04</w:t>
            </w:r>
          </w:p>
        </w:tc>
        <w:tc>
          <w:tcPr>
            <w:tcW w:w="80" w:type="dxa"/>
            <w:vAlign w:val="bottom"/>
            <w:shd w:val="clear" w:color="auto" w:fill="CCFFCC"/>
          </w:tcPr>
          <w:p>
            <w:pPr>
              <w:spacing w:after="0"/>
              <w:rPr>
                <w:sz w:val="19"/>
                <w:szCs w:val="19"/>
                <w:color w:val="auto"/>
              </w:rPr>
            </w:pPr>
          </w:p>
        </w:tc>
      </w:tr>
      <w:tr>
        <w:trPr>
          <w:trHeight w:val="216"/>
        </w:trPr>
        <w:tc>
          <w:tcPr>
            <w:tcW w:w="184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1280" w:type="dxa"/>
            <w:vAlign w:val="bottom"/>
            <w:tcBorders>
              <w:top w:val="single" w:sz="8" w:color="CCFFCC"/>
            </w:tcBorders>
          </w:tcPr>
          <w:p>
            <w:pPr>
              <w:spacing w:after="0"/>
              <w:rPr>
                <w:sz w:val="18"/>
                <w:szCs w:val="18"/>
                <w:color w:val="auto"/>
              </w:rPr>
            </w:pPr>
          </w:p>
        </w:tc>
        <w:tc>
          <w:tcPr>
            <w:tcW w:w="102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57"/>
        </w:trPr>
        <w:tc>
          <w:tcPr>
            <w:tcW w:w="184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1,147,463</w:t>
            </w:r>
          </w:p>
        </w:tc>
        <w:tc>
          <w:tcPr>
            <w:tcW w:w="42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2,215,225</w:t>
            </w:r>
          </w:p>
        </w:tc>
        <w:tc>
          <w:tcPr>
            <w:tcW w:w="40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1,038,276</w:t>
            </w:r>
          </w:p>
        </w:tc>
        <w:tc>
          <w:tcPr>
            <w:tcW w:w="38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1,617,818</w:t>
            </w:r>
          </w:p>
        </w:tc>
        <w:tc>
          <w:tcPr>
            <w:tcW w:w="38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r>
    </w:tbl>
    <w:p>
      <w:pPr>
        <w:spacing w:after="0" w:line="229" w:lineRule="exact"/>
        <w:rPr>
          <w:sz w:val="20"/>
          <w:szCs w:val="20"/>
          <w:color w:val="auto"/>
        </w:rPr>
      </w:pPr>
    </w:p>
    <w:p>
      <w:pPr>
        <w:jc w:val="both"/>
        <w:ind w:left="1800" w:hanging="658"/>
        <w:spacing w:after="0" w:line="264" w:lineRule="auto"/>
        <w:tabs>
          <w:tab w:leader="none" w:pos="18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On April 2009, the number of outstanding SARs and their exercise prices were modified; these changes did not have an impact on the recorded liability. Also, since that date, no more SARs are granted and a new supplementary plan was implemented to benefit the same employees in the form of stock awards, see (b).</w:t>
      </w:r>
    </w:p>
    <w:p>
      <w:pPr>
        <w:spacing w:after="0" w:line="208" w:lineRule="exact"/>
        <w:rPr>
          <w:sz w:val="20"/>
          <w:szCs w:val="20"/>
          <w:color w:val="auto"/>
        </w:rPr>
      </w:pPr>
    </w:p>
    <w:p>
      <w:pPr>
        <w:ind w:left="1140" w:right="320"/>
        <w:spacing w:after="0" w:line="277" w:lineRule="auto"/>
        <w:rPr>
          <w:sz w:val="20"/>
          <w:szCs w:val="20"/>
          <w:color w:val="auto"/>
        </w:rPr>
      </w:pPr>
      <w:r>
        <w:rPr>
          <w:rFonts w:ascii="Arial" w:cs="Arial" w:eastAsia="Arial" w:hAnsi="Arial"/>
          <w:sz w:val="18"/>
          <w:szCs w:val="18"/>
          <w:color w:val="auto"/>
        </w:rPr>
        <w:t>Credicorp’s Management has estimated the SARs´ fair value as of December 31, 2009 and 2008, using the binomial option pricing model, considering the following market information: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gridSpan w:val="2"/>
          </w:tcPr>
          <w:p>
            <w:pPr>
              <w:spacing w:after="0"/>
              <w:rPr>
                <w:sz w:val="20"/>
                <w:szCs w:val="20"/>
                <w:color w:val="auto"/>
              </w:rPr>
            </w:pPr>
            <w:r>
              <w:rPr>
                <w:rFonts w:ascii="Arial" w:cs="Arial" w:eastAsia="Arial" w:hAnsi="Arial"/>
                <w:sz w:val="18"/>
                <w:szCs w:val="18"/>
                <w:b w:val="1"/>
                <w:bCs w:val="1"/>
                <w:color w:val="auto"/>
              </w:rPr>
              <w:t>Key assumptions</w:t>
            </w:r>
          </w:p>
        </w:tc>
        <w:tc>
          <w:tcPr>
            <w:tcW w:w="2020" w:type="dxa"/>
            <w:vAlign w:val="bottom"/>
          </w:tcPr>
          <w:p>
            <w:pPr>
              <w:spacing w:after="0"/>
              <w:rPr>
                <w:sz w:val="20"/>
                <w:szCs w:val="20"/>
                <w:color w:val="auto"/>
              </w:rPr>
            </w:pPr>
          </w:p>
        </w:tc>
        <w:tc>
          <w:tcPr>
            <w:tcW w:w="1120" w:type="dxa"/>
            <w:vAlign w:val="bottom"/>
          </w:tcPr>
          <w:p>
            <w:pPr>
              <w:jc w:val="right"/>
              <w:ind w:right="570"/>
              <w:spacing w:after="0"/>
              <w:rPr>
                <w:sz w:val="20"/>
                <w:szCs w:val="20"/>
                <w:color w:val="auto"/>
              </w:rPr>
            </w:pPr>
            <w:r>
              <w:rPr>
                <w:rFonts w:ascii="Arial" w:cs="Arial" w:eastAsia="Arial" w:hAnsi="Arial"/>
                <w:sz w:val="18"/>
                <w:szCs w:val="18"/>
                <w:b w:val="1"/>
                <w:bCs w:val="1"/>
                <w:color w:val="auto"/>
              </w:rPr>
              <w:t>2009</w:t>
            </w:r>
          </w:p>
        </w:tc>
        <w:tc>
          <w:tcPr>
            <w:tcW w:w="560" w:type="dxa"/>
            <w:vAlign w:val="bottom"/>
          </w:tcPr>
          <w:p>
            <w:pPr>
              <w:spacing w:after="0"/>
              <w:rPr>
                <w:sz w:val="20"/>
                <w:szCs w:val="20"/>
                <w:color w:val="auto"/>
              </w:rPr>
            </w:pPr>
          </w:p>
        </w:tc>
        <w:tc>
          <w:tcPr>
            <w:tcW w:w="1160" w:type="dxa"/>
            <w:vAlign w:val="bottom"/>
          </w:tcPr>
          <w:p>
            <w:pPr>
              <w:jc w:val="right"/>
              <w:ind w:right="61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680" w:type="dxa"/>
            <w:vAlign w:val="bottom"/>
            <w:gridSpan w:val="2"/>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2020" w:type="dxa"/>
            <w:vAlign w:val="bottom"/>
            <w:shd w:val="clear" w:color="auto" w:fill="CCFFCC"/>
          </w:tcPr>
          <w:p>
            <w:pPr>
              <w:spacing w:after="0"/>
              <w:rPr>
                <w:sz w:val="18"/>
                <w:szCs w:val="18"/>
                <w:color w:val="auto"/>
              </w:rPr>
            </w:pPr>
          </w:p>
        </w:tc>
        <w:tc>
          <w:tcPr>
            <w:tcW w:w="1680" w:type="dxa"/>
            <w:vAlign w:val="bottom"/>
            <w:gridSpan w:val="2"/>
            <w:shd w:val="clear" w:color="auto" w:fill="CCFFCC"/>
          </w:tcPr>
          <w:p>
            <w:pPr>
              <w:jc w:val="right"/>
              <w:ind w:right="450"/>
              <w:spacing w:after="0"/>
              <w:rPr>
                <w:sz w:val="20"/>
                <w:szCs w:val="20"/>
                <w:color w:val="auto"/>
              </w:rPr>
            </w:pPr>
            <w:r>
              <w:rPr>
                <w:rFonts w:ascii="Arial" w:cs="Arial" w:eastAsia="Arial" w:hAnsi="Arial"/>
                <w:sz w:val="18"/>
                <w:szCs w:val="18"/>
                <w:color w:val="auto"/>
              </w:rPr>
              <w:t>37.48%</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020" w:type="dxa"/>
            <w:vAlign w:val="bottom"/>
          </w:tcPr>
          <w:p>
            <w:pPr>
              <w:spacing w:after="0"/>
              <w:rPr>
                <w:sz w:val="18"/>
                <w:szCs w:val="18"/>
                <w:color w:val="auto"/>
              </w:rPr>
            </w:pPr>
          </w:p>
        </w:tc>
        <w:tc>
          <w:tcPr>
            <w:tcW w:w="1680" w:type="dxa"/>
            <w:vAlign w:val="bottom"/>
            <w:gridSpan w:val="2"/>
          </w:tcPr>
          <w:p>
            <w:pPr>
              <w:jc w:val="right"/>
              <w:ind w:right="450"/>
              <w:spacing w:after="0"/>
              <w:rPr>
                <w:sz w:val="20"/>
                <w:szCs w:val="20"/>
                <w:color w:val="auto"/>
              </w:rPr>
            </w:pPr>
            <w:r>
              <w:rPr>
                <w:rFonts w:ascii="Arial" w:cs="Arial" w:eastAsia="Arial" w:hAnsi="Arial"/>
                <w:sz w:val="18"/>
                <w:szCs w:val="18"/>
                <w:color w:val="auto"/>
              </w:rPr>
              <w:t>4.23%</w:t>
            </w:r>
          </w:p>
        </w:tc>
        <w:tc>
          <w:tcPr>
            <w:tcW w:w="1160" w:type="dxa"/>
            <w:vAlign w:val="bottom"/>
          </w:tcPr>
          <w:p>
            <w:pPr>
              <w:jc w:val="right"/>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FFCC"/>
          </w:tcPr>
          <w:p>
            <w:pPr>
              <w:spacing w:after="0"/>
              <w:rPr>
                <w:sz w:val="20"/>
                <w:szCs w:val="20"/>
                <w:color w:val="auto"/>
              </w:rPr>
            </w:pPr>
            <w:r>
              <w:rPr>
                <w:rFonts w:ascii="Arial" w:cs="Arial" w:eastAsia="Arial" w:hAnsi="Arial"/>
                <w:sz w:val="18"/>
                <w:szCs w:val="18"/>
                <w:color w:val="auto"/>
              </w:rPr>
              <w:t>Expected lifetime</w:t>
            </w:r>
          </w:p>
        </w:tc>
        <w:tc>
          <w:tcPr>
            <w:tcW w:w="2020" w:type="dxa"/>
            <w:vAlign w:val="bottom"/>
            <w:shd w:val="clear" w:color="auto" w:fill="CCFFCC"/>
          </w:tcPr>
          <w:p>
            <w:pPr>
              <w:spacing w:after="0"/>
              <w:rPr>
                <w:sz w:val="18"/>
                <w:szCs w:val="18"/>
                <w:color w:val="auto"/>
              </w:rPr>
            </w:pPr>
          </w:p>
        </w:tc>
        <w:tc>
          <w:tcPr>
            <w:tcW w:w="11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3.93 years</w:t>
            </w:r>
          </w:p>
        </w:tc>
        <w:tc>
          <w:tcPr>
            <w:tcW w:w="560" w:type="dxa"/>
            <w:vAlign w:val="bottom"/>
            <w:shd w:val="clear" w:color="auto" w:fill="CCFFCC"/>
          </w:tcPr>
          <w:p>
            <w:pPr>
              <w:spacing w:after="0"/>
              <w:rPr>
                <w:sz w:val="18"/>
                <w:szCs w:val="18"/>
                <w:color w:val="auto"/>
              </w:rPr>
            </w:pPr>
          </w:p>
        </w:tc>
        <w:tc>
          <w:tcPr>
            <w:tcW w:w="116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4.84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Quoted price of Credicorp shares at year-end</w:t>
            </w:r>
          </w:p>
        </w:tc>
        <w:tc>
          <w:tcPr>
            <w:tcW w:w="2020" w:type="dxa"/>
            <w:vAlign w:val="bottom"/>
          </w:tcPr>
          <w:p>
            <w:pPr>
              <w:ind w:left="1580"/>
              <w:spacing w:after="0"/>
              <w:rPr>
                <w:sz w:val="20"/>
                <w:szCs w:val="20"/>
                <w:color w:val="auto"/>
              </w:rPr>
            </w:pPr>
            <w:r>
              <w:rPr>
                <w:rFonts w:ascii="Arial" w:cs="Arial" w:eastAsia="Arial" w:hAnsi="Arial"/>
                <w:sz w:val="18"/>
                <w:szCs w:val="18"/>
                <w:color w:val="auto"/>
              </w:rPr>
              <w:t>US$</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77.02</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US$</w:t>
            </w: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49.96</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140" w:right="300"/>
        <w:spacing w:after="0" w:line="264" w:lineRule="auto"/>
        <w:rPr>
          <w:sz w:val="20"/>
          <w:szCs w:val="20"/>
          <w:color w:val="auto"/>
        </w:rPr>
      </w:pPr>
      <w:r>
        <w:rPr>
          <w:rFonts w:ascii="Arial" w:cs="Arial" w:eastAsia="Arial" w:hAnsi="Arial"/>
          <w:sz w:val="18"/>
          <w:szCs w:val="18"/>
          <w:color w:val="auto"/>
        </w:rPr>
        <w:t>The expected life of the SARs is based on historical data and current expectations and is not necessarily indicative of exercise patterns that may occur. The expected volatility reflects the assumption that the historical volatility over a period similar to the life of the SARs is indicative of future trends, which may also not necessarily be the actual outcome.</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movement of SARs for the years ended December 31, 2009 and 2008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0"/>
              </w:rPr>
              <w:t>Outstanding</w:t>
            </w:r>
          </w:p>
        </w:tc>
        <w:tc>
          <w:tcPr>
            <w:tcW w:w="1560" w:type="dxa"/>
            <w:vAlign w:val="bottom"/>
            <w:gridSpan w:val="3"/>
          </w:tcPr>
          <w:p>
            <w:pPr>
              <w:jc w:val="center"/>
              <w:ind w:left="850"/>
              <w:spacing w:after="0" w:line="198" w:lineRule="exact"/>
              <w:rPr>
                <w:sz w:val="20"/>
                <w:szCs w:val="20"/>
                <w:color w:val="auto"/>
              </w:rPr>
            </w:pPr>
            <w:r>
              <w:rPr>
                <w:rFonts w:ascii="Arial" w:cs="Arial" w:eastAsia="Arial" w:hAnsi="Arial"/>
                <w:sz w:val="18"/>
                <w:szCs w:val="18"/>
                <w:b w:val="1"/>
                <w:bCs w:val="1"/>
                <w:color w:val="auto"/>
                <w:w w:val="84"/>
              </w:rPr>
              <w:t>Vested</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0"/>
              </w:rPr>
              <w:t>Outstanding</w:t>
            </w:r>
          </w:p>
        </w:tc>
        <w:tc>
          <w:tcPr>
            <w:tcW w:w="1540" w:type="dxa"/>
            <w:vAlign w:val="bottom"/>
            <w:gridSpan w:val="3"/>
          </w:tcPr>
          <w:p>
            <w:pPr>
              <w:jc w:val="center"/>
              <w:ind w:left="870"/>
              <w:spacing w:after="0" w:line="198" w:lineRule="exact"/>
              <w:rPr>
                <w:sz w:val="20"/>
                <w:szCs w:val="20"/>
                <w:color w:val="auto"/>
              </w:rPr>
            </w:pPr>
            <w:r>
              <w:rPr>
                <w:rFonts w:ascii="Arial" w:cs="Arial" w:eastAsia="Arial" w:hAnsi="Arial"/>
                <w:sz w:val="18"/>
                <w:szCs w:val="18"/>
                <w:b w:val="1"/>
                <w:bCs w:val="1"/>
                <w:color w:val="auto"/>
                <w:w w:val="84"/>
              </w:rPr>
              <w:t>Vested</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SARs</w:t>
            </w:r>
          </w:p>
        </w:tc>
        <w:tc>
          <w:tcPr>
            <w:tcW w:w="156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91"/>
              </w:rPr>
              <w:t>SARs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SARs</w:t>
            </w:r>
          </w:p>
        </w:tc>
        <w:tc>
          <w:tcPr>
            <w:tcW w:w="1540" w:type="dxa"/>
            <w:vAlign w:val="bottom"/>
            <w:gridSpan w:val="3"/>
          </w:tcPr>
          <w:p>
            <w:pPr>
              <w:jc w:val="center"/>
              <w:ind w:left="870"/>
              <w:spacing w:after="0"/>
              <w:rPr>
                <w:sz w:val="20"/>
                <w:szCs w:val="20"/>
                <w:color w:val="auto"/>
              </w:rPr>
            </w:pPr>
            <w:r>
              <w:rPr>
                <w:rFonts w:ascii="Arial" w:cs="Arial" w:eastAsia="Arial" w:hAnsi="Arial"/>
                <w:sz w:val="18"/>
                <w:szCs w:val="18"/>
                <w:b w:val="1"/>
                <w:bCs w:val="1"/>
                <w:color w:val="auto"/>
                <w:w w:val="87"/>
              </w:rPr>
              <w:t>SARs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0" w:type="dxa"/>
            <w:vAlign w:val="bottom"/>
            <w:gridSpan w:val="2"/>
          </w:tcPr>
          <w:p>
            <w:pPr>
              <w:jc w:val="center"/>
              <w:ind w:right="240"/>
              <w:spacing w:after="0" w:line="201" w:lineRule="exact"/>
              <w:rPr>
                <w:sz w:val="20"/>
                <w:szCs w:val="20"/>
                <w:color w:val="auto"/>
              </w:rPr>
            </w:pPr>
            <w:r>
              <w:rPr>
                <w:rFonts w:ascii="Arial" w:cs="Arial" w:eastAsia="Arial" w:hAnsi="Arial"/>
                <w:sz w:val="18"/>
                <w:szCs w:val="18"/>
                <w:b w:val="1"/>
                <w:bCs w:val="1"/>
                <w:color w:val="auto"/>
                <w:w w:val="94"/>
              </w:rPr>
              <w:t>Number</w:t>
            </w:r>
          </w:p>
        </w:tc>
        <w:tc>
          <w:tcPr>
            <w:tcW w:w="1560" w:type="dxa"/>
            <w:vAlign w:val="bottom"/>
            <w:tcBorders>
              <w:top w:val="single" w:sz="8" w:color="auto"/>
            </w:tcBorders>
            <w:gridSpan w:val="3"/>
          </w:tcPr>
          <w:p>
            <w:pPr>
              <w:ind w:left="260"/>
              <w:spacing w:after="0" w:line="201" w:lineRule="exact"/>
              <w:rPr>
                <w:sz w:val="20"/>
                <w:szCs w:val="20"/>
                <w:color w:val="auto"/>
              </w:rPr>
            </w:pPr>
            <w:r>
              <w:rPr>
                <w:rFonts w:ascii="Arial" w:cs="Arial" w:eastAsia="Arial" w:hAnsi="Arial"/>
                <w:sz w:val="18"/>
                <w:szCs w:val="18"/>
                <w:b w:val="1"/>
                <w:bCs w:val="1"/>
                <w:color w:val="auto"/>
              </w:rPr>
              <w:t>Number</w:t>
            </w:r>
          </w:p>
        </w:tc>
        <w:tc>
          <w:tcPr>
            <w:tcW w:w="96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b w:val="1"/>
                <w:bCs w:val="1"/>
                <w:color w:val="auto"/>
                <w:w w:val="99"/>
              </w:rPr>
              <w:t>Amount</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b w:val="1"/>
                <w:bCs w:val="1"/>
                <w:color w:val="auto"/>
                <w:w w:val="94"/>
              </w:rPr>
              <w:t>Number</w:t>
            </w:r>
          </w:p>
        </w:tc>
        <w:tc>
          <w:tcPr>
            <w:tcW w:w="200" w:type="dxa"/>
            <w:vAlign w:val="bottom"/>
          </w:tcPr>
          <w:p>
            <w:pPr>
              <w:spacing w:after="0"/>
              <w:rPr>
                <w:sz w:val="17"/>
                <w:szCs w:val="17"/>
                <w:color w:val="auto"/>
              </w:rPr>
            </w:pPr>
          </w:p>
        </w:tc>
        <w:tc>
          <w:tcPr>
            <w:tcW w:w="1540" w:type="dxa"/>
            <w:vAlign w:val="bottom"/>
            <w:tcBorders>
              <w:top w:val="single" w:sz="8" w:color="auto"/>
            </w:tcBorders>
            <w:gridSpan w:val="3"/>
          </w:tcPr>
          <w:p>
            <w:pPr>
              <w:jc w:val="center"/>
              <w:ind w:right="380"/>
              <w:spacing w:after="0" w:line="201" w:lineRule="exact"/>
              <w:rPr>
                <w:sz w:val="20"/>
                <w:szCs w:val="20"/>
                <w:color w:val="auto"/>
              </w:rPr>
            </w:pPr>
            <w:r>
              <w:rPr>
                <w:rFonts w:ascii="Arial" w:cs="Arial" w:eastAsia="Arial" w:hAnsi="Arial"/>
                <w:sz w:val="18"/>
                <w:szCs w:val="18"/>
                <w:b w:val="1"/>
                <w:bCs w:val="1"/>
                <w:color w:val="auto"/>
                <w:w w:val="94"/>
              </w:rPr>
              <w:t>Number</w:t>
            </w:r>
          </w:p>
        </w:tc>
        <w:tc>
          <w:tcPr>
            <w:tcW w:w="96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b w:val="1"/>
                <w:bCs w:val="1"/>
                <w:color w:val="auto"/>
                <w:w w:val="99"/>
              </w:rPr>
              <w:t>Amount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3"/>
              </w:rPr>
              <w:t>US$(000)</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FFCC"/>
          </w:tcPr>
          <w:p>
            <w:pPr>
              <w:spacing w:after="0" w:line="216" w:lineRule="exact"/>
              <w:rPr>
                <w:sz w:val="20"/>
                <w:szCs w:val="20"/>
                <w:color w:val="auto"/>
              </w:rPr>
            </w:pPr>
            <w:r>
              <w:rPr>
                <w:rFonts w:ascii="Arial" w:cs="Arial" w:eastAsia="Arial" w:hAnsi="Arial"/>
                <w:sz w:val="18"/>
                <w:szCs w:val="18"/>
                <w:b w:val="1"/>
                <w:bCs w:val="1"/>
                <w:color w:val="auto"/>
              </w:rPr>
              <w:t>Balance as of January 1</w:t>
            </w:r>
            <w:r>
              <w:rPr>
                <w:rFonts w:ascii="Arial" w:cs="Arial" w:eastAsia="Arial" w:hAnsi="Arial"/>
                <w:sz w:val="25"/>
                <w:szCs w:val="25"/>
                <w:b w:val="1"/>
                <w:bCs w:val="1"/>
                <w:color w:val="auto"/>
                <w:vertAlign w:val="superscript"/>
              </w:rPr>
              <w:t>st</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2,215,225</w:t>
            </w:r>
          </w:p>
        </w:tc>
        <w:tc>
          <w:tcPr>
            <w:tcW w:w="2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1,617,818</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42,987</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2,134,650</w:t>
            </w:r>
          </w:p>
        </w:tc>
        <w:tc>
          <w:tcPr>
            <w:tcW w:w="20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1,537,119</w:t>
            </w: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SARs modification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(451,143)</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(451,143)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Granted and vested</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366,845</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19,333</w:t>
            </w:r>
          </w:p>
        </w:tc>
        <w:tc>
          <w:tcPr>
            <w:tcW w:w="13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665,500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576,874</w:t>
            </w: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Exercised</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(495,244)</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(495,244)</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(17,761)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(496,175)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(496,175)</w:t>
            </w: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FFCC"/>
          </w:tcPr>
          <w:p>
            <w:pPr>
              <w:spacing w:after="0"/>
              <w:rPr>
                <w:sz w:val="20"/>
                <w:szCs w:val="20"/>
                <w:color w:val="auto"/>
              </w:rPr>
            </w:pPr>
            <w:r>
              <w:rPr>
                <w:rFonts w:ascii="Arial" w:cs="Arial" w:eastAsia="Arial" w:hAnsi="Arial"/>
                <w:sz w:val="18"/>
                <w:szCs w:val="18"/>
                <w:color w:val="auto"/>
              </w:rPr>
              <w:t>Decrease</w:t>
            </w:r>
          </w:p>
        </w:tc>
        <w:tc>
          <w:tcPr>
            <w:tcW w:w="14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(121,375)</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(88,750)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96"/>
              </w:rPr>
              <w:t>Increase (decrease) in the option fair value</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15,929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(36,379)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b w:val="1"/>
                <w:bCs w:val="1"/>
                <w:color w:val="auto"/>
              </w:rPr>
              <w:t>Balance as of December 31</w:t>
            </w:r>
          </w:p>
        </w:tc>
        <w:tc>
          <w:tcPr>
            <w:tcW w:w="1160" w:type="dxa"/>
            <w:vAlign w:val="bottom"/>
          </w:tcPr>
          <w:p>
            <w:pPr>
              <w:jc w:val="right"/>
              <w:spacing w:after="0"/>
              <w:rPr>
                <w:sz w:val="20"/>
                <w:szCs w:val="20"/>
                <w:color w:val="auto"/>
              </w:rPr>
            </w:pPr>
            <w:r>
              <w:rPr>
                <w:rFonts w:ascii="Arial" w:cs="Arial" w:eastAsia="Arial" w:hAnsi="Arial"/>
                <w:sz w:val="18"/>
                <w:szCs w:val="18"/>
                <w:color w:val="auto"/>
              </w:rPr>
              <w:t>1,147,463</w:t>
            </w:r>
          </w:p>
        </w:tc>
        <w:tc>
          <w:tcPr>
            <w:tcW w:w="24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1,038,276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60,488</w:t>
            </w:r>
          </w:p>
        </w:tc>
        <w:tc>
          <w:tcPr>
            <w:tcW w:w="1140" w:type="dxa"/>
            <w:vAlign w:val="bottom"/>
          </w:tcPr>
          <w:p>
            <w:pPr>
              <w:jc w:val="right"/>
              <w:spacing w:after="0"/>
              <w:rPr>
                <w:sz w:val="20"/>
                <w:szCs w:val="20"/>
                <w:color w:val="auto"/>
              </w:rPr>
            </w:pPr>
            <w:r>
              <w:rPr>
                <w:rFonts w:ascii="Arial" w:cs="Arial" w:eastAsia="Arial" w:hAnsi="Arial"/>
                <w:sz w:val="18"/>
                <w:szCs w:val="18"/>
                <w:color w:val="auto"/>
              </w:rPr>
              <w:t>2,215,225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1,617,818</w:t>
            </w: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42,987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right="1320"/>
        <w:spacing w:after="0" w:line="308" w:lineRule="auto"/>
        <w:rPr>
          <w:sz w:val="20"/>
          <w:szCs w:val="20"/>
          <w:color w:val="auto"/>
        </w:rPr>
      </w:pPr>
      <w:r>
        <w:rPr>
          <w:rFonts w:ascii="Arial" w:cs="Arial" w:eastAsia="Arial" w:hAnsi="Arial"/>
          <w:sz w:val="17"/>
          <w:szCs w:val="17"/>
          <w:color w:val="auto"/>
        </w:rPr>
        <w:t>Credicorp assumes the payment of the related income tax on behalf of its employees, which corresponds to 30 percent of the benefit. Credicorp estimates said income tax over the basis of the liability recorded for the vested benefits.</w:t>
      </w:r>
    </w:p>
    <w:p>
      <w:pPr>
        <w:spacing w:after="0" w:line="174" w:lineRule="exact"/>
        <w:rPr>
          <w:sz w:val="20"/>
          <w:szCs w:val="20"/>
          <w:color w:val="auto"/>
        </w:rPr>
      </w:pPr>
    </w:p>
    <w:p>
      <w:pPr>
        <w:ind w:left="1140" w:right="360"/>
        <w:spacing w:after="0" w:line="259" w:lineRule="auto"/>
        <w:rPr>
          <w:sz w:val="20"/>
          <w:szCs w:val="20"/>
          <w:color w:val="auto"/>
        </w:rPr>
      </w:pPr>
      <w:r>
        <w:rPr>
          <w:rFonts w:ascii="Arial" w:cs="Arial" w:eastAsia="Arial" w:hAnsi="Arial"/>
          <w:sz w:val="18"/>
          <w:szCs w:val="18"/>
          <w:color w:val="auto"/>
        </w:rPr>
        <w:t>The liabilities, including the above mentioned income tax, recorded for this plan are included in the consolidated statements of financial position caption “Other liabilities – Payroll taxes, salaries and other personnel expenses”, note 11(a), and the expenses in the consolidated income statement caption “Salaries and employees benefits”. In 2009, 2008 and 2007, SARs prices were modified and informed to the Group’s employees.</w:t>
      </w:r>
    </w:p>
    <w:p>
      <w:pPr>
        <w:spacing w:after="0" w:line="214" w:lineRule="exact"/>
        <w:rPr>
          <w:sz w:val="20"/>
          <w:szCs w:val="20"/>
          <w:color w:val="auto"/>
        </w:rPr>
      </w:pPr>
    </w:p>
    <w:p>
      <w:pPr>
        <w:ind w:left="1140" w:right="20"/>
        <w:spacing w:after="0" w:line="277" w:lineRule="auto"/>
        <w:rPr>
          <w:sz w:val="20"/>
          <w:szCs w:val="20"/>
          <w:color w:val="auto"/>
        </w:rPr>
      </w:pPr>
      <w:r>
        <w:rPr>
          <w:rFonts w:ascii="Arial" w:cs="Arial" w:eastAsia="Arial" w:hAnsi="Arial"/>
          <w:sz w:val="18"/>
          <w:szCs w:val="18"/>
          <w:color w:val="auto"/>
        </w:rPr>
        <w:t>During 2009, 2008 and 2007, the Group signed several contracts by which it acquired certificates linked to the yield of Credicorp’s shares, see note 7(b).</w:t>
      </w:r>
    </w:p>
    <w:p>
      <w:pPr>
        <w:spacing w:after="0" w:line="197" w:lineRule="exact"/>
        <w:rPr>
          <w:sz w:val="20"/>
          <w:szCs w:val="20"/>
          <w:color w:val="auto"/>
        </w:rPr>
      </w:pPr>
    </w:p>
    <w:p>
      <w:pPr>
        <w:ind w:left="1140" w:hanging="484"/>
        <w:spacing w:after="0"/>
        <w:tabs>
          <w:tab w:leader="none" w:pos="114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Stock awards (“equity-settled transaction”)</w:t>
      </w:r>
    </w:p>
    <w:p>
      <w:pPr>
        <w:spacing w:after="0" w:line="23" w:lineRule="exact"/>
        <w:rPr>
          <w:rFonts w:ascii="Arial" w:cs="Arial" w:eastAsia="Arial" w:hAnsi="Arial"/>
          <w:sz w:val="18"/>
          <w:szCs w:val="18"/>
          <w:color w:val="auto"/>
        </w:rPr>
      </w:pPr>
    </w:p>
    <w:p>
      <w:pPr>
        <w:ind w:left="1140" w:right="60"/>
        <w:spacing w:after="0" w:line="261" w:lineRule="auto"/>
        <w:rPr>
          <w:rFonts w:ascii="Arial" w:cs="Arial" w:eastAsia="Arial" w:hAnsi="Arial"/>
          <w:sz w:val="18"/>
          <w:szCs w:val="18"/>
          <w:color w:val="auto"/>
        </w:rPr>
      </w:pPr>
      <w:r>
        <w:rPr>
          <w:rFonts w:ascii="Arial" w:cs="Arial" w:eastAsia="Arial" w:hAnsi="Arial"/>
          <w:sz w:val="18"/>
          <w:szCs w:val="18"/>
          <w:color w:val="auto"/>
        </w:rPr>
        <w:t>Under this new plan, Credicorp granted approximately 227,000 of its own shares to the plan beneficiaries. Shares granted will vest up to 33.3 percent of all granted shares in each one of the subsequent three years to the grant date (April 28, 2009).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120"/>
        <w:spacing w:after="0" w:line="286" w:lineRule="auto"/>
        <w:rPr>
          <w:sz w:val="20"/>
          <w:szCs w:val="20"/>
          <w:color w:val="auto"/>
        </w:rPr>
      </w:pPr>
      <w:r>
        <w:rPr>
          <w:rFonts w:ascii="Arial" w:cs="Arial" w:eastAsia="Arial" w:hAnsi="Arial"/>
          <w:sz w:val="17"/>
          <w:szCs w:val="17"/>
          <w:color w:val="auto"/>
        </w:rPr>
        <w:t>The fair value of stock awards granted was estimated at the grant date using a binomial pricing model with similar key assumptions as those used for the valuation of SARs (see paragraph (a) above), taking into account the terms and conditions upon which the shares were granted. As a result, the total fair value of the stocks awarded at the grant date amounted to US$11.5 million.</w:t>
      </w:r>
    </w:p>
    <w:p>
      <w:pPr>
        <w:spacing w:after="0" w:line="193" w:lineRule="exact"/>
        <w:rPr>
          <w:sz w:val="20"/>
          <w:szCs w:val="20"/>
          <w:color w:val="auto"/>
        </w:rPr>
      </w:pPr>
    </w:p>
    <w:p>
      <w:pPr>
        <w:ind w:left="1140"/>
        <w:spacing w:after="0" w:line="286" w:lineRule="auto"/>
        <w:rPr>
          <w:sz w:val="20"/>
          <w:szCs w:val="20"/>
          <w:color w:val="auto"/>
        </w:rPr>
      </w:pPr>
      <w:r>
        <w:rPr>
          <w:rFonts w:ascii="Arial" w:cs="Arial" w:eastAsia="Arial" w:hAnsi="Arial"/>
          <w:sz w:val="17"/>
          <w:szCs w:val="17"/>
          <w:color w:val="auto"/>
        </w:rPr>
        <w:t>As of December 31, 2009, the number of vested stock awards amounts to 104,042 shares, and the recognized expense amounts to US$5.8 million for the year 2009. Credicorp assumes the payment of the related income tax on behalf of employees, which corresponds to 30 percent of the benefit. Credicorp estimates said income tax over the basis of the fair value of the shares granted at the grant date.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0" w:type="dxa"/>
            <w:vAlign w:val="bottom"/>
            <w:gridSpan w:val="2"/>
          </w:tcPr>
          <w:p>
            <w:pPr>
              <w:spacing w:after="0"/>
              <w:rPr>
                <w:sz w:val="20"/>
                <w:szCs w:val="20"/>
                <w:color w:val="auto"/>
              </w:rPr>
            </w:pPr>
            <w:r>
              <w:rPr>
                <w:rFonts w:ascii="Arial" w:cs="Arial" w:eastAsia="Arial" w:hAnsi="Arial"/>
                <w:sz w:val="18"/>
                <w:szCs w:val="18"/>
                <w:b w:val="1"/>
                <w:bCs w:val="1"/>
                <w:color w:val="auto"/>
              </w:rPr>
              <w:t>19.</w:t>
            </w:r>
          </w:p>
        </w:tc>
        <w:tc>
          <w:tcPr>
            <w:tcW w:w="5880" w:type="dxa"/>
            <w:vAlign w:val="bottom"/>
            <w:gridSpan w:val="2"/>
          </w:tcPr>
          <w:p>
            <w:pPr>
              <w:ind w:left="40"/>
              <w:spacing w:after="0"/>
              <w:rPr>
                <w:sz w:val="20"/>
                <w:szCs w:val="20"/>
                <w:color w:val="auto"/>
              </w:rPr>
            </w:pPr>
            <w:r>
              <w:rPr>
                <w:rFonts w:ascii="Arial" w:cs="Arial" w:eastAsia="Arial" w:hAnsi="Arial"/>
                <w:sz w:val="18"/>
                <w:szCs w:val="18"/>
                <w:b w:val="1"/>
                <w:bCs w:val="1"/>
                <w:color w:val="auto"/>
              </w:rPr>
              <w:t>Off-balance sheet accounts</w:t>
            </w:r>
          </w:p>
        </w:tc>
        <w:tc>
          <w:tcPr>
            <w:tcW w:w="1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(a)</w:t>
            </w:r>
          </w:p>
        </w:tc>
        <w:tc>
          <w:tcPr>
            <w:tcW w:w="5500" w:type="dxa"/>
            <w:vAlign w:val="bottom"/>
          </w:tcPr>
          <w:p>
            <w:pPr>
              <w:ind w:left="140"/>
              <w:spacing w:after="0"/>
              <w:rPr>
                <w:sz w:val="20"/>
                <w:szCs w:val="20"/>
                <w:color w:val="auto"/>
              </w:rPr>
            </w:pPr>
            <w:r>
              <w:rPr>
                <w:rFonts w:ascii="Arial" w:cs="Arial" w:eastAsia="Arial" w:hAnsi="Arial"/>
                <w:sz w:val="18"/>
                <w:szCs w:val="18"/>
                <w:color w:val="auto"/>
              </w:rPr>
              <w:t>This item is made up as follows:</w:t>
            </w: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26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gridSpan w:val="3"/>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Contingent credits - indirect loans (b)</w:t>
            </w:r>
          </w:p>
        </w:tc>
        <w:tc>
          <w:tcPr>
            <w:tcW w:w="1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Guarantees and standby letters</w:t>
            </w:r>
          </w:p>
        </w:tc>
        <w:tc>
          <w:tcPr>
            <w:tcW w:w="1200" w:type="dxa"/>
            <w:vAlign w:val="bottom"/>
          </w:tcPr>
          <w:p>
            <w:pPr>
              <w:jc w:val="right"/>
              <w:spacing w:after="0"/>
              <w:rPr>
                <w:sz w:val="20"/>
                <w:szCs w:val="20"/>
                <w:color w:val="auto"/>
              </w:rPr>
            </w:pPr>
            <w:r>
              <w:rPr>
                <w:rFonts w:ascii="Arial" w:cs="Arial" w:eastAsia="Arial" w:hAnsi="Arial"/>
                <w:sz w:val="18"/>
                <w:szCs w:val="18"/>
                <w:color w:val="auto"/>
              </w:rPr>
              <w:t>2,108,761</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1,506,506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12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419,374</w:t>
            </w:r>
          </w:p>
        </w:tc>
        <w:tc>
          <w:tcPr>
            <w:tcW w:w="180" w:type="dxa"/>
            <w:vAlign w:val="bottom"/>
            <w:tcBorders>
              <w:bottom w:val="single" w:sz="8" w:color="CCFFCC"/>
            </w:tcBorders>
            <w:shd w:val="clear" w:color="auto" w:fill="CCFFCC"/>
          </w:tcPr>
          <w:p>
            <w:pPr>
              <w:spacing w:after="0"/>
              <w:rPr>
                <w:sz w:val="19"/>
                <w:szCs w:val="19"/>
                <w:color w:val="auto"/>
              </w:rPr>
            </w:pPr>
          </w:p>
        </w:tc>
        <w:tc>
          <w:tcPr>
            <w:tcW w:w="11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249,396</w:t>
            </w:r>
          </w:p>
        </w:tc>
        <w:tc>
          <w:tcPr>
            <w:tcW w:w="8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2,528,135</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1,755,902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80" w:type="dxa"/>
            <w:vAlign w:val="bottom"/>
            <w:gridSpan w:val="3"/>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Responsibilities under credit lines agreements (d)</w:t>
            </w:r>
          </w:p>
        </w:tc>
        <w:tc>
          <w:tcPr>
            <w:tcW w:w="1200" w:type="dxa"/>
            <w:vAlign w:val="bottom"/>
          </w:tcPr>
          <w:p>
            <w:pPr>
              <w:jc w:val="right"/>
              <w:spacing w:after="0"/>
              <w:rPr>
                <w:sz w:val="20"/>
                <w:szCs w:val="20"/>
                <w:color w:val="auto"/>
              </w:rPr>
            </w:pPr>
            <w:r>
              <w:rPr>
                <w:rFonts w:ascii="Arial" w:cs="Arial" w:eastAsia="Arial" w:hAnsi="Arial"/>
                <w:sz w:val="18"/>
                <w:szCs w:val="18"/>
                <w:color w:val="auto"/>
              </w:rPr>
              <w:t>1,557,674</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1,234,964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Forward currency contracts - sell (c)</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1,303,588</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1,552,917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Forward currency contracts - buy (c)</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(1,381,973)</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(925,317)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shd w:val="clear" w:color="auto" w:fill="CCFFCC"/>
          </w:tcPr>
          <w:p>
            <w:pPr>
              <w:spacing w:after="0"/>
              <w:rPr>
                <w:sz w:val="20"/>
                <w:szCs w:val="20"/>
                <w:color w:val="auto"/>
              </w:rPr>
            </w:pPr>
            <w:r>
              <w:rPr>
                <w:rFonts w:ascii="Arial" w:cs="Arial" w:eastAsia="Arial" w:hAnsi="Arial"/>
                <w:sz w:val="18"/>
                <w:szCs w:val="18"/>
                <w:color w:val="auto"/>
                <w:w w:val="93"/>
              </w:rPr>
              <w:t>Options</w:t>
            </w:r>
          </w:p>
        </w:tc>
        <w:tc>
          <w:tcPr>
            <w:tcW w:w="380" w:type="dxa"/>
            <w:vAlign w:val="bottom"/>
            <w:shd w:val="clear" w:color="auto" w:fill="CCFFCC"/>
          </w:tcPr>
          <w:p>
            <w:pPr>
              <w:spacing w:after="0"/>
              <w:rPr>
                <w:sz w:val="18"/>
                <w:szCs w:val="18"/>
                <w:color w:val="auto"/>
              </w:rPr>
            </w:pPr>
          </w:p>
        </w:tc>
        <w:tc>
          <w:tcPr>
            <w:tcW w:w="550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24,374</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spacing w:after="0"/>
              <w:rPr>
                <w:sz w:val="20"/>
                <w:szCs w:val="20"/>
                <w:color w:val="auto"/>
              </w:rPr>
            </w:pPr>
            <w:r>
              <w:rPr>
                <w:rFonts w:ascii="Arial" w:cs="Arial" w:eastAsia="Arial" w:hAnsi="Arial"/>
                <w:sz w:val="18"/>
                <w:szCs w:val="18"/>
                <w:color w:val="auto"/>
              </w:rPr>
              <w:t>Swaps Contracts (c)</w:t>
            </w: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Interest rate swaps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2,161,613</w:t>
            </w: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2,160,390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gridSpan w:val="3"/>
          </w:tcPr>
          <w:p>
            <w:pPr>
              <w:ind w:left="160"/>
              <w:spacing w:after="0"/>
              <w:rPr>
                <w:sz w:val="20"/>
                <w:szCs w:val="20"/>
                <w:color w:val="auto"/>
              </w:rPr>
            </w:pPr>
            <w:r>
              <w:rPr>
                <w:rFonts w:ascii="Arial" w:cs="Arial" w:eastAsia="Arial" w:hAnsi="Arial"/>
                <w:sz w:val="18"/>
                <w:szCs w:val="18"/>
                <w:color w:val="auto"/>
              </w:rPr>
              <w:t>Currency swaps</w:t>
            </w:r>
          </w:p>
        </w:tc>
        <w:tc>
          <w:tcPr>
            <w:tcW w:w="1200" w:type="dxa"/>
            <w:vAlign w:val="bottom"/>
          </w:tcPr>
          <w:p>
            <w:pPr>
              <w:jc w:val="right"/>
              <w:spacing w:after="0"/>
              <w:rPr>
                <w:sz w:val="20"/>
                <w:szCs w:val="20"/>
                <w:color w:val="auto"/>
              </w:rPr>
            </w:pPr>
            <w:r>
              <w:rPr>
                <w:rFonts w:ascii="Arial" w:cs="Arial" w:eastAsia="Arial" w:hAnsi="Arial"/>
                <w:sz w:val="18"/>
                <w:szCs w:val="18"/>
                <w:color w:val="auto"/>
              </w:rPr>
              <w:t>435,518</w:t>
            </w:r>
          </w:p>
        </w:tc>
        <w:tc>
          <w:tcPr>
            <w:tcW w:w="18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192,899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80" w:type="dxa"/>
            <w:vAlign w:val="bottom"/>
            <w:gridSpan w:val="3"/>
            <w:shd w:val="clear" w:color="auto" w:fill="CCFFCC"/>
          </w:tcPr>
          <w:p>
            <w:pPr>
              <w:ind w:left="160"/>
              <w:spacing w:after="0"/>
              <w:rPr>
                <w:sz w:val="20"/>
                <w:szCs w:val="20"/>
                <w:color w:val="auto"/>
              </w:rPr>
            </w:pPr>
            <w:r>
              <w:rPr>
                <w:rFonts w:ascii="Arial" w:cs="Arial" w:eastAsia="Arial" w:hAnsi="Arial"/>
                <w:sz w:val="18"/>
                <w:szCs w:val="18"/>
                <w:color w:val="auto"/>
              </w:rPr>
              <w:t>Cross currency swaps</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558,882</w:t>
            </w:r>
          </w:p>
        </w:tc>
        <w:tc>
          <w:tcPr>
            <w:tcW w:w="18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317,043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0" w:type="dxa"/>
            <w:vAlign w:val="bottom"/>
            <w:tcBorders>
              <w:top w:val="single" w:sz="8" w:color="CCFFCC"/>
            </w:tcBorders>
          </w:tcPr>
          <w:p>
            <w:pPr>
              <w:spacing w:after="0"/>
              <w:rPr>
                <w:sz w:val="18"/>
                <w:szCs w:val="18"/>
                <w:color w:val="auto"/>
              </w:rPr>
            </w:pPr>
          </w:p>
        </w:tc>
        <w:tc>
          <w:tcPr>
            <w:tcW w:w="380" w:type="dxa"/>
            <w:vAlign w:val="bottom"/>
            <w:tcBorders>
              <w:top w:val="single" w:sz="8" w:color="CCFFCC"/>
            </w:tcBorders>
          </w:tcPr>
          <w:p>
            <w:pPr>
              <w:spacing w:after="0"/>
              <w:rPr>
                <w:sz w:val="18"/>
                <w:szCs w:val="18"/>
                <w:color w:val="auto"/>
              </w:rPr>
            </w:pPr>
          </w:p>
        </w:tc>
        <w:tc>
          <w:tcPr>
            <w:tcW w:w="5500" w:type="dxa"/>
            <w:vAlign w:val="bottom"/>
            <w:tcBorders>
              <w:top w:val="single" w:sz="8" w:color="CCFFCC"/>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shd w:val="clear" w:color="auto" w:fill="CCFFCC"/>
          </w:tcPr>
          <w:p>
            <w:pPr>
              <w:spacing w:after="0"/>
              <w:rPr>
                <w:sz w:val="20"/>
                <w:szCs w:val="20"/>
                <w:color w:val="auto"/>
              </w:rPr>
            </w:pPr>
          </w:p>
        </w:tc>
        <w:tc>
          <w:tcPr>
            <w:tcW w:w="5500" w:type="dxa"/>
            <w:vAlign w:val="bottom"/>
            <w:shd w:val="clear" w:color="auto" w:fill="CCFFCC"/>
          </w:tcPr>
          <w:p>
            <w:pPr>
              <w:spacing w:after="0"/>
              <w:rPr>
                <w:sz w:val="20"/>
                <w:szCs w:val="20"/>
                <w:color w:val="auto"/>
              </w:rPr>
            </w:pPr>
          </w:p>
        </w:tc>
        <w:tc>
          <w:tcPr>
            <w:tcW w:w="13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7,187,811</w:t>
            </w:r>
          </w:p>
        </w:tc>
        <w:tc>
          <w:tcPr>
            <w:tcW w:w="1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6,288,798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550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40" w:right="20" w:hanging="484"/>
        <w:spacing w:after="0" w:line="308" w:lineRule="auto"/>
        <w:tabs>
          <w:tab w:leader="none" w:pos="114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In the normal course of its business, the Group’s banking subsidiaries are party to transactions with off-balance sheet risk. These transactions expose them to credit risk in addition to the amounts recognized in the consolidated statements of financial position.</w:t>
      </w: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93" w:lineRule="auto"/>
        <w:rPr>
          <w:sz w:val="20"/>
          <w:szCs w:val="20"/>
          <w:color w:val="auto"/>
        </w:rPr>
      </w:pPr>
      <w:r>
        <w:rPr>
          <w:rFonts w:ascii="Arial" w:cs="Arial" w:eastAsia="Arial" w:hAnsi="Arial"/>
          <w:sz w:val="16"/>
          <w:szCs w:val="16"/>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amounts specified in the related contracts. The Group applies the same credit policies in making commitments and conditional obligations as it does for on-balance sheet instruments (note 6(a)), including the requirement to obtain collateral when it is deemed necessary.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192" w:lineRule="exact"/>
        <w:rPr>
          <w:sz w:val="20"/>
          <w:szCs w:val="20"/>
          <w:color w:val="auto"/>
        </w:rPr>
      </w:pPr>
    </w:p>
    <w:p>
      <w:pPr>
        <w:ind w:left="1140" w:right="640" w:hanging="484"/>
        <w:spacing w:after="0" w:line="277" w:lineRule="auto"/>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 explained in note 11(b), as of December 31, 2009 and 2008, Credicorp has signed different contracts related to derivative financial instruments as follows:</w:t>
      </w:r>
    </w:p>
    <w:p>
      <w:pPr>
        <w:spacing w:after="0" w:line="197" w:lineRule="exact"/>
        <w:rPr>
          <w:rFonts w:ascii="Arial" w:cs="Arial" w:eastAsia="Arial" w:hAnsi="Arial"/>
          <w:sz w:val="18"/>
          <w:szCs w:val="18"/>
          <w:color w:val="auto"/>
        </w:rPr>
      </w:pPr>
    </w:p>
    <w:p>
      <w:pPr>
        <w:ind w:left="1140" w:right="400"/>
        <w:spacing w:after="0" w:line="342" w:lineRule="auto"/>
        <w:rPr>
          <w:rFonts w:ascii="Arial" w:cs="Arial" w:eastAsia="Arial" w:hAnsi="Arial"/>
          <w:sz w:val="18"/>
          <w:szCs w:val="18"/>
          <w:color w:val="auto"/>
        </w:rPr>
      </w:pPr>
      <w:r>
        <w:rPr>
          <w:rFonts w:ascii="Arial" w:cs="Arial" w:eastAsia="Arial" w:hAnsi="Arial"/>
          <w:sz w:val="16"/>
          <w:szCs w:val="16"/>
          <w:color w:val="auto"/>
        </w:rPr>
        <w:t>Currency forwards are commitments to buy or sell currency at a future date at a contracted price. Risk arises from the possibility that the counter-party to the transaction does not perform as agreed and from the changes in the prices of the underlying currencies.</w:t>
      </w:r>
    </w:p>
    <w:p>
      <w:pPr>
        <w:spacing w:after="0" w:line="150" w:lineRule="exact"/>
        <w:rPr>
          <w:rFonts w:ascii="Arial" w:cs="Arial" w:eastAsia="Arial" w:hAnsi="Arial"/>
          <w:sz w:val="18"/>
          <w:szCs w:val="18"/>
          <w:color w:val="auto"/>
        </w:rPr>
      </w:pPr>
    </w:p>
    <w:p>
      <w:pPr>
        <w:ind w:left="1140"/>
        <w:spacing w:after="0" w:line="259" w:lineRule="auto"/>
        <w:rPr>
          <w:rFonts w:ascii="Arial" w:cs="Arial" w:eastAsia="Arial" w:hAnsi="Arial"/>
          <w:sz w:val="18"/>
          <w:szCs w:val="18"/>
          <w:color w:val="auto"/>
        </w:rPr>
      </w:pPr>
      <w:r>
        <w:rPr>
          <w:rFonts w:ascii="Arial" w:cs="Arial" w:eastAsia="Arial" w:hAnsi="Arial"/>
          <w:sz w:val="18"/>
          <w:szCs w:val="18"/>
          <w:color w:val="auto"/>
        </w:rPr>
        <w:t>Interest rate and currency swaps are derivatives contracts where counter 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w:t>
      </w:r>
    </w:p>
    <w:p>
      <w:pPr>
        <w:spacing w:after="0" w:line="213" w:lineRule="exact"/>
        <w:rPr>
          <w:rFonts w:ascii="Arial" w:cs="Arial" w:eastAsia="Arial" w:hAnsi="Arial"/>
          <w:sz w:val="18"/>
          <w:szCs w:val="18"/>
          <w:color w:val="auto"/>
        </w:rPr>
      </w:pPr>
    </w:p>
    <w:p>
      <w:pPr>
        <w:ind w:left="1140" w:right="260"/>
        <w:spacing w:after="0" w:line="342" w:lineRule="auto"/>
        <w:rPr>
          <w:rFonts w:ascii="Arial" w:cs="Arial" w:eastAsia="Arial" w:hAnsi="Arial"/>
          <w:sz w:val="18"/>
          <w:szCs w:val="18"/>
          <w:color w:val="auto"/>
        </w:rPr>
      </w:pPr>
      <w:r>
        <w:rPr>
          <w:rFonts w:ascii="Arial" w:cs="Arial" w:eastAsia="Arial" w:hAnsi="Arial"/>
          <w:sz w:val="16"/>
          <w:szCs w:val="16"/>
          <w:color w:val="auto"/>
        </w:rPr>
        <w:t>Cross currency swap derivative contract involves the exchange of interest payments based on two different currency principal balances and reference interest rate, generally also includes the exchange of principal amounts at the start and / or end of the contract.</w:t>
      </w:r>
    </w:p>
    <w:p>
      <w:pPr>
        <w:spacing w:after="0" w:line="150" w:lineRule="exact"/>
        <w:rPr>
          <w:rFonts w:ascii="Arial" w:cs="Arial" w:eastAsia="Arial" w:hAnsi="Arial"/>
          <w:sz w:val="18"/>
          <w:szCs w:val="18"/>
          <w:color w:val="auto"/>
        </w:rPr>
      </w:pPr>
    </w:p>
    <w:p>
      <w:pPr>
        <w:ind w:left="1140" w:right="300" w:hanging="484"/>
        <w:spacing w:after="0" w:line="277" w:lineRule="auto"/>
        <w:tabs>
          <w:tab w:leader="none" w:pos="11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20.</w:t>
            </w:r>
          </w:p>
        </w:tc>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Interest and dividend income and interest expenses</w:t>
            </w: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80" w:type="dxa"/>
            <w:vAlign w:val="bottom"/>
          </w:tcPr>
          <w:p>
            <w:pPr>
              <w:ind w:left="140"/>
              <w:spacing w:after="0"/>
              <w:rPr>
                <w:sz w:val="20"/>
                <w:szCs w:val="20"/>
                <w:color w:val="auto"/>
              </w:rPr>
            </w:pPr>
            <w:r>
              <w:rPr>
                <w:rFonts w:ascii="Arial" w:cs="Arial" w:eastAsia="Arial" w:hAnsi="Arial"/>
                <w:sz w:val="18"/>
                <w:szCs w:val="18"/>
                <w:color w:val="auto"/>
              </w:rPr>
              <w:t>These items are made up as follow:</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18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4"/>
                <w:szCs w:val="24"/>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8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and dividend income</w:t>
            </w: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 on loans</w:t>
            </w:r>
          </w:p>
        </w:tc>
        <w:tc>
          <w:tcPr>
            <w:tcW w:w="1040" w:type="dxa"/>
            <w:vAlign w:val="bottom"/>
          </w:tcPr>
          <w:p>
            <w:pPr>
              <w:jc w:val="right"/>
              <w:spacing w:after="0"/>
              <w:rPr>
                <w:sz w:val="20"/>
                <w:szCs w:val="20"/>
                <w:color w:val="auto"/>
              </w:rPr>
            </w:pPr>
            <w:r>
              <w:rPr>
                <w:rFonts w:ascii="Arial" w:cs="Arial" w:eastAsia="Arial" w:hAnsi="Arial"/>
                <w:sz w:val="18"/>
                <w:szCs w:val="18"/>
                <w:color w:val="auto"/>
              </w:rPr>
              <w:t>1,062,046</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963,940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701,471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on investments available-for-sale</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183,309</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296,853</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228,473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 on due from banks</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15,918</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75,266</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105,817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Dividends from investments available-for-sale and trading securities</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9,715</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12,189</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 on trading securities</w:t>
            </w:r>
          </w:p>
        </w:tc>
        <w:tc>
          <w:tcPr>
            <w:tcW w:w="1040" w:type="dxa"/>
            <w:vAlign w:val="bottom"/>
          </w:tcPr>
          <w:p>
            <w:pPr>
              <w:jc w:val="right"/>
              <w:spacing w:after="0"/>
              <w:rPr>
                <w:sz w:val="20"/>
                <w:szCs w:val="20"/>
                <w:color w:val="auto"/>
              </w:rPr>
            </w:pPr>
            <w:r>
              <w:rPr>
                <w:rFonts w:ascii="Arial" w:cs="Arial" w:eastAsia="Arial" w:hAnsi="Arial"/>
                <w:sz w:val="18"/>
                <w:szCs w:val="18"/>
                <w:color w:val="auto"/>
              </w:rPr>
              <w:t>3,320</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1,168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 interest income</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38,617</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33,428</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17,419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618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6180" w:type="dxa"/>
            <w:vAlign w:val="bottom"/>
            <w:shd w:val="clear" w:color="auto" w:fill="CCFFCC"/>
          </w:tcPr>
          <w:p>
            <w:pPr>
              <w:spacing w:after="0"/>
              <w:rPr>
                <w:sz w:val="22"/>
                <w:szCs w:val="22"/>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1,312,925</w:t>
            </w:r>
          </w:p>
        </w:tc>
        <w:tc>
          <w:tcPr>
            <w:tcW w:w="200" w:type="dxa"/>
            <w:vAlign w:val="bottom"/>
            <w:shd w:val="clear" w:color="auto" w:fill="CCFFCC"/>
          </w:tcPr>
          <w:p>
            <w:pPr>
              <w:spacing w:after="0"/>
              <w:rPr>
                <w:sz w:val="22"/>
                <w:szCs w:val="22"/>
                <w:color w:val="auto"/>
              </w:rPr>
            </w:pP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1,382,844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1,065,339</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80" w:type="dxa"/>
            <w:vAlign w:val="bottom"/>
            <w:tcBorders>
              <w:top w:val="single" w:sz="8" w:color="CCFFCC"/>
            </w:tcBorders>
            <w:gridSpan w:val="2"/>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Interest expenses</w:t>
            </w: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 on deposits and obligations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(226,875)</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(360,238)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on bonds and subordinated notes issued</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(66,993)</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(51,756)</w:t>
            </w:r>
          </w:p>
        </w:tc>
        <w:tc>
          <w:tcPr>
            <w:tcW w:w="11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(33,592)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Interest on due to banks and correspondents and borrowed funds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(51,654)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(104,818)</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(83,070)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Loss from hedging derivatives instruments</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(10,593)</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(502)</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80" w:type="dxa"/>
            <w:vAlign w:val="bottom"/>
            <w:gridSpan w:val="2"/>
          </w:tcPr>
          <w:p>
            <w:pPr>
              <w:spacing w:after="0"/>
              <w:rPr>
                <w:sz w:val="20"/>
                <w:szCs w:val="20"/>
                <w:color w:val="auto"/>
              </w:rPr>
            </w:pPr>
            <w:r>
              <w:rPr>
                <w:rFonts w:ascii="Arial" w:cs="Arial" w:eastAsia="Arial" w:hAnsi="Arial"/>
                <w:sz w:val="18"/>
                <w:szCs w:val="18"/>
                <w:color w:val="auto"/>
              </w:rPr>
              <w:t>Other interest expenses</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(64,449)</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(44,303)</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(18,953)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618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1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(420,564)</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(561,617)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(431,365)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During 2009, 2008 and 2007, the interest income accrued on impaired financial instrument recognized in the consolidated income statement amounted to US$5.0, US$4.7 and US$3.5 million, respectively.</w:t>
      </w:r>
    </w:p>
    <w:p>
      <w:pPr>
        <w:spacing w:after="0" w:line="3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0"/>
          </w:cols>
          <w:pgMar w:left="240" w:top="510" w:right="91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jc w:val="both"/>
        <w:ind w:left="660" w:right="8420" w:hanging="652"/>
        <w:spacing w:after="0" w:line="386" w:lineRule="auto"/>
        <w:tabs>
          <w:tab w:leader="none" w:pos="660" w:val="left"/>
        </w:tabs>
        <w:numPr>
          <w:ilvl w:val="0"/>
          <w:numId w:val="24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Banking services commissions </w:t>
      </w:r>
      <w:r>
        <w:rPr>
          <w:rFonts w:ascii="Arial" w:cs="Arial" w:eastAsia="Arial" w:hAnsi="Arial"/>
          <w:sz w:val="15"/>
          <w:szCs w:val="15"/>
          <w:color w:val="auto"/>
        </w:rPr>
        <w:t>This item is made up as follows: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18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Maintenance of accounts and transfers and credit and debit card services</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196,642</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180,512</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Funds management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100,160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102,760</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83,726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Collection services</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42,841</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26,795</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Contingent credits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33,339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30,174</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23,819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Commissions for banking services</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14,657</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12,851</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Brokerage and custody services</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10,130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10,075</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13,708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39,050</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31,080</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4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0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436,819</w:t>
            </w:r>
          </w:p>
        </w:tc>
        <w:tc>
          <w:tcPr>
            <w:tcW w:w="22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394,247</w:t>
            </w:r>
          </w:p>
        </w:tc>
        <w:tc>
          <w:tcPr>
            <w:tcW w:w="22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324,761</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20" w:type="dxa"/>
            <w:vAlign w:val="bottom"/>
            <w:gridSpan w:val="2"/>
          </w:tcPr>
          <w:p>
            <w:pPr>
              <w:spacing w:after="0"/>
              <w:rPr>
                <w:sz w:val="20"/>
                <w:szCs w:val="20"/>
                <w:color w:val="auto"/>
              </w:rPr>
            </w:pPr>
            <w:r>
              <w:rPr>
                <w:rFonts w:ascii="Arial" w:cs="Arial" w:eastAsia="Arial" w:hAnsi="Arial"/>
                <w:sz w:val="18"/>
                <w:szCs w:val="18"/>
                <w:b w:val="1"/>
                <w:bCs w:val="1"/>
                <w:color w:val="auto"/>
              </w:rPr>
              <w:t>22.</w:t>
            </w:r>
          </w:p>
        </w:tc>
        <w:tc>
          <w:tcPr>
            <w:tcW w:w="3800" w:type="dxa"/>
            <w:vAlign w:val="bottom"/>
          </w:tcPr>
          <w:p>
            <w:pPr>
              <w:ind w:left="140"/>
              <w:spacing w:after="0"/>
              <w:rPr>
                <w:sz w:val="20"/>
                <w:szCs w:val="20"/>
                <w:color w:val="auto"/>
              </w:rPr>
            </w:pPr>
            <w:r>
              <w:rPr>
                <w:rFonts w:ascii="Arial" w:cs="Arial" w:eastAsia="Arial" w:hAnsi="Arial"/>
                <w:sz w:val="18"/>
                <w:szCs w:val="18"/>
                <w:b w:val="1"/>
                <w:bCs w:val="1"/>
                <w:color w:val="auto"/>
              </w:rPr>
              <w:t>Net premiums earned</w:t>
            </w:r>
          </w:p>
        </w:tc>
        <w:tc>
          <w:tcPr>
            <w:tcW w:w="1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0" w:type="dxa"/>
            <w:vAlign w:val="bottom"/>
          </w:tcPr>
          <w:p>
            <w:pPr>
              <w:ind w:left="140"/>
              <w:spacing w:after="0"/>
              <w:rPr>
                <w:sz w:val="20"/>
                <w:szCs w:val="20"/>
                <w:color w:val="auto"/>
              </w:rPr>
            </w:pPr>
            <w:r>
              <w:rPr>
                <w:rFonts w:ascii="Arial" w:cs="Arial" w:eastAsia="Arial" w:hAnsi="Arial"/>
                <w:sz w:val="18"/>
                <w:szCs w:val="18"/>
                <w:color w:val="auto"/>
              </w:rPr>
              <w:t>This item is made up as follows:</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Premiums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ceded to</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Assumed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Percentage</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Gross</w:t>
            </w:r>
          </w:p>
        </w:tc>
        <w:tc>
          <w:tcPr>
            <w:tcW w:w="14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reinsurers, net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from other</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Net premiums</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of assumed net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2"/>
              </w:rPr>
              <w:t>premiums (*)</w:t>
            </w:r>
          </w:p>
        </w:tc>
        <w:tc>
          <w:tcPr>
            <w:tcW w:w="126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companies, net</w:t>
            </w:r>
          </w:p>
        </w:tc>
        <w:tc>
          <w:tcPr>
            <w:tcW w:w="10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earned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premiums</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14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2009</w:t>
            </w:r>
          </w:p>
        </w:tc>
        <w:tc>
          <w:tcPr>
            <w:tcW w:w="3800" w:type="dxa"/>
            <w:vAlign w:val="bottom"/>
            <w:shd w:val="clear" w:color="auto" w:fill="CCFFCC"/>
          </w:tcPr>
          <w:p>
            <w:pPr>
              <w:spacing w:after="0"/>
              <w:rPr>
                <w:sz w:val="18"/>
                <w:szCs w:val="18"/>
                <w:color w:val="auto"/>
              </w:rPr>
            </w:pPr>
          </w:p>
        </w:tc>
        <w:tc>
          <w:tcPr>
            <w:tcW w:w="1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Life insurance</w:t>
            </w:r>
          </w:p>
        </w:tc>
        <w:tc>
          <w:tcPr>
            <w:tcW w:w="1160" w:type="dxa"/>
            <w:vAlign w:val="bottom"/>
          </w:tcPr>
          <w:p>
            <w:pPr>
              <w:jc w:val="right"/>
              <w:spacing w:after="0"/>
              <w:rPr>
                <w:sz w:val="20"/>
                <w:szCs w:val="20"/>
                <w:color w:val="auto"/>
              </w:rPr>
            </w:pPr>
            <w:r>
              <w:rPr>
                <w:rFonts w:ascii="Arial" w:cs="Arial" w:eastAsia="Arial" w:hAnsi="Arial"/>
                <w:sz w:val="18"/>
                <w:szCs w:val="18"/>
                <w:color w:val="auto"/>
              </w:rPr>
              <w:t>121,449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121,449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174,396</w:t>
            </w:r>
          </w:p>
        </w:tc>
        <w:tc>
          <w:tcPr>
            <w:tcW w:w="14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(2,536)</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2,967</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174,827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General insurance</w:t>
            </w:r>
          </w:p>
        </w:tc>
        <w:tc>
          <w:tcPr>
            <w:tcW w:w="1160" w:type="dxa"/>
            <w:vAlign w:val="bottom"/>
          </w:tcPr>
          <w:p>
            <w:pPr>
              <w:jc w:val="right"/>
              <w:spacing w:after="0"/>
              <w:rPr>
                <w:sz w:val="20"/>
                <w:szCs w:val="20"/>
                <w:color w:val="auto"/>
              </w:rPr>
            </w:pPr>
            <w:r>
              <w:rPr>
                <w:rFonts w:ascii="Arial" w:cs="Arial" w:eastAsia="Arial" w:hAnsi="Arial"/>
                <w:sz w:val="18"/>
                <w:szCs w:val="18"/>
                <w:color w:val="auto"/>
              </w:rPr>
              <w:t>232,369</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(110,613)</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6,650</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128,406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3800" w:type="dxa"/>
            <w:vAlign w:val="bottom"/>
            <w:shd w:val="clear" w:color="auto" w:fill="CCFFCC"/>
          </w:tcPr>
          <w:p>
            <w:pPr>
              <w:spacing w:after="0"/>
              <w:rPr>
                <w:sz w:val="18"/>
                <w:szCs w:val="18"/>
                <w:color w:val="auto"/>
              </w:rPr>
            </w:pPr>
          </w:p>
        </w:tc>
        <w:tc>
          <w:tcPr>
            <w:tcW w:w="1160" w:type="dxa"/>
            <w:vAlign w:val="bottom"/>
            <w:tcBorders>
              <w:top w:val="single" w:sz="8" w:color="auto"/>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8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528,214</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(113,149)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9,617</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424,682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3800" w:type="dxa"/>
            <w:vAlign w:val="bottom"/>
            <w:shd w:val="clear" w:color="auto" w:fill="CCFFCC"/>
          </w:tcPr>
          <w:p>
            <w:pPr>
              <w:spacing w:after="0"/>
              <w:rPr>
                <w:sz w:val="18"/>
                <w:szCs w:val="18"/>
                <w:color w:val="auto"/>
              </w:rPr>
            </w:pPr>
          </w:p>
        </w:tc>
        <w:tc>
          <w:tcPr>
            <w:tcW w:w="1160" w:type="dxa"/>
            <w:vAlign w:val="bottom"/>
            <w:tcBorders>
              <w:right w:val="single" w:sz="8" w:color="CCFFCC"/>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2008</w:t>
            </w:r>
          </w:p>
        </w:tc>
        <w:tc>
          <w:tcPr>
            <w:tcW w:w="38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110,730</w:t>
            </w:r>
          </w:p>
        </w:tc>
        <w:tc>
          <w:tcPr>
            <w:tcW w:w="14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(2,484)</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108,252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color w:val="auto"/>
              </w:rPr>
              <w:t>Health insurance</w:t>
            </w:r>
          </w:p>
        </w:tc>
        <w:tc>
          <w:tcPr>
            <w:tcW w:w="1160" w:type="dxa"/>
            <w:vAlign w:val="bottom"/>
          </w:tcPr>
          <w:p>
            <w:pPr>
              <w:jc w:val="right"/>
              <w:spacing w:after="0"/>
              <w:rPr>
                <w:sz w:val="20"/>
                <w:szCs w:val="20"/>
                <w:color w:val="auto"/>
              </w:rPr>
            </w:pPr>
            <w:r>
              <w:rPr>
                <w:rFonts w:ascii="Arial" w:cs="Arial" w:eastAsia="Arial" w:hAnsi="Arial"/>
                <w:sz w:val="18"/>
                <w:szCs w:val="18"/>
                <w:color w:val="auto"/>
              </w:rPr>
              <w:t>169,410</w:t>
            </w:r>
          </w:p>
        </w:tc>
        <w:tc>
          <w:tcPr>
            <w:tcW w:w="1460" w:type="dxa"/>
            <w:vAlign w:val="bottom"/>
            <w:gridSpan w:val="3"/>
          </w:tcPr>
          <w:p>
            <w:pPr>
              <w:jc w:val="right"/>
              <w:ind w:right="140"/>
              <w:spacing w:after="0"/>
              <w:rPr>
                <w:sz w:val="20"/>
                <w:szCs w:val="20"/>
                <w:color w:val="auto"/>
              </w:rPr>
            </w:pPr>
            <w:r>
              <w:rPr>
                <w:rFonts w:ascii="Arial" w:cs="Arial" w:eastAsia="Arial" w:hAnsi="Arial"/>
                <w:sz w:val="18"/>
                <w:szCs w:val="18"/>
                <w:color w:val="auto"/>
              </w:rPr>
              <w:t>(2,692)</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166,718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General insurance</w:t>
            </w: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218,563</w:t>
            </w:r>
          </w:p>
        </w:tc>
        <w:tc>
          <w:tcPr>
            <w:tcW w:w="146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(105,431)</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5,801</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118,933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FFCC"/>
            </w:tcBorders>
          </w:tcPr>
          <w:p>
            <w:pPr>
              <w:spacing w:after="0"/>
              <w:rPr>
                <w:sz w:val="18"/>
                <w:szCs w:val="18"/>
                <w:color w:val="auto"/>
              </w:rPr>
            </w:pPr>
          </w:p>
        </w:tc>
        <w:tc>
          <w:tcPr>
            <w:tcW w:w="380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3800" w:type="dxa"/>
            <w:vAlign w:val="bottom"/>
            <w:shd w:val="clear" w:color="auto" w:fill="CCFFCC"/>
          </w:tcPr>
          <w:p>
            <w:pPr>
              <w:spacing w:after="0"/>
              <w:rPr>
                <w:sz w:val="20"/>
                <w:szCs w:val="20"/>
                <w:color w:val="auto"/>
              </w:rPr>
            </w:pPr>
          </w:p>
        </w:tc>
        <w:tc>
          <w:tcPr>
            <w:tcW w:w="11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498,703</w:t>
            </w:r>
          </w:p>
        </w:tc>
        <w:tc>
          <w:tcPr>
            <w:tcW w:w="14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(110,607)</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5,807</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393,903</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FFCC"/>
            </w:tcBorders>
            <w:shd w:val="clear" w:color="auto" w:fill="CCFFCC"/>
          </w:tcPr>
          <w:p>
            <w:pPr>
              <w:spacing w:after="0" w:line="20" w:lineRule="exact"/>
              <w:rPr>
                <w:sz w:val="1"/>
                <w:szCs w:val="1"/>
                <w:color w:val="auto"/>
              </w:rPr>
            </w:pPr>
          </w:p>
        </w:tc>
        <w:tc>
          <w:tcPr>
            <w:tcW w:w="38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60" w:type="dxa"/>
            <w:vAlign w:val="bottom"/>
            <w:gridSpan w:val="3"/>
          </w:tcPr>
          <w:p>
            <w:pPr>
              <w:jc w:val="right"/>
              <w:ind w:right="1060"/>
              <w:spacing w:after="0"/>
              <w:rPr>
                <w:sz w:val="20"/>
                <w:szCs w:val="20"/>
                <w:color w:val="auto"/>
              </w:rPr>
            </w:pPr>
            <w:r>
              <w:rPr>
                <w:rFonts w:ascii="Arial" w:cs="Arial" w:eastAsia="Arial" w:hAnsi="Arial"/>
                <w:sz w:val="18"/>
                <w:szCs w:val="18"/>
                <w:color w:val="auto"/>
              </w:rPr>
              <w:t>F-85</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380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Premiums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ceded to</w:t>
            </w: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Assumed</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Gross</w:t>
            </w:r>
          </w:p>
        </w:tc>
        <w:tc>
          <w:tcPr>
            <w:tcW w:w="14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reinsurers, net</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from other</w:t>
            </w:r>
          </w:p>
        </w:tc>
        <w:tc>
          <w:tcPr>
            <w:tcW w:w="14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1"/>
              </w:rPr>
              <w:t>Net premiums</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4"/>
              </w:rPr>
              <w:t>of assumed net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premiums (*)</w:t>
            </w: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companies, net</w:t>
            </w:r>
          </w:p>
        </w:tc>
        <w:tc>
          <w:tcPr>
            <w:tcW w:w="100" w:type="dxa"/>
            <w:vAlign w:val="bottom"/>
          </w:tcPr>
          <w:p>
            <w:pPr>
              <w:spacing w:after="0"/>
              <w:rPr>
                <w:sz w:val="19"/>
                <w:szCs w:val="19"/>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earned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premiums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10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10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2007</w:t>
            </w: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Life insurance</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89,598</w:t>
            </w: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(2,658)</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1,408</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88,348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129,306</w:t>
            </w:r>
          </w:p>
        </w:tc>
        <w:tc>
          <w:tcPr>
            <w:tcW w:w="100" w:type="dxa"/>
            <w:vAlign w:val="bottom"/>
            <w:shd w:val="clear" w:color="auto" w:fill="CCFFCC"/>
          </w:tcPr>
          <w:p>
            <w:pPr>
              <w:spacing w:after="0"/>
              <w:rPr>
                <w:sz w:val="18"/>
                <w:szCs w:val="18"/>
                <w:color w:val="auto"/>
              </w:rPr>
            </w:pPr>
          </w:p>
        </w:tc>
        <w:tc>
          <w:tcPr>
            <w:tcW w:w="14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(2,488)</w:t>
            </w:r>
          </w:p>
        </w:tc>
        <w:tc>
          <w:tcPr>
            <w:tcW w:w="12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116</w:t>
            </w:r>
          </w:p>
        </w:tc>
        <w:tc>
          <w:tcPr>
            <w:tcW w:w="14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126,934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General insurance</w:t>
            </w:r>
          </w:p>
        </w:tc>
        <w:tc>
          <w:tcPr>
            <w:tcW w:w="1100" w:type="dxa"/>
            <w:vAlign w:val="bottom"/>
          </w:tcPr>
          <w:p>
            <w:pPr>
              <w:jc w:val="right"/>
              <w:spacing w:after="0"/>
              <w:rPr>
                <w:sz w:val="20"/>
                <w:szCs w:val="20"/>
                <w:color w:val="auto"/>
              </w:rPr>
            </w:pPr>
            <w:r>
              <w:rPr>
                <w:rFonts w:ascii="Arial" w:cs="Arial" w:eastAsia="Arial" w:hAnsi="Arial"/>
                <w:sz w:val="18"/>
                <w:szCs w:val="18"/>
                <w:color w:val="auto"/>
              </w:rPr>
              <w:t>146,331</w:t>
            </w:r>
          </w:p>
        </w:tc>
        <w:tc>
          <w:tcPr>
            <w:tcW w:w="100" w:type="dxa"/>
            <w:vAlign w:val="bottom"/>
          </w:tcPr>
          <w:p>
            <w:pPr>
              <w:spacing w:after="0"/>
              <w:rPr>
                <w:sz w:val="19"/>
                <w:szCs w:val="19"/>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(71,759)</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7,418</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81,990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0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right"/>
              <w:spacing w:after="0"/>
              <w:rPr>
                <w:sz w:val="20"/>
                <w:szCs w:val="20"/>
                <w:color w:val="auto"/>
              </w:rPr>
            </w:pPr>
            <w:r>
              <w:rPr>
                <w:rFonts w:ascii="Arial" w:cs="Arial" w:eastAsia="Arial" w:hAnsi="Arial"/>
                <w:sz w:val="18"/>
                <w:szCs w:val="18"/>
                <w:color w:val="auto"/>
              </w:rPr>
              <w:t>365,235</w:t>
            </w:r>
          </w:p>
        </w:tc>
        <w:tc>
          <w:tcPr>
            <w:tcW w:w="100" w:type="dxa"/>
            <w:vAlign w:val="bottom"/>
          </w:tcPr>
          <w:p>
            <w:pPr>
              <w:spacing w:after="0"/>
              <w:rPr>
                <w:sz w:val="18"/>
                <w:szCs w:val="18"/>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8"/>
                <w:szCs w:val="18"/>
                <w:color w:val="auto"/>
              </w:rPr>
              <w:t>(76,905)</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8,942</w:t>
            </w:r>
          </w:p>
        </w:tc>
        <w:tc>
          <w:tcPr>
            <w:tcW w:w="1400" w:type="dxa"/>
            <w:vAlign w:val="bottom"/>
            <w:gridSpan w:val="3"/>
          </w:tcPr>
          <w:p>
            <w:pPr>
              <w:jc w:val="right"/>
              <w:ind w:right="220"/>
              <w:spacing w:after="0"/>
              <w:rPr>
                <w:sz w:val="20"/>
                <w:szCs w:val="20"/>
                <w:color w:val="auto"/>
              </w:rPr>
            </w:pPr>
            <w:r>
              <w:rPr>
                <w:rFonts w:ascii="Arial" w:cs="Arial" w:eastAsia="Arial" w:hAnsi="Arial"/>
                <w:sz w:val="18"/>
                <w:szCs w:val="18"/>
                <w:color w:val="auto"/>
              </w:rPr>
              <w:t>297,272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hanging="484"/>
        <w:spacing w:after="0"/>
        <w:tabs>
          <w:tab w:leader="none" w:pos="114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Includes the annual variation of the technical and unearned premiums reserves.</w:t>
      </w:r>
    </w:p>
    <w:p>
      <w:pPr>
        <w:spacing w:after="0" w:line="252" w:lineRule="exact"/>
        <w:rPr>
          <w:sz w:val="20"/>
          <w:szCs w:val="20"/>
          <w:color w:val="auto"/>
        </w:rPr>
      </w:pPr>
    </w:p>
    <w:p>
      <w:pPr>
        <w:ind w:left="1140" w:hanging="484"/>
        <w:spacing w:after="0"/>
        <w:tabs>
          <w:tab w:leader="none" w:pos="114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“Premiums ceded to reinsurers, net” include:</w:t>
      </w:r>
    </w:p>
    <w:p>
      <w:pPr>
        <w:spacing w:after="0" w:line="252" w:lineRule="exact"/>
        <w:rPr>
          <w:rFonts w:ascii="Arial" w:cs="Arial" w:eastAsia="Arial" w:hAnsi="Arial"/>
          <w:sz w:val="18"/>
          <w:szCs w:val="18"/>
          <w:color w:val="auto"/>
        </w:rPr>
      </w:pPr>
    </w:p>
    <w:p>
      <w:pPr>
        <w:ind w:left="1620" w:hanging="478"/>
        <w:spacing w:after="0"/>
        <w:tabs>
          <w:tab w:leader="none" w:pos="162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US$20.8 million for non- proportional automatic contracts (excess of loss) (US$22.6 million in the year 2008),</w:t>
      </w:r>
    </w:p>
    <w:p>
      <w:pPr>
        <w:spacing w:after="0" w:line="23" w:lineRule="exact"/>
        <w:rPr>
          <w:rFonts w:ascii="Arial" w:cs="Arial" w:eastAsia="Arial" w:hAnsi="Arial"/>
          <w:sz w:val="18"/>
          <w:szCs w:val="18"/>
          <w:color w:val="auto"/>
        </w:rPr>
      </w:pPr>
    </w:p>
    <w:p>
      <w:pPr>
        <w:ind w:left="1620" w:hanging="478"/>
        <w:spacing w:after="0"/>
        <w:tabs>
          <w:tab w:leader="none" w:pos="162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US$4.0 million for reinstallation premiums (US$3.7 million in the year 2008) and</w:t>
      </w:r>
    </w:p>
    <w:p>
      <w:pPr>
        <w:spacing w:after="0" w:line="9" w:lineRule="exact"/>
        <w:rPr>
          <w:rFonts w:ascii="Arial" w:cs="Arial" w:eastAsia="Arial" w:hAnsi="Arial"/>
          <w:sz w:val="18"/>
          <w:szCs w:val="18"/>
          <w:color w:val="auto"/>
        </w:rPr>
      </w:pPr>
    </w:p>
    <w:p>
      <w:pPr>
        <w:ind w:left="1620" w:right="300" w:hanging="478"/>
        <w:spacing w:after="0" w:line="261" w:lineRule="auto"/>
        <w:tabs>
          <w:tab w:leader="none" w:pos="1620" w:val="left"/>
        </w:tabs>
        <w:numPr>
          <w:ilvl w:val="2"/>
          <w:numId w:val="247"/>
        </w:numPr>
        <w:rPr>
          <w:rFonts w:ascii="Arial" w:cs="Arial" w:eastAsia="Arial" w:hAnsi="Arial"/>
          <w:sz w:val="18"/>
          <w:szCs w:val="18"/>
          <w:color w:val="auto"/>
        </w:rPr>
      </w:pPr>
      <w:r>
        <w:rPr>
          <w:rFonts w:ascii="Arial" w:cs="Arial" w:eastAsia="Arial" w:hAnsi="Arial"/>
          <w:sz w:val="18"/>
          <w:szCs w:val="18"/>
          <w:color w:val="auto"/>
        </w:rPr>
        <w:t>US$72.9 million for facultative contracts and US$15.4 for not accrual premiums ceded reserves (US$85.4 y US$(1.1) million in the year 2008).</w:t>
      </w:r>
    </w:p>
    <w:p>
      <w:pPr>
        <w:spacing w:after="0" w:line="206" w:lineRule="exact"/>
        <w:rPr>
          <w:rFonts w:ascii="Arial" w:cs="Arial" w:eastAsia="Arial" w:hAnsi="Arial"/>
          <w:sz w:val="18"/>
          <w:szCs w:val="18"/>
          <w:color w:val="auto"/>
        </w:rPr>
      </w:pPr>
    </w:p>
    <w:p>
      <w:pPr>
        <w:ind w:left="660" w:right="5620" w:hanging="652"/>
        <w:spacing w:after="0" w:line="282" w:lineRule="auto"/>
        <w:tabs>
          <w:tab w:leader="none" w:pos="66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claims incurred for life, general and health insurance contracts </w:t>
      </w:r>
      <w:r>
        <w:rPr>
          <w:rFonts w:ascii="Arial" w:cs="Arial" w:eastAsia="Arial" w:hAnsi="Arial"/>
          <w:sz w:val="18"/>
          <w:szCs w:val="18"/>
          <w:color w:val="auto"/>
        </w:rPr>
        <w:t>This item is made up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5"/>
          </w:tcPr>
          <w:p>
            <w:pPr>
              <w:jc w:val="right"/>
              <w:ind w:right="12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240" w:type="dxa"/>
            <w:vAlign w:val="bottom"/>
            <w:gridSpan w:val="2"/>
          </w:tcPr>
          <w:p>
            <w:pPr>
              <w:jc w:val="right"/>
              <w:ind w:right="140"/>
              <w:spacing w:after="0" w:line="201" w:lineRule="exact"/>
              <w:rPr>
                <w:sz w:val="20"/>
                <w:szCs w:val="20"/>
                <w:color w:val="auto"/>
              </w:rPr>
            </w:pPr>
            <w:r>
              <w:rPr>
                <w:rFonts w:ascii="Arial" w:cs="Arial" w:eastAsia="Arial" w:hAnsi="Arial"/>
                <w:sz w:val="18"/>
                <w:szCs w:val="18"/>
                <w:b w:val="1"/>
                <w:bCs w:val="1"/>
                <w:color w:val="auto"/>
                <w:w w:val="88"/>
              </w:rPr>
              <w:t>Life insurance</w:t>
            </w:r>
          </w:p>
        </w:tc>
        <w:tc>
          <w:tcPr>
            <w:tcW w:w="1620" w:type="dxa"/>
            <w:vAlign w:val="bottom"/>
            <w:gridSpan w:val="3"/>
          </w:tcPr>
          <w:p>
            <w:pPr>
              <w:jc w:val="right"/>
              <w:ind w:right="140"/>
              <w:spacing w:after="0" w:line="201" w:lineRule="exact"/>
              <w:rPr>
                <w:sz w:val="20"/>
                <w:szCs w:val="20"/>
                <w:color w:val="auto"/>
              </w:rPr>
            </w:pPr>
            <w:r>
              <w:rPr>
                <w:rFonts w:ascii="Arial" w:cs="Arial" w:eastAsia="Arial" w:hAnsi="Arial"/>
                <w:sz w:val="18"/>
                <w:szCs w:val="18"/>
                <w:b w:val="1"/>
                <w:bCs w:val="1"/>
                <w:color w:val="auto"/>
                <w:w w:val="92"/>
              </w:rPr>
              <w:t>General insurance</w:t>
            </w:r>
          </w:p>
        </w:tc>
        <w:tc>
          <w:tcPr>
            <w:tcW w:w="1600" w:type="dxa"/>
            <w:vAlign w:val="bottom"/>
            <w:gridSpan w:val="3"/>
          </w:tcPr>
          <w:p>
            <w:pPr>
              <w:jc w:val="right"/>
              <w:ind w:right="220"/>
              <w:spacing w:after="0" w:line="201" w:lineRule="exact"/>
              <w:rPr>
                <w:sz w:val="20"/>
                <w:szCs w:val="20"/>
                <w:color w:val="auto"/>
              </w:rPr>
            </w:pPr>
            <w:r>
              <w:rPr>
                <w:rFonts w:ascii="Arial" w:cs="Arial" w:eastAsia="Arial" w:hAnsi="Arial"/>
                <w:sz w:val="18"/>
                <w:szCs w:val="18"/>
                <w:b w:val="1"/>
                <w:bCs w:val="1"/>
                <w:color w:val="auto"/>
                <w:w w:val="93"/>
              </w:rPr>
              <w:t>Health insurance</w:t>
            </w:r>
          </w:p>
        </w:tc>
        <w:tc>
          <w:tcPr>
            <w:tcW w:w="1060" w:type="dxa"/>
            <w:vAlign w:val="bottom"/>
          </w:tcPr>
          <w:p>
            <w:pPr>
              <w:jc w:val="right"/>
              <w:ind w:right="250"/>
              <w:spacing w:after="0" w:line="20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80" w:type="dxa"/>
            <w:vAlign w:val="bottom"/>
          </w:tcPr>
          <w:p>
            <w:pPr>
              <w:spacing w:after="0"/>
              <w:rPr>
                <w:sz w:val="20"/>
                <w:szCs w:val="20"/>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80" w:type="dxa"/>
            <w:vAlign w:val="bottom"/>
          </w:tcPr>
          <w:p>
            <w:pPr>
              <w:spacing w:after="0"/>
              <w:rPr>
                <w:sz w:val="20"/>
                <w:szCs w:val="20"/>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3020" w:type="dxa"/>
            <w:vAlign w:val="bottom"/>
            <w:gridSpan w:val="3"/>
            <w:shd w:val="clear" w:color="auto" w:fill="CCFFCC"/>
          </w:tcPr>
          <w:p>
            <w:pPr>
              <w:jc w:val="right"/>
              <w:ind w:right="140"/>
              <w:spacing w:after="0"/>
              <w:rPr>
                <w:sz w:val="20"/>
                <w:szCs w:val="20"/>
                <w:color w:val="auto"/>
              </w:rPr>
            </w:pPr>
            <w:r>
              <w:rPr>
                <w:rFonts w:ascii="Arial" w:cs="Arial" w:eastAsia="Arial" w:hAnsi="Arial"/>
                <w:sz w:val="18"/>
                <w:szCs w:val="18"/>
                <w:color w:val="auto"/>
              </w:rPr>
              <w:t>80,971</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108,397</w:t>
            </w:r>
          </w:p>
        </w:tc>
        <w:tc>
          <w:tcPr>
            <w:tcW w:w="140" w:type="dxa"/>
            <w:vAlign w:val="bottom"/>
            <w:shd w:val="clear" w:color="auto" w:fill="CCFFCC"/>
          </w:tcPr>
          <w:p>
            <w:pPr>
              <w:spacing w:after="0"/>
              <w:rPr>
                <w:sz w:val="18"/>
                <w:szCs w:val="18"/>
                <w:color w:val="auto"/>
              </w:rPr>
            </w:pPr>
          </w:p>
        </w:tc>
        <w:tc>
          <w:tcPr>
            <w:tcW w:w="16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148,985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338,353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Ceded claims</w:t>
            </w:r>
          </w:p>
        </w:tc>
        <w:tc>
          <w:tcPr>
            <w:tcW w:w="3020" w:type="dxa"/>
            <w:vAlign w:val="bottom"/>
            <w:gridSpan w:val="3"/>
          </w:tcPr>
          <w:p>
            <w:pPr>
              <w:jc w:val="right"/>
              <w:ind w:right="80"/>
              <w:spacing w:after="0"/>
              <w:rPr>
                <w:sz w:val="20"/>
                <w:szCs w:val="20"/>
                <w:color w:val="auto"/>
              </w:rPr>
            </w:pPr>
            <w:r>
              <w:rPr>
                <w:rFonts w:ascii="Arial" w:cs="Arial" w:eastAsia="Arial" w:hAnsi="Arial"/>
                <w:sz w:val="18"/>
                <w:szCs w:val="18"/>
                <w:color w:val="auto"/>
              </w:rPr>
              <w:t>(1,762)</w:t>
            </w: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(49,149)</w:t>
            </w:r>
          </w:p>
        </w:tc>
        <w:tc>
          <w:tcPr>
            <w:tcW w:w="1600" w:type="dxa"/>
            <w:vAlign w:val="bottom"/>
            <w:gridSpan w:val="3"/>
          </w:tcPr>
          <w:p>
            <w:pPr>
              <w:jc w:val="right"/>
              <w:ind w:right="160"/>
              <w:spacing w:after="0"/>
              <w:rPr>
                <w:sz w:val="20"/>
                <w:szCs w:val="20"/>
                <w:color w:val="auto"/>
              </w:rPr>
            </w:pPr>
            <w:r>
              <w:rPr>
                <w:rFonts w:ascii="Arial" w:cs="Arial" w:eastAsia="Arial" w:hAnsi="Arial"/>
                <w:sz w:val="18"/>
                <w:szCs w:val="18"/>
                <w:color w:val="auto"/>
              </w:rPr>
              <w:t>(984)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(51,895)</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7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79,209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59,248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148,001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286,458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F-86</w:t>
            </w:r>
          </w:p>
        </w:tc>
        <w:tc>
          <w:tcPr>
            <w:tcW w:w="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20" w:type="dxa"/>
            <w:vAlign w:val="bottom"/>
            <w:tcBorders>
              <w:bottom w:val="single" w:sz="8" w:color="808080"/>
            </w:tcBorders>
          </w:tcPr>
          <w:p>
            <w:pPr>
              <w:spacing w:after="0"/>
              <w:rPr>
                <w:sz w:val="10"/>
                <w:szCs w:val="10"/>
                <w:color w:val="auto"/>
              </w:rPr>
            </w:pPr>
          </w:p>
        </w:tc>
        <w:tc>
          <w:tcPr>
            <w:tcW w:w="1780" w:type="dxa"/>
            <w:vAlign w:val="bottom"/>
            <w:tcBorders>
              <w:bottom w:val="single" w:sz="8" w:color="808080"/>
            </w:tcBorders>
          </w:tcPr>
          <w:p>
            <w:pPr>
              <w:spacing w:after="0"/>
              <w:rPr>
                <w:sz w:val="10"/>
                <w:szCs w:val="10"/>
                <w:color w:val="auto"/>
              </w:rPr>
            </w:pPr>
          </w:p>
        </w:tc>
        <w:tc>
          <w:tcPr>
            <w:tcW w:w="11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5"/>
          </w:tcPr>
          <w:p>
            <w:pPr>
              <w:jc w:val="right"/>
              <w:ind w:right="121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60" w:type="dxa"/>
            <w:vAlign w:val="bottom"/>
            <w:gridSpan w:val="2"/>
          </w:tcPr>
          <w:p>
            <w:pPr>
              <w:jc w:val="right"/>
              <w:ind w:right="140"/>
              <w:spacing w:after="0" w:line="201" w:lineRule="exact"/>
              <w:rPr>
                <w:sz w:val="20"/>
                <w:szCs w:val="20"/>
                <w:color w:val="auto"/>
              </w:rPr>
            </w:pPr>
            <w:r>
              <w:rPr>
                <w:rFonts w:ascii="Arial" w:cs="Arial" w:eastAsia="Arial" w:hAnsi="Arial"/>
                <w:sz w:val="18"/>
                <w:szCs w:val="18"/>
                <w:b w:val="1"/>
                <w:bCs w:val="1"/>
                <w:color w:val="auto"/>
                <w:w w:val="90"/>
              </w:rPr>
              <w:t>Life insurance</w:t>
            </w:r>
          </w:p>
        </w:tc>
        <w:tc>
          <w:tcPr>
            <w:tcW w:w="1620" w:type="dxa"/>
            <w:vAlign w:val="bottom"/>
            <w:gridSpan w:val="3"/>
          </w:tcPr>
          <w:p>
            <w:pPr>
              <w:jc w:val="center"/>
              <w:ind w:right="40"/>
              <w:spacing w:after="0" w:line="201" w:lineRule="exact"/>
              <w:rPr>
                <w:sz w:val="20"/>
                <w:szCs w:val="20"/>
                <w:color w:val="auto"/>
              </w:rPr>
            </w:pPr>
            <w:r>
              <w:rPr>
                <w:rFonts w:ascii="Arial" w:cs="Arial" w:eastAsia="Arial" w:hAnsi="Arial"/>
                <w:sz w:val="18"/>
                <w:szCs w:val="18"/>
                <w:b w:val="1"/>
                <w:bCs w:val="1"/>
                <w:color w:val="auto"/>
                <w:w w:val="90"/>
              </w:rPr>
              <w:t>General insurance</w:t>
            </w:r>
          </w:p>
        </w:tc>
        <w:tc>
          <w:tcPr>
            <w:tcW w:w="1620" w:type="dxa"/>
            <w:vAlign w:val="bottom"/>
            <w:gridSpan w:val="3"/>
          </w:tcPr>
          <w:p>
            <w:pPr>
              <w:jc w:val="right"/>
              <w:ind w:right="220"/>
              <w:spacing w:after="0" w:line="201" w:lineRule="exact"/>
              <w:rPr>
                <w:sz w:val="20"/>
                <w:szCs w:val="20"/>
                <w:color w:val="auto"/>
              </w:rPr>
            </w:pPr>
            <w:r>
              <w:rPr>
                <w:rFonts w:ascii="Arial" w:cs="Arial" w:eastAsia="Arial" w:hAnsi="Arial"/>
                <w:sz w:val="18"/>
                <w:szCs w:val="18"/>
                <w:b w:val="1"/>
                <w:bCs w:val="1"/>
                <w:color w:val="auto"/>
                <w:w w:val="95"/>
              </w:rPr>
              <w:t>Health insurance</w:t>
            </w:r>
          </w:p>
        </w:tc>
        <w:tc>
          <w:tcPr>
            <w:tcW w:w="1120" w:type="dxa"/>
            <w:vAlign w:val="bottom"/>
          </w:tcPr>
          <w:p>
            <w:pPr>
              <w:jc w:val="right"/>
              <w:ind w:right="290"/>
              <w:spacing w:after="0" w:line="201"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US$(000)</w:t>
            </w:r>
          </w:p>
        </w:tc>
        <w:tc>
          <w:tcPr>
            <w:tcW w:w="80" w:type="dxa"/>
            <w:vAlign w:val="bottom"/>
          </w:tcPr>
          <w:p>
            <w:pPr>
              <w:spacing w:after="0"/>
              <w:rPr>
                <w:sz w:val="20"/>
                <w:szCs w:val="20"/>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US$(000)</w:t>
            </w:r>
          </w:p>
        </w:tc>
        <w:tc>
          <w:tcPr>
            <w:tcW w:w="80" w:type="dxa"/>
            <w:vAlign w:val="bottom"/>
          </w:tcPr>
          <w:p>
            <w:pPr>
              <w:spacing w:after="0"/>
              <w:rPr>
                <w:sz w:val="20"/>
                <w:szCs w:val="20"/>
                <w:color w:val="auto"/>
              </w:rPr>
            </w:pPr>
          </w:p>
        </w:tc>
        <w:tc>
          <w:tcPr>
            <w:tcW w:w="154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88,059</w:t>
            </w:r>
          </w:p>
        </w:tc>
        <w:tc>
          <w:tcPr>
            <w:tcW w:w="14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163,251</w:t>
            </w:r>
          </w:p>
        </w:tc>
        <w:tc>
          <w:tcPr>
            <w:tcW w:w="140" w:type="dxa"/>
            <w:vAlign w:val="bottom"/>
            <w:shd w:val="clear" w:color="auto" w:fill="CCFFCC"/>
          </w:tcPr>
          <w:p>
            <w:pPr>
              <w:spacing w:after="0"/>
              <w:rPr>
                <w:sz w:val="18"/>
                <w:szCs w:val="18"/>
                <w:color w:val="auto"/>
              </w:rPr>
            </w:pPr>
          </w:p>
        </w:tc>
        <w:tc>
          <w:tcPr>
            <w:tcW w:w="16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155,387</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406,697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Ceded claims</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(1,693)</w:t>
            </w:r>
          </w:p>
        </w:tc>
        <w:tc>
          <w:tcPr>
            <w:tcW w:w="1620" w:type="dxa"/>
            <w:vAlign w:val="bottom"/>
            <w:gridSpan w:val="3"/>
          </w:tcPr>
          <w:p>
            <w:pPr>
              <w:jc w:val="right"/>
              <w:ind w:right="80"/>
              <w:spacing w:after="0"/>
              <w:rPr>
                <w:sz w:val="20"/>
                <w:szCs w:val="20"/>
                <w:color w:val="auto"/>
              </w:rPr>
            </w:pPr>
            <w:r>
              <w:rPr>
                <w:rFonts w:ascii="Arial" w:cs="Arial" w:eastAsia="Arial" w:hAnsi="Arial"/>
                <w:sz w:val="18"/>
                <w:szCs w:val="18"/>
                <w:color w:val="auto"/>
              </w:rPr>
              <w:t>(61,361)</w:t>
            </w:r>
          </w:p>
        </w:tc>
        <w:tc>
          <w:tcPr>
            <w:tcW w:w="1620" w:type="dxa"/>
            <w:vAlign w:val="bottom"/>
            <w:gridSpan w:val="3"/>
          </w:tcPr>
          <w:p>
            <w:pPr>
              <w:jc w:val="right"/>
              <w:ind w:right="160"/>
              <w:spacing w:after="0"/>
              <w:rPr>
                <w:sz w:val="20"/>
                <w:szCs w:val="20"/>
                <w:color w:val="auto"/>
              </w:rPr>
            </w:pPr>
            <w:r>
              <w:rPr>
                <w:rFonts w:ascii="Arial" w:cs="Arial" w:eastAsia="Arial" w:hAnsi="Arial"/>
                <w:sz w:val="18"/>
                <w:szCs w:val="18"/>
                <w:color w:val="auto"/>
              </w:rPr>
              <w:t>(1,733)</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(64,787)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40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120" w:type="dxa"/>
            <w:vAlign w:val="bottom"/>
          </w:tcPr>
          <w:p>
            <w:pPr>
              <w:jc w:val="right"/>
              <w:spacing w:after="0"/>
              <w:rPr>
                <w:sz w:val="20"/>
                <w:szCs w:val="20"/>
                <w:color w:val="auto"/>
              </w:rPr>
            </w:pPr>
            <w:r>
              <w:rPr>
                <w:rFonts w:ascii="Arial" w:cs="Arial" w:eastAsia="Arial" w:hAnsi="Arial"/>
                <w:sz w:val="18"/>
                <w:szCs w:val="18"/>
                <w:color w:val="auto"/>
              </w:rPr>
              <w:t>86,366</w:t>
            </w:r>
          </w:p>
        </w:tc>
        <w:tc>
          <w:tcPr>
            <w:tcW w:w="14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101,890</w:t>
            </w:r>
          </w:p>
        </w:tc>
        <w:tc>
          <w:tcPr>
            <w:tcW w:w="140" w:type="dxa"/>
            <w:vAlign w:val="bottom"/>
          </w:tcPr>
          <w:p>
            <w:pPr>
              <w:spacing w:after="0"/>
              <w:rPr>
                <w:sz w:val="18"/>
                <w:szCs w:val="18"/>
                <w:color w:val="auto"/>
              </w:rPr>
            </w:pPr>
          </w:p>
        </w:tc>
        <w:tc>
          <w:tcPr>
            <w:tcW w:w="1620" w:type="dxa"/>
            <w:vAlign w:val="bottom"/>
            <w:gridSpan w:val="3"/>
          </w:tcPr>
          <w:p>
            <w:pPr>
              <w:jc w:val="right"/>
              <w:ind w:right="220"/>
              <w:spacing w:after="0"/>
              <w:rPr>
                <w:sz w:val="20"/>
                <w:szCs w:val="20"/>
                <w:color w:val="auto"/>
              </w:rPr>
            </w:pPr>
            <w:r>
              <w:rPr>
                <w:rFonts w:ascii="Arial" w:cs="Arial" w:eastAsia="Arial" w:hAnsi="Arial"/>
                <w:sz w:val="18"/>
                <w:szCs w:val="18"/>
                <w:color w:val="auto"/>
              </w:rPr>
              <w:t>153,654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341,910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right"/>
              <w:ind w:right="540"/>
              <w:spacing w:after="0" w:line="198" w:lineRule="exact"/>
              <w:rPr>
                <w:sz w:val="20"/>
                <w:szCs w:val="20"/>
                <w:color w:val="auto"/>
              </w:rPr>
            </w:pPr>
            <w:r>
              <w:rPr>
                <w:rFonts w:ascii="Arial" w:cs="Arial" w:eastAsia="Arial" w:hAnsi="Arial"/>
                <w:sz w:val="18"/>
                <w:szCs w:val="18"/>
                <w:b w:val="1"/>
                <w:bCs w:val="1"/>
                <w:color w:val="auto"/>
              </w:rPr>
              <w:t>Health</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90"/>
              </w:rPr>
              <w:t>Life insurance</w:t>
            </w:r>
          </w:p>
        </w:tc>
        <w:tc>
          <w:tcPr>
            <w:tcW w:w="1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General insurance</w:t>
            </w:r>
          </w:p>
        </w:tc>
        <w:tc>
          <w:tcPr>
            <w:tcW w:w="13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insurance</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40" w:type="dxa"/>
            <w:vAlign w:val="bottom"/>
          </w:tcPr>
          <w:p>
            <w:pPr>
              <w:spacing w:after="0"/>
              <w:rPr>
                <w:sz w:val="20"/>
                <w:szCs w:val="20"/>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8"/>
                <w:szCs w:val="18"/>
                <w:color w:val="auto"/>
              </w:rPr>
              <w:t>US$(000)</w:t>
            </w:r>
          </w:p>
        </w:tc>
        <w:tc>
          <w:tcPr>
            <w:tcW w:w="1620" w:type="dxa"/>
            <w:vAlign w:val="bottom"/>
            <w:gridSpan w:val="2"/>
          </w:tcPr>
          <w:p>
            <w:pPr>
              <w:jc w:val="right"/>
              <w:ind w:right="56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shd w:val="clear" w:color="auto" w:fill="CCFFCC"/>
          </w:tcPr>
          <w:p>
            <w:pPr>
              <w:spacing w:after="0"/>
              <w:rPr>
                <w:sz w:val="20"/>
                <w:szCs w:val="20"/>
                <w:color w:val="auto"/>
              </w:rPr>
            </w:pPr>
            <w:r>
              <w:rPr>
                <w:rFonts w:ascii="Arial" w:cs="Arial" w:eastAsia="Arial" w:hAnsi="Arial"/>
                <w:sz w:val="18"/>
                <w:szCs w:val="18"/>
                <w:color w:val="auto"/>
              </w:rPr>
              <w:t>Gross insurance claims</w:t>
            </w:r>
          </w:p>
        </w:tc>
        <w:tc>
          <w:tcPr>
            <w:tcW w:w="11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63,744</w:t>
            </w:r>
          </w:p>
        </w:tc>
        <w:tc>
          <w:tcPr>
            <w:tcW w:w="200" w:type="dxa"/>
            <w:vAlign w:val="bottom"/>
            <w:shd w:val="clear" w:color="auto" w:fill="CCFFCC"/>
          </w:tcPr>
          <w:p>
            <w:pPr>
              <w:spacing w:after="0"/>
              <w:rPr>
                <w:sz w:val="18"/>
                <w:szCs w:val="18"/>
                <w:color w:val="auto"/>
              </w:rPr>
            </w:pPr>
          </w:p>
        </w:tc>
        <w:tc>
          <w:tcPr>
            <w:tcW w:w="1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152,351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108,767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324,862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Ceded claims</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(84,662)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(1,548)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(86,262)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4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b w:val="1"/>
                <w:bCs w:val="1"/>
                <w:color w:val="auto"/>
              </w:rPr>
              <w:t>Net insurance claims</w:t>
            </w:r>
          </w:p>
        </w:tc>
        <w:tc>
          <w:tcPr>
            <w:tcW w:w="1140" w:type="dxa"/>
            <w:vAlign w:val="bottom"/>
          </w:tcPr>
          <w:p>
            <w:pPr>
              <w:jc w:val="right"/>
              <w:spacing w:after="0"/>
              <w:rPr>
                <w:sz w:val="20"/>
                <w:szCs w:val="20"/>
                <w:color w:val="auto"/>
              </w:rPr>
            </w:pPr>
            <w:r>
              <w:rPr>
                <w:rFonts w:ascii="Arial" w:cs="Arial" w:eastAsia="Arial" w:hAnsi="Arial"/>
                <w:sz w:val="18"/>
                <w:szCs w:val="18"/>
                <w:color w:val="auto"/>
              </w:rPr>
              <w:t>63,692</w:t>
            </w:r>
          </w:p>
        </w:tc>
        <w:tc>
          <w:tcPr>
            <w:tcW w:w="20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67,689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107,219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0" w:type="dxa"/>
            <w:vAlign w:val="bottom"/>
            <w:gridSpan w:val="2"/>
          </w:tcPr>
          <w:p>
            <w:pPr>
              <w:spacing w:after="0"/>
              <w:rPr>
                <w:sz w:val="20"/>
                <w:szCs w:val="20"/>
                <w:color w:val="auto"/>
              </w:rPr>
            </w:pPr>
            <w:r>
              <w:rPr>
                <w:rFonts w:ascii="Arial" w:cs="Arial" w:eastAsia="Arial" w:hAnsi="Arial"/>
                <w:sz w:val="18"/>
                <w:szCs w:val="18"/>
                <w:b w:val="1"/>
                <w:bCs w:val="1"/>
                <w:color w:val="auto"/>
              </w:rPr>
              <w:t>24.</w:t>
            </w:r>
          </w:p>
        </w:tc>
        <w:tc>
          <w:tcPr>
            <w:tcW w:w="4260" w:type="dxa"/>
            <w:vAlign w:val="bottom"/>
          </w:tcPr>
          <w:p>
            <w:pPr>
              <w:ind w:left="120"/>
              <w:spacing w:after="0"/>
              <w:rPr>
                <w:sz w:val="20"/>
                <w:szCs w:val="20"/>
                <w:color w:val="auto"/>
              </w:rPr>
            </w:pPr>
            <w:r>
              <w:rPr>
                <w:rFonts w:ascii="Arial" w:cs="Arial" w:eastAsia="Arial" w:hAnsi="Arial"/>
                <w:sz w:val="18"/>
                <w:szCs w:val="18"/>
                <w:b w:val="1"/>
                <w:bCs w:val="1"/>
                <w:color w:val="auto"/>
              </w:rPr>
              <w:t>Other income and expenses</w:t>
            </w:r>
          </w:p>
        </w:tc>
        <w:tc>
          <w:tcPr>
            <w:tcW w:w="2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60" w:type="dxa"/>
            <w:vAlign w:val="bottom"/>
          </w:tcPr>
          <w:p>
            <w:pPr>
              <w:ind w:left="120"/>
              <w:spacing w:after="0"/>
              <w:rPr>
                <w:sz w:val="20"/>
                <w:szCs w:val="20"/>
                <w:color w:val="auto"/>
              </w:rPr>
            </w:pPr>
            <w:r>
              <w:rPr>
                <w:rFonts w:ascii="Arial" w:cs="Arial" w:eastAsia="Arial" w:hAnsi="Arial"/>
                <w:sz w:val="18"/>
                <w:szCs w:val="18"/>
                <w:color w:val="auto"/>
              </w:rPr>
              <w:t>These items are made up as follow:</w:t>
            </w:r>
          </w:p>
        </w:tc>
        <w:tc>
          <w:tcPr>
            <w:tcW w:w="2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8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4"/>
                <w:szCs w:val="24"/>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4"/>
                <w:szCs w:val="24"/>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380" w:type="dxa"/>
            <w:vAlign w:val="bottom"/>
            <w:gridSpan w:val="2"/>
          </w:tcPr>
          <w:p>
            <w:pPr>
              <w:ind w:left="22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ind w:left="2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gridSpan w:val="2"/>
          </w:tcPr>
          <w:p>
            <w:pPr>
              <w:spacing w:after="0"/>
              <w:rPr>
                <w:sz w:val="18"/>
                <w:szCs w:val="18"/>
                <w:color w:val="auto"/>
              </w:rPr>
            </w:pPr>
          </w:p>
        </w:tc>
        <w:tc>
          <w:tcPr>
            <w:tcW w:w="2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Other income</w:t>
            </w:r>
          </w:p>
        </w:tc>
        <w:tc>
          <w:tcPr>
            <w:tcW w:w="26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Recoveries of other accounts receivable and other assets</w:t>
            </w:r>
          </w:p>
        </w:tc>
        <w:tc>
          <w:tcPr>
            <w:tcW w:w="4020" w:type="dxa"/>
            <w:vAlign w:val="bottom"/>
            <w:gridSpan w:val="3"/>
          </w:tcPr>
          <w:p>
            <w:pPr>
              <w:jc w:val="right"/>
              <w:ind w:right="220"/>
              <w:spacing w:after="0"/>
              <w:rPr>
                <w:sz w:val="20"/>
                <w:szCs w:val="20"/>
                <w:color w:val="auto"/>
              </w:rPr>
            </w:pPr>
            <w:r>
              <w:rPr>
                <w:rFonts w:ascii="Arial" w:cs="Arial" w:eastAsia="Arial" w:hAnsi="Arial"/>
                <w:sz w:val="18"/>
                <w:szCs w:val="18"/>
                <w:color w:val="auto"/>
              </w:rPr>
              <w:t>8,520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Income from the sale of seized assets</w:t>
            </w:r>
          </w:p>
        </w:tc>
        <w:tc>
          <w:tcPr>
            <w:tcW w:w="40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4,092</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12,895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Real estate rental income</w:t>
            </w:r>
          </w:p>
        </w:tc>
        <w:tc>
          <w:tcPr>
            <w:tcW w:w="4020" w:type="dxa"/>
            <w:vAlign w:val="bottom"/>
            <w:gridSpan w:val="3"/>
          </w:tcPr>
          <w:p>
            <w:pPr>
              <w:jc w:val="right"/>
              <w:ind w:right="220"/>
              <w:spacing w:after="0"/>
              <w:rPr>
                <w:sz w:val="20"/>
                <w:szCs w:val="20"/>
                <w:color w:val="auto"/>
              </w:rPr>
            </w:pPr>
            <w:r>
              <w:rPr>
                <w:rFonts w:ascii="Arial" w:cs="Arial" w:eastAsia="Arial" w:hAnsi="Arial"/>
                <w:sz w:val="18"/>
                <w:szCs w:val="18"/>
                <w:color w:val="auto"/>
              </w:rPr>
              <w:t>4,035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7,743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4260" w:type="dxa"/>
            <w:vAlign w:val="bottom"/>
            <w:shd w:val="clear" w:color="auto" w:fill="CCFFCC"/>
          </w:tcPr>
          <w:p>
            <w:pPr>
              <w:spacing w:after="0"/>
              <w:rPr>
                <w:sz w:val="19"/>
                <w:szCs w:val="19"/>
                <w:color w:val="auto"/>
              </w:rPr>
            </w:pPr>
          </w:p>
        </w:tc>
        <w:tc>
          <w:tcPr>
            <w:tcW w:w="40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15,497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14,175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tcBorders>
              <w:top w:val="single" w:sz="8" w:color="CCFFCC"/>
            </w:tcBorders>
            <w:gridSpan w:val="2"/>
          </w:tcPr>
          <w:p>
            <w:pPr>
              <w:spacing w:after="0"/>
              <w:rPr>
                <w:sz w:val="18"/>
                <w:szCs w:val="18"/>
                <w:color w:val="auto"/>
              </w:rPr>
            </w:pPr>
          </w:p>
        </w:tc>
        <w:tc>
          <w:tcPr>
            <w:tcW w:w="264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Total other income</w:t>
            </w:r>
          </w:p>
        </w:tc>
        <w:tc>
          <w:tcPr>
            <w:tcW w:w="40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32,144</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37,672</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24,934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80" w:type="dxa"/>
            <w:vAlign w:val="bottom"/>
            <w:tcBorders>
              <w:top w:val="single" w:sz="8" w:color="CCFFCC"/>
            </w:tcBorders>
            <w:gridSpan w:val="2"/>
          </w:tcPr>
          <w:p>
            <w:pPr>
              <w:spacing w:after="0"/>
              <w:rPr>
                <w:sz w:val="18"/>
                <w:szCs w:val="18"/>
                <w:color w:val="auto"/>
              </w:rPr>
            </w:pPr>
          </w:p>
        </w:tc>
        <w:tc>
          <w:tcPr>
            <w:tcW w:w="264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26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Commissions from insurance activities</w:t>
            </w:r>
          </w:p>
        </w:tc>
        <w:tc>
          <w:tcPr>
            <w:tcW w:w="4020" w:type="dxa"/>
            <w:vAlign w:val="bottom"/>
            <w:gridSpan w:val="3"/>
          </w:tcPr>
          <w:p>
            <w:pPr>
              <w:jc w:val="right"/>
              <w:ind w:right="220"/>
              <w:spacing w:after="0"/>
              <w:rPr>
                <w:sz w:val="20"/>
                <w:szCs w:val="20"/>
                <w:color w:val="auto"/>
              </w:rPr>
            </w:pPr>
            <w:r>
              <w:rPr>
                <w:rFonts w:ascii="Arial" w:cs="Arial" w:eastAsia="Arial" w:hAnsi="Arial"/>
                <w:sz w:val="18"/>
                <w:szCs w:val="18"/>
                <w:color w:val="auto"/>
              </w:rPr>
              <w:t>42,701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39,364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Provision for sundry risks, note 11(d)</w:t>
            </w:r>
          </w:p>
        </w:tc>
        <w:tc>
          <w:tcPr>
            <w:tcW w:w="40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14,425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37,549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Sundry technical insurance expenses</w:t>
            </w:r>
          </w:p>
        </w:tc>
        <w:tc>
          <w:tcPr>
            <w:tcW w:w="4020" w:type="dxa"/>
            <w:vAlign w:val="bottom"/>
            <w:gridSpan w:val="3"/>
          </w:tcPr>
          <w:p>
            <w:pPr>
              <w:jc w:val="right"/>
              <w:ind w:right="220"/>
              <w:spacing w:after="0"/>
              <w:rPr>
                <w:sz w:val="20"/>
                <w:szCs w:val="20"/>
                <w:color w:val="auto"/>
              </w:rPr>
            </w:pPr>
            <w:r>
              <w:rPr>
                <w:rFonts w:ascii="Arial" w:cs="Arial" w:eastAsia="Arial" w:hAnsi="Arial"/>
                <w:sz w:val="18"/>
                <w:szCs w:val="18"/>
                <w:color w:val="auto"/>
              </w:rPr>
              <w:t>13,574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9,158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Provision for other accounts receivables</w:t>
            </w:r>
          </w:p>
        </w:tc>
        <w:tc>
          <w:tcPr>
            <w:tcW w:w="40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9,590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3,288</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Arial" w:cs="Arial" w:eastAsia="Arial" w:hAnsi="Arial"/>
                <w:sz w:val="18"/>
                <w:szCs w:val="18"/>
                <w:color w:val="auto"/>
              </w:rPr>
              <w:t>Other</w:t>
            </w:r>
          </w:p>
        </w:tc>
        <w:tc>
          <w:tcPr>
            <w:tcW w:w="4260" w:type="dxa"/>
            <w:vAlign w:val="bottom"/>
          </w:tcPr>
          <w:p>
            <w:pPr>
              <w:spacing w:after="0"/>
              <w:rPr>
                <w:sz w:val="19"/>
                <w:szCs w:val="19"/>
                <w:color w:val="auto"/>
              </w:rPr>
            </w:pPr>
          </w:p>
        </w:tc>
        <w:tc>
          <w:tcPr>
            <w:tcW w:w="4020" w:type="dxa"/>
            <w:vAlign w:val="bottom"/>
            <w:gridSpan w:val="3"/>
          </w:tcPr>
          <w:p>
            <w:pPr>
              <w:jc w:val="right"/>
              <w:ind w:right="220"/>
              <w:spacing w:after="0"/>
              <w:rPr>
                <w:sz w:val="20"/>
                <w:szCs w:val="20"/>
                <w:color w:val="auto"/>
              </w:rPr>
            </w:pPr>
            <w:r>
              <w:rPr>
                <w:rFonts w:ascii="Arial" w:cs="Arial" w:eastAsia="Arial" w:hAnsi="Arial"/>
                <w:sz w:val="18"/>
                <w:szCs w:val="18"/>
                <w:color w:val="auto"/>
              </w:rPr>
              <w:t>16,460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12,517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80" w:type="dxa"/>
            <w:vAlign w:val="bottom"/>
            <w:gridSpan w:val="2"/>
            <w:shd w:val="clear" w:color="auto" w:fill="CCFFCC"/>
          </w:tcPr>
          <w:p>
            <w:pPr>
              <w:spacing w:after="0"/>
              <w:rPr>
                <w:sz w:val="18"/>
                <w:szCs w:val="18"/>
                <w:color w:val="auto"/>
              </w:rPr>
            </w:pPr>
          </w:p>
        </w:tc>
        <w:tc>
          <w:tcPr>
            <w:tcW w:w="264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Total other expenses</w:t>
            </w:r>
          </w:p>
        </w:tc>
        <w:tc>
          <w:tcPr>
            <w:tcW w:w="26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96,750</w:t>
            </w:r>
          </w:p>
        </w:tc>
        <w:tc>
          <w:tcPr>
            <w:tcW w:w="2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101,876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71,999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020" w:type="dxa"/>
            <w:vAlign w:val="bottom"/>
            <w:gridSpan w:val="3"/>
          </w:tcPr>
          <w:p>
            <w:pPr>
              <w:ind w:left="740"/>
              <w:spacing w:after="0"/>
              <w:rPr>
                <w:sz w:val="20"/>
                <w:szCs w:val="20"/>
                <w:color w:val="auto"/>
              </w:rPr>
            </w:pPr>
            <w:r>
              <w:rPr>
                <w:rFonts w:ascii="Arial" w:cs="Arial" w:eastAsia="Arial" w:hAnsi="Arial"/>
                <w:sz w:val="18"/>
                <w:szCs w:val="18"/>
                <w:color w:val="auto"/>
              </w:rPr>
              <w:t>F-87</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520" w:type="dxa"/>
            <w:vAlign w:val="bottom"/>
            <w:tcBorders>
              <w:bottom w:val="single" w:sz="8" w:color="808080"/>
            </w:tcBorders>
          </w:tcPr>
          <w:p>
            <w:pPr>
              <w:spacing w:after="0"/>
              <w:rPr>
                <w:sz w:val="10"/>
                <w:szCs w:val="10"/>
                <w:color w:val="auto"/>
              </w:rPr>
            </w:pPr>
          </w:p>
        </w:tc>
        <w:tc>
          <w:tcPr>
            <w:tcW w:w="426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11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net earnings per ordinary share has been determined over the net income attributable to equity holders of Credicorp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 attributable to equity holders of Credicorp (in thousands of U.S. dollars)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469,785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357,756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350,735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Number of shares:</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Ordinary shares, note 16(a)</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94,382,317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94,382,317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94,382,317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Less - treasury shares, note 16(b)</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(14,620,842)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(14,620,842)</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(14,620,842)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Acquisition of treasury shares</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(170,250)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Weighted average number of ordinary shares for basic earnings</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79,591,225</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79,761,475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79,761,475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color w:val="auto"/>
              </w:rPr>
              <w:t>Plus - effect of dilution:</w:t>
            </w:r>
          </w:p>
        </w:tc>
        <w:tc>
          <w:tcPr>
            <w:tcW w:w="11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Stock awards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72,243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Weighted average number of ordinary shares adjusted for the effect of dilution</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79,663,468</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79,761,475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79,761,475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FFCC"/>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Basic earnings per share (in U.S. Dollars)</w:t>
            </w:r>
          </w:p>
        </w:tc>
        <w:tc>
          <w:tcPr>
            <w:tcW w:w="13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5.90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4.49</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Diluted earnings per share (in U.S. Dollars)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660" w:hanging="652"/>
        <w:spacing w:after="0"/>
        <w:tabs>
          <w:tab w:leader="none" w:pos="660"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For management purposes, the Group is organized into four operating segments based on products and services as follows:</w:t>
      </w:r>
    </w:p>
    <w:p>
      <w:pPr>
        <w:spacing w:after="0" w:line="23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Banking:</w:t>
      </w:r>
    </w:p>
    <w:p>
      <w:pPr>
        <w:spacing w:after="0" w:line="27" w:lineRule="exact"/>
        <w:rPr>
          <w:rFonts w:ascii="Arial" w:cs="Arial" w:eastAsia="Arial" w:hAnsi="Arial"/>
          <w:sz w:val="18"/>
          <w:szCs w:val="18"/>
          <w:b w:val="1"/>
          <w:bCs w:val="1"/>
          <w:color w:val="auto"/>
        </w:rPr>
      </w:pPr>
    </w:p>
    <w:p>
      <w:pPr>
        <w:jc w:val="both"/>
        <w:ind w:left="660" w:right="20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Principally handling loans, credit facilities, deposits and current accounts, and providing investment banking services, including corporate finance, both for corporate and institutional customers. Furthermore, handling deposits consumer loans and credit cards facilities for individual customers.</w:t>
      </w:r>
    </w:p>
    <w:p>
      <w:pPr>
        <w:spacing w:after="0" w:line="16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Including commercial property, transportation and marine hull, automobile, life, health and pension fund underwriting insurance.</w:t>
      </w:r>
    </w:p>
    <w:p>
      <w:pPr>
        <w:spacing w:after="0" w:line="23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Pension funds:</w:t>
      </w:r>
    </w:p>
    <w:p>
      <w:pPr>
        <w:spacing w:after="0" w:line="2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Providing private pension fund management services to contributors.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Brokerage and other:</w:t>
      </w:r>
    </w:p>
    <w:p>
      <w:pPr>
        <w:spacing w:after="0" w:line="27" w:lineRule="exact"/>
        <w:rPr>
          <w:sz w:val="20"/>
          <w:szCs w:val="20"/>
          <w:color w:val="auto"/>
        </w:rPr>
      </w:pPr>
    </w:p>
    <w:p>
      <w:pPr>
        <w:ind w:left="660"/>
        <w:spacing w:after="0" w:line="261" w:lineRule="auto"/>
        <w:rPr>
          <w:sz w:val="20"/>
          <w:szCs w:val="20"/>
          <w:color w:val="auto"/>
        </w:rPr>
      </w:pPr>
      <w:r>
        <w:rPr>
          <w:rFonts w:ascii="Arial" w:cs="Arial" w:eastAsia="Arial" w:hAnsi="Arial"/>
          <w:sz w:val="18"/>
          <w:szCs w:val="18"/>
          <w:color w:val="auto"/>
        </w:rPr>
        <w:t>Including the structuring and placement of primary market issues and the execution and trading of secondary market transactions. In addition, offers local securitization structuring to corporate entities, management of mutual funds, and other services.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operating segments have been aggregated to form the above reportable operating segments.</w:t>
      </w:r>
    </w:p>
    <w:p>
      <w:pPr>
        <w:spacing w:after="0" w:line="252"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Group monitors the operating results of its business units separately for the purpose of making decisions about resource allocation and performance assessment. Segment performance is evaluated based on operating profit or loss and is measured consistently with operating profit or loss in the consolidated financial statements.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Transfer prices between operating segments are on an arm’s length basis in a manner similar to transactions with third parties.</w:t>
      </w:r>
    </w:p>
    <w:p>
      <w:pPr>
        <w:spacing w:after="0" w:line="252"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No revenue from transactions with a single external customer or counterparty amounted to 10 percent or more of the Group’s total revenue in 2009, 2008, and 2007.</w:t>
      </w:r>
    </w:p>
    <w:p>
      <w:pPr>
        <w:spacing w:after="0" w:line="34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right="100" w:hanging="490"/>
        <w:spacing w:after="0" w:line="277" w:lineRule="auto"/>
        <w:tabs>
          <w:tab w:leader="none" w:pos="11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following table presents income and certain asset information recording the Group´s operating segments (in millions of U.S. Dollars) for the years ended 31 December 2009, 2008, and 2007:</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2"/>
              </w:rPr>
              <w:t>Capital</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8"/>
              </w:rPr>
              <w:t>Provision for</w:t>
            </w: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6"/>
              </w:rPr>
              <w:t>expenditures,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0"/>
              </w:rPr>
              <w:t>Income from</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82"/>
              </w:rPr>
              <w:t>loan losses, net</w:t>
            </w:r>
          </w:p>
        </w:tc>
        <w:tc>
          <w:tcPr>
            <w:tcW w:w="86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Depreciation</w:t>
            </w:r>
          </w:p>
        </w:tc>
        <w:tc>
          <w:tcPr>
            <w:tcW w:w="94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93"/>
              </w:rPr>
              <w:t>Impairment of</w:t>
            </w:r>
          </w:p>
        </w:tc>
        <w:tc>
          <w:tcPr>
            <w:tcW w:w="100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Income before</w:t>
            </w: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0"/>
              </w:rPr>
              <w:t>Translation</w:t>
            </w: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intangible</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gridSpan w:val="2"/>
          </w:tcPr>
          <w:p>
            <w:pPr>
              <w:jc w:val="right"/>
              <w:ind w:right="260"/>
              <w:spacing w:after="0" w:line="122" w:lineRule="exact"/>
              <w:rPr>
                <w:sz w:val="20"/>
                <w:szCs w:val="20"/>
                <w:color w:val="auto"/>
              </w:rPr>
            </w:pPr>
            <w:r>
              <w:rPr>
                <w:rFonts w:ascii="Arial" w:cs="Arial" w:eastAsia="Arial" w:hAnsi="Arial"/>
                <w:sz w:val="11"/>
                <w:szCs w:val="11"/>
                <w:b w:val="1"/>
                <w:bCs w:val="1"/>
                <w:color w:val="auto"/>
              </w:rPr>
              <w:t>External</w:t>
            </w:r>
          </w:p>
        </w:tc>
        <w:tc>
          <w:tcPr>
            <w:tcW w:w="780" w:type="dxa"/>
            <w:vAlign w:val="bottom"/>
            <w:gridSpan w:val="2"/>
          </w:tcPr>
          <w:p>
            <w:pPr>
              <w:jc w:val="center"/>
              <w:ind w:right="180"/>
              <w:spacing w:after="0" w:line="122" w:lineRule="exact"/>
              <w:rPr>
                <w:sz w:val="20"/>
                <w:szCs w:val="20"/>
                <w:color w:val="auto"/>
              </w:rPr>
            </w:pPr>
            <w:r>
              <w:rPr>
                <w:rFonts w:ascii="Arial" w:cs="Arial" w:eastAsia="Arial" w:hAnsi="Arial"/>
                <w:sz w:val="11"/>
                <w:szCs w:val="11"/>
                <w:b w:val="1"/>
                <w:bCs w:val="1"/>
                <w:color w:val="auto"/>
                <w:w w:val="87"/>
              </w:rPr>
              <w:t>other</w:t>
            </w: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Total</w:t>
            </w:r>
          </w:p>
        </w:tc>
        <w:tc>
          <w:tcPr>
            <w:tcW w:w="180" w:type="dxa"/>
            <w:vAlign w:val="bottom"/>
          </w:tcPr>
          <w:p>
            <w:pPr>
              <w:spacing w:after="0"/>
              <w:rPr>
                <w:sz w:val="10"/>
                <w:szCs w:val="10"/>
                <w:color w:val="auto"/>
              </w:rPr>
            </w:pPr>
          </w:p>
        </w:tc>
        <w:tc>
          <w:tcPr>
            <w:tcW w:w="760" w:type="dxa"/>
            <w:vAlign w:val="bottom"/>
            <w:gridSpan w:val="2"/>
          </w:tcPr>
          <w:p>
            <w:pPr>
              <w:jc w:val="right"/>
              <w:ind w:right="240"/>
              <w:spacing w:after="0" w:line="122" w:lineRule="exact"/>
              <w:rPr>
                <w:sz w:val="20"/>
                <w:szCs w:val="20"/>
                <w:color w:val="auto"/>
              </w:rPr>
            </w:pPr>
            <w:r>
              <w:rPr>
                <w:rFonts w:ascii="Arial" w:cs="Arial" w:eastAsia="Arial" w:hAnsi="Arial"/>
                <w:sz w:val="11"/>
                <w:szCs w:val="11"/>
                <w:b w:val="1"/>
                <w:bCs w:val="1"/>
                <w:color w:val="auto"/>
                <w:w w:val="96"/>
              </w:rPr>
              <w:t>Operating</w:t>
            </w:r>
          </w:p>
        </w:tc>
        <w:tc>
          <w:tcPr>
            <w:tcW w:w="80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76"/>
              </w:rPr>
              <w:t>of</w:t>
            </w:r>
          </w:p>
        </w:tc>
        <w:tc>
          <w:tcPr>
            <w:tcW w:w="80" w:type="dxa"/>
            <w:vAlign w:val="bottom"/>
          </w:tcPr>
          <w:p>
            <w:pPr>
              <w:spacing w:after="0"/>
              <w:rPr>
                <w:sz w:val="10"/>
                <w:szCs w:val="10"/>
                <w:color w:val="auto"/>
              </w:rPr>
            </w:pP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1"/>
              </w:rPr>
              <w:t>and</w:t>
            </w:r>
          </w:p>
        </w:tc>
        <w:tc>
          <w:tcPr>
            <w:tcW w:w="9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available–for–</w:t>
            </w:r>
          </w:p>
        </w:tc>
        <w:tc>
          <w:tcPr>
            <w:tcW w:w="100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9"/>
              </w:rPr>
              <w:t>translation result</w:t>
            </w:r>
          </w:p>
        </w:tc>
        <w:tc>
          <w:tcPr>
            <w:tcW w:w="78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87"/>
              </w:rPr>
              <w:t>result and</w:t>
            </w:r>
          </w:p>
        </w:tc>
        <w:tc>
          <w:tcPr>
            <w:tcW w:w="76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90"/>
              </w:rPr>
              <w:t>Net</w:t>
            </w:r>
          </w:p>
        </w:tc>
        <w:tc>
          <w:tcPr>
            <w:tcW w:w="820" w:type="dxa"/>
            <w:vAlign w:val="bottom"/>
            <w:gridSpan w:val="2"/>
          </w:tcPr>
          <w:p>
            <w:pPr>
              <w:jc w:val="center"/>
              <w:ind w:right="220"/>
              <w:spacing w:after="0" w:line="122" w:lineRule="exact"/>
              <w:rPr>
                <w:sz w:val="20"/>
                <w:szCs w:val="20"/>
                <w:color w:val="auto"/>
              </w:rPr>
            </w:pPr>
            <w:r>
              <w:rPr>
                <w:rFonts w:ascii="Arial" w:cs="Arial" w:eastAsia="Arial" w:hAnsi="Arial"/>
                <w:sz w:val="11"/>
                <w:szCs w:val="11"/>
                <w:b w:val="1"/>
                <w:bCs w:val="1"/>
                <w:color w:val="auto"/>
                <w:w w:val="84"/>
              </w:rPr>
              <w:t>assets and</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income</w:t>
            </w: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1"/>
              </w:rPr>
              <w:t>segments</w:t>
            </w:r>
          </w:p>
        </w:tc>
        <w:tc>
          <w:tcPr>
            <w:tcW w:w="78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8"/>
              </w:rPr>
              <w:t>Eliminations</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90"/>
              </w:rPr>
              <w:t>income (*)</w:t>
            </w:r>
          </w:p>
        </w:tc>
        <w:tc>
          <w:tcPr>
            <w:tcW w:w="18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3"/>
              </w:rPr>
              <w:t>income (**)</w:t>
            </w:r>
          </w:p>
        </w:tc>
        <w:tc>
          <w:tcPr>
            <w:tcW w:w="8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recoveries</w:t>
            </w:r>
          </w:p>
        </w:tc>
        <w:tc>
          <w:tcPr>
            <w:tcW w:w="860" w:type="dxa"/>
            <w:vAlign w:val="bottom"/>
            <w:gridSpan w:val="3"/>
          </w:tcPr>
          <w:p>
            <w:pPr>
              <w:jc w:val="center"/>
              <w:ind w:right="100"/>
              <w:spacing w:after="0"/>
              <w:rPr>
                <w:sz w:val="20"/>
                <w:szCs w:val="20"/>
                <w:color w:val="auto"/>
              </w:rPr>
            </w:pPr>
            <w:r>
              <w:rPr>
                <w:rFonts w:ascii="Arial" w:cs="Arial" w:eastAsia="Arial" w:hAnsi="Arial"/>
                <w:sz w:val="11"/>
                <w:szCs w:val="11"/>
                <w:b w:val="1"/>
                <w:bCs w:val="1"/>
                <w:color w:val="auto"/>
                <w:w w:val="91"/>
              </w:rPr>
              <w:t>amortization</w:t>
            </w:r>
          </w:p>
        </w:tc>
        <w:tc>
          <w:tcPr>
            <w:tcW w:w="9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sale investments</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and income tax</w:t>
            </w: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income tax</w:t>
            </w: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8"/>
              </w:rPr>
              <w:t>income</w:t>
            </w: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goodwill</w:t>
            </w:r>
          </w:p>
        </w:tc>
        <w:tc>
          <w:tcPr>
            <w:tcW w:w="660" w:type="dxa"/>
            <w:vAlign w:val="bottom"/>
            <w:gridSpan w:val="2"/>
          </w:tcPr>
          <w:p>
            <w:pPr>
              <w:ind w:left="20"/>
              <w:spacing w:after="0"/>
              <w:rPr>
                <w:sz w:val="20"/>
                <w:szCs w:val="20"/>
                <w:color w:val="auto"/>
              </w:rPr>
            </w:pPr>
            <w:r>
              <w:rPr>
                <w:rFonts w:ascii="Arial" w:cs="Arial" w:eastAsia="Arial" w:hAnsi="Arial"/>
                <w:sz w:val="11"/>
                <w:szCs w:val="11"/>
                <w:b w:val="1"/>
                <w:bCs w:val="1"/>
                <w:color w:val="auto"/>
                <w:w w:val="97"/>
              </w:rPr>
              <w:t>Total assets</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2009</w:t>
            </w:r>
          </w:p>
        </w:tc>
        <w:tc>
          <w:tcPr>
            <w:tcW w:w="5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80" w:type="dxa"/>
            <w:vAlign w:val="bottom"/>
            <w:tcBorders>
              <w:right w:val="single" w:sz="8" w:color="CCFFCC"/>
            </w:tcBorders>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1,820</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66</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(66)</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1,820</w:t>
            </w: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831</w:t>
            </w:r>
          </w:p>
        </w:tc>
        <w:tc>
          <w:tcPr>
            <w:tcW w:w="20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(167)</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(57)</w:t>
            </w:r>
          </w:p>
        </w:tc>
        <w:tc>
          <w:tcPr>
            <w:tcW w:w="9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(10)</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502</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(96)</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406</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163</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20,120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518</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15</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(15)</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518</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192</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w:t>
            </w:r>
          </w:p>
        </w:tc>
        <w:tc>
          <w:tcPr>
            <w:tcW w:w="9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68</w:t>
            </w:r>
          </w:p>
        </w:tc>
        <w:tc>
          <w:tcPr>
            <w:tcW w:w="2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(4)</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64</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17</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1,457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Pension funds</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80</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80</w:t>
            </w:r>
          </w:p>
        </w:tc>
        <w:tc>
          <w:tcPr>
            <w:tcW w:w="94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(9)</w:t>
            </w:r>
          </w:p>
        </w:tc>
        <w:tc>
          <w:tcPr>
            <w:tcW w:w="9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35</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25</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2</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9"/>
              </w:rPr>
              <w:t>Brokerage and other</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40</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65</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(65)</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40</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w:t>
            </w: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w:t>
            </w:r>
          </w:p>
        </w:tc>
        <w:tc>
          <w:tcPr>
            <w:tcW w:w="120" w:type="dxa"/>
            <w:vAlign w:val="bottom"/>
            <w:shd w:val="clear" w:color="auto" w:fill="CCFFCC"/>
          </w:tcPr>
          <w:p>
            <w:pPr>
              <w:spacing w:after="0"/>
              <w:rPr>
                <w:sz w:val="11"/>
                <w:szCs w:val="11"/>
                <w:color w:val="auto"/>
              </w:rPr>
            </w:pPr>
          </w:p>
        </w:tc>
        <w:tc>
          <w:tcPr>
            <w:tcW w:w="8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w:t>
            </w:r>
          </w:p>
        </w:tc>
        <w:tc>
          <w:tcPr>
            <w:tcW w:w="2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(16)</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214</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020" w:type="dxa"/>
            <w:vAlign w:val="bottom"/>
            <w:tcBorders>
              <w:top w:val="single" w:sz="8" w:color="CCFFC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consolidated</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2,458</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146</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(146)</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2,458</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1,031</w:t>
            </w: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(163)</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(71)</w:t>
            </w:r>
          </w:p>
        </w:tc>
        <w:tc>
          <w:tcPr>
            <w:tcW w:w="9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630</w:t>
            </w:r>
          </w:p>
        </w:tc>
        <w:tc>
          <w:tcPr>
            <w:tcW w:w="2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(126)</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504</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183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22,028</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020" w:type="dxa"/>
            <w:vAlign w:val="bottom"/>
            <w:tcBorders>
              <w:top w:val="single" w:sz="8" w:color="CCFFC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2008</w:t>
            </w:r>
          </w:p>
        </w:tc>
        <w:tc>
          <w:tcPr>
            <w:tcW w:w="5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80" w:type="dxa"/>
            <w:vAlign w:val="bottom"/>
            <w:tcBorders>
              <w:right w:val="single" w:sz="8" w:color="CCFFCC"/>
            </w:tcBorders>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1,794</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83</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(83)</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1,794</w:t>
            </w: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749</w:t>
            </w:r>
          </w:p>
        </w:tc>
        <w:tc>
          <w:tcPr>
            <w:tcW w:w="20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(53)</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(44)</w:t>
            </w:r>
          </w:p>
        </w:tc>
        <w:tc>
          <w:tcPr>
            <w:tcW w:w="9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(44)</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457</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(114)</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343</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114</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19,168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454</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15</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(15)</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454</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116</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w:t>
            </w:r>
          </w:p>
        </w:tc>
        <w:tc>
          <w:tcPr>
            <w:tcW w:w="9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(11)</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w:t>
            </w: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w:t>
            </w:r>
          </w:p>
        </w:tc>
        <w:tc>
          <w:tcPr>
            <w:tcW w:w="22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Pension funds</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71</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71</w:t>
            </w:r>
          </w:p>
        </w:tc>
        <w:tc>
          <w:tcPr>
            <w:tcW w:w="94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(9)</w:t>
            </w:r>
          </w:p>
        </w:tc>
        <w:tc>
          <w:tcPr>
            <w:tcW w:w="9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20</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15</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3</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9"/>
              </w:rPr>
              <w:t>Brokerage and other</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50</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62</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(62)</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w:t>
            </w: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w:t>
            </w:r>
          </w:p>
        </w:tc>
        <w:tc>
          <w:tcPr>
            <w:tcW w:w="120" w:type="dxa"/>
            <w:vAlign w:val="bottom"/>
            <w:shd w:val="clear" w:color="auto" w:fill="CCFFCC"/>
          </w:tcPr>
          <w:p>
            <w:pPr>
              <w:spacing w:after="0"/>
              <w:rPr>
                <w:sz w:val="11"/>
                <w:szCs w:val="11"/>
                <w:color w:val="auto"/>
              </w:rPr>
            </w:pPr>
          </w:p>
        </w:tc>
        <w:tc>
          <w:tcPr>
            <w:tcW w:w="8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w:t>
            </w:r>
          </w:p>
        </w:tc>
        <w:tc>
          <w:tcPr>
            <w:tcW w:w="2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198</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020" w:type="dxa"/>
            <w:vAlign w:val="bottom"/>
            <w:tcBorders>
              <w:top w:val="single" w:sz="8" w:color="CCFFC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consolidated</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2,369</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161</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(161)</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2,369</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873</w:t>
            </w:r>
          </w:p>
        </w:tc>
        <w:tc>
          <w:tcPr>
            <w:tcW w:w="200" w:type="dxa"/>
            <w:vAlign w:val="bottom"/>
            <w:shd w:val="clear" w:color="auto" w:fill="CCFFCC"/>
          </w:tcPr>
          <w:p>
            <w:pPr>
              <w:spacing w:after="0"/>
              <w:rPr>
                <w:sz w:val="14"/>
                <w:szCs w:val="14"/>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(49)</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(57)</w:t>
            </w:r>
          </w:p>
        </w:tc>
        <w:tc>
          <w:tcPr>
            <w:tcW w:w="9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(60)</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496</w:t>
            </w:r>
          </w:p>
        </w:tc>
        <w:tc>
          <w:tcPr>
            <w:tcW w:w="200" w:type="dxa"/>
            <w:vAlign w:val="bottom"/>
            <w:shd w:val="clear" w:color="auto" w:fill="CCFFCC"/>
          </w:tcPr>
          <w:p>
            <w:pPr>
              <w:spacing w:after="0"/>
              <w:rPr>
                <w:sz w:val="14"/>
                <w:szCs w:val="14"/>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(127)</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369</w:t>
            </w:r>
          </w:p>
        </w:tc>
        <w:tc>
          <w:tcPr>
            <w:tcW w:w="220" w:type="dxa"/>
            <w:vAlign w:val="bottom"/>
            <w:shd w:val="clear" w:color="auto" w:fill="CCFFCC"/>
          </w:tcPr>
          <w:p>
            <w:pPr>
              <w:spacing w:after="0"/>
              <w:rPr>
                <w:sz w:val="14"/>
                <w:szCs w:val="14"/>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134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20,821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020" w:type="dxa"/>
            <w:vAlign w:val="bottom"/>
            <w:tcBorders>
              <w:top w:val="single" w:sz="8" w:color="CCFFC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2007</w:t>
            </w:r>
          </w:p>
        </w:tc>
        <w:tc>
          <w:tcPr>
            <w:tcW w:w="5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80" w:type="dxa"/>
            <w:vAlign w:val="bottom"/>
            <w:tcBorders>
              <w:right w:val="single" w:sz="8" w:color="CCFFCC"/>
            </w:tcBorders>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1,407</w:t>
            </w: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65</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(65)</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1,407</w:t>
            </w: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578</w:t>
            </w:r>
          </w:p>
        </w:tc>
        <w:tc>
          <w:tcPr>
            <w:tcW w:w="20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(33)</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(39)</w:t>
            </w:r>
          </w:p>
        </w:tc>
        <w:tc>
          <w:tcPr>
            <w:tcW w:w="94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391</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(53)</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338</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76</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16,245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377</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13</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(13)</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377</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110</w:t>
            </w:r>
          </w:p>
        </w:tc>
        <w:tc>
          <w:tcPr>
            <w:tcW w:w="20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(4)</w:t>
            </w:r>
          </w:p>
        </w:tc>
        <w:tc>
          <w:tcPr>
            <w:tcW w:w="9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w:t>
            </w:r>
          </w:p>
        </w:tc>
        <w:tc>
          <w:tcPr>
            <w:tcW w:w="20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w:t>
            </w:r>
          </w:p>
        </w:tc>
        <w:tc>
          <w:tcPr>
            <w:tcW w:w="22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20" w:type="dxa"/>
            <w:vAlign w:val="bottom"/>
          </w:tcPr>
          <w:p>
            <w:pPr>
              <w:spacing w:after="0" w:line="122" w:lineRule="exact"/>
              <w:rPr>
                <w:sz w:val="20"/>
                <w:szCs w:val="20"/>
                <w:color w:val="auto"/>
              </w:rPr>
            </w:pPr>
            <w:r>
              <w:rPr>
                <w:rFonts w:ascii="Arial" w:cs="Arial" w:eastAsia="Arial" w:hAnsi="Arial"/>
                <w:sz w:val="11"/>
                <w:szCs w:val="11"/>
                <w:color w:val="auto"/>
              </w:rPr>
              <w:t>Pension funds</w:t>
            </w:r>
          </w:p>
        </w:tc>
        <w:tc>
          <w:tcPr>
            <w:tcW w:w="7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55</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55</w:t>
            </w:r>
          </w:p>
        </w:tc>
        <w:tc>
          <w:tcPr>
            <w:tcW w:w="94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(1)</w:t>
            </w:r>
          </w:p>
        </w:tc>
        <w:tc>
          <w:tcPr>
            <w:tcW w:w="8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3"/>
          </w:tcPr>
          <w:p>
            <w:pPr>
              <w:jc w:val="right"/>
              <w:ind w:right="160"/>
              <w:spacing w:after="0" w:line="122" w:lineRule="exact"/>
              <w:rPr>
                <w:sz w:val="20"/>
                <w:szCs w:val="20"/>
                <w:color w:val="auto"/>
              </w:rPr>
            </w:pPr>
            <w:r>
              <w:rPr>
                <w:rFonts w:ascii="Arial" w:cs="Arial" w:eastAsia="Arial" w:hAnsi="Arial"/>
                <w:sz w:val="11"/>
                <w:szCs w:val="11"/>
                <w:color w:val="auto"/>
              </w:rPr>
              <w:t>(8)</w:t>
            </w:r>
          </w:p>
        </w:tc>
        <w:tc>
          <w:tcPr>
            <w:tcW w:w="9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7</w:t>
            </w:r>
          </w:p>
        </w:tc>
        <w:tc>
          <w:tcPr>
            <w:tcW w:w="200" w:type="dxa"/>
            <w:vAlign w:val="bottom"/>
          </w:tcPr>
          <w:p>
            <w:pPr>
              <w:spacing w:after="0"/>
              <w:rPr>
                <w:sz w:val="10"/>
                <w:szCs w:val="10"/>
                <w:color w:val="auto"/>
              </w:rPr>
            </w:pPr>
          </w:p>
        </w:tc>
        <w:tc>
          <w:tcPr>
            <w:tcW w:w="7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6</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2" w:lineRule="exact"/>
              <w:rPr>
                <w:sz w:val="20"/>
                <w:szCs w:val="20"/>
                <w:color w:val="auto"/>
              </w:rPr>
            </w:pPr>
            <w:r>
              <w:rPr>
                <w:rFonts w:ascii="Arial" w:cs="Arial" w:eastAsia="Arial" w:hAnsi="Arial"/>
                <w:sz w:val="11"/>
                <w:szCs w:val="11"/>
                <w:color w:val="auto"/>
              </w:rPr>
              <w:t>5</w:t>
            </w: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244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9"/>
              </w:rPr>
              <w:t>Brokerage and other</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47</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w:t>
            </w:r>
          </w:p>
        </w:tc>
        <w:tc>
          <w:tcPr>
            <w:tcW w:w="200" w:type="dxa"/>
            <w:vAlign w:val="bottom"/>
            <w:shd w:val="clear" w:color="auto" w:fill="CCFFCC"/>
          </w:tcPr>
          <w:p>
            <w:pPr>
              <w:spacing w:after="0"/>
              <w:rPr>
                <w:sz w:val="11"/>
                <w:szCs w:val="11"/>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w:t>
            </w:r>
          </w:p>
        </w:tc>
        <w:tc>
          <w:tcPr>
            <w:tcW w:w="120" w:type="dxa"/>
            <w:vAlign w:val="bottom"/>
            <w:shd w:val="clear" w:color="auto" w:fill="CCFFCC"/>
          </w:tcPr>
          <w:p>
            <w:pPr>
              <w:spacing w:after="0"/>
              <w:rPr>
                <w:sz w:val="11"/>
                <w:szCs w:val="11"/>
                <w:color w:val="auto"/>
              </w:rPr>
            </w:pPr>
          </w:p>
        </w:tc>
        <w:tc>
          <w:tcPr>
            <w:tcW w:w="86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w:t>
            </w:r>
          </w:p>
        </w:tc>
        <w:tc>
          <w:tcPr>
            <w:tcW w:w="20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w:t>
            </w:r>
          </w:p>
        </w:tc>
        <w:tc>
          <w:tcPr>
            <w:tcW w:w="220" w:type="dxa"/>
            <w:vAlign w:val="bottom"/>
            <w:shd w:val="clear" w:color="auto" w:fill="CCFFCC"/>
          </w:tcPr>
          <w:p>
            <w:pPr>
              <w:spacing w:after="0"/>
              <w:rPr>
                <w:sz w:val="11"/>
                <w:szCs w:val="11"/>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3</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79</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020" w:type="dxa"/>
            <w:vAlign w:val="bottom"/>
            <w:tcBorders>
              <w:top w:val="single" w:sz="8" w:color="CCFFCC"/>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0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consolidated</w:t>
            </w:r>
          </w:p>
        </w:tc>
        <w:tc>
          <w:tcPr>
            <w:tcW w:w="7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1,886</w:t>
            </w:r>
          </w:p>
        </w:tc>
        <w:tc>
          <w:tcPr>
            <w:tcW w:w="780" w:type="dxa"/>
            <w:vAlign w:val="bottom"/>
            <w:tcBorders>
              <w:right w:val="single" w:sz="8" w:color="CCFFCC"/>
            </w:tcBorders>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81</w:t>
            </w:r>
          </w:p>
        </w:tc>
        <w:tc>
          <w:tcPr>
            <w:tcW w:w="7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(81)</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1,886</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693</w:t>
            </w:r>
          </w:p>
        </w:tc>
        <w:tc>
          <w:tcPr>
            <w:tcW w:w="200" w:type="dxa"/>
            <w:vAlign w:val="bottom"/>
            <w:shd w:val="clear" w:color="auto" w:fill="CCFFCC"/>
          </w:tcPr>
          <w:p>
            <w:pPr>
              <w:spacing w:after="0"/>
              <w:rPr>
                <w:sz w:val="12"/>
                <w:szCs w:val="12"/>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(28)</w:t>
            </w:r>
          </w:p>
        </w:tc>
        <w:tc>
          <w:tcPr>
            <w:tcW w:w="860" w:type="dxa"/>
            <w:vAlign w:val="bottom"/>
            <w:gridSpan w:val="3"/>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(51)</w:t>
            </w:r>
          </w:p>
        </w:tc>
        <w:tc>
          <w:tcPr>
            <w:tcW w:w="94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(5)</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440</w:t>
            </w:r>
          </w:p>
        </w:tc>
        <w:tc>
          <w:tcPr>
            <w:tcW w:w="200" w:type="dxa"/>
            <w:vAlign w:val="bottom"/>
            <w:shd w:val="clear" w:color="auto" w:fill="CCFFCC"/>
          </w:tcPr>
          <w:p>
            <w:pPr>
              <w:spacing w:after="0"/>
              <w:rPr>
                <w:sz w:val="12"/>
                <w:szCs w:val="12"/>
                <w:color w:val="auto"/>
              </w:rPr>
            </w:pPr>
          </w:p>
        </w:tc>
        <w:tc>
          <w:tcPr>
            <w:tcW w:w="7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(68)</w:t>
            </w: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372</w:t>
            </w:r>
          </w:p>
        </w:tc>
        <w:tc>
          <w:tcPr>
            <w:tcW w:w="220" w:type="dxa"/>
            <w:vAlign w:val="bottom"/>
            <w:shd w:val="clear" w:color="auto" w:fill="CCFFCC"/>
          </w:tcPr>
          <w:p>
            <w:pPr>
              <w:spacing w:after="0"/>
              <w:rPr>
                <w:sz w:val="12"/>
                <w:szCs w:val="12"/>
                <w:color w:val="auto"/>
              </w:rPr>
            </w:pPr>
          </w:p>
        </w:tc>
        <w:tc>
          <w:tcPr>
            <w:tcW w:w="820" w:type="dxa"/>
            <w:vAlign w:val="bottom"/>
            <w:gridSpan w:val="2"/>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88</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17,706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right="20" w:hanging="490"/>
        <w:spacing w:after="0" w:line="277" w:lineRule="auto"/>
        <w:tabs>
          <w:tab w:leader="none" w:pos="11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following tables show the distribution of the Group’s external income, operating income, and non-current assets all allocated based on the location of the customers and assets respectively for the years ended 31 December 2009, 2008, and 2007:</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8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5"/>
              </w:rPr>
              <w:t>Total</w:t>
            </w: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Operating</w:t>
            </w: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Non-current</w:t>
            </w:r>
          </w:p>
        </w:tc>
        <w:tc>
          <w:tcPr>
            <w:tcW w:w="11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Operating</w:t>
            </w: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Non-current</w:t>
            </w: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Operating</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Non-current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external</w:t>
            </w:r>
          </w:p>
        </w:tc>
        <w:tc>
          <w:tcPr>
            <w:tcW w:w="1160" w:type="dxa"/>
            <w:vAlign w:val="bottom"/>
            <w:gridSpan w:val="2"/>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income (*)</w:t>
            </w: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income (**)</w:t>
            </w: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assets (***)</w:t>
            </w: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income (*)</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income (**)</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assets (***)</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income (*)</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income (**)</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assets (***)</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1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2,226</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958</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651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2,020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803</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547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1,573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625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Panama</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46</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22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Cayman Islands</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66</w:t>
            </w:r>
          </w:p>
        </w:tc>
        <w:tc>
          <w:tcPr>
            <w:tcW w:w="26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9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100</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Bolivia</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107</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78</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26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United States of</w:t>
            </w:r>
          </w:p>
        </w:tc>
        <w:tc>
          <w:tcPr>
            <w:tcW w:w="9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260" w:type="dxa"/>
            <w:vAlign w:val="bottom"/>
            <w:shd w:val="clear" w:color="auto" w:fill="CCFFCC"/>
          </w:tcPr>
          <w:p>
            <w:pPr>
              <w:ind w:left="160"/>
              <w:spacing w:after="0"/>
              <w:rPr>
                <w:sz w:val="20"/>
                <w:szCs w:val="20"/>
                <w:color w:val="auto"/>
              </w:rPr>
            </w:pPr>
            <w:r>
              <w:rPr>
                <w:rFonts w:ascii="Arial" w:cs="Arial" w:eastAsia="Arial" w:hAnsi="Arial"/>
                <w:sz w:val="14"/>
                <w:szCs w:val="14"/>
                <w:color w:val="auto"/>
              </w:rPr>
              <w:t>America</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7</w:t>
            </w:r>
          </w:p>
        </w:tc>
        <w:tc>
          <w:tcPr>
            <w:tcW w:w="118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w:t>
            </w:r>
          </w:p>
        </w:tc>
        <w:tc>
          <w:tcPr>
            <w:tcW w:w="90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28</w:t>
            </w:r>
          </w:p>
        </w:tc>
        <w:tc>
          <w:tcPr>
            <w:tcW w:w="20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1</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color w:val="auto"/>
              </w:rPr>
              <w:t>Chile</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tcPr>
          <w:p>
            <w:pPr>
              <w:spacing w:after="0"/>
              <w:rPr>
                <w:sz w:val="13"/>
                <w:szCs w:val="13"/>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260" w:type="dxa"/>
            <w:vAlign w:val="bottom"/>
          </w:tcPr>
          <w:p>
            <w:pPr>
              <w:spacing w:after="0" w:line="149" w:lineRule="exact"/>
              <w:rPr>
                <w:sz w:val="20"/>
                <w:szCs w:val="20"/>
                <w:color w:val="auto"/>
              </w:rPr>
            </w:pPr>
            <w:r>
              <w:rPr>
                <w:rFonts w:ascii="Arial" w:cs="Arial" w:eastAsia="Arial" w:hAnsi="Arial"/>
                <w:sz w:val="14"/>
                <w:szCs w:val="14"/>
                <w:b w:val="1"/>
                <w:bCs w:val="1"/>
                <w:color w:val="auto"/>
              </w:rPr>
              <w:t>Total consolidated</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2,458</w:t>
            </w:r>
          </w:p>
        </w:tc>
        <w:tc>
          <w:tcPr>
            <w:tcW w:w="26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1,031</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680</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2,369</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576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1,886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693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760" w:hanging="645"/>
        <w:spacing w:after="0"/>
        <w:tabs>
          <w:tab w:leader="none" w:pos="17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Includes total interest and dividend income, other income and net premiums earned from insurance activities.</w:t>
      </w:r>
    </w:p>
    <w:p>
      <w:pPr>
        <w:spacing w:after="0" w:line="23" w:lineRule="exact"/>
        <w:rPr>
          <w:sz w:val="20"/>
          <w:szCs w:val="20"/>
          <w:color w:val="auto"/>
        </w:rPr>
      </w:pPr>
    </w:p>
    <w:p>
      <w:pPr>
        <w:ind w:left="1760" w:right="60" w:hanging="645"/>
        <w:spacing w:after="0" w:line="250" w:lineRule="auto"/>
        <w:tabs>
          <w:tab w:leader="none" w:pos="17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Operating income includes the net interest income from banking activities and the amount of the net premiums earned, less insurance claims.</w:t>
      </w:r>
    </w:p>
    <w:p>
      <w:pPr>
        <w:spacing w:after="0" w:line="1" w:lineRule="exact"/>
        <w:rPr>
          <w:sz w:val="20"/>
          <w:szCs w:val="20"/>
          <w:color w:val="auto"/>
        </w:rPr>
      </w:pPr>
    </w:p>
    <w:p>
      <w:pPr>
        <w:ind w:left="5540" w:right="2440" w:hanging="4425"/>
        <w:spacing w:after="0" w:line="715" w:lineRule="auto"/>
        <w:tabs>
          <w:tab w:leader="none" w:pos="176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Non-current assets consist of property, furniture and equipment, intangible assets, and goodwill, net. 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-193040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7" w:lineRule="exact"/>
        <w:rPr>
          <w:rFonts w:ascii="Arial" w:cs="Arial" w:eastAsia="Arial" w:hAnsi="Arial"/>
          <w:sz w:val="18"/>
          <w:szCs w:val="18"/>
          <w:b w:val="1"/>
          <w:bCs w:val="1"/>
          <w:color w:val="auto"/>
        </w:rPr>
      </w:pPr>
    </w:p>
    <w:p>
      <w:pPr>
        <w:jc w:val="both"/>
        <w:ind w:left="1160" w:right="120" w:hanging="490"/>
        <w:spacing w:after="0" w:line="255" w:lineRule="auto"/>
        <w:tabs>
          <w:tab w:leader="none" w:pos="11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Group’s consolidated financial statements as of December 31, 2009 and 2008 include transactions with related companies, the Board of Directors, the Group’s key executives (defined as the Management of Credicorp’s ) and enterprises which are controlled by these individuals through their majority shareholding or their role as chairman or CEO.</w:t>
      </w:r>
    </w:p>
    <w:p>
      <w:pPr>
        <w:spacing w:after="0" w:line="217" w:lineRule="exact"/>
        <w:rPr>
          <w:rFonts w:ascii="Arial" w:cs="Arial" w:eastAsia="Arial" w:hAnsi="Arial"/>
          <w:sz w:val="18"/>
          <w:szCs w:val="18"/>
          <w:color w:val="auto"/>
        </w:rPr>
      </w:pPr>
    </w:p>
    <w:p>
      <w:pPr>
        <w:ind w:left="1160" w:hanging="490"/>
        <w:spacing w:after="0"/>
        <w:tabs>
          <w:tab w:leader="none" w:pos="1160" w:val="left"/>
        </w:tabs>
        <w:numPr>
          <w:ilvl w:val="1"/>
          <w:numId w:val="256"/>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parties as of December 31, 2009 and 2008.</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2940" w:type="dxa"/>
            <w:vAlign w:val="bottom"/>
          </w:tcPr>
          <w:p>
            <w:pPr>
              <w:jc w:val="right"/>
              <w:ind w:right="610"/>
              <w:spacing w:after="0"/>
              <w:rPr>
                <w:sz w:val="20"/>
                <w:szCs w:val="20"/>
                <w:color w:val="auto"/>
              </w:rPr>
            </w:pPr>
            <w:r>
              <w:rPr>
                <w:rFonts w:ascii="Arial" w:cs="Arial" w:eastAsia="Arial" w:hAnsi="Arial"/>
                <w:sz w:val="18"/>
                <w:szCs w:val="18"/>
                <w:b w:val="1"/>
                <w:bCs w:val="1"/>
                <w:color w:val="auto"/>
              </w:rPr>
              <w:t>2009</w:t>
            </w:r>
          </w:p>
        </w:tc>
        <w:tc>
          <w:tcPr>
            <w:tcW w:w="1280" w:type="dxa"/>
            <w:vAlign w:val="bottom"/>
          </w:tcPr>
          <w:p>
            <w:pPr>
              <w:jc w:val="right"/>
              <w:ind w:right="450"/>
              <w:spacing w:after="0"/>
              <w:rPr>
                <w:sz w:val="20"/>
                <w:szCs w:val="20"/>
                <w:color w:val="auto"/>
              </w:rPr>
            </w:pPr>
            <w:r>
              <w:rPr>
                <w:rFonts w:ascii="Arial" w:cs="Arial" w:eastAsia="Arial" w:hAnsi="Arial"/>
                <w:sz w:val="18"/>
                <w:szCs w:val="18"/>
                <w:b w:val="1"/>
                <w:bCs w:val="1"/>
                <w:color w:val="auto"/>
              </w:rPr>
              <w:t>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2940" w:type="dxa"/>
            <w:vAlign w:val="bottom"/>
          </w:tcPr>
          <w:p>
            <w:pPr>
              <w:jc w:val="right"/>
              <w:ind w:right="430"/>
              <w:spacing w:after="0"/>
              <w:rPr>
                <w:sz w:val="20"/>
                <w:szCs w:val="20"/>
                <w:color w:val="auto"/>
              </w:rPr>
            </w:pPr>
            <w:r>
              <w:rPr>
                <w:rFonts w:ascii="Arial" w:cs="Arial" w:eastAsia="Arial" w:hAnsi="Arial"/>
                <w:sz w:val="18"/>
                <w:szCs w:val="18"/>
                <w:color w:val="auto"/>
              </w:rPr>
              <w:t>US$(000)</w:t>
            </w:r>
          </w:p>
        </w:tc>
        <w:tc>
          <w:tcPr>
            <w:tcW w:w="1280" w:type="dxa"/>
            <w:vAlign w:val="bottom"/>
          </w:tcPr>
          <w:p>
            <w:pPr>
              <w:jc w:val="right"/>
              <w:ind w:right="27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29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214,182</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143,855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Investments available-for-sale and trading securities</w:t>
            </w:r>
          </w:p>
        </w:tc>
        <w:tc>
          <w:tcPr>
            <w:tcW w:w="2940" w:type="dxa"/>
            <w:vAlign w:val="bottom"/>
          </w:tcPr>
          <w:p>
            <w:pPr>
              <w:jc w:val="right"/>
              <w:ind w:right="170"/>
              <w:spacing w:after="0"/>
              <w:rPr>
                <w:sz w:val="20"/>
                <w:szCs w:val="20"/>
                <w:color w:val="auto"/>
              </w:rPr>
            </w:pPr>
            <w:r>
              <w:rPr>
                <w:rFonts w:ascii="Arial" w:cs="Arial" w:eastAsia="Arial" w:hAnsi="Arial"/>
                <w:sz w:val="18"/>
                <w:szCs w:val="18"/>
                <w:color w:val="auto"/>
              </w:rPr>
              <w:t>92,749</w:t>
            </w:r>
          </w:p>
        </w:tc>
        <w:tc>
          <w:tcPr>
            <w:tcW w:w="1280" w:type="dxa"/>
            <w:vAlign w:val="bottom"/>
          </w:tcPr>
          <w:p>
            <w:pPr>
              <w:jc w:val="right"/>
              <w:spacing w:after="0"/>
              <w:rPr>
                <w:sz w:val="20"/>
                <w:szCs w:val="20"/>
                <w:color w:val="auto"/>
              </w:rPr>
            </w:pPr>
            <w:r>
              <w:rPr>
                <w:rFonts w:ascii="Arial" w:cs="Arial" w:eastAsia="Arial" w:hAnsi="Arial"/>
                <w:sz w:val="18"/>
                <w:szCs w:val="18"/>
                <w:color w:val="auto"/>
              </w:rPr>
              <w:t>63,782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29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82,051</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Contingent credits</w:t>
            </w:r>
          </w:p>
        </w:tc>
        <w:tc>
          <w:tcPr>
            <w:tcW w:w="2940" w:type="dxa"/>
            <w:vAlign w:val="bottom"/>
          </w:tcPr>
          <w:p>
            <w:pPr>
              <w:jc w:val="right"/>
              <w:ind w:right="170"/>
              <w:spacing w:after="0"/>
              <w:rPr>
                <w:sz w:val="20"/>
                <w:szCs w:val="20"/>
                <w:color w:val="auto"/>
              </w:rPr>
            </w:pPr>
            <w:r>
              <w:rPr>
                <w:rFonts w:ascii="Arial" w:cs="Arial" w:eastAsia="Arial" w:hAnsi="Arial"/>
                <w:sz w:val="18"/>
                <w:szCs w:val="18"/>
                <w:color w:val="auto"/>
              </w:rPr>
              <w:t>20,122</w:t>
            </w:r>
          </w:p>
        </w:tc>
        <w:tc>
          <w:tcPr>
            <w:tcW w:w="1280" w:type="dxa"/>
            <w:vAlign w:val="bottom"/>
          </w:tcPr>
          <w:p>
            <w:pPr>
              <w:jc w:val="right"/>
              <w:spacing w:after="0"/>
              <w:rPr>
                <w:sz w:val="20"/>
                <w:szCs w:val="20"/>
                <w:color w:val="auto"/>
              </w:rPr>
            </w:pPr>
            <w:r>
              <w:rPr>
                <w:rFonts w:ascii="Arial" w:cs="Arial" w:eastAsia="Arial" w:hAnsi="Arial"/>
                <w:sz w:val="18"/>
                <w:szCs w:val="18"/>
                <w:color w:val="auto"/>
              </w:rPr>
              <w:t>23,574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Derivatives at fair value</w:t>
            </w:r>
          </w:p>
        </w:tc>
        <w:tc>
          <w:tcPr>
            <w:tcW w:w="294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(283)</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Interest income related to loans – income</w:t>
            </w:r>
          </w:p>
        </w:tc>
        <w:tc>
          <w:tcPr>
            <w:tcW w:w="2940" w:type="dxa"/>
            <w:vAlign w:val="bottom"/>
          </w:tcPr>
          <w:p>
            <w:pPr>
              <w:jc w:val="right"/>
              <w:ind w:right="170"/>
              <w:spacing w:after="0"/>
              <w:rPr>
                <w:sz w:val="20"/>
                <w:szCs w:val="20"/>
                <w:color w:val="auto"/>
              </w:rPr>
            </w:pPr>
            <w:r>
              <w:rPr>
                <w:rFonts w:ascii="Arial" w:cs="Arial" w:eastAsia="Arial" w:hAnsi="Arial"/>
                <w:sz w:val="18"/>
                <w:szCs w:val="18"/>
                <w:color w:val="auto"/>
              </w:rPr>
              <w:t>4,896</w:t>
            </w:r>
          </w:p>
        </w:tc>
        <w:tc>
          <w:tcPr>
            <w:tcW w:w="1280" w:type="dxa"/>
            <w:vAlign w:val="bottom"/>
          </w:tcPr>
          <w:p>
            <w:pPr>
              <w:jc w:val="right"/>
              <w:spacing w:after="0"/>
              <w:rPr>
                <w:sz w:val="20"/>
                <w:szCs w:val="20"/>
                <w:color w:val="auto"/>
              </w:rPr>
            </w:pPr>
            <w:r>
              <w:rPr>
                <w:rFonts w:ascii="Arial" w:cs="Arial" w:eastAsia="Arial" w:hAnsi="Arial"/>
                <w:sz w:val="18"/>
                <w:szCs w:val="18"/>
                <w:color w:val="auto"/>
              </w:rPr>
              <w:t>2,889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related to deposits - expense</w:t>
            </w:r>
          </w:p>
        </w:tc>
        <w:tc>
          <w:tcPr>
            <w:tcW w:w="294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1,680</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Other income</w:t>
            </w:r>
          </w:p>
        </w:tc>
        <w:tc>
          <w:tcPr>
            <w:tcW w:w="2940" w:type="dxa"/>
            <w:vAlign w:val="bottom"/>
          </w:tcPr>
          <w:p>
            <w:pPr>
              <w:jc w:val="right"/>
              <w:ind w:right="170"/>
              <w:spacing w:after="0"/>
              <w:rPr>
                <w:sz w:val="20"/>
                <w:szCs w:val="20"/>
                <w:color w:val="auto"/>
              </w:rPr>
            </w:pPr>
            <w:r>
              <w:rPr>
                <w:rFonts w:ascii="Arial" w:cs="Arial" w:eastAsia="Arial" w:hAnsi="Arial"/>
                <w:sz w:val="18"/>
                <w:szCs w:val="18"/>
                <w:color w:val="auto"/>
              </w:rPr>
              <w:t>1,196</w:t>
            </w:r>
          </w:p>
        </w:tc>
        <w:tc>
          <w:tcPr>
            <w:tcW w:w="1280" w:type="dxa"/>
            <w:vAlign w:val="bottom"/>
          </w:tcPr>
          <w:p>
            <w:pPr>
              <w:jc w:val="right"/>
              <w:spacing w:after="0"/>
              <w:rPr>
                <w:sz w:val="20"/>
                <w:szCs w:val="20"/>
                <w:color w:val="auto"/>
              </w:rPr>
            </w:pPr>
            <w:r>
              <w:rPr>
                <w:rFonts w:ascii="Arial" w:cs="Arial" w:eastAsia="Arial" w:hAnsi="Arial"/>
                <w:sz w:val="18"/>
                <w:szCs w:val="18"/>
                <w:color w:val="auto"/>
              </w:rPr>
              <w:t>2,533</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1160" w:hanging="490"/>
        <w:spacing w:after="0" w:line="276" w:lineRule="auto"/>
        <w:tabs>
          <w:tab w:leader="none" w:pos="1160" w:val="left"/>
        </w:tabs>
        <w:numPr>
          <w:ilvl w:val="0"/>
          <w:numId w:val="257"/>
        </w:numPr>
        <w:rPr>
          <w:rFonts w:ascii="Arial" w:cs="Arial" w:eastAsia="Arial" w:hAnsi="Arial"/>
          <w:sz w:val="17"/>
          <w:szCs w:val="17"/>
          <w:color w:val="auto"/>
        </w:rPr>
      </w:pPr>
      <w:r>
        <w:rPr>
          <w:rFonts w:ascii="Arial" w:cs="Arial" w:eastAsia="Arial" w:hAnsi="Arial"/>
          <w:sz w:val="17"/>
          <w:szCs w:val="17"/>
          <w:color w:val="auto"/>
        </w:rPr>
        <w:t>All transactions with related parties are made in accordance with normal market conditions available to other customers. As of December 31, 2009, direct loans to related companies are secured by collaterals, and had maturities between January 2010 and November 2018 and accrued an annual average interest rate of 5.50 percent (as of December 31, 2008 had maturities between February 2009 and July 2017 and accrued an annual average interest rate of 7.98 percent). Likewise, as of December 31, 2009, the Group does not maintain an allowance for loan losses to related parties (allowance for US$1.2 million as of December 31, 2008).</w:t>
      </w:r>
    </w:p>
    <w:p>
      <w:pPr>
        <w:spacing w:after="0" w:line="199" w:lineRule="exact"/>
        <w:rPr>
          <w:rFonts w:ascii="Arial" w:cs="Arial" w:eastAsia="Arial" w:hAnsi="Arial"/>
          <w:sz w:val="17"/>
          <w:szCs w:val="17"/>
          <w:color w:val="auto"/>
        </w:rPr>
      </w:pPr>
    </w:p>
    <w:p>
      <w:pPr>
        <w:ind w:left="1160" w:hanging="490"/>
        <w:spacing w:after="0" w:line="257" w:lineRule="auto"/>
        <w:tabs>
          <w:tab w:leader="none" w:pos="11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As of December 31, 2009 and 2008,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As of December 31, 2009 and 2008, direct loans to employees, directors and key Management amounts to US$133.3 and US$116.3 million, respectively and are paid monthly and earn interest at market rates.</w:t>
      </w:r>
    </w:p>
    <w:p>
      <w:pPr>
        <w:spacing w:after="0" w:line="21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There are no loans to the Group’s directors and key personnel guaranteed with Credicorp or any of its Subsidiaries’ shares.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right="20" w:hanging="490"/>
        <w:spacing w:after="0" w:line="277" w:lineRule="auto"/>
        <w:tabs>
          <w:tab w:leader="none" w:pos="116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Group’s key executives’ compensation (including the related income taxes assumed by the Group) as of December 31, 2009, 2008 and 2007, comprised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19"/>
                <w:szCs w:val="19"/>
                <w:color w:val="auto"/>
              </w:rPr>
            </w:pPr>
          </w:p>
        </w:tc>
        <w:tc>
          <w:tcPr>
            <w:tcW w:w="960" w:type="dxa"/>
            <w:vAlign w:val="bottom"/>
          </w:tcPr>
          <w:p>
            <w:pPr>
              <w:jc w:val="right"/>
              <w:ind w:right="210"/>
              <w:spacing w:after="0"/>
              <w:rPr>
                <w:sz w:val="20"/>
                <w:szCs w:val="20"/>
                <w:color w:val="auto"/>
              </w:rPr>
            </w:pPr>
            <w:r>
              <w:rPr>
                <w:rFonts w:ascii="Arial" w:cs="Arial" w:eastAsia="Arial" w:hAnsi="Arial"/>
                <w:sz w:val="18"/>
                <w:szCs w:val="18"/>
                <w:b w:val="1"/>
                <w:bCs w:val="1"/>
                <w:color w:val="auto"/>
              </w:rPr>
              <w:t>2007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00" w:type="dxa"/>
            <w:vAlign w:val="bottom"/>
          </w:tcPr>
          <w:p>
            <w:pPr>
              <w:spacing w:after="0"/>
              <w:rPr>
                <w:sz w:val="20"/>
                <w:szCs w:val="20"/>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ind w:left="12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Salaries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4,720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5,625</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Share-based compensation plans, note 18</w:t>
            </w:r>
          </w:p>
        </w:tc>
        <w:tc>
          <w:tcPr>
            <w:tcW w:w="1000" w:type="dxa"/>
            <w:vAlign w:val="bottom"/>
          </w:tcPr>
          <w:p>
            <w:pPr>
              <w:jc w:val="right"/>
              <w:spacing w:after="0"/>
              <w:rPr>
                <w:sz w:val="20"/>
                <w:szCs w:val="20"/>
                <w:color w:val="auto"/>
              </w:rPr>
            </w:pPr>
            <w:r>
              <w:rPr>
                <w:rFonts w:ascii="Arial" w:cs="Arial" w:eastAsia="Arial" w:hAnsi="Arial"/>
                <w:sz w:val="18"/>
                <w:szCs w:val="18"/>
                <w:color w:val="auto"/>
              </w:rPr>
              <w:t>4,717</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27,362</w:t>
            </w:r>
          </w:p>
        </w:tc>
        <w:tc>
          <w:tcPr>
            <w:tcW w:w="960" w:type="dxa"/>
            <w:vAlign w:val="bottom"/>
          </w:tcPr>
          <w:p>
            <w:pPr>
              <w:jc w:val="right"/>
              <w:spacing w:after="0"/>
              <w:rPr>
                <w:sz w:val="20"/>
                <w:szCs w:val="20"/>
                <w:color w:val="auto"/>
              </w:rPr>
            </w:pPr>
            <w:r>
              <w:rPr>
                <w:rFonts w:ascii="Arial" w:cs="Arial" w:eastAsia="Arial" w:hAnsi="Arial"/>
                <w:sz w:val="18"/>
                <w:szCs w:val="18"/>
                <w:color w:val="auto"/>
              </w:rPr>
              <w:t>27,113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FFCC"/>
          </w:tcPr>
          <w:p>
            <w:pPr>
              <w:spacing w:after="0"/>
              <w:rPr>
                <w:sz w:val="20"/>
                <w:szCs w:val="20"/>
                <w:color w:val="auto"/>
              </w:rPr>
            </w:pPr>
            <w:r>
              <w:rPr>
                <w:rFonts w:ascii="Arial" w:cs="Arial" w:eastAsia="Arial" w:hAnsi="Arial"/>
                <w:sz w:val="18"/>
                <w:szCs w:val="18"/>
                <w:color w:val="auto"/>
              </w:rPr>
              <w:t>Directors’ compensations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1,698</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1,303</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1000" w:type="dxa"/>
            <w:vAlign w:val="bottom"/>
          </w:tcPr>
          <w:p>
            <w:pPr>
              <w:jc w:val="right"/>
              <w:spacing w:after="0"/>
              <w:rPr>
                <w:sz w:val="20"/>
                <w:szCs w:val="20"/>
                <w:color w:val="auto"/>
              </w:rPr>
            </w:pPr>
            <w:r>
              <w:rPr>
                <w:rFonts w:ascii="Arial" w:cs="Arial" w:eastAsia="Arial" w:hAnsi="Arial"/>
                <w:sz w:val="18"/>
                <w:szCs w:val="18"/>
                <w:color w:val="auto"/>
              </w:rPr>
              <w:t>1,415</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8,209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12,947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0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00" w:type="dxa"/>
            <w:vAlign w:val="bottom"/>
          </w:tcPr>
          <w:p>
            <w:pPr>
              <w:jc w:val="right"/>
              <w:spacing w:after="0"/>
              <w:rPr>
                <w:sz w:val="20"/>
                <w:szCs w:val="20"/>
                <w:color w:val="auto"/>
              </w:rPr>
            </w:pPr>
            <w:r>
              <w:rPr>
                <w:rFonts w:ascii="Arial" w:cs="Arial" w:eastAsia="Arial" w:hAnsi="Arial"/>
                <w:sz w:val="18"/>
                <w:szCs w:val="18"/>
                <w:color w:val="auto"/>
              </w:rPr>
              <w:t>12,550</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42,499</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46,757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60" w:hanging="490"/>
        <w:spacing w:after="0" w:line="264" w:lineRule="auto"/>
        <w:tabs>
          <w:tab w:leader="none" w:pos="116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As of December 31, 2009 and 2008, the Group has participations in different mutual funds and hedge funds managed by certain Group’s Subsidiaries, which are classified as trading securities or Investments available-for-sale for a total amount of US$62.4 million and US$94.7 million, respectively.</w:t>
      </w:r>
    </w:p>
    <w:p>
      <w:pPr>
        <w:spacing w:after="0" w:line="35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510" w:right="45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classification</w:t>
      </w:r>
    </w:p>
    <w:p>
      <w:pPr>
        <w:spacing w:after="0" w:line="27" w:lineRule="exact"/>
        <w:rPr>
          <w:rFonts w:ascii="Arial" w:cs="Arial" w:eastAsia="Arial" w:hAnsi="Arial"/>
          <w:sz w:val="18"/>
          <w:szCs w:val="18"/>
          <w:b w:val="1"/>
          <w:bCs w:val="1"/>
          <w:color w:val="auto"/>
        </w:rPr>
      </w:pPr>
    </w:p>
    <w:p>
      <w:pPr>
        <w:ind w:left="660" w:right="6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The following are the carrying amounts of the financial assets and liabilities captions in the consolidated statements of financial position, by categories as defined under IAS 39:</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1"/>
                <w:szCs w:val="11"/>
                <w:b w:val="1"/>
                <w:bCs w:val="1"/>
                <w:color w:val="auto"/>
                <w:w w:val="89"/>
              </w:rPr>
              <w:t>As of December 31, 2009</w:t>
            </w:r>
          </w:p>
        </w:tc>
        <w:tc>
          <w:tcPr>
            <w:tcW w:w="6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1"/>
                <w:szCs w:val="11"/>
                <w:b w:val="1"/>
                <w:bCs w:val="1"/>
                <w:color w:val="auto"/>
              </w:rPr>
              <w:t>As of December 31, 2008</w:t>
            </w:r>
          </w:p>
        </w:tc>
        <w:tc>
          <w:tcPr>
            <w:tcW w:w="10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740" w:type="dxa"/>
            <w:vAlign w:val="bottom"/>
            <w:gridSpan w:val="3"/>
          </w:tcPr>
          <w:p>
            <w:pPr>
              <w:jc w:val="right"/>
              <w:spacing w:after="0" w:line="108" w:lineRule="exact"/>
              <w:rPr>
                <w:sz w:val="20"/>
                <w:szCs w:val="20"/>
                <w:color w:val="auto"/>
              </w:rPr>
            </w:pPr>
            <w:r>
              <w:rPr>
                <w:rFonts w:ascii="Arial" w:cs="Arial" w:eastAsia="Arial" w:hAnsi="Arial"/>
                <w:sz w:val="11"/>
                <w:szCs w:val="11"/>
                <w:b w:val="1"/>
                <w:bCs w:val="1"/>
                <w:color w:val="auto"/>
                <w:w w:val="85"/>
              </w:rPr>
              <w:t>Financial assets/liabilities designated</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60" w:type="dxa"/>
            <w:vAlign w:val="bottom"/>
            <w:gridSpan w:val="4"/>
          </w:tcPr>
          <w:p>
            <w:pPr>
              <w:jc w:val="right"/>
              <w:ind w:right="160"/>
              <w:spacing w:after="0" w:line="108" w:lineRule="exact"/>
              <w:rPr>
                <w:sz w:val="20"/>
                <w:szCs w:val="20"/>
                <w:color w:val="auto"/>
              </w:rPr>
            </w:pPr>
            <w:r>
              <w:rPr>
                <w:rFonts w:ascii="Arial" w:cs="Arial" w:eastAsia="Arial" w:hAnsi="Arial"/>
                <w:sz w:val="11"/>
                <w:szCs w:val="11"/>
                <w:b w:val="1"/>
                <w:bCs w:val="1"/>
                <w:color w:val="auto"/>
                <w:w w:val="85"/>
              </w:rPr>
              <w:t>Financial assets/liabilities designated</w:t>
            </w: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740" w:type="dxa"/>
            <w:vAlign w:val="bottom"/>
            <w:gridSpan w:val="3"/>
          </w:tcPr>
          <w:p>
            <w:pPr>
              <w:jc w:val="right"/>
              <w:ind w:right="566"/>
              <w:spacing w:after="0"/>
              <w:rPr>
                <w:sz w:val="20"/>
                <w:szCs w:val="20"/>
                <w:color w:val="auto"/>
              </w:rPr>
            </w:pPr>
            <w:r>
              <w:rPr>
                <w:rFonts w:ascii="Arial" w:cs="Arial" w:eastAsia="Arial" w:hAnsi="Arial"/>
                <w:sz w:val="11"/>
                <w:szCs w:val="11"/>
                <w:b w:val="1"/>
                <w:bCs w:val="1"/>
                <w:color w:val="auto"/>
              </w:rPr>
              <w:t>at fair value</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60" w:type="dxa"/>
            <w:vAlign w:val="bottom"/>
            <w:gridSpan w:val="4"/>
          </w:tcPr>
          <w:p>
            <w:pPr>
              <w:jc w:val="right"/>
              <w:ind w:right="720"/>
              <w:spacing w:after="0"/>
              <w:rPr>
                <w:sz w:val="20"/>
                <w:szCs w:val="20"/>
                <w:color w:val="auto"/>
              </w:rPr>
            </w:pPr>
            <w:r>
              <w:rPr>
                <w:rFonts w:ascii="Arial" w:cs="Arial" w:eastAsia="Arial" w:hAnsi="Arial"/>
                <w:sz w:val="11"/>
                <w:szCs w:val="11"/>
                <w:b w:val="1"/>
                <w:bCs w:val="1"/>
                <w:color w:val="auto"/>
              </w:rPr>
              <w:t>at fair value</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0" w:type="dxa"/>
            <w:vAlign w:val="bottom"/>
            <w:tcBorders>
              <w:top w:val="single" w:sz="8" w:color="auto"/>
            </w:tcBorders>
            <w:gridSpan w:val="2"/>
          </w:tcPr>
          <w:p>
            <w:pPr>
              <w:jc w:val="center"/>
              <w:ind w:right="260"/>
              <w:spacing w:after="0" w:line="108" w:lineRule="exact"/>
              <w:rPr>
                <w:sz w:val="20"/>
                <w:szCs w:val="20"/>
                <w:color w:val="auto"/>
              </w:rPr>
            </w:pPr>
            <w:r>
              <w:rPr>
                <w:rFonts w:ascii="Arial" w:cs="Arial" w:eastAsia="Arial" w:hAnsi="Arial"/>
                <w:sz w:val="11"/>
                <w:szCs w:val="11"/>
                <w:b w:val="1"/>
                <w:bCs w:val="1"/>
                <w:color w:val="auto"/>
                <w:w w:val="90"/>
              </w:rPr>
              <w:t>Held for trading</w:t>
            </w:r>
          </w:p>
        </w:tc>
        <w:tc>
          <w:tcPr>
            <w:tcW w:w="7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7"/>
              </w:rPr>
              <w:t>Loans and</w:t>
            </w:r>
          </w:p>
        </w:tc>
        <w:tc>
          <w:tcPr>
            <w:tcW w:w="940" w:type="dxa"/>
            <w:vAlign w:val="bottom"/>
            <w:gridSpan w:val="2"/>
          </w:tcPr>
          <w:p>
            <w:pPr>
              <w:jc w:val="right"/>
              <w:ind w:right="240"/>
              <w:spacing w:after="0" w:line="108" w:lineRule="exact"/>
              <w:rPr>
                <w:sz w:val="20"/>
                <w:szCs w:val="20"/>
                <w:color w:val="auto"/>
              </w:rPr>
            </w:pPr>
            <w:r>
              <w:rPr>
                <w:rFonts w:ascii="Arial" w:cs="Arial" w:eastAsia="Arial" w:hAnsi="Arial"/>
                <w:sz w:val="11"/>
                <w:szCs w:val="11"/>
                <w:b w:val="1"/>
                <w:bCs w:val="1"/>
                <w:color w:val="auto"/>
              </w:rPr>
              <w:t>Investments</w:t>
            </w:r>
          </w:p>
        </w:tc>
        <w:tc>
          <w:tcPr>
            <w:tcW w:w="78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91"/>
              </w:rPr>
              <w:t>Liabilities at</w:t>
            </w: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7"/>
              </w:rPr>
              <w:t>Loans and</w:t>
            </w:r>
          </w:p>
        </w:tc>
        <w:tc>
          <w:tcPr>
            <w:tcW w:w="960" w:type="dxa"/>
            <w:vAlign w:val="bottom"/>
            <w:gridSpan w:val="2"/>
          </w:tcPr>
          <w:p>
            <w:pPr>
              <w:jc w:val="center"/>
              <w:ind w:right="120"/>
              <w:spacing w:after="0" w:line="108" w:lineRule="exact"/>
              <w:rPr>
                <w:sz w:val="20"/>
                <w:szCs w:val="20"/>
                <w:color w:val="auto"/>
              </w:rPr>
            </w:pPr>
            <w:r>
              <w:rPr>
                <w:rFonts w:ascii="Arial" w:cs="Arial" w:eastAsia="Arial" w:hAnsi="Arial"/>
                <w:sz w:val="11"/>
                <w:szCs w:val="11"/>
                <w:b w:val="1"/>
                <w:bCs w:val="1"/>
                <w:color w:val="auto"/>
                <w:w w:val="87"/>
              </w:rPr>
              <w:t>Investments</w:t>
            </w:r>
          </w:p>
        </w:tc>
        <w:tc>
          <w:tcPr>
            <w:tcW w:w="1220" w:type="dxa"/>
            <w:vAlign w:val="bottom"/>
            <w:gridSpan w:val="2"/>
          </w:tcPr>
          <w:p>
            <w:pPr>
              <w:jc w:val="center"/>
              <w:ind w:right="140"/>
              <w:spacing w:after="0" w:line="108" w:lineRule="exact"/>
              <w:rPr>
                <w:sz w:val="20"/>
                <w:szCs w:val="20"/>
                <w:color w:val="auto"/>
              </w:rPr>
            </w:pPr>
            <w:r>
              <w:rPr>
                <w:rFonts w:ascii="Arial" w:cs="Arial" w:eastAsia="Arial" w:hAnsi="Arial"/>
                <w:sz w:val="11"/>
                <w:szCs w:val="11"/>
                <w:b w:val="1"/>
                <w:bCs w:val="1"/>
                <w:color w:val="auto"/>
                <w:w w:val="91"/>
              </w:rPr>
              <w:t>Liabilities at amortized</w:t>
            </w: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4"/>
              </w:rPr>
              <w:t>or hedging</w:t>
            </w:r>
          </w:p>
        </w:tc>
        <w:tc>
          <w:tcPr>
            <w:tcW w:w="740" w:type="dxa"/>
            <w:vAlign w:val="bottom"/>
          </w:tcPr>
          <w:p>
            <w:pPr>
              <w:jc w:val="right"/>
              <w:ind w:right="46"/>
              <w:spacing w:after="0"/>
              <w:rPr>
                <w:sz w:val="20"/>
                <w:szCs w:val="20"/>
                <w:color w:val="auto"/>
              </w:rPr>
            </w:pPr>
            <w:r>
              <w:rPr>
                <w:rFonts w:ascii="Arial" w:cs="Arial" w:eastAsia="Arial" w:hAnsi="Arial"/>
                <w:sz w:val="11"/>
                <w:szCs w:val="11"/>
                <w:b w:val="1"/>
                <w:bCs w:val="1"/>
                <w:color w:val="auto"/>
                <w:w w:val="97"/>
              </w:rPr>
              <w:t>At inception</w:t>
            </w:r>
          </w:p>
        </w:tc>
        <w:tc>
          <w:tcPr>
            <w:tcW w:w="80" w:type="dxa"/>
            <w:vAlign w:val="bottom"/>
          </w:tcPr>
          <w:p>
            <w:pPr>
              <w:spacing w:after="0"/>
              <w:rPr>
                <w:sz w:val="10"/>
                <w:szCs w:val="10"/>
                <w:color w:val="auto"/>
              </w:rPr>
            </w:pPr>
          </w:p>
        </w:tc>
        <w:tc>
          <w:tcPr>
            <w:tcW w:w="1580" w:type="dxa"/>
            <w:vAlign w:val="bottom"/>
            <w:gridSpan w:val="4"/>
          </w:tcPr>
          <w:p>
            <w:pPr>
              <w:jc w:val="right"/>
              <w:ind w:right="120"/>
              <w:spacing w:after="0"/>
              <w:rPr>
                <w:sz w:val="20"/>
                <w:szCs w:val="20"/>
                <w:color w:val="auto"/>
              </w:rPr>
            </w:pPr>
            <w:r>
              <w:rPr>
                <w:rFonts w:ascii="Arial" w:cs="Arial" w:eastAsia="Arial" w:hAnsi="Arial"/>
                <w:sz w:val="11"/>
                <w:szCs w:val="11"/>
                <w:b w:val="1"/>
                <w:bCs w:val="1"/>
                <w:color w:val="auto"/>
                <w:w w:val="90"/>
              </w:rPr>
              <w:t>receivables   available-for-sale</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amortized cost</w:t>
            </w:r>
          </w:p>
        </w:tc>
        <w:tc>
          <w:tcPr>
            <w:tcW w:w="6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Total</w:t>
            </w:r>
          </w:p>
        </w:tc>
        <w:tc>
          <w:tcPr>
            <w:tcW w:w="102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w w:val="90"/>
              </w:rPr>
              <w:t>Held for trading</w:t>
            </w:r>
          </w:p>
        </w:tc>
        <w:tc>
          <w:tcPr>
            <w:tcW w:w="84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7"/>
              </w:rPr>
              <w:t>At inception</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3"/>
              </w:rPr>
              <w:t>receivables</w:t>
            </w:r>
          </w:p>
        </w:tc>
        <w:tc>
          <w:tcPr>
            <w:tcW w:w="96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available-for-sale</w:t>
            </w:r>
          </w:p>
        </w:tc>
        <w:tc>
          <w:tcPr>
            <w:tcW w:w="12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79"/>
              </w:rPr>
              <w:t>cost</w:t>
            </w:r>
          </w:p>
        </w:tc>
        <w:tc>
          <w:tcPr>
            <w:tcW w:w="620" w:type="dxa"/>
            <w:vAlign w:val="bottom"/>
          </w:tcPr>
          <w:p>
            <w:pPr>
              <w:jc w:val="right"/>
              <w:ind w:right="16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color w:val="auto"/>
                <w:w w:val="93"/>
              </w:rPr>
              <w:t>US$(000)</w:t>
            </w:r>
          </w:p>
        </w:tc>
        <w:tc>
          <w:tcPr>
            <w:tcW w:w="740" w:type="dxa"/>
            <w:vAlign w:val="bottom"/>
          </w:tcPr>
          <w:p>
            <w:pPr>
              <w:jc w:val="right"/>
              <w:ind w:right="126"/>
              <w:spacing w:after="0"/>
              <w:rPr>
                <w:sz w:val="20"/>
                <w:szCs w:val="20"/>
                <w:color w:val="auto"/>
              </w:rPr>
            </w:pPr>
            <w:r>
              <w:rPr>
                <w:rFonts w:ascii="Arial" w:cs="Arial" w:eastAsia="Arial" w:hAnsi="Arial"/>
                <w:sz w:val="11"/>
                <w:szCs w:val="11"/>
                <w:color w:val="auto"/>
              </w:rPr>
              <w:t>US$(000)</w:t>
            </w:r>
          </w:p>
        </w:tc>
        <w:tc>
          <w:tcPr>
            <w:tcW w:w="80" w:type="dxa"/>
            <w:vAlign w:val="bottom"/>
          </w:tcPr>
          <w:p>
            <w:pPr>
              <w:spacing w:after="0"/>
              <w:rPr>
                <w:sz w:val="11"/>
                <w:szCs w:val="11"/>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940" w:type="dxa"/>
            <w:vAlign w:val="bottom"/>
            <w:gridSpan w:val="2"/>
          </w:tcPr>
          <w:p>
            <w:pPr>
              <w:jc w:val="right"/>
              <w:ind w:right="32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1020" w:type="dxa"/>
            <w:vAlign w:val="bottom"/>
            <w:gridSpan w:val="2"/>
          </w:tcPr>
          <w:p>
            <w:pPr>
              <w:jc w:val="right"/>
              <w:ind w:right="440"/>
              <w:spacing w:after="0"/>
              <w:rPr>
                <w:sz w:val="20"/>
                <w:szCs w:val="20"/>
                <w:color w:val="auto"/>
              </w:rPr>
            </w:pPr>
            <w:r>
              <w:rPr>
                <w:rFonts w:ascii="Arial" w:cs="Arial" w:eastAsia="Arial" w:hAnsi="Arial"/>
                <w:sz w:val="11"/>
                <w:szCs w:val="11"/>
                <w:color w:val="auto"/>
              </w:rPr>
              <w:t>US$(000)</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68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96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122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620" w:type="dxa"/>
            <w:vAlign w:val="bottom"/>
          </w:tcPr>
          <w:p>
            <w:pPr>
              <w:jc w:val="right"/>
              <w:ind w:right="86"/>
              <w:spacing w:after="0"/>
              <w:rPr>
                <w:sz w:val="20"/>
                <w:szCs w:val="20"/>
                <w:color w:val="auto"/>
              </w:rPr>
            </w:pPr>
            <w:r>
              <w:rPr>
                <w:rFonts w:ascii="Arial" w:cs="Arial" w:eastAsia="Arial" w:hAnsi="Arial"/>
                <w:sz w:val="11"/>
                <w:szCs w:val="11"/>
                <w:color w:val="auto"/>
                <w:w w:val="97"/>
              </w:rPr>
              <w:t>US$(000)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74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40" w:type="dxa"/>
            <w:vAlign w:val="bottom"/>
            <w:tcBorders>
              <w:right w:val="single" w:sz="8" w:color="CCFFCC"/>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spacing w:after="0" w:line="122" w:lineRule="exact"/>
              <w:rPr>
                <w:sz w:val="20"/>
                <w:szCs w:val="20"/>
                <w:color w:val="auto"/>
              </w:rPr>
            </w:pPr>
            <w:r>
              <w:rPr>
                <w:rFonts w:ascii="Arial" w:cs="Arial" w:eastAsia="Arial" w:hAnsi="Arial"/>
                <w:sz w:val="11"/>
                <w:szCs w:val="11"/>
                <w:color w:val="auto"/>
                <w:w w:val="92"/>
              </w:rPr>
              <w:t>Cash and due from banks</w:t>
            </w:r>
          </w:p>
        </w:tc>
        <w:tc>
          <w:tcPr>
            <w:tcW w:w="100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3,836,658</w:t>
            </w:r>
          </w:p>
        </w:tc>
        <w:tc>
          <w:tcPr>
            <w:tcW w:w="100" w:type="dxa"/>
            <w:vAlign w:val="bottom"/>
          </w:tcPr>
          <w:p>
            <w:pPr>
              <w:spacing w:after="0"/>
              <w:rPr>
                <w:sz w:val="10"/>
                <w:szCs w:val="10"/>
                <w:color w:val="auto"/>
              </w:rPr>
            </w:pP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3,836,658</w:t>
            </w:r>
          </w:p>
        </w:tc>
        <w:tc>
          <w:tcPr>
            <w:tcW w:w="10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3,766,171</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3,766,171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Trading securities</w:t>
            </w:r>
          </w:p>
        </w:tc>
        <w:tc>
          <w:tcPr>
            <w:tcW w:w="100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70,774</w:t>
            </w: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70,774</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36,084</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36,084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w w:val="92"/>
              </w:rPr>
              <w:t>Investments available-for-</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sale</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5,079,606</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5,079,606</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4,950,754</w:t>
            </w: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4,950,754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Loans, net</w:t>
            </w:r>
          </w:p>
        </w:tc>
        <w:tc>
          <w:tcPr>
            <w:tcW w:w="100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11,231,280</w:t>
            </w:r>
          </w:p>
        </w:tc>
        <w:tc>
          <w:tcPr>
            <w:tcW w:w="100" w:type="dxa"/>
            <w:vAlign w:val="bottom"/>
            <w:shd w:val="clear" w:color="auto" w:fill="CCFFCC"/>
          </w:tcPr>
          <w:p>
            <w:pPr>
              <w:spacing w:after="0"/>
              <w:rPr>
                <w:sz w:val="10"/>
                <w:szCs w:val="10"/>
                <w:color w:val="auto"/>
              </w:rPr>
            </w:pP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8"/>
              </w:rPr>
              <w:t>11,231,280</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w w:val="94"/>
              </w:rPr>
              <w:t>10,322,041</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w w:val="98"/>
              </w:rPr>
              <w:t>10,322,041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rPr>
              <w:t>Financial assets</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ind w:left="160"/>
              <w:spacing w:after="0" w:line="122" w:lineRule="exact"/>
              <w:rPr>
                <w:sz w:val="20"/>
                <w:szCs w:val="20"/>
                <w:color w:val="auto"/>
              </w:rPr>
            </w:pPr>
            <w:r>
              <w:rPr>
                <w:rFonts w:ascii="Arial" w:cs="Arial" w:eastAsia="Arial" w:hAnsi="Arial"/>
                <w:sz w:val="11"/>
                <w:szCs w:val="11"/>
                <w:color w:val="auto"/>
              </w:rPr>
              <w:t>designated at fair</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ind w:left="160"/>
              <w:spacing w:after="0" w:line="122" w:lineRule="exact"/>
              <w:rPr>
                <w:sz w:val="20"/>
                <w:szCs w:val="20"/>
                <w:color w:val="auto"/>
              </w:rPr>
            </w:pPr>
            <w:r>
              <w:rPr>
                <w:rFonts w:ascii="Arial" w:cs="Arial" w:eastAsia="Arial" w:hAnsi="Arial"/>
                <w:sz w:val="11"/>
                <w:szCs w:val="11"/>
                <w:color w:val="auto"/>
                <w:w w:val="93"/>
              </w:rPr>
              <w:t>value through profit or</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loss</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135,670</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135,670</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137,945</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137,945</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rPr>
              <w:t>Premiums and other</w:t>
            </w: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40" w:type="dxa"/>
            <w:vAlign w:val="bottom"/>
            <w:tcBorders>
              <w:right w:val="single" w:sz="8" w:color="CCFFCC"/>
            </w:tcBorders>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10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policies receivable</w:t>
            </w: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121,338</w:t>
            </w:r>
          </w:p>
        </w:tc>
        <w:tc>
          <w:tcPr>
            <w:tcW w:w="10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121,338</w:t>
            </w:r>
          </w:p>
        </w:tc>
        <w:tc>
          <w:tcPr>
            <w:tcW w:w="102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111,561</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111,561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w w:val="93"/>
              </w:rPr>
              <w:t>Accounts receivable from</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ind w:left="160"/>
              <w:spacing w:after="0" w:line="122" w:lineRule="exact"/>
              <w:rPr>
                <w:sz w:val="20"/>
                <w:szCs w:val="20"/>
                <w:color w:val="auto"/>
              </w:rPr>
            </w:pPr>
            <w:r>
              <w:rPr>
                <w:rFonts w:ascii="Arial" w:cs="Arial" w:eastAsia="Arial" w:hAnsi="Arial"/>
                <w:sz w:val="11"/>
                <w:szCs w:val="11"/>
                <w:color w:val="auto"/>
              </w:rPr>
              <w:t>reinsurers and</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coinsurers</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137,098</w:t>
            </w:r>
          </w:p>
        </w:tc>
        <w:tc>
          <w:tcPr>
            <w:tcW w:w="100" w:type="dxa"/>
            <w:vAlign w:val="bottom"/>
          </w:tcPr>
          <w:p>
            <w:pPr>
              <w:spacing w:after="0"/>
              <w:rPr>
                <w:sz w:val="11"/>
                <w:szCs w:val="1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137,098</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165,144</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165,144</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rPr>
              <w:t>Due from customers on</w:t>
            </w: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40" w:type="dxa"/>
            <w:vAlign w:val="bottom"/>
            <w:tcBorders>
              <w:right w:val="single" w:sz="8" w:color="CCFFCC"/>
            </w:tcBorders>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10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acceptances</w:t>
            </w:r>
          </w:p>
        </w:tc>
        <w:tc>
          <w:tcPr>
            <w:tcW w:w="74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40" w:type="dxa"/>
            <w:vAlign w:val="bottom"/>
            <w:tcBorders>
              <w:right w:val="single" w:sz="8" w:color="CCFFCC"/>
            </w:tcBorders>
            <w:shd w:val="clear" w:color="auto" w:fill="CCFFCC"/>
          </w:tcPr>
          <w:p>
            <w:pPr>
              <w:spacing w:after="0"/>
              <w:rPr>
                <w:sz w:val="11"/>
                <w:szCs w:val="11"/>
                <w:color w:val="auto"/>
              </w:rPr>
            </w:pPr>
          </w:p>
        </w:tc>
        <w:tc>
          <w:tcPr>
            <w:tcW w:w="62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96,423</w:t>
            </w:r>
          </w:p>
        </w:tc>
        <w:tc>
          <w:tcPr>
            <w:tcW w:w="10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96,423</w:t>
            </w:r>
          </w:p>
        </w:tc>
        <w:tc>
          <w:tcPr>
            <w:tcW w:w="102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232,580</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232,580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Pr>
          <w:p>
            <w:pPr>
              <w:spacing w:after="0" w:line="122" w:lineRule="exact"/>
              <w:rPr>
                <w:sz w:val="20"/>
                <w:szCs w:val="20"/>
                <w:color w:val="auto"/>
              </w:rPr>
            </w:pPr>
            <w:r>
              <w:rPr>
                <w:rFonts w:ascii="Arial" w:cs="Arial" w:eastAsia="Arial" w:hAnsi="Arial"/>
                <w:sz w:val="11"/>
                <w:szCs w:val="11"/>
                <w:color w:val="auto"/>
              </w:rPr>
              <w:t>Other assets, note 11</w:t>
            </w:r>
          </w:p>
        </w:tc>
        <w:tc>
          <w:tcPr>
            <w:tcW w:w="100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97,341</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322,881</w:t>
            </w:r>
          </w:p>
        </w:tc>
        <w:tc>
          <w:tcPr>
            <w:tcW w:w="100" w:type="dxa"/>
            <w:vAlign w:val="bottom"/>
          </w:tcPr>
          <w:p>
            <w:pPr>
              <w:spacing w:after="0"/>
              <w:rPr>
                <w:sz w:val="11"/>
                <w:szCs w:val="11"/>
                <w:color w:val="auto"/>
              </w:rPr>
            </w:pP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420,222</w:t>
            </w:r>
          </w:p>
        </w:tc>
        <w:tc>
          <w:tcPr>
            <w:tcW w:w="10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79,275</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247,465</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2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rPr>
              <w:t>326,740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40" w:type="dxa"/>
            <w:vAlign w:val="bottom"/>
            <w:tcBorders>
              <w:top w:val="single" w:sz="8" w:color="auto"/>
              <w:right w:val="single" w:sz="8" w:color="CCFFCC"/>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tcBorders>
              <w:top w:val="single" w:sz="8" w:color="auto"/>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168,115</w:t>
            </w:r>
          </w:p>
        </w:tc>
        <w:tc>
          <w:tcPr>
            <w:tcW w:w="740" w:type="dxa"/>
            <w:vAlign w:val="bottom"/>
          </w:tcPr>
          <w:p>
            <w:pPr>
              <w:jc w:val="right"/>
              <w:spacing w:after="0" w:line="122" w:lineRule="exact"/>
              <w:rPr>
                <w:sz w:val="20"/>
                <w:szCs w:val="20"/>
                <w:color w:val="auto"/>
              </w:rPr>
            </w:pPr>
            <w:r>
              <w:rPr>
                <w:rFonts w:ascii="Arial" w:cs="Arial" w:eastAsia="Arial" w:hAnsi="Arial"/>
                <w:sz w:val="11"/>
                <w:szCs w:val="11"/>
                <w:color w:val="auto"/>
              </w:rPr>
              <w:t>135,670</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15,745,678</w:t>
            </w:r>
          </w:p>
        </w:tc>
        <w:tc>
          <w:tcPr>
            <w:tcW w:w="1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5,079,606</w:t>
            </w:r>
          </w:p>
        </w:tc>
        <w:tc>
          <w:tcPr>
            <w:tcW w:w="120" w:type="dxa"/>
            <w:vAlign w:val="bottom"/>
          </w:tcPr>
          <w:p>
            <w:pPr>
              <w:spacing w:after="0"/>
              <w:rPr>
                <w:sz w:val="10"/>
                <w:szCs w:val="10"/>
                <w:color w:val="auto"/>
              </w:rPr>
            </w:pP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8"/>
              </w:rPr>
              <w:t>21,129,069</w:t>
            </w:r>
          </w:p>
        </w:tc>
        <w:tc>
          <w:tcPr>
            <w:tcW w:w="1020" w:type="dxa"/>
            <w:vAlign w:val="bottom"/>
            <w:gridSpan w:val="2"/>
          </w:tcPr>
          <w:p>
            <w:pPr>
              <w:jc w:val="right"/>
              <w:ind w:right="280"/>
              <w:spacing w:after="0" w:line="122" w:lineRule="exact"/>
              <w:rPr>
                <w:sz w:val="20"/>
                <w:szCs w:val="20"/>
                <w:color w:val="auto"/>
              </w:rPr>
            </w:pPr>
            <w:r>
              <w:rPr>
                <w:rFonts w:ascii="Arial" w:cs="Arial" w:eastAsia="Arial" w:hAnsi="Arial"/>
                <w:sz w:val="11"/>
                <w:szCs w:val="11"/>
                <w:color w:val="auto"/>
              </w:rPr>
              <w:t>115,359</w:t>
            </w:r>
          </w:p>
        </w:tc>
        <w:tc>
          <w:tcPr>
            <w:tcW w:w="8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137,945</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w w:val="94"/>
              </w:rPr>
              <w:t>14,844,962</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4,950,754</w:t>
            </w:r>
          </w:p>
        </w:tc>
        <w:tc>
          <w:tcPr>
            <w:tcW w:w="12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6"/>
              <w:spacing w:after="0" w:line="122" w:lineRule="exact"/>
              <w:rPr>
                <w:sz w:val="20"/>
                <w:szCs w:val="20"/>
                <w:color w:val="auto"/>
              </w:rPr>
            </w:pPr>
            <w:r>
              <w:rPr>
                <w:rFonts w:ascii="Arial" w:cs="Arial" w:eastAsia="Arial" w:hAnsi="Arial"/>
                <w:sz w:val="11"/>
                <w:szCs w:val="11"/>
                <w:color w:val="auto"/>
                <w:w w:val="98"/>
              </w:rPr>
              <w:t>20,049,020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00" w:type="dxa"/>
            <w:vAlign w:val="bottom"/>
            <w:tcBorders>
              <w:right w:val="single" w:sz="8" w:color="CCFFCC"/>
            </w:tcBorders>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740" w:type="dxa"/>
            <w:vAlign w:val="bottom"/>
            <w:tcBorders>
              <w:right w:val="single" w:sz="8" w:color="CCFFCC"/>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10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2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20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w:t>
            </w:r>
          </w:p>
        </w:tc>
        <w:tc>
          <w:tcPr>
            <w:tcW w:w="100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14,091,828</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8"/>
              </w:rPr>
              <w:t>14,091,828</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13,950,437</w:t>
            </w:r>
          </w:p>
        </w:tc>
        <w:tc>
          <w:tcPr>
            <w:tcW w:w="140" w:type="dxa"/>
            <w:vAlign w:val="bottom"/>
            <w:shd w:val="clear" w:color="auto" w:fill="CCFFCC"/>
          </w:tcPr>
          <w:p>
            <w:pPr>
              <w:spacing w:after="0"/>
              <w:rPr>
                <w:sz w:val="10"/>
                <w:szCs w:val="10"/>
                <w:color w:val="auto"/>
              </w:rPr>
            </w:pP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w w:val="98"/>
              </w:rPr>
              <w:t>13,950,437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rPr>
              <w:t>Due to banks and</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correspondents</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1,167,438</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1,167,438</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1,179,991</w:t>
            </w:r>
          </w:p>
        </w:tc>
        <w:tc>
          <w:tcPr>
            <w:tcW w:w="14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1,179,991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Borders>
              <w:right w:val="single" w:sz="8" w:color="CCFFCC"/>
            </w:tcBorders>
            <w:shd w:val="clear" w:color="auto" w:fill="CCFFCC"/>
          </w:tcPr>
          <w:p>
            <w:pPr>
              <w:spacing w:after="0" w:line="112" w:lineRule="exact"/>
              <w:rPr>
                <w:sz w:val="20"/>
                <w:szCs w:val="20"/>
                <w:color w:val="auto"/>
              </w:rPr>
            </w:pPr>
            <w:r>
              <w:rPr>
                <w:rFonts w:ascii="Arial" w:cs="Arial" w:eastAsia="Arial" w:hAnsi="Arial"/>
                <w:sz w:val="11"/>
                <w:szCs w:val="11"/>
                <w:color w:val="auto"/>
              </w:rPr>
              <w:t>Due from customers on</w:t>
            </w:r>
          </w:p>
        </w:tc>
        <w:tc>
          <w:tcPr>
            <w:tcW w:w="740" w:type="dxa"/>
            <w:vAlign w:val="bottom"/>
            <w:shd w:val="clear" w:color="auto" w:fill="CCFFCC"/>
          </w:tcPr>
          <w:p>
            <w:pPr>
              <w:spacing w:after="0"/>
              <w:rPr>
                <w:sz w:val="9"/>
                <w:szCs w:val="9"/>
                <w:color w:val="auto"/>
              </w:rPr>
            </w:pPr>
          </w:p>
        </w:tc>
        <w:tc>
          <w:tcPr>
            <w:tcW w:w="260" w:type="dxa"/>
            <w:vAlign w:val="bottom"/>
            <w:shd w:val="clear" w:color="auto" w:fill="CCFFCC"/>
          </w:tcPr>
          <w:p>
            <w:pPr>
              <w:spacing w:after="0"/>
              <w:rPr>
                <w:sz w:val="9"/>
                <w:szCs w:val="9"/>
                <w:color w:val="auto"/>
              </w:rPr>
            </w:pPr>
          </w:p>
        </w:tc>
        <w:tc>
          <w:tcPr>
            <w:tcW w:w="740" w:type="dxa"/>
            <w:vAlign w:val="bottom"/>
            <w:tcBorders>
              <w:right w:val="single" w:sz="8" w:color="CCFFCC"/>
            </w:tcBorders>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10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2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Borders>
              <w:right w:val="single" w:sz="8" w:color="CCFFCC"/>
            </w:tcBorders>
            <w:shd w:val="clear" w:color="auto" w:fill="CCFFCC"/>
          </w:tcPr>
          <w:p>
            <w:pPr>
              <w:ind w:left="160"/>
              <w:spacing w:after="0"/>
              <w:rPr>
                <w:sz w:val="20"/>
                <w:szCs w:val="20"/>
                <w:color w:val="auto"/>
              </w:rPr>
            </w:pPr>
            <w:r>
              <w:rPr>
                <w:rFonts w:ascii="Arial" w:cs="Arial" w:eastAsia="Arial" w:hAnsi="Arial"/>
                <w:sz w:val="11"/>
                <w:szCs w:val="11"/>
                <w:color w:val="auto"/>
              </w:rPr>
              <w:t>acceptances</w:t>
            </w: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96,423</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96,423</w:t>
            </w:r>
          </w:p>
        </w:tc>
        <w:tc>
          <w:tcPr>
            <w:tcW w:w="1020" w:type="dxa"/>
            <w:vAlign w:val="bottom"/>
            <w:gridSpan w:val="2"/>
            <w:shd w:val="clear" w:color="auto" w:fill="CCFFCC"/>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232,580</w:t>
            </w:r>
          </w:p>
        </w:tc>
        <w:tc>
          <w:tcPr>
            <w:tcW w:w="140" w:type="dxa"/>
            <w:vAlign w:val="bottom"/>
            <w:shd w:val="clear" w:color="auto" w:fill="CCFFCC"/>
          </w:tcPr>
          <w:p>
            <w:pPr>
              <w:spacing w:after="0"/>
              <w:rPr>
                <w:sz w:val="11"/>
                <w:szCs w:val="11"/>
                <w:color w:val="auto"/>
              </w:rPr>
            </w:pPr>
          </w:p>
        </w:tc>
        <w:tc>
          <w:tcPr>
            <w:tcW w:w="6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232,580</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rPr>
              <w:t>Accounts payable to</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Pr>
          <w:p>
            <w:pPr>
              <w:ind w:left="160"/>
              <w:spacing w:after="0" w:line="122" w:lineRule="exact"/>
              <w:rPr>
                <w:sz w:val="20"/>
                <w:szCs w:val="20"/>
                <w:color w:val="auto"/>
              </w:rPr>
            </w:pPr>
            <w:r>
              <w:rPr>
                <w:rFonts w:ascii="Arial" w:cs="Arial" w:eastAsia="Arial" w:hAnsi="Arial"/>
                <w:sz w:val="11"/>
                <w:szCs w:val="11"/>
                <w:color w:val="auto"/>
              </w:rPr>
              <w:t>reinsurers and</w:t>
            </w: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coinsurers</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48,009</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48,009</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55,841</w:t>
            </w:r>
          </w:p>
        </w:tc>
        <w:tc>
          <w:tcPr>
            <w:tcW w:w="14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55,841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Borrowed funds</w:t>
            </w:r>
          </w:p>
        </w:tc>
        <w:tc>
          <w:tcPr>
            <w:tcW w:w="100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1,089,221</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1,089,221</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1,150,716</w:t>
            </w:r>
          </w:p>
        </w:tc>
        <w:tc>
          <w:tcPr>
            <w:tcW w:w="140" w:type="dxa"/>
            <w:vAlign w:val="bottom"/>
            <w:shd w:val="clear" w:color="auto" w:fill="CCFFCC"/>
          </w:tcPr>
          <w:p>
            <w:pPr>
              <w:spacing w:after="0"/>
              <w:rPr>
                <w:sz w:val="10"/>
                <w:szCs w:val="10"/>
                <w:color w:val="auto"/>
              </w:rPr>
            </w:pP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1,150,716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00" w:type="dxa"/>
            <w:vAlign w:val="bottom"/>
          </w:tcPr>
          <w:p>
            <w:pPr>
              <w:spacing w:after="0" w:line="112" w:lineRule="exact"/>
              <w:rPr>
                <w:sz w:val="20"/>
                <w:szCs w:val="20"/>
                <w:color w:val="auto"/>
              </w:rPr>
            </w:pPr>
            <w:r>
              <w:rPr>
                <w:rFonts w:ascii="Arial" w:cs="Arial" w:eastAsia="Arial" w:hAnsi="Arial"/>
                <w:sz w:val="11"/>
                <w:szCs w:val="11"/>
                <w:color w:val="auto"/>
                <w:w w:val="97"/>
              </w:rPr>
              <w:t>Bonds and subordinated</w:t>
            </w:r>
          </w:p>
        </w:tc>
        <w:tc>
          <w:tcPr>
            <w:tcW w:w="7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00" w:type="dxa"/>
            <w:vAlign w:val="bottom"/>
          </w:tcPr>
          <w:p>
            <w:pPr>
              <w:ind w:left="160"/>
              <w:spacing w:after="0"/>
              <w:rPr>
                <w:sz w:val="20"/>
                <w:szCs w:val="20"/>
                <w:color w:val="auto"/>
              </w:rPr>
            </w:pPr>
            <w:r>
              <w:rPr>
                <w:rFonts w:ascii="Arial" w:cs="Arial" w:eastAsia="Arial" w:hAnsi="Arial"/>
                <w:sz w:val="11"/>
                <w:szCs w:val="11"/>
                <w:color w:val="auto"/>
              </w:rPr>
              <w:t>notes issued</w:t>
            </w:r>
          </w:p>
        </w:tc>
        <w:tc>
          <w:tcPr>
            <w:tcW w:w="10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w:t>
            </w:r>
          </w:p>
        </w:tc>
        <w:tc>
          <w:tcPr>
            <w:tcW w:w="720" w:type="dxa"/>
            <w:vAlign w:val="bottom"/>
            <w:gridSpan w:val="3"/>
          </w:tcPr>
          <w:p>
            <w:pPr>
              <w:jc w:val="right"/>
              <w:ind w:right="10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1,287,022</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1,287,022</w:t>
            </w:r>
          </w:p>
        </w:tc>
        <w:tc>
          <w:tcPr>
            <w:tcW w:w="1020" w:type="dxa"/>
            <w:vAlign w:val="bottom"/>
            <w:gridSpan w:val="2"/>
          </w:tcPr>
          <w:p>
            <w:pPr>
              <w:jc w:val="right"/>
              <w:ind w:right="280"/>
              <w:spacing w:after="0"/>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785,230</w:t>
            </w:r>
          </w:p>
        </w:tc>
        <w:tc>
          <w:tcPr>
            <w:tcW w:w="140" w:type="dxa"/>
            <w:vAlign w:val="bottom"/>
          </w:tcPr>
          <w:p>
            <w:pPr>
              <w:spacing w:after="0"/>
              <w:rPr>
                <w:sz w:val="11"/>
                <w:szCs w:val="11"/>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785,230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tcBorders>
              <w:right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Other liabilities, note 11</w:t>
            </w:r>
          </w:p>
        </w:tc>
        <w:tc>
          <w:tcPr>
            <w:tcW w:w="1000" w:type="dxa"/>
            <w:vAlign w:val="bottom"/>
            <w:gridSpan w:val="2"/>
            <w:shd w:val="clear" w:color="auto" w:fill="CCFFCC"/>
          </w:tcPr>
          <w:p>
            <w:pPr>
              <w:jc w:val="right"/>
              <w:ind w:right="260"/>
              <w:spacing w:after="0" w:line="122" w:lineRule="exact"/>
              <w:rPr>
                <w:sz w:val="20"/>
                <w:szCs w:val="20"/>
                <w:color w:val="auto"/>
              </w:rPr>
            </w:pPr>
            <w:r>
              <w:rPr>
                <w:rFonts w:ascii="Arial" w:cs="Arial" w:eastAsia="Arial" w:hAnsi="Arial"/>
                <w:sz w:val="11"/>
                <w:szCs w:val="11"/>
                <w:color w:val="auto"/>
              </w:rPr>
              <w:t>167,849</w:t>
            </w: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428,740</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596,589</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256,792</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318,320</w:t>
            </w:r>
          </w:p>
        </w:tc>
        <w:tc>
          <w:tcPr>
            <w:tcW w:w="140" w:type="dxa"/>
            <w:vAlign w:val="bottom"/>
            <w:shd w:val="clear" w:color="auto" w:fill="CCFFCC"/>
          </w:tcPr>
          <w:p>
            <w:pPr>
              <w:spacing w:after="0"/>
              <w:rPr>
                <w:sz w:val="11"/>
                <w:szCs w:val="11"/>
                <w:color w:val="auto"/>
              </w:rPr>
            </w:pP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575,112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0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6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80" w:type="dxa"/>
            <w:vAlign w:val="bottom"/>
            <w:tcBorders>
              <w:top w:val="single" w:sz="8" w:color="CCFFCC"/>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10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200" w:type="dxa"/>
            <w:vAlign w:val="bottom"/>
            <w:tcBorders>
              <w:right w:val="single" w:sz="8" w:color="CCFFCC"/>
            </w:tcBorders>
            <w:shd w:val="clear" w:color="auto" w:fill="CCFFCC"/>
          </w:tcPr>
          <w:p>
            <w:pPr>
              <w:spacing w:after="0"/>
              <w:rPr>
                <w:sz w:val="12"/>
                <w:szCs w:val="12"/>
                <w:color w:val="auto"/>
              </w:rPr>
            </w:pPr>
          </w:p>
        </w:tc>
        <w:tc>
          <w:tcPr>
            <w:tcW w:w="7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167,849</w:t>
            </w:r>
          </w:p>
        </w:tc>
        <w:tc>
          <w:tcPr>
            <w:tcW w:w="260" w:type="dxa"/>
            <w:vAlign w:val="bottom"/>
            <w:shd w:val="clear" w:color="auto" w:fill="CCFFCC"/>
          </w:tcPr>
          <w:p>
            <w:pPr>
              <w:spacing w:after="0"/>
              <w:rPr>
                <w:sz w:val="12"/>
                <w:szCs w:val="12"/>
                <w:color w:val="auto"/>
              </w:rPr>
            </w:pPr>
          </w:p>
        </w:tc>
        <w:tc>
          <w:tcPr>
            <w:tcW w:w="7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3"/>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18,208,681</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8"/>
              </w:rPr>
              <w:t>18,376,530</w:t>
            </w:r>
          </w:p>
        </w:tc>
        <w:tc>
          <w:tcPr>
            <w:tcW w:w="1020" w:type="dxa"/>
            <w:vAlign w:val="bottom"/>
            <w:gridSpan w:val="2"/>
            <w:shd w:val="clear" w:color="auto" w:fill="CCFFCC"/>
          </w:tcPr>
          <w:p>
            <w:pPr>
              <w:jc w:val="right"/>
              <w:ind w:right="280"/>
              <w:spacing w:after="0" w:line="122" w:lineRule="exact"/>
              <w:rPr>
                <w:sz w:val="20"/>
                <w:szCs w:val="20"/>
                <w:color w:val="auto"/>
              </w:rPr>
            </w:pPr>
            <w:r>
              <w:rPr>
                <w:rFonts w:ascii="Arial" w:cs="Arial" w:eastAsia="Arial" w:hAnsi="Arial"/>
                <w:sz w:val="11"/>
                <w:szCs w:val="11"/>
                <w:color w:val="auto"/>
              </w:rPr>
              <w:t>256,792</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17,673,115</w:t>
            </w:r>
          </w:p>
        </w:tc>
        <w:tc>
          <w:tcPr>
            <w:tcW w:w="140" w:type="dxa"/>
            <w:vAlign w:val="bottom"/>
            <w:shd w:val="clear" w:color="auto" w:fill="CCFFCC"/>
          </w:tcPr>
          <w:p>
            <w:pPr>
              <w:spacing w:after="0"/>
              <w:rPr>
                <w:sz w:val="12"/>
                <w:szCs w:val="12"/>
                <w:color w:val="auto"/>
              </w:rPr>
            </w:pPr>
          </w:p>
        </w:tc>
        <w:tc>
          <w:tcPr>
            <w:tcW w:w="6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w w:val="98"/>
              </w:rPr>
              <w:t>17,929,907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ind w:left="660" w:hanging="652"/>
        <w:spacing w:after="0"/>
        <w:tabs>
          <w:tab w:leader="none" w:pos="660"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7" w:lineRule="exact"/>
        <w:rPr>
          <w:rFonts w:ascii="Arial" w:cs="Arial" w:eastAsia="Arial" w:hAnsi="Arial"/>
          <w:sz w:val="18"/>
          <w:szCs w:val="18"/>
          <w:b w:val="1"/>
          <w:bCs w:val="1"/>
          <w:color w:val="auto"/>
        </w:rPr>
      </w:pPr>
    </w:p>
    <w:p>
      <w:pPr>
        <w:ind w:left="660" w:right="2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By their nature, the Group’s activities involve principally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216" w:lineRule="exact"/>
        <w:rPr>
          <w:rFonts w:ascii="Arial" w:cs="Arial" w:eastAsia="Arial" w:hAnsi="Arial"/>
          <w:sz w:val="18"/>
          <w:szCs w:val="18"/>
          <w:b w:val="1"/>
          <w:bCs w:val="1"/>
          <w:color w:val="auto"/>
        </w:rPr>
      </w:pPr>
    </w:p>
    <w:p>
      <w:pPr>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products. Such exposures involve not just on-balance sheet loans and advances; the Group also enters into guarantees and other commitments such as letters of credit and performance.</w:t>
      </w:r>
    </w:p>
    <w:p>
      <w:pPr>
        <w:spacing w:after="0" w:line="208" w:lineRule="exact"/>
        <w:rPr>
          <w:rFonts w:ascii="Arial" w:cs="Arial" w:eastAsia="Arial" w:hAnsi="Arial"/>
          <w:sz w:val="18"/>
          <w:szCs w:val="18"/>
          <w:b w:val="1"/>
          <w:bCs w:val="1"/>
          <w:color w:val="auto"/>
        </w:rPr>
      </w:pPr>
    </w:p>
    <w:p>
      <w:pPr>
        <w:ind w:left="66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currency and interest rates.</w:t>
      </w:r>
    </w:p>
    <w:p>
      <w:pPr>
        <w:spacing w:after="0" w:line="197" w:lineRule="exact"/>
        <w:rPr>
          <w:rFonts w:ascii="Arial" w:cs="Arial" w:eastAsia="Arial" w:hAnsi="Arial"/>
          <w:sz w:val="18"/>
          <w:szCs w:val="18"/>
          <w:b w:val="1"/>
          <w:bCs w:val="1"/>
          <w:color w:val="auto"/>
        </w:rPr>
      </w:pPr>
    </w:p>
    <w:p>
      <w:pPr>
        <w:ind w:left="660" w:right="2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this sense, risk is inherent in the Group’s activities but it is managed through a process of ongoing identification, measurement and monitoring, subject to risk limits and other controls. This process of risk management is critical to the Group’s continuing profitability and each individual within the Group is accountable for the risk exposures relating to his or her responsibilities. The Group is exposed to operating risk, credit risk, liquidity risk and market risk, the latter being subdivided into trading and non-trading risks.</w:t>
      </w:r>
    </w:p>
    <w:p>
      <w:pPr>
        <w:spacing w:after="0" w:line="198" w:lineRule="exact"/>
        <w:rPr>
          <w:rFonts w:ascii="Arial" w:cs="Arial" w:eastAsia="Arial" w:hAnsi="Arial"/>
          <w:sz w:val="18"/>
          <w:szCs w:val="18"/>
          <w:b w:val="1"/>
          <w:bCs w:val="1"/>
          <w:color w:val="auto"/>
        </w:rPr>
      </w:pPr>
    </w:p>
    <w:p>
      <w:pPr>
        <w:ind w:left="66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the Group’s strategic planning process.</w:t>
      </w:r>
    </w:p>
    <w:p>
      <w:pPr>
        <w:spacing w:after="0" w:line="197" w:lineRule="exact"/>
        <w:rPr>
          <w:rFonts w:ascii="Arial" w:cs="Arial" w:eastAsia="Arial" w:hAnsi="Arial"/>
          <w:sz w:val="18"/>
          <w:szCs w:val="18"/>
          <w:b w:val="1"/>
          <w:bCs w:val="1"/>
          <w:color w:val="auto"/>
        </w:rPr>
      </w:pPr>
    </w:p>
    <w:p>
      <w:pPr>
        <w:ind w:left="1140" w:hanging="484"/>
        <w:spacing w:after="0"/>
        <w:tabs>
          <w:tab w:leader="none" w:pos="114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Risk management structure-</w:t>
      </w:r>
    </w:p>
    <w:p>
      <w:pPr>
        <w:spacing w:after="0" w:line="23" w:lineRule="exact"/>
        <w:rPr>
          <w:rFonts w:ascii="Arial" w:cs="Arial" w:eastAsia="Arial" w:hAnsi="Arial"/>
          <w:sz w:val="18"/>
          <w:szCs w:val="18"/>
          <w:color w:val="auto"/>
        </w:rPr>
      </w:pPr>
    </w:p>
    <w:p>
      <w:pPr>
        <w:ind w:left="1140" w:right="460"/>
        <w:spacing w:after="0" w:line="255" w:lineRule="auto"/>
        <w:rPr>
          <w:rFonts w:ascii="Arial" w:cs="Arial" w:eastAsia="Arial" w:hAnsi="Arial"/>
          <w:sz w:val="18"/>
          <w:szCs w:val="18"/>
          <w:color w:val="auto"/>
        </w:rPr>
      </w:pPr>
      <w:r>
        <w:rPr>
          <w:rFonts w:ascii="Arial" w:cs="Arial" w:eastAsia="Arial" w:hAnsi="Arial"/>
          <w:sz w:val="18"/>
          <w:szCs w:val="18"/>
          <w:color w:val="auto"/>
        </w:rPr>
        <w:t>The Group’s Board of Directors and of each subsidiary is ultimately responsible for identifying and controlling risks; however, there are separate independent bodies in the major subsidiaries (BCP, PPS and ASHC) responsible for managing and monitoring risks, as further explained bellow:</w:t>
      </w:r>
    </w:p>
    <w:p>
      <w:pPr>
        <w:spacing w:after="0" w:line="217" w:lineRule="exact"/>
        <w:rPr>
          <w:rFonts w:ascii="Arial" w:cs="Arial" w:eastAsia="Arial" w:hAnsi="Arial"/>
          <w:sz w:val="18"/>
          <w:szCs w:val="18"/>
          <w:color w:val="auto"/>
        </w:rPr>
      </w:pPr>
    </w:p>
    <w:p>
      <w:pPr>
        <w:ind w:left="1620" w:hanging="478"/>
        <w:spacing w:after="0"/>
        <w:tabs>
          <w:tab w:leader="none" w:pos="162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3" w:lineRule="exact"/>
        <w:rPr>
          <w:rFonts w:ascii="Arial" w:cs="Arial" w:eastAsia="Arial" w:hAnsi="Arial"/>
          <w:sz w:val="18"/>
          <w:szCs w:val="18"/>
          <w:color w:val="auto"/>
        </w:rPr>
      </w:pPr>
    </w:p>
    <w:p>
      <w:pPr>
        <w:ind w:left="1620"/>
        <w:spacing w:after="0" w:line="254" w:lineRule="auto"/>
        <w:rPr>
          <w:rFonts w:ascii="Arial" w:cs="Arial" w:eastAsia="Arial" w:hAnsi="Arial"/>
          <w:sz w:val="18"/>
          <w:szCs w:val="18"/>
          <w:color w:val="auto"/>
        </w:rPr>
      </w:pPr>
      <w:r>
        <w:rPr>
          <w:rFonts w:ascii="Arial" w:cs="Arial" w:eastAsia="Arial" w:hAnsi="Arial"/>
          <w:sz w:val="18"/>
          <w:szCs w:val="18"/>
          <w:color w:val="auto"/>
        </w:rPr>
        <w:t>The Board of Directors of each major subsidiary is responsible for the overall risk management approach and responsible for the approval of the policies and strategies currently in place. The Board provides written principles for overall risk management, as well as written policies covering specific areas, such as foreign exchange risk, interest rate risk, credit risk, use of derivative financial instruments and non-derivative financial instruments.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40" w:hanging="484"/>
        <w:spacing w:after="0"/>
        <w:tabs>
          <w:tab w:leader="none" w:pos="164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Risk Management Committee</w:t>
      </w:r>
    </w:p>
    <w:p>
      <w:pPr>
        <w:spacing w:after="0" w:line="23" w:lineRule="exact"/>
        <w:rPr>
          <w:rFonts w:ascii="Arial" w:cs="Arial" w:eastAsia="Arial" w:hAnsi="Arial"/>
          <w:sz w:val="18"/>
          <w:szCs w:val="18"/>
          <w:color w:val="auto"/>
        </w:rPr>
      </w:pPr>
    </w:p>
    <w:p>
      <w:pPr>
        <w:ind w:left="1620" w:right="26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Committee of each major subsidiary is responsible for the strategy used for mitigating risks as well as setting forth the overall principles, policies and limits for the different types of risks; it is also responsible for monitoring fundamental risk issues and manages and monitors the relevant risk decisions.</w:t>
      </w:r>
    </w:p>
    <w:p>
      <w:pPr>
        <w:spacing w:after="0" w:line="217" w:lineRule="exact"/>
        <w:rPr>
          <w:rFonts w:ascii="Arial" w:cs="Arial" w:eastAsia="Arial" w:hAnsi="Arial"/>
          <w:sz w:val="18"/>
          <w:szCs w:val="18"/>
          <w:color w:val="auto"/>
        </w:rPr>
      </w:pPr>
    </w:p>
    <w:p>
      <w:pPr>
        <w:ind w:left="1640" w:hanging="484"/>
        <w:spacing w:after="0"/>
        <w:tabs>
          <w:tab w:leader="none" w:pos="164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Risk Management Department</w:t>
      </w:r>
    </w:p>
    <w:p>
      <w:pPr>
        <w:spacing w:after="0" w:line="23" w:lineRule="exact"/>
        <w:rPr>
          <w:rFonts w:ascii="Arial" w:cs="Arial" w:eastAsia="Arial" w:hAnsi="Arial"/>
          <w:sz w:val="18"/>
          <w:szCs w:val="18"/>
          <w:color w:val="auto"/>
        </w:rPr>
      </w:pPr>
    </w:p>
    <w:p>
      <w:pPr>
        <w:ind w:left="1620" w:right="580"/>
        <w:spacing w:after="0" w:line="255" w:lineRule="auto"/>
        <w:rPr>
          <w:rFonts w:ascii="Arial" w:cs="Arial" w:eastAsia="Arial" w:hAnsi="Arial"/>
          <w:sz w:val="18"/>
          <w:szCs w:val="18"/>
          <w:color w:val="auto"/>
        </w:rPr>
      </w:pPr>
      <w:r>
        <w:rPr>
          <w:rFonts w:ascii="Arial" w:cs="Arial" w:eastAsia="Arial" w:hAnsi="Arial"/>
          <w:sz w:val="18"/>
          <w:szCs w:val="18"/>
          <w:color w:val="auto"/>
        </w:rPr>
        <w:t>The Risk Management Department of each major subsidiary is responsible for developing, implementing and improving, on a continuous basis, the Group’s risk management infrastructure by adopting and incorporating global best practices and following established policies.</w:t>
      </w:r>
    </w:p>
    <w:p>
      <w:pPr>
        <w:spacing w:after="0" w:line="217" w:lineRule="exact"/>
        <w:rPr>
          <w:rFonts w:ascii="Arial" w:cs="Arial" w:eastAsia="Arial" w:hAnsi="Arial"/>
          <w:sz w:val="18"/>
          <w:szCs w:val="18"/>
          <w:color w:val="auto"/>
        </w:rPr>
      </w:pPr>
    </w:p>
    <w:p>
      <w:pPr>
        <w:ind w:left="1640" w:hanging="484"/>
        <w:spacing w:after="0"/>
        <w:tabs>
          <w:tab w:leader="none" w:pos="1640" w:val="left"/>
        </w:tabs>
        <w:numPr>
          <w:ilvl w:val="2"/>
          <w:numId w:val="262"/>
        </w:numPr>
        <w:rPr>
          <w:rFonts w:ascii="Arial" w:cs="Arial" w:eastAsia="Arial" w:hAnsi="Arial"/>
          <w:sz w:val="18"/>
          <w:szCs w:val="18"/>
          <w:color w:val="auto"/>
        </w:rPr>
      </w:pPr>
      <w:r>
        <w:rPr>
          <w:rFonts w:ascii="Arial" w:cs="Arial" w:eastAsia="Arial" w:hAnsi="Arial"/>
          <w:sz w:val="18"/>
          <w:szCs w:val="18"/>
          <w:color w:val="auto"/>
        </w:rPr>
        <w:t>Internal Audit</w:t>
      </w:r>
    </w:p>
    <w:p>
      <w:pPr>
        <w:spacing w:after="0" w:line="23" w:lineRule="exact"/>
        <w:rPr>
          <w:rFonts w:ascii="Arial" w:cs="Arial" w:eastAsia="Arial" w:hAnsi="Arial"/>
          <w:sz w:val="18"/>
          <w:szCs w:val="18"/>
          <w:color w:val="auto"/>
        </w:rPr>
      </w:pPr>
    </w:p>
    <w:p>
      <w:pPr>
        <w:ind w:left="1620" w:right="160"/>
        <w:spacing w:after="0" w:line="255" w:lineRule="auto"/>
        <w:rPr>
          <w:rFonts w:ascii="Arial" w:cs="Arial" w:eastAsia="Arial" w:hAnsi="Arial"/>
          <w:sz w:val="18"/>
          <w:szCs w:val="18"/>
          <w:color w:val="auto"/>
        </w:rPr>
      </w:pPr>
      <w:r>
        <w:rPr>
          <w:rFonts w:ascii="Arial" w:cs="Arial" w:eastAsia="Arial" w:hAnsi="Arial"/>
          <w:sz w:val="18"/>
          <w:szCs w:val="18"/>
          <w:color w:val="auto"/>
        </w:rPr>
        <w:t>Risk management processes throughout the Group are monitored by the internal audit function, which examines both the adequacy of the procedures and the compliance of them. Internal Audit discusses the results of all assessments with Management, and reports its findings and recommendations to Credicorp’s Audit Committee and Board of Directors.</w:t>
      </w:r>
    </w:p>
    <w:p>
      <w:pPr>
        <w:spacing w:after="0" w:line="217" w:lineRule="exact"/>
        <w:rPr>
          <w:rFonts w:ascii="Arial" w:cs="Arial" w:eastAsia="Arial" w:hAnsi="Arial"/>
          <w:sz w:val="18"/>
          <w:szCs w:val="18"/>
          <w:color w:val="auto"/>
        </w:rPr>
      </w:pPr>
    </w:p>
    <w:p>
      <w:pPr>
        <w:ind w:left="1620" w:hanging="478"/>
        <w:spacing w:after="0"/>
        <w:tabs>
          <w:tab w:leader="none" w:pos="162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Treasury and Foreign Exchange Departments</w:t>
      </w:r>
    </w:p>
    <w:p>
      <w:pPr>
        <w:spacing w:after="0" w:line="23" w:lineRule="exact"/>
        <w:rPr>
          <w:rFonts w:ascii="Arial" w:cs="Arial" w:eastAsia="Arial" w:hAnsi="Arial"/>
          <w:sz w:val="18"/>
          <w:szCs w:val="18"/>
          <w:color w:val="auto"/>
        </w:rPr>
      </w:pPr>
    </w:p>
    <w:p>
      <w:pPr>
        <w:ind w:left="1620"/>
        <w:spacing w:after="0" w:line="277" w:lineRule="auto"/>
        <w:rPr>
          <w:rFonts w:ascii="Arial" w:cs="Arial" w:eastAsia="Arial" w:hAnsi="Arial"/>
          <w:sz w:val="18"/>
          <w:szCs w:val="18"/>
          <w:color w:val="auto"/>
        </w:rPr>
      </w:pPr>
      <w:r>
        <w:rPr>
          <w:rFonts w:ascii="Arial" w:cs="Arial" w:eastAsia="Arial" w:hAnsi="Arial"/>
          <w:sz w:val="17"/>
          <w:szCs w:val="17"/>
          <w:color w:val="auto"/>
        </w:rPr>
        <w:t>Treasury Department is responsible for managing the Group’s assets and liabilities and the overall financial structure. It is also primarily responsible for the Group’s management of funding and liquidity risks; as well as the investment, forward and spot portfolios, assuming the related liquidity, interest rate and exchange rate risks, under the policies and limits currently effective.</w:t>
      </w:r>
    </w:p>
    <w:p>
      <w:pPr>
        <w:spacing w:after="0" w:line="200" w:lineRule="exact"/>
        <w:rPr>
          <w:rFonts w:ascii="Arial" w:cs="Arial" w:eastAsia="Arial" w:hAnsi="Arial"/>
          <w:sz w:val="18"/>
          <w:szCs w:val="18"/>
          <w:color w:val="auto"/>
        </w:rPr>
      </w:pPr>
    </w:p>
    <w:p>
      <w:pPr>
        <w:ind w:left="1140" w:hanging="484"/>
        <w:spacing w:after="0"/>
        <w:tabs>
          <w:tab w:leader="none" w:pos="114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Risk measurement and reporting systems-</w:t>
      </w:r>
    </w:p>
    <w:p>
      <w:pPr>
        <w:spacing w:after="0" w:line="23" w:lineRule="exact"/>
        <w:rPr>
          <w:rFonts w:ascii="Arial" w:cs="Arial" w:eastAsia="Arial" w:hAnsi="Arial"/>
          <w:sz w:val="18"/>
          <w:szCs w:val="18"/>
          <w:color w:val="auto"/>
        </w:rPr>
      </w:pPr>
    </w:p>
    <w:p>
      <w:pPr>
        <w:ind w:left="1140" w:right="160"/>
        <w:spacing w:after="0" w:line="254" w:lineRule="auto"/>
        <w:rPr>
          <w:rFonts w:ascii="Arial" w:cs="Arial" w:eastAsia="Arial" w:hAnsi="Arial"/>
          <w:sz w:val="18"/>
          <w:szCs w:val="18"/>
          <w:color w:val="auto"/>
        </w:rPr>
      </w:pPr>
      <w:r>
        <w:rPr>
          <w:rFonts w:ascii="Arial" w:cs="Arial" w:eastAsia="Arial" w:hAnsi="Arial"/>
          <w:sz w:val="18"/>
          <w:szCs w:val="18"/>
          <w:color w:val="auto"/>
        </w:rPr>
        <w:t>The Group's risks are measured using a method which reflects both the expected loss likely to arise in normal circumstances and unexpected losses, which are an estimate of the ultimate actual loss based on statistical models. The models make use of probabilities derived from historical experience, adjusted to reflect the economic environment. The Group also runs worse case scenarios that would arise in the event that extreme events which are unlikely to occur do, in fact, occur.</w:t>
      </w:r>
    </w:p>
    <w:p>
      <w:pPr>
        <w:spacing w:after="0" w:line="216" w:lineRule="exact"/>
        <w:rPr>
          <w:rFonts w:ascii="Arial" w:cs="Arial" w:eastAsia="Arial" w:hAnsi="Arial"/>
          <w:sz w:val="18"/>
          <w:szCs w:val="18"/>
          <w:color w:val="auto"/>
        </w:rPr>
      </w:pPr>
    </w:p>
    <w:p>
      <w:pPr>
        <w:ind w:left="1140" w:right="120"/>
        <w:spacing w:after="0" w:line="286" w:lineRule="auto"/>
        <w:rPr>
          <w:rFonts w:ascii="Arial" w:cs="Arial" w:eastAsia="Arial" w:hAnsi="Arial"/>
          <w:sz w:val="18"/>
          <w:szCs w:val="18"/>
          <w:color w:val="auto"/>
        </w:rPr>
      </w:pPr>
      <w:r>
        <w:rPr>
          <w:rFonts w:ascii="Arial" w:cs="Arial" w:eastAsia="Arial" w:hAnsi="Arial"/>
          <w:sz w:val="17"/>
          <w:szCs w:val="17"/>
          <w:color w:val="auto"/>
        </w:rPr>
        <w:t>Monitoring and controlling risks are primarily performed based on limits established by the Group. These limits reflect the business strategy and market environment of the Group as well as the level of risk that the Group is willing to accept. In addition, the Group monitors and measures the overall risk bearing capacity in relation to the aggregate risk exposure across all risk types and activities.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Information compiled from all the Group’s subsidiaries is examined and processed in order to analyze, control and identify early risks. This</w:t>
      </w:r>
    </w:p>
    <w:p>
      <w:pPr>
        <w:spacing w:after="0" w:line="46"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information is presented and explained to the Board of Directors, the Risk Management Committee, and all relevant members of the</w:t>
      </w:r>
    </w:p>
    <w:p>
      <w:pPr>
        <w:spacing w:after="0" w:line="21"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Group. The report includes aggregate credit exposure, credit metric forecasts, hold limit exceptions, VaR (Value at Risk), liquidity ratios and</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risk profile changes. Senior management assesses the fair value of the investments and the appropriateness of the allowance for credit losses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periodically.</w:t>
      </w:r>
    </w:p>
    <w:p>
      <w:pPr>
        <w:spacing w:after="0" w:line="238" w:lineRule="exact"/>
        <w:rPr>
          <w:sz w:val="20"/>
          <w:szCs w:val="20"/>
          <w:color w:val="auto"/>
        </w:rPr>
      </w:pPr>
    </w:p>
    <w:p>
      <w:pPr>
        <w:ind w:left="1140" w:hanging="484"/>
        <w:spacing w:after="0"/>
        <w:tabs>
          <w:tab w:leader="none" w:pos="11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23" w:lineRule="exact"/>
        <w:rPr>
          <w:rFonts w:ascii="Arial" w:cs="Arial" w:eastAsia="Arial" w:hAnsi="Arial"/>
          <w:sz w:val="18"/>
          <w:szCs w:val="18"/>
          <w:color w:val="auto"/>
        </w:rPr>
      </w:pPr>
    </w:p>
    <w:p>
      <w:pPr>
        <w:ind w:left="1140" w:right="460"/>
        <w:spacing w:after="0" w:line="261" w:lineRule="auto"/>
        <w:rPr>
          <w:rFonts w:ascii="Arial" w:cs="Arial" w:eastAsia="Arial" w:hAnsi="Arial"/>
          <w:sz w:val="18"/>
          <w:szCs w:val="18"/>
          <w:color w:val="auto"/>
        </w:rPr>
      </w:pPr>
      <w:r>
        <w:rPr>
          <w:rFonts w:ascii="Arial" w:cs="Arial" w:eastAsia="Arial" w:hAnsi="Arial"/>
          <w:sz w:val="18"/>
          <w:szCs w:val="18"/>
          <w:color w:val="auto"/>
        </w:rPr>
        <w:t>As part of its overall risk management, the Group uses derivatives and other instruments to manage exposures resulting from changes in interest rates, foreign currencies, equity risk and credit risk.</w:t>
      </w:r>
    </w:p>
    <w:p>
      <w:pPr>
        <w:spacing w:after="0" w:line="210" w:lineRule="exact"/>
        <w:rPr>
          <w:rFonts w:ascii="Arial" w:cs="Arial" w:eastAsia="Arial" w:hAnsi="Arial"/>
          <w:sz w:val="18"/>
          <w:szCs w:val="18"/>
          <w:color w:val="auto"/>
        </w:rPr>
      </w:pPr>
    </w:p>
    <w:p>
      <w:pPr>
        <w:ind w:left="1140" w:right="20"/>
        <w:spacing w:after="0" w:line="279" w:lineRule="auto"/>
        <w:rPr>
          <w:rFonts w:ascii="Arial" w:cs="Arial" w:eastAsia="Arial" w:hAnsi="Arial"/>
          <w:sz w:val="18"/>
          <w:szCs w:val="18"/>
          <w:color w:val="auto"/>
        </w:rPr>
      </w:pPr>
      <w:r>
        <w:rPr>
          <w:rFonts w:ascii="Arial" w:cs="Arial" w:eastAsia="Arial" w:hAnsi="Arial"/>
          <w:sz w:val="17"/>
          <w:szCs w:val="17"/>
          <w:color w:val="auto"/>
        </w:rPr>
        <w:t>The risk profile is assessed before entering into hedge transactions, which are authorized by the appropriate level of seniority within the Group. The effectiveness of hedges is assessed by the Risk Management Department (based on economic considerations rather than the IFRS hedge accounting regulations). The effectiveness of all the hedge relationships is monitored by the unit monthly. In situations of ineffectiveness, the Group will enter into a new hedge relationship to mitigate risk on a continuous basis.</w:t>
      </w:r>
    </w:p>
    <w:p>
      <w:pPr>
        <w:spacing w:after="0" w:line="198"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Group actively uses collateral to reduce its credit risks.</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Excessive risk concentration-</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217"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In order to avoid excessive concentrations of risk, the Group’s policies and procedures include specific guidelines to focus on maintaining a diversified portfolio. Identified concentrations of credit risks are controlled and managed accordingly.</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29.1</w:t>
      </w:r>
      <w:r>
        <w:rPr>
          <w:sz w:val="20"/>
          <w:szCs w:val="20"/>
          <w:color w:val="auto"/>
        </w:rPr>
        <w:tab/>
      </w:r>
      <w:r>
        <w:rPr>
          <w:rFonts w:ascii="Arial" w:cs="Arial" w:eastAsia="Arial" w:hAnsi="Arial"/>
          <w:sz w:val="16"/>
          <w:szCs w:val="16"/>
          <w:b w:val="1"/>
          <w:bCs w:val="1"/>
          <w:color w:val="auto"/>
        </w:rPr>
        <w:t>Credit risk -</w:t>
      </w:r>
    </w:p>
    <w:p>
      <w:pPr>
        <w:spacing w:after="0" w:line="27" w:lineRule="exact"/>
        <w:rPr>
          <w:sz w:val="20"/>
          <w:szCs w:val="20"/>
          <w:color w:val="auto"/>
        </w:rPr>
      </w:pPr>
    </w:p>
    <w:p>
      <w:pPr>
        <w:ind w:left="1160" w:right="200" w:hanging="490"/>
        <w:spacing w:after="0" w:line="252" w:lineRule="auto"/>
        <w:tabs>
          <w:tab w:leader="none" w:pos="11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Group takes on exposure to credit risk, which is the risk that a counterparty will cause a financial loss by failing to discharge an obligation. Credit risk is the most important risk for the Group’s business; Management therefore carefully manages its exposure to credit risk. Credit exposures arise principally in lending activities that lead to loans, and investment activities that bring debt securities and other bills into the Group’s asset portfolio. There is also credit risk in off-balance sheet financial instruments, such as contingent credits, which expose the Group to similar risks to loans and these are mitigated by the same control processes and policies. Likewise, credit risk arising from derivative financial instruments is, at any time, limited to those with positive fair values, as recorded in the consolidated statements of financial position.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jc w:val="both"/>
        <w:ind w:left="660" w:right="180"/>
        <w:spacing w:after="0" w:line="286" w:lineRule="auto"/>
        <w:rPr>
          <w:sz w:val="20"/>
          <w:szCs w:val="20"/>
          <w:color w:val="auto"/>
        </w:rPr>
      </w:pPr>
      <w:r>
        <w:rPr>
          <w:rFonts w:ascii="Arial" w:cs="Arial" w:eastAsia="Arial" w:hAnsi="Arial"/>
          <w:sz w:val="17"/>
          <w:szCs w:val="17"/>
          <w:color w:val="auto"/>
        </w:rPr>
        <w:t>Impairment provisions are provided for losses that have been incurred at the date of the consolidated statements of financial position. Significant changes in the economy or in the particular situation of an industry segment that represents a concentration in the Group’s portfolio could result in losses that are different from those provided for at the date of the consolidated statements of financial position.</w:t>
      </w:r>
    </w:p>
    <w:p>
      <w:pPr>
        <w:spacing w:after="0" w:line="193" w:lineRule="exact"/>
        <w:rPr>
          <w:sz w:val="20"/>
          <w:szCs w:val="20"/>
          <w:color w:val="auto"/>
        </w:rPr>
      </w:pPr>
    </w:p>
    <w:p>
      <w:pPr>
        <w:ind w:left="660"/>
        <w:spacing w:after="0" w:line="286" w:lineRule="auto"/>
        <w:rPr>
          <w:sz w:val="20"/>
          <w:szCs w:val="20"/>
          <w:color w:val="auto"/>
        </w:rPr>
      </w:pPr>
      <w:r>
        <w:rPr>
          <w:rFonts w:ascii="Arial" w:cs="Arial" w:eastAsia="Arial" w:hAnsi="Arial"/>
          <w:sz w:val="17"/>
          <w:szCs w:val="17"/>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a frequent review. Limits in the level of credit risk by product, industry sector and by geographic segment are approved by the Board of Directors.</w:t>
      </w:r>
    </w:p>
    <w:p>
      <w:pPr>
        <w:spacing w:after="0" w:line="193"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Exposure to credit risk is managed through regular analysis of the ability of borrowers and potential borrowers to meet interest and principal repayment obligations and by changing these lending limits where appropriate. Some other specific control and mitigation measures are outlined below:</w:t>
      </w:r>
    </w:p>
    <w:p>
      <w:pPr>
        <w:spacing w:after="0" w:line="208" w:lineRule="exact"/>
        <w:rPr>
          <w:sz w:val="20"/>
          <w:szCs w:val="20"/>
          <w:color w:val="auto"/>
        </w:rPr>
      </w:pPr>
    </w:p>
    <w:p>
      <w:pPr>
        <w:ind w:left="1620" w:hanging="478"/>
        <w:spacing w:after="0"/>
        <w:tabs>
          <w:tab w:leader="none" w:pos="16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Collateral</w:t>
      </w:r>
    </w:p>
    <w:p>
      <w:pPr>
        <w:spacing w:after="0" w:line="23" w:lineRule="exact"/>
        <w:rPr>
          <w:rFonts w:ascii="Arial" w:cs="Arial" w:eastAsia="Arial" w:hAnsi="Arial"/>
          <w:sz w:val="18"/>
          <w:szCs w:val="18"/>
          <w:color w:val="auto"/>
        </w:rPr>
      </w:pPr>
    </w:p>
    <w:p>
      <w:pPr>
        <w:ind w:left="1620" w:right="160"/>
        <w:spacing w:after="0" w:line="253" w:lineRule="auto"/>
        <w:rPr>
          <w:rFonts w:ascii="Arial" w:cs="Arial" w:eastAsia="Arial" w:hAnsi="Arial"/>
          <w:sz w:val="18"/>
          <w:szCs w:val="18"/>
          <w:color w:val="auto"/>
        </w:rPr>
      </w:pPr>
      <w:r>
        <w:rPr>
          <w:rFonts w:ascii="Arial" w:cs="Arial" w:eastAsia="Arial" w:hAnsi="Arial"/>
          <w:sz w:val="18"/>
          <w:szCs w:val="18"/>
          <w:color w:val="auto"/>
        </w:rPr>
        <w:t>The Group employs a range of policies and practices to mitigate credit risk. The most traditional of these is the taking of security for funds advances, which is common practice. The Group implements guidelines on the acceptability of specific classes of collateral or credit risk mitigation. The principal collateral types for loans and advances are mortgages over residential properties; liens over business assets such as premises, inventory and accounts receivable; liens over financial instruments such as debt securities and equities.</w:t>
      </w:r>
    </w:p>
    <w:p>
      <w:pPr>
        <w:spacing w:after="0" w:line="218" w:lineRule="exact"/>
        <w:rPr>
          <w:rFonts w:ascii="Arial" w:cs="Arial" w:eastAsia="Arial" w:hAnsi="Arial"/>
          <w:sz w:val="18"/>
          <w:szCs w:val="18"/>
          <w:color w:val="auto"/>
        </w:rPr>
      </w:pPr>
    </w:p>
    <w:p>
      <w:pPr>
        <w:ind w:left="1620" w:right="400"/>
        <w:spacing w:after="0" w:line="264" w:lineRule="auto"/>
        <w:rPr>
          <w:rFonts w:ascii="Arial" w:cs="Arial" w:eastAsia="Arial" w:hAnsi="Arial"/>
          <w:sz w:val="18"/>
          <w:szCs w:val="18"/>
          <w:color w:val="auto"/>
        </w:rPr>
      </w:pPr>
      <w:r>
        <w:rPr>
          <w:rFonts w:ascii="Arial" w:cs="Arial" w:eastAsia="Arial" w:hAnsi="Arial"/>
          <w:sz w:val="18"/>
          <w:szCs w:val="18"/>
          <w:color w:val="auto"/>
        </w:rPr>
        <w:t>Longer-term finance and lending to corporate entities are generally secured; revolving individual credit facilities are generally unsecured. In addition, in order to minimize credit loss the Group will seek additional collateral from the counterparty as soon as impairment indicators arise.</w:t>
      </w:r>
    </w:p>
    <w:p>
      <w:pPr>
        <w:spacing w:after="0" w:line="208" w:lineRule="exact"/>
        <w:rPr>
          <w:rFonts w:ascii="Arial" w:cs="Arial" w:eastAsia="Arial" w:hAnsi="Arial"/>
          <w:sz w:val="18"/>
          <w:szCs w:val="18"/>
          <w:color w:val="auto"/>
        </w:rPr>
      </w:pPr>
    </w:p>
    <w:p>
      <w:pPr>
        <w:ind w:left="1620" w:right="100"/>
        <w:spacing w:after="0" w:line="264" w:lineRule="auto"/>
        <w:rPr>
          <w:rFonts w:ascii="Arial" w:cs="Arial" w:eastAsia="Arial" w:hAnsi="Arial"/>
          <w:sz w:val="18"/>
          <w:szCs w:val="18"/>
          <w:color w:val="auto"/>
        </w:rPr>
      </w:pPr>
      <w:r>
        <w:rPr>
          <w:rFonts w:ascii="Arial" w:cs="Arial" w:eastAsia="Arial" w:hAnsi="Arial"/>
          <w:sz w:val="18"/>
          <w:szCs w:val="18"/>
          <w:color w:val="auto"/>
        </w:rPr>
        <w:t>Collateral held as security for financial assets other than loans is determined by the nature of the instrument. Debt securities, treasury and other eligible bills are generally unsecured, with the exception of asset-backed securities and similar instruments, which are secured by portfolios of financial instruments.</w:t>
      </w:r>
    </w:p>
    <w:p>
      <w:pPr>
        <w:spacing w:after="0" w:line="208" w:lineRule="exact"/>
        <w:rPr>
          <w:rFonts w:ascii="Arial" w:cs="Arial" w:eastAsia="Arial" w:hAnsi="Arial"/>
          <w:sz w:val="18"/>
          <w:szCs w:val="18"/>
          <w:color w:val="auto"/>
        </w:rPr>
      </w:pPr>
    </w:p>
    <w:p>
      <w:pPr>
        <w:ind w:left="1620" w:right="160"/>
        <w:spacing w:after="0" w:line="279" w:lineRule="auto"/>
        <w:rPr>
          <w:rFonts w:ascii="Arial" w:cs="Arial" w:eastAsia="Arial" w:hAnsi="Arial"/>
          <w:sz w:val="18"/>
          <w:szCs w:val="18"/>
          <w:color w:val="auto"/>
        </w:rPr>
      </w:pPr>
      <w:r>
        <w:rPr>
          <w:rFonts w:ascii="Arial" w:cs="Arial" w:eastAsia="Arial" w:hAnsi="Arial"/>
          <w:sz w:val="17"/>
          <w:szCs w:val="17"/>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 repossessed properties in an orderly manner. The proceeds are used to reduce or repay the outstanding claim. In general, the Group does not use repossessed properties for its business own.</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23" w:lineRule="exact"/>
        <w:rPr>
          <w:rFonts w:ascii="Arial" w:cs="Arial" w:eastAsia="Arial" w:hAnsi="Arial"/>
          <w:sz w:val="18"/>
          <w:szCs w:val="18"/>
          <w:color w:val="auto"/>
        </w:rPr>
      </w:pPr>
    </w:p>
    <w:p>
      <w:pPr>
        <w:ind w:left="1620" w:right="40"/>
        <w:spacing w:after="0" w:line="252" w:lineRule="auto"/>
        <w:rPr>
          <w:rFonts w:ascii="Arial" w:cs="Arial" w:eastAsia="Arial" w:hAnsi="Arial"/>
          <w:sz w:val="18"/>
          <w:szCs w:val="18"/>
          <w:color w:val="auto"/>
        </w:rPr>
      </w:pPr>
      <w:r>
        <w:rPr>
          <w:rFonts w:ascii="Arial" w:cs="Arial" w:eastAsia="Arial" w:hAnsi="Arial"/>
          <w:sz w:val="18"/>
          <w:szCs w:val="18"/>
          <w:color w:val="auto"/>
        </w:rPr>
        <w:t>The Group maintains strict control limits on net open derivative positions (i.e., the difference between purchase and sale contracts), by both amount and term. The amount subject to credit risk is limited to the current fair value of instruments that are favorable to the Group (i.e., an asset when fair value is positive), which in relation to derivatives is only a small fraction of the contract, or notional values used to express the volume of instruments outstanding. This credit risk exposure is managed as part of the overall lending limits with customers, together with potential exposures from market movements. Collateral or other security is not usually obtained for credit risk exposures on these instruments.</w:t>
      </w:r>
    </w:p>
    <w:p>
      <w:pPr>
        <w:spacing w:after="0" w:line="221" w:lineRule="exact"/>
        <w:rPr>
          <w:rFonts w:ascii="Arial" w:cs="Arial" w:eastAsia="Arial" w:hAnsi="Arial"/>
          <w:sz w:val="18"/>
          <w:szCs w:val="18"/>
          <w:color w:val="auto"/>
        </w:rPr>
      </w:pPr>
    </w:p>
    <w:p>
      <w:pPr>
        <w:ind w:left="1620" w:right="40"/>
        <w:spacing w:after="0" w:line="264" w:lineRule="auto"/>
        <w:rPr>
          <w:rFonts w:ascii="Arial" w:cs="Arial" w:eastAsia="Arial" w:hAnsi="Arial"/>
          <w:sz w:val="18"/>
          <w:szCs w:val="18"/>
          <w:color w:val="auto"/>
        </w:rPr>
      </w:pPr>
      <w:r>
        <w:rPr>
          <w:rFonts w:ascii="Arial" w:cs="Arial" w:eastAsia="Arial" w:hAnsi="Arial"/>
          <w:sz w:val="18"/>
          <w:szCs w:val="18"/>
          <w:color w:val="auto"/>
        </w:rPr>
        <w:t>Settlement risk arises in any situation where a payment in cash, securities or equities is made in the expectation of a corresponding receipt in cash, securities or equities. Daily settlement limits are established for each counterparty in order to cover the aggregate of all settlement risk arising from the Group’s market transactions on any single day.</w:t>
      </w:r>
    </w:p>
    <w:p>
      <w:pPr>
        <w:spacing w:after="0" w:line="208" w:lineRule="exact"/>
        <w:rPr>
          <w:rFonts w:ascii="Arial" w:cs="Arial" w:eastAsia="Arial" w:hAnsi="Arial"/>
          <w:sz w:val="18"/>
          <w:szCs w:val="18"/>
          <w:color w:val="auto"/>
        </w:rPr>
      </w:pPr>
    </w:p>
    <w:p>
      <w:pPr>
        <w:ind w:left="1620" w:hanging="478"/>
        <w:spacing w:after="0"/>
        <w:tabs>
          <w:tab w:leader="none" w:pos="16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Credit-related commitments</w:t>
      </w:r>
    </w:p>
    <w:p>
      <w:pPr>
        <w:spacing w:after="0" w:line="23" w:lineRule="exact"/>
        <w:rPr>
          <w:rFonts w:ascii="Arial" w:cs="Arial" w:eastAsia="Arial" w:hAnsi="Arial"/>
          <w:sz w:val="18"/>
          <w:szCs w:val="18"/>
          <w:color w:val="auto"/>
        </w:rPr>
      </w:pPr>
    </w:p>
    <w:p>
      <w:pPr>
        <w:ind w:left="1620"/>
        <w:spacing w:after="0" w:line="253" w:lineRule="auto"/>
        <w:rPr>
          <w:rFonts w:ascii="Arial" w:cs="Arial" w:eastAsia="Arial" w:hAnsi="Arial"/>
          <w:sz w:val="18"/>
          <w:szCs w:val="18"/>
          <w:color w:val="auto"/>
        </w:rPr>
      </w:pPr>
      <w:r>
        <w:rPr>
          <w:rFonts w:ascii="Arial" w:cs="Arial" w:eastAsia="Arial" w:hAnsi="Arial"/>
          <w:sz w:val="18"/>
          <w:szCs w:val="18"/>
          <w:color w:val="auto"/>
        </w:rPr>
        <w:t>The primary purpose of these instruments is to ensure that funds are available to a customer as required. Guarantees and standby letters of credit have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218" w:lineRule="exact"/>
        <w:rPr>
          <w:sz w:val="20"/>
          <w:szCs w:val="20"/>
          <w:color w:val="auto"/>
        </w:rPr>
      </w:pPr>
    </w:p>
    <w:p>
      <w:pPr>
        <w:ind w:left="1140" w:right="60"/>
        <w:spacing w:after="0" w:line="257" w:lineRule="auto"/>
        <w:rPr>
          <w:sz w:val="20"/>
          <w:szCs w:val="20"/>
          <w:color w:val="auto"/>
        </w:rPr>
      </w:pPr>
      <w:r>
        <w:rPr>
          <w:rFonts w:ascii="Arial" w:cs="Arial" w:eastAsia="Arial" w:hAnsi="Arial"/>
          <w:sz w:val="18"/>
          <w:szCs w:val="18"/>
          <w:color w:val="auto"/>
        </w:rPr>
        <w:t>In order to manage credit risk, as part of the Risk Management Department of the Group, see note 29(a), there is a Risk Management Service Unit whose major functions are implementing methodologies and statistical models for measuring credit risk exposures, developing and applying methodologies for the calculation of risk-ratings, both at the corporate and business unit levels, performing analysis of credit concentrations, verifying that credit exposures are within the established limits and suggesting global risk exposures by economic sector, time term, among others.</w:t>
      </w:r>
    </w:p>
    <w:p>
      <w:pPr>
        <w:spacing w:after="0" w:line="215" w:lineRule="exact"/>
        <w:rPr>
          <w:sz w:val="20"/>
          <w:szCs w:val="20"/>
          <w:color w:val="auto"/>
        </w:rPr>
      </w:pPr>
    </w:p>
    <w:p>
      <w:pPr>
        <w:ind w:left="1140" w:right="60"/>
        <w:spacing w:after="0" w:line="279" w:lineRule="auto"/>
        <w:rPr>
          <w:sz w:val="20"/>
          <w:szCs w:val="20"/>
          <w:color w:val="auto"/>
        </w:rPr>
      </w:pPr>
      <w:r>
        <w:rPr>
          <w:rFonts w:ascii="Arial" w:cs="Arial" w:eastAsia="Arial" w:hAnsi="Arial"/>
          <w:sz w:val="17"/>
          <w:szCs w:val="17"/>
          <w:color w:val="auto"/>
        </w:rPr>
        <w:t>Also, a Risk Assessment Committee has been established comprising 3 directors, the Chief Executive Officer, the Chief Financial Officer, the Deputy Chief Executive Officer and the Risk Management Department Manager. Each of the financial indicators prepared by the Risk Management Service Unit are analyzed by this committee on a quarterly basis to subsequently evaluate the policies, procedures and limits currently effective at the Group to ensure that an efficient and effective risk management is always in place.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72" w:lineRule="auto"/>
        <w:rPr>
          <w:sz w:val="20"/>
          <w:szCs w:val="20"/>
          <w:color w:val="auto"/>
        </w:rPr>
      </w:pPr>
      <w:r>
        <w:rPr>
          <w:rFonts w:ascii="Arial" w:cs="Arial" w:eastAsia="Arial" w:hAnsi="Arial"/>
          <w:sz w:val="17"/>
          <w:szCs w:val="17"/>
          <w:color w:val="auto"/>
        </w:rPr>
        <w:t>At the same time, the Group has a Credit Division, which establishes the overall credit policies for each and all the businesses in which the Group decides to take part. These policies are set forth based on the guidelines established by the Board of Directors and keeping in mind the statutory financial laws and regulations. The main activities of this function are to establish the client credit standards and guidelines (evaluation, authorization and control), to follow the guidelines established by the Board of Directors and General Management as well as those established by governmental regulatory bodies, to review and authorize credit applications, up to the limit within the scope of its responsibilities and to submit to upper hierarchies those credit applications exceeding the established limits, to monitor credit-granting activities within the different autonomous bodies, among others.</w:t>
      </w:r>
    </w:p>
    <w:p>
      <w:pPr>
        <w:spacing w:after="0" w:line="205" w:lineRule="exact"/>
        <w:rPr>
          <w:sz w:val="20"/>
          <w:szCs w:val="20"/>
          <w:color w:val="auto"/>
        </w:rPr>
      </w:pPr>
    </w:p>
    <w:p>
      <w:pPr>
        <w:ind w:left="1160" w:right="200" w:hanging="490"/>
        <w:spacing w:after="0" w:line="308" w:lineRule="auto"/>
        <w:tabs>
          <w:tab w:leader="none" w:pos="116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The maximum exposure to credit risk as of December 31, 2009 and 2008, before the effect of mitigation through any collateral, is the book value of each class of financial assets indicated in note 29.7 and the contingent credits detailed in note 19(a).</w:t>
      </w:r>
    </w:p>
    <w:p>
      <w:pPr>
        <w:spacing w:after="0" w:line="173" w:lineRule="exact"/>
        <w:rPr>
          <w:rFonts w:ascii="Arial" w:cs="Arial" w:eastAsia="Arial" w:hAnsi="Arial"/>
          <w:sz w:val="17"/>
          <w:szCs w:val="17"/>
          <w:color w:val="auto"/>
        </w:rPr>
      </w:pPr>
    </w:p>
    <w:p>
      <w:pPr>
        <w:ind w:left="1140" w:right="140"/>
        <w:spacing w:after="0" w:line="277" w:lineRule="auto"/>
        <w:rPr>
          <w:rFonts w:ascii="Arial" w:cs="Arial" w:eastAsia="Arial" w:hAnsi="Arial"/>
          <w:sz w:val="17"/>
          <w:szCs w:val="17"/>
          <w:color w:val="auto"/>
        </w:rPr>
      </w:pPr>
      <w:r>
        <w:rPr>
          <w:rFonts w:ascii="Arial" w:cs="Arial" w:eastAsia="Arial" w:hAnsi="Arial"/>
          <w:sz w:val="18"/>
          <w:szCs w:val="18"/>
          <w:color w:val="auto"/>
        </w:rPr>
        <w:t>Management is confident in its ability to continue to control and sustain minimal exposure of credit risk to the Group resulting from both its loan portfolio and investments based on the following:</w:t>
      </w:r>
    </w:p>
    <w:p>
      <w:pPr>
        <w:spacing w:after="0" w:line="197" w:lineRule="exact"/>
        <w:rPr>
          <w:rFonts w:ascii="Arial" w:cs="Arial" w:eastAsia="Arial" w:hAnsi="Arial"/>
          <w:sz w:val="17"/>
          <w:szCs w:val="17"/>
          <w:color w:val="auto"/>
        </w:rPr>
      </w:pPr>
    </w:p>
    <w:p>
      <w:pPr>
        <w:ind w:left="1620" w:right="260" w:hanging="478"/>
        <w:spacing w:after="0" w:line="277" w:lineRule="auto"/>
        <w:tabs>
          <w:tab w:leader="none" w:pos="1620" w:val="left"/>
        </w:tabs>
        <w:numPr>
          <w:ilvl w:val="2"/>
          <w:numId w:val="269"/>
        </w:numPr>
        <w:rPr>
          <w:rFonts w:ascii="Arial" w:cs="Arial" w:eastAsia="Arial" w:hAnsi="Arial"/>
          <w:sz w:val="18"/>
          <w:szCs w:val="18"/>
          <w:color w:val="auto"/>
        </w:rPr>
      </w:pPr>
      <w:r>
        <w:rPr>
          <w:rFonts w:ascii="Arial" w:cs="Arial" w:eastAsia="Arial" w:hAnsi="Arial"/>
          <w:sz w:val="18"/>
          <w:szCs w:val="18"/>
          <w:color w:val="auto"/>
        </w:rPr>
        <w:t>97 percent of the gross loan portfolio is categorized in the top two grades of the internal rating system as of December 31, 2009 (98 percent as of December 31, 2008);</w:t>
      </w:r>
    </w:p>
    <w:p>
      <w:pPr>
        <w:spacing w:after="0" w:line="197" w:lineRule="exact"/>
        <w:rPr>
          <w:rFonts w:ascii="Arial" w:cs="Arial" w:eastAsia="Arial" w:hAnsi="Arial"/>
          <w:sz w:val="18"/>
          <w:szCs w:val="18"/>
          <w:color w:val="auto"/>
        </w:rPr>
      </w:pPr>
    </w:p>
    <w:p>
      <w:pPr>
        <w:ind w:left="1620" w:right="60" w:hanging="478"/>
        <w:spacing w:after="0" w:line="277" w:lineRule="auto"/>
        <w:tabs>
          <w:tab w:leader="none" w:pos="1620" w:val="left"/>
        </w:tabs>
        <w:numPr>
          <w:ilvl w:val="2"/>
          <w:numId w:val="269"/>
        </w:numPr>
        <w:rPr>
          <w:rFonts w:ascii="Arial" w:cs="Arial" w:eastAsia="Arial" w:hAnsi="Arial"/>
          <w:sz w:val="18"/>
          <w:szCs w:val="18"/>
          <w:color w:val="auto"/>
        </w:rPr>
      </w:pPr>
      <w:r>
        <w:rPr>
          <w:rFonts w:ascii="Arial" w:cs="Arial" w:eastAsia="Arial" w:hAnsi="Arial"/>
          <w:sz w:val="18"/>
          <w:szCs w:val="18"/>
          <w:color w:val="auto"/>
        </w:rPr>
        <w:t>94 percent of the loan portfolio is considered to be neither past due nor impaired as of December 31, 2009 (95 percent as of December 31, 2008);</w:t>
      </w:r>
    </w:p>
    <w:p>
      <w:pPr>
        <w:spacing w:after="0" w:line="197" w:lineRule="exact"/>
        <w:rPr>
          <w:rFonts w:ascii="Arial" w:cs="Arial" w:eastAsia="Arial" w:hAnsi="Arial"/>
          <w:sz w:val="18"/>
          <w:szCs w:val="18"/>
          <w:color w:val="auto"/>
        </w:rPr>
      </w:pPr>
    </w:p>
    <w:p>
      <w:pPr>
        <w:ind w:left="1620" w:right="80" w:hanging="478"/>
        <w:spacing w:after="0" w:line="277" w:lineRule="auto"/>
        <w:tabs>
          <w:tab w:leader="none" w:pos="1620" w:val="left"/>
        </w:tabs>
        <w:numPr>
          <w:ilvl w:val="2"/>
          <w:numId w:val="269"/>
        </w:numPr>
        <w:rPr>
          <w:rFonts w:ascii="Arial" w:cs="Arial" w:eastAsia="Arial" w:hAnsi="Arial"/>
          <w:sz w:val="18"/>
          <w:szCs w:val="18"/>
          <w:color w:val="auto"/>
        </w:rPr>
      </w:pPr>
      <w:r>
        <w:rPr>
          <w:rFonts w:ascii="Arial" w:cs="Arial" w:eastAsia="Arial" w:hAnsi="Arial"/>
          <w:sz w:val="18"/>
          <w:szCs w:val="18"/>
          <w:color w:val="auto"/>
        </w:rPr>
        <w:t>77 percent of the investments have at least investment credit rating (BBB- or higher) or are debt securities issued by BCRP (not rated) as of December 31, 2009 (83 percent as of December 31, 2008); and</w:t>
      </w:r>
    </w:p>
    <w:p>
      <w:pPr>
        <w:spacing w:after="0" w:line="197" w:lineRule="exact"/>
        <w:rPr>
          <w:rFonts w:ascii="Arial" w:cs="Arial" w:eastAsia="Arial" w:hAnsi="Arial"/>
          <w:sz w:val="18"/>
          <w:szCs w:val="18"/>
          <w:color w:val="auto"/>
        </w:rPr>
      </w:pPr>
    </w:p>
    <w:p>
      <w:pPr>
        <w:ind w:left="1620" w:hanging="478"/>
        <w:spacing w:after="0" w:line="342" w:lineRule="auto"/>
        <w:tabs>
          <w:tab w:leader="none" w:pos="1620" w:val="left"/>
        </w:tabs>
        <w:numPr>
          <w:ilvl w:val="2"/>
          <w:numId w:val="269"/>
        </w:numPr>
        <w:rPr>
          <w:rFonts w:ascii="Arial" w:cs="Arial" w:eastAsia="Arial" w:hAnsi="Arial"/>
          <w:sz w:val="16"/>
          <w:szCs w:val="16"/>
          <w:color w:val="auto"/>
        </w:rPr>
      </w:pPr>
      <w:r>
        <w:rPr>
          <w:rFonts w:ascii="Arial" w:cs="Arial" w:eastAsia="Arial" w:hAnsi="Arial"/>
          <w:sz w:val="16"/>
          <w:szCs w:val="16"/>
          <w:color w:val="auto"/>
        </w:rPr>
        <w:t>18 percent and 55 percent of the cash and due from banks represent amounts deposited in the Group’s vaults or in the BCRP (including overnight operations), respectively, as of December 31, 2009 (17 percent and 52 percent, respectively, as of December 31, 2008).</w:t>
      </w:r>
    </w:p>
    <w:p>
      <w:pPr>
        <w:spacing w:after="0" w:line="150" w:lineRule="exact"/>
        <w:rPr>
          <w:rFonts w:ascii="Arial" w:cs="Arial" w:eastAsia="Arial" w:hAnsi="Arial"/>
          <w:sz w:val="16"/>
          <w:szCs w:val="16"/>
          <w:color w:val="auto"/>
        </w:rPr>
      </w:pPr>
    </w:p>
    <w:p>
      <w:pPr>
        <w:ind w:left="1140" w:hanging="484"/>
        <w:spacing w:after="0"/>
        <w:tabs>
          <w:tab w:leader="none" w:pos="114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Credit risk management for loans -</w:t>
      </w:r>
    </w:p>
    <w:p>
      <w:pPr>
        <w:spacing w:after="0" w:line="23" w:lineRule="exact"/>
        <w:rPr>
          <w:rFonts w:ascii="Arial" w:cs="Arial" w:eastAsia="Arial" w:hAnsi="Arial"/>
          <w:sz w:val="18"/>
          <w:szCs w:val="18"/>
          <w:color w:val="auto"/>
        </w:rPr>
      </w:pPr>
    </w:p>
    <w:p>
      <w:pPr>
        <w:ind w:left="1140" w:right="100"/>
        <w:spacing w:after="0" w:line="255" w:lineRule="auto"/>
        <w:rPr>
          <w:rFonts w:ascii="Arial" w:cs="Arial" w:eastAsia="Arial" w:hAnsi="Arial"/>
          <w:sz w:val="18"/>
          <w:szCs w:val="18"/>
          <w:color w:val="auto"/>
        </w:rPr>
      </w:pPr>
      <w:r>
        <w:rPr>
          <w:rFonts w:ascii="Arial" w:cs="Arial" w:eastAsia="Arial" w:hAnsi="Arial"/>
          <w:sz w:val="18"/>
          <w:szCs w:val="18"/>
          <w:color w:val="auto"/>
        </w:rPr>
        <w:t>Credicorp classifies its loan portfolio into one of five risk categories, depending upon the degree of risk of non-payment of each debtor. The grades used by Credicorp are: (i) normal, (ii) potential problems, (iii) substandard, (iv) doubtful and (v) loss, and have the following characteristics:</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0"/>
        <w:spacing w:after="0" w:line="255" w:lineRule="auto"/>
        <w:rPr>
          <w:sz w:val="20"/>
          <w:szCs w:val="20"/>
          <w:color w:val="auto"/>
        </w:rPr>
      </w:pPr>
      <w:r>
        <w:rPr>
          <w:rFonts w:ascii="Arial" w:cs="Arial" w:eastAsia="Arial" w:hAnsi="Arial"/>
          <w:sz w:val="18"/>
          <w:szCs w:val="18"/>
          <w:color w:val="auto"/>
        </w:rPr>
        <w:t>Normal (Class A): Debtors of commercial loans that fall into this category have complied on a timely basis with their obligations and at the time of evaluation do not present any reason for doubt with respect to repayment of interest and principal on the agreed dates, and there is no reason to believe that the status will change before the next evaluation. To place a loan in Class A, a clear understanding of the use to be made of the funds and the origin of the cash flows to be used by the debtor to repay the loan is required. Consumer loans are categorized as Class A if payments are current or up to eight days past-due. Residential mortgage loans warrant Class A classification if payments are current or up to thirty days past-due.</w:t>
      </w:r>
    </w:p>
    <w:p>
      <w:pPr>
        <w:spacing w:after="0" w:line="220"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Potential problems (Class B): Debtors of commercial loans included in this category are those that at the time of the evaluation demonstrate certain deficiencies, which, if not corrected on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and market conditions that could affect the economic sector in which the debtor is active. Consumer loans are categorized as Class B if payments are between 9 and 30 days late. Residential mortgage loans become Class B when payments are between 31 and 90 days late.</w:t>
      </w:r>
    </w:p>
    <w:p>
      <w:pPr>
        <w:spacing w:after="0" w:line="216" w:lineRule="exact"/>
        <w:rPr>
          <w:sz w:val="20"/>
          <w:szCs w:val="20"/>
          <w:color w:val="auto"/>
        </w:rPr>
      </w:pPr>
    </w:p>
    <w:p>
      <w:pPr>
        <w:ind w:left="1140" w:right="40"/>
        <w:spacing w:after="0" w:line="272" w:lineRule="auto"/>
        <w:rPr>
          <w:sz w:val="20"/>
          <w:szCs w:val="20"/>
          <w:color w:val="auto"/>
        </w:rPr>
      </w:pPr>
      <w:r>
        <w:rPr>
          <w:rFonts w:ascii="Arial" w:cs="Arial" w:eastAsia="Arial" w:hAnsi="Arial"/>
          <w:sz w:val="17"/>
          <w:szCs w:val="17"/>
          <w:color w:val="auto"/>
        </w:rPr>
        <w:t>Substandard (Class C): Debtors of commercial loans included in this category demonstrate serious financial weakness, often with operating results or available income insufficient to cover financial obligations on agreed upon terms, with no reasonable short-term prospects for a strengthening of their financial capacity. Debtors demonstrating the same deficiencies that warrant classification as category B warrant classification as Class C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Consumer loan are categorized as Class C if payments are between 31 and 60 days late. Residential mortgage loans are classified as Class C when payments are between 91 and 120 days late.</w:t>
      </w:r>
    </w:p>
    <w:p>
      <w:pPr>
        <w:spacing w:after="0" w:line="35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10" w:right="31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line="255" w:lineRule="auto"/>
        <w:rPr>
          <w:sz w:val="20"/>
          <w:szCs w:val="20"/>
          <w:color w:val="auto"/>
        </w:rPr>
      </w:pPr>
      <w:r>
        <w:rPr>
          <w:rFonts w:ascii="Arial" w:cs="Arial" w:eastAsia="Arial" w:hAnsi="Arial"/>
          <w:sz w:val="18"/>
          <w:szCs w:val="18"/>
          <w:color w:val="auto"/>
        </w:rPr>
        <w:t>Doubtful (Class D): Debtors of commercial loans included in this category present characteristics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although at a rate less than that specified in its contractual obligations. In addition, commercial loans are classified in this category when payments are between 121 and 365 days late. Consumer loans are categorized as Class D if payments are between 61 and 120 days late. Residential mortgage loans are Class D when payments are between 121 and 365 days late.</w:t>
      </w:r>
    </w:p>
    <w:p>
      <w:pPr>
        <w:spacing w:after="0" w:line="216" w:lineRule="exact"/>
        <w:rPr>
          <w:sz w:val="20"/>
          <w:szCs w:val="20"/>
          <w:color w:val="auto"/>
        </w:rPr>
      </w:pPr>
    </w:p>
    <w:p>
      <w:pPr>
        <w:ind w:left="1140" w:right="160"/>
        <w:spacing w:after="0" w:line="279" w:lineRule="auto"/>
        <w:rPr>
          <w:sz w:val="20"/>
          <w:szCs w:val="20"/>
          <w:color w:val="auto"/>
        </w:rPr>
      </w:pPr>
      <w:r>
        <w:rPr>
          <w:rFonts w:ascii="Arial" w:cs="Arial" w:eastAsia="Arial" w:hAnsi="Arial"/>
          <w:sz w:val="17"/>
          <w:szCs w:val="17"/>
          <w:color w:val="auto"/>
        </w:rPr>
        <w:t>Loss credits (Class E): Commercial loans or credits which are considered unrecoverable or which for any other reason should not appear on Group’s books as an asset based on the originally contracted terms fall into this category. In addition, commercial loans are classified in this category when payments are more than 365 days late. Consumer loans are categorized as Class E if payments are more than 120 days late. Residential mortgage loans are Class E when payments are more than 365 days late.</w:t>
      </w:r>
    </w:p>
    <w:p>
      <w:pPr>
        <w:spacing w:after="0" w:line="19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Group reviews its loan portfolio on a continuing basis in order to assess the completion and accuracy of its grades.</w:t>
      </w:r>
    </w:p>
    <w:p>
      <w:pPr>
        <w:spacing w:after="0" w:line="252" w:lineRule="exact"/>
        <w:rPr>
          <w:sz w:val="20"/>
          <w:szCs w:val="20"/>
          <w:color w:val="auto"/>
        </w:rPr>
      </w:pPr>
    </w:p>
    <w:p>
      <w:pPr>
        <w:ind w:left="1140" w:right="620"/>
        <w:spacing w:after="0" w:line="308" w:lineRule="auto"/>
        <w:rPr>
          <w:sz w:val="20"/>
          <w:szCs w:val="20"/>
          <w:color w:val="auto"/>
        </w:rPr>
      </w:pPr>
      <w:r>
        <w:rPr>
          <w:rFonts w:ascii="Arial" w:cs="Arial" w:eastAsia="Arial" w:hAnsi="Arial"/>
          <w:sz w:val="17"/>
          <w:szCs w:val="17"/>
          <w:color w:val="auto"/>
        </w:rPr>
        <w:t>All loans considered impaired (the ones classified as substandard, doubtful and loss) are analyzed by the Group’s Management, which addresses impairment in two areas: individually assessed allowances and collectively assessed allowances, as follows:</w:t>
      </w:r>
    </w:p>
    <w:p>
      <w:pPr>
        <w:spacing w:after="0" w:line="174"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Individually assessed allowance -</w:t>
      </w:r>
    </w:p>
    <w:p>
      <w:pPr>
        <w:spacing w:after="0" w:line="23" w:lineRule="exact"/>
        <w:rPr>
          <w:sz w:val="20"/>
          <w:szCs w:val="20"/>
          <w:color w:val="auto"/>
        </w:rPr>
      </w:pPr>
    </w:p>
    <w:p>
      <w:pPr>
        <w:ind w:left="1620" w:right="240"/>
        <w:spacing w:after="0" w:line="281" w:lineRule="auto"/>
        <w:rPr>
          <w:sz w:val="20"/>
          <w:szCs w:val="20"/>
          <w:color w:val="auto"/>
        </w:rPr>
      </w:pPr>
      <w:r>
        <w:rPr>
          <w:rFonts w:ascii="Arial" w:cs="Arial" w:eastAsia="Arial" w:hAnsi="Arial"/>
          <w:sz w:val="16"/>
          <w:szCs w:val="16"/>
          <w:color w:val="auto"/>
        </w:rPr>
        <w:t>The Group determines the allowances appropriate for each individually significant loan or advance on an individual basis. Items considered when determining allowance amounts include the sustainability of the counterparty’s business plan, its ability to improve performance once a financial difficulty has arisen, projected receipts and the expected dividend payout should bankruptcy ensue, the availability of other financial support including the realizable value of collateral, and the timing of the expected cash</w:t>
      </w:r>
    </w:p>
    <w:p>
      <w:pPr>
        <w:spacing w:after="0" w:line="3"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flows. Impairment losses are evaluated at each reporting date, unless unforeseen circumstances require more careful attention.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220"/>
        <w:spacing w:after="0" w:line="277" w:lineRule="auto"/>
        <w:rPr>
          <w:sz w:val="20"/>
          <w:szCs w:val="20"/>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pacing w:after="0" w:line="197" w:lineRule="exact"/>
        <w:rPr>
          <w:sz w:val="20"/>
          <w:szCs w:val="20"/>
          <w:color w:val="auto"/>
        </w:rPr>
      </w:pPr>
    </w:p>
    <w:p>
      <w:pPr>
        <w:ind w:left="1140"/>
        <w:spacing w:after="0"/>
        <w:tabs>
          <w:tab w:leader="none" w:pos="16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Collectively assessed allowance -</w:t>
      </w:r>
    </w:p>
    <w:p>
      <w:pPr>
        <w:spacing w:after="0" w:line="23" w:lineRule="exact"/>
        <w:rPr>
          <w:sz w:val="20"/>
          <w:szCs w:val="20"/>
          <w:color w:val="auto"/>
        </w:rPr>
      </w:pPr>
    </w:p>
    <w:p>
      <w:pPr>
        <w:ind w:left="1620"/>
        <w:spacing w:after="0" w:line="254" w:lineRule="auto"/>
        <w:rPr>
          <w:sz w:val="20"/>
          <w:szCs w:val="20"/>
          <w:color w:val="auto"/>
        </w:rPr>
      </w:pPr>
      <w:r>
        <w:rPr>
          <w:rFonts w:ascii="Arial" w:cs="Arial" w:eastAsia="Arial" w:hAnsi="Arial"/>
          <w:sz w:val="18"/>
          <w:szCs w:val="18"/>
          <w:color w:val="auto"/>
        </w:rPr>
        <w:t>Allowances are assessed collectively for losses on loans and advances that are not individually significant (including consumer and residential mortgages) and for individually significant loans and advances where there is not yet objective evidence of individual impairment (included in categories A and B). Allowances are evaluated on each reporting date with each portfolio receiving a separate review.</w:t>
      </w:r>
    </w:p>
    <w:p>
      <w:pPr>
        <w:spacing w:after="0" w:line="217" w:lineRule="exact"/>
        <w:rPr>
          <w:sz w:val="20"/>
          <w:szCs w:val="20"/>
          <w:color w:val="auto"/>
        </w:rPr>
      </w:pPr>
    </w:p>
    <w:p>
      <w:pPr>
        <w:ind w:left="1620"/>
        <w:spacing w:after="0" w:line="293" w:lineRule="auto"/>
        <w:rPr>
          <w:sz w:val="20"/>
          <w:szCs w:val="20"/>
          <w:color w:val="auto"/>
        </w:rPr>
      </w:pPr>
      <w:r>
        <w:rPr>
          <w:rFonts w:ascii="Arial" w:cs="Arial" w:eastAsia="Arial" w:hAnsi="Arial"/>
          <w:sz w:val="16"/>
          <w:szCs w:val="16"/>
          <w:color w:val="auto"/>
        </w:rPr>
        <w:t>The collective assessment takes account of impairment that is likely to be present in the portfolio even though there is not yet objective evidence of the impairment in an individual assessment. Impairment losses are estimated by taking into consideration of the following information: historical losses on the portfolio, current economic conditions, the approximate delay between the time a loss is likely to have been incurred and the time it will be identified as requiring an individually assessed impairment allowance, and expected receipts and recoveries once impaired. Local management is responsible for deciding the length of this period which can extend for as long as one year. The impairment allowance is then reviewed by credit Management to ensure alignment with the Group’s overall policy.</w:t>
      </w:r>
    </w:p>
    <w:p>
      <w:pPr>
        <w:spacing w:after="0" w:line="19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Financial guarantees and letter of credit are assessed and a provision estimated following a similar procedure as for loans.</w:t>
      </w:r>
    </w:p>
    <w:p>
      <w:pPr>
        <w:spacing w:after="0" w:line="252" w:lineRule="exact"/>
        <w:rPr>
          <w:sz w:val="20"/>
          <w:szCs w:val="20"/>
          <w:color w:val="auto"/>
        </w:rPr>
      </w:pPr>
    </w:p>
    <w:p>
      <w:pPr>
        <w:ind w:left="1140" w:right="200"/>
        <w:spacing w:after="0" w:line="277"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 is recorded.</w:t>
      </w:r>
    </w:p>
    <w:p>
      <w:pPr>
        <w:spacing w:after="0" w:line="197" w:lineRule="exact"/>
        <w:rPr>
          <w:sz w:val="20"/>
          <w:szCs w:val="20"/>
          <w:color w:val="auto"/>
        </w:rPr>
      </w:pPr>
    </w:p>
    <w:p>
      <w:pPr>
        <w:ind w:left="1140" w:right="260"/>
        <w:spacing w:after="0" w:line="286" w:lineRule="auto"/>
        <w:rPr>
          <w:sz w:val="20"/>
          <w:szCs w:val="20"/>
          <w:color w:val="auto"/>
        </w:rPr>
      </w:pPr>
      <w:r>
        <w:rPr>
          <w:rFonts w:ascii="Arial" w:cs="Arial" w:eastAsia="Arial" w:hAnsi="Arial"/>
          <w:sz w:val="17"/>
          <w:szCs w:val="17"/>
          <w:color w:val="auto"/>
        </w:rPr>
        <w:t>When a loan is uncollectible, it is written off against the related provision for loan impairment. Such loans are written off after all the necessary procedures have been completed and the amount of the loss has been determined. Subsequent recoveries of amounts previously written off decrease the amount of the provision for loan impairment in the consolidated income statements.</w:t>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120"/>
        <w:spacing w:after="0" w:line="302" w:lineRule="auto"/>
        <w:rPr>
          <w:sz w:val="20"/>
          <w:szCs w:val="20"/>
          <w:color w:val="auto"/>
        </w:rPr>
      </w:pPr>
      <w:r>
        <w:rPr>
          <w:rFonts w:ascii="Arial" w:cs="Arial" w:eastAsia="Arial" w:hAnsi="Arial"/>
          <w:sz w:val="16"/>
          <w:szCs w:val="16"/>
          <w:color w:val="auto"/>
        </w:rPr>
        <w:t>The following is a summary of the direct loans classified in three major groups: i) Loans neither past due nor impaired, comprising those direct loans having presently no delinquency characteristics and related to clients ranked as normal or potential problems; ii) Past due but not impaired loans comprising past due loans of clients classified as normal or with potential problems and iii) Impaired loans, or those past due loans of clients classified as substandard, doubtful or loss; presented net of the provision for loan losses for each of the loan grades: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As of December 31, 2009</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Commercial</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mortgage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Consumer</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Normal</w:t>
            </w:r>
          </w:p>
        </w:tc>
        <w:tc>
          <w:tcPr>
            <w:tcW w:w="1040" w:type="dxa"/>
            <w:vAlign w:val="bottom"/>
          </w:tcPr>
          <w:p>
            <w:pPr>
              <w:jc w:val="right"/>
              <w:spacing w:after="0"/>
              <w:rPr>
                <w:sz w:val="20"/>
                <w:szCs w:val="20"/>
                <w:color w:val="auto"/>
              </w:rPr>
            </w:pPr>
            <w:r>
              <w:rPr>
                <w:rFonts w:ascii="Arial" w:cs="Arial" w:eastAsia="Arial" w:hAnsi="Arial"/>
                <w:sz w:val="18"/>
                <w:szCs w:val="18"/>
                <w:color w:val="auto"/>
              </w:rPr>
              <w:t>7,853,574</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1,585,761</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1,254,928</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10,694,263</w:t>
            </w: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Potential problem</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321,864</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26,962</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11,437</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360,263</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Normal</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154,075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74,621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76,312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305,008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Potential problem</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36,525</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17,690</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18,091</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72,306</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Substandard</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65,122</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15,809</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34,741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115,672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Doubtful</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78,475</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19,050</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41,864</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139,389</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160"/>
              <w:spacing w:after="0"/>
              <w:rPr>
                <w:sz w:val="20"/>
                <w:szCs w:val="20"/>
                <w:color w:val="auto"/>
              </w:rPr>
            </w:pPr>
            <w:r>
              <w:rPr>
                <w:rFonts w:ascii="Arial" w:cs="Arial" w:eastAsia="Arial" w:hAnsi="Arial"/>
                <w:sz w:val="18"/>
                <w:szCs w:val="18"/>
                <w:color w:val="auto"/>
              </w:rPr>
              <w:t>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57,024</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13,843</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30,420</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101,287</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Gross</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8,566,659</w:t>
            </w:r>
          </w:p>
        </w:tc>
        <w:tc>
          <w:tcPr>
            <w:tcW w:w="22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1,753,736</w:t>
            </w:r>
          </w:p>
        </w:tc>
        <w:tc>
          <w:tcPr>
            <w:tcW w:w="20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1,467,793</w:t>
            </w:r>
          </w:p>
        </w:tc>
        <w:tc>
          <w:tcPr>
            <w:tcW w:w="18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11,788,188</w:t>
            </w:r>
          </w:p>
        </w:tc>
        <w:tc>
          <w:tcPr>
            <w:tcW w:w="18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FFCC"/>
            </w:tcBorders>
            <w:shd w:val="clear" w:color="auto" w:fill="CCFFC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222,104</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41,470</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90,781</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354,355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Total, net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8,344,555</w:t>
            </w:r>
          </w:p>
        </w:tc>
        <w:tc>
          <w:tcPr>
            <w:tcW w:w="2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1,712,266</w:t>
            </w:r>
          </w:p>
        </w:tc>
        <w:tc>
          <w:tcPr>
            <w:tcW w:w="2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1,377,012</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11,433,833</w:t>
            </w:r>
          </w:p>
        </w:tc>
        <w:tc>
          <w:tcPr>
            <w:tcW w:w="1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F-104</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60" w:type="dxa"/>
            <w:vAlign w:val="bottom"/>
            <w:tcBorders>
              <w:bottom w:val="single" w:sz="8" w:color="auto"/>
            </w:tcBorders>
            <w:gridSpan w:val="6"/>
          </w:tcPr>
          <w:p>
            <w:pPr>
              <w:ind w:left="760"/>
              <w:spacing w:after="0"/>
              <w:rPr>
                <w:sz w:val="20"/>
                <w:szCs w:val="20"/>
                <w:color w:val="auto"/>
              </w:rPr>
            </w:pPr>
            <w:r>
              <w:rPr>
                <w:rFonts w:ascii="Arial" w:cs="Arial" w:eastAsia="Arial" w:hAnsi="Arial"/>
                <w:sz w:val="18"/>
                <w:szCs w:val="18"/>
                <w:b w:val="1"/>
                <w:bCs w:val="1"/>
                <w:color w:val="auto"/>
              </w:rPr>
              <w:t>As of December 31, 2008</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Commercial</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mortgage</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Consumer</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Total</w:t>
            </w: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Normal</w:t>
            </w:r>
          </w:p>
        </w:tc>
        <w:tc>
          <w:tcPr>
            <w:tcW w:w="1040" w:type="dxa"/>
            <w:vAlign w:val="bottom"/>
          </w:tcPr>
          <w:p>
            <w:pPr>
              <w:jc w:val="right"/>
              <w:spacing w:after="0"/>
              <w:rPr>
                <w:sz w:val="20"/>
                <w:szCs w:val="20"/>
                <w:color w:val="auto"/>
              </w:rPr>
            </w:pPr>
            <w:r>
              <w:rPr>
                <w:rFonts w:ascii="Arial" w:cs="Arial" w:eastAsia="Arial" w:hAnsi="Arial"/>
                <w:sz w:val="18"/>
                <w:szCs w:val="18"/>
                <w:color w:val="auto"/>
              </w:rPr>
              <w:t>7,526,355</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1,350,793</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1,020,352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9,897,500</w:t>
            </w: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Potential problem</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214,040</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18,348</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8,932</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241,320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Normal</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186,887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83,757</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78,629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349,273</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Potential problem</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14,231</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387</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1,027</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15,645</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Substandard</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41,570</w:t>
            </w:r>
          </w:p>
        </w:tc>
        <w:tc>
          <w:tcPr>
            <w:tcW w:w="1040" w:type="dxa"/>
            <w:vAlign w:val="bottom"/>
          </w:tcPr>
          <w:p>
            <w:pPr>
              <w:jc w:val="right"/>
              <w:spacing w:after="0"/>
              <w:rPr>
                <w:sz w:val="20"/>
                <w:szCs w:val="20"/>
                <w:color w:val="auto"/>
              </w:rPr>
            </w:pPr>
            <w:r>
              <w:rPr>
                <w:rFonts w:ascii="Arial" w:cs="Arial" w:eastAsia="Arial" w:hAnsi="Arial"/>
                <w:sz w:val="18"/>
                <w:szCs w:val="18"/>
                <w:color w:val="auto"/>
              </w:rPr>
              <w:t>11,337</w:t>
            </w:r>
          </w:p>
        </w:tc>
        <w:tc>
          <w:tcPr>
            <w:tcW w:w="20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18,982</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71,889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Doubtful</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46,309</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12,630</w:t>
            </w:r>
          </w:p>
        </w:tc>
        <w:tc>
          <w:tcPr>
            <w:tcW w:w="12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21,146</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80,085</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320"/>
              <w:spacing w:after="0"/>
              <w:rPr>
                <w:sz w:val="20"/>
                <w:szCs w:val="20"/>
                <w:color w:val="auto"/>
              </w:rPr>
            </w:pPr>
            <w:r>
              <w:rPr>
                <w:rFonts w:ascii="Arial" w:cs="Arial" w:eastAsia="Arial" w:hAnsi="Arial"/>
                <w:sz w:val="18"/>
                <w:szCs w:val="18"/>
                <w:color w:val="auto"/>
              </w:rPr>
              <w:t>Loss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29,193</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7,962</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13,331</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50,486</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Gross</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8,058,585</w:t>
            </w:r>
          </w:p>
        </w:tc>
        <w:tc>
          <w:tcPr>
            <w:tcW w:w="22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1,485,214</w:t>
            </w:r>
          </w:p>
        </w:tc>
        <w:tc>
          <w:tcPr>
            <w:tcW w:w="200" w:type="dxa"/>
            <w:vAlign w:val="bottom"/>
            <w:tcBorders>
              <w:bottom w:val="single" w:sz="8" w:color="CCFFCC"/>
            </w:tcBorders>
            <w:shd w:val="clear" w:color="auto" w:fill="CCFFCC"/>
          </w:tcPr>
          <w:p>
            <w:pPr>
              <w:spacing w:after="0"/>
              <w:rPr>
                <w:sz w:val="19"/>
                <w:szCs w:val="19"/>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1,162,399</w:t>
            </w:r>
          </w:p>
        </w:tc>
        <w:tc>
          <w:tcPr>
            <w:tcW w:w="18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10,706,198</w:t>
            </w:r>
          </w:p>
        </w:tc>
        <w:tc>
          <w:tcPr>
            <w:tcW w:w="180" w:type="dxa"/>
            <w:vAlign w:val="bottom"/>
            <w:tcBorders>
              <w:bottom w:val="single" w:sz="8" w:color="CCFFCC"/>
            </w:tcBorders>
            <w:shd w:val="clear" w:color="auto" w:fill="CCFFCC"/>
          </w:tcPr>
          <w:p>
            <w:pPr>
              <w:spacing w:after="0"/>
              <w:rPr>
                <w:sz w:val="19"/>
                <w:szCs w:val="19"/>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FFCC"/>
            </w:tcBorders>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137,444</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30,832</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56,061</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224,337</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net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7,921,141</w:t>
            </w:r>
          </w:p>
        </w:tc>
        <w:tc>
          <w:tcPr>
            <w:tcW w:w="2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1,454,382</w:t>
            </w:r>
          </w:p>
        </w:tc>
        <w:tc>
          <w:tcPr>
            <w:tcW w:w="20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1,106,338</w:t>
            </w:r>
          </w:p>
        </w:tc>
        <w:tc>
          <w:tcPr>
            <w:tcW w:w="18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10,481,861</w:t>
            </w:r>
          </w:p>
        </w:tc>
        <w:tc>
          <w:tcPr>
            <w:tcW w:w="18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140"/>
        <w:spacing w:after="0" w:line="277" w:lineRule="auto"/>
        <w:rPr>
          <w:sz w:val="20"/>
          <w:szCs w:val="20"/>
          <w:color w:val="auto"/>
        </w:rPr>
      </w:pPr>
      <w:r>
        <w:rPr>
          <w:rFonts w:ascii="Arial" w:cs="Arial" w:eastAsia="Arial" w:hAnsi="Arial"/>
          <w:sz w:val="18"/>
          <w:szCs w:val="18"/>
          <w:color w:val="auto"/>
        </w:rPr>
        <w:t>As of December 31, 2009 and 2008, loans that are neither past-due nor impaired whose terms have been renegotiated amounts to US$6.5 and US$10.3 million, respectively.</w:t>
      </w:r>
    </w:p>
    <w:p>
      <w:pPr>
        <w:spacing w:after="0" w:line="197" w:lineRule="exact"/>
        <w:rPr>
          <w:sz w:val="20"/>
          <w:szCs w:val="20"/>
          <w:color w:val="auto"/>
        </w:rPr>
      </w:pPr>
    </w:p>
    <w:p>
      <w:pPr>
        <w:ind w:left="1140" w:right="60"/>
        <w:spacing w:after="0" w:line="277" w:lineRule="auto"/>
        <w:rPr>
          <w:sz w:val="20"/>
          <w:szCs w:val="20"/>
          <w:color w:val="auto"/>
        </w:rPr>
      </w:pPr>
      <w:r>
        <w:rPr>
          <w:rFonts w:ascii="Arial" w:cs="Arial" w:eastAsia="Arial" w:hAnsi="Arial"/>
          <w:sz w:val="18"/>
          <w:szCs w:val="18"/>
          <w:color w:val="auto"/>
        </w:rPr>
        <w:t>As of December 31, 2009 and 2008, loans amounting to approximately US$354.7 and US$349.3 million, respectively, were past due for less than 30 days and were not impaired.</w:t>
      </w: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40"/>
        <w:spacing w:after="0" w:line="277" w:lineRule="auto"/>
        <w:rPr>
          <w:sz w:val="20"/>
          <w:szCs w:val="20"/>
          <w:color w:val="auto"/>
        </w:rPr>
      </w:pPr>
      <w:r>
        <w:rPr>
          <w:rFonts w:ascii="Arial" w:cs="Arial" w:eastAsia="Arial" w:hAnsi="Arial"/>
          <w:sz w:val="18"/>
          <w:szCs w:val="18"/>
          <w:color w:val="auto"/>
        </w:rPr>
        <w:t>The breakdown of the gross amount of impaired loans by class, along with the fair value of related collateral and the amounts of their allowance for loan losses,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92"/>
              </w:rPr>
              <w:t>As of December 31, 2009</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Commercial</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mortgage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Consumer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200,621</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48,702</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107,025</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356,348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Fair value of collateral</w:t>
            </w:r>
          </w:p>
        </w:tc>
        <w:tc>
          <w:tcPr>
            <w:tcW w:w="1000" w:type="dxa"/>
            <w:vAlign w:val="bottom"/>
          </w:tcPr>
          <w:p>
            <w:pPr>
              <w:jc w:val="right"/>
              <w:spacing w:after="0"/>
              <w:rPr>
                <w:sz w:val="20"/>
                <w:szCs w:val="20"/>
                <w:color w:val="auto"/>
              </w:rPr>
            </w:pPr>
            <w:r>
              <w:rPr>
                <w:rFonts w:ascii="Arial" w:cs="Arial" w:eastAsia="Arial" w:hAnsi="Arial"/>
                <w:sz w:val="18"/>
                <w:szCs w:val="18"/>
                <w:color w:val="auto"/>
              </w:rPr>
              <w:t>97,265</w:t>
            </w: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34,378</w:t>
            </w:r>
          </w:p>
        </w:tc>
        <w:tc>
          <w:tcPr>
            <w:tcW w:w="1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12,113</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143,756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1000" w:type="dxa"/>
            <w:vAlign w:val="bottom"/>
          </w:tcPr>
          <w:p>
            <w:pPr>
              <w:jc w:val="right"/>
              <w:spacing w:after="0"/>
              <w:rPr>
                <w:sz w:val="20"/>
                <w:szCs w:val="20"/>
                <w:color w:val="auto"/>
              </w:rPr>
            </w:pPr>
            <w:r>
              <w:rPr>
                <w:rFonts w:ascii="Arial" w:cs="Arial" w:eastAsia="Arial" w:hAnsi="Arial"/>
                <w:sz w:val="18"/>
                <w:szCs w:val="18"/>
                <w:color w:val="auto"/>
              </w:rPr>
              <w:t>86,749</w:t>
            </w: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11,551</w:t>
            </w: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64,361</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162,661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8"/>
                <w:szCs w:val="18"/>
                <w:b w:val="1"/>
                <w:bCs w:val="1"/>
                <w:color w:val="auto"/>
                <w:w w:val="92"/>
              </w:rPr>
              <w:t>As of December 31, 2008</w:t>
            </w: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center"/>
              <w:ind w:right="200"/>
              <w:spacing w:after="0" w:line="198" w:lineRule="exact"/>
              <w:rPr>
                <w:sz w:val="20"/>
                <w:szCs w:val="20"/>
                <w:color w:val="auto"/>
              </w:rPr>
            </w:pPr>
            <w:r>
              <w:rPr>
                <w:rFonts w:ascii="Arial" w:cs="Arial" w:eastAsia="Arial" w:hAnsi="Arial"/>
                <w:sz w:val="18"/>
                <w:szCs w:val="18"/>
                <w:b w:val="1"/>
                <w:bCs w:val="1"/>
                <w:color w:val="auto"/>
                <w:w w:val="89"/>
              </w:rPr>
              <w:t>Residential</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Commercial</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mortgage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Consumer</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1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10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117,072</w:t>
            </w:r>
          </w:p>
        </w:tc>
        <w:tc>
          <w:tcPr>
            <w:tcW w:w="20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31,929</w:t>
            </w:r>
          </w:p>
        </w:tc>
        <w:tc>
          <w:tcPr>
            <w:tcW w:w="18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53,459</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202,460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Fair value of collateral</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49,254</w:t>
            </w:r>
          </w:p>
        </w:tc>
        <w:tc>
          <w:tcPr>
            <w:tcW w:w="200" w:type="dxa"/>
            <w:vAlign w:val="bottom"/>
            <w:shd w:val="clear" w:color="auto" w:fill="CCFFCC"/>
          </w:tcPr>
          <w:p>
            <w:pPr>
              <w:spacing w:after="0"/>
              <w:rPr>
                <w:sz w:val="19"/>
                <w:szCs w:val="19"/>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18,742</w:t>
            </w:r>
          </w:p>
        </w:tc>
        <w:tc>
          <w:tcPr>
            <w:tcW w:w="180" w:type="dxa"/>
            <w:vAlign w:val="bottom"/>
            <w:shd w:val="clear" w:color="auto" w:fill="CCFFCC"/>
          </w:tcPr>
          <w:p>
            <w:pPr>
              <w:spacing w:after="0"/>
              <w:rPr>
                <w:sz w:val="19"/>
                <w:szCs w:val="19"/>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4,386</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72,382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FFCC"/>
          </w:tcPr>
          <w:p>
            <w:pPr>
              <w:spacing w:after="0"/>
              <w:rPr>
                <w:sz w:val="20"/>
                <w:szCs w:val="20"/>
                <w:color w:val="auto"/>
              </w:rPr>
            </w:pPr>
            <w:r>
              <w:rPr>
                <w:rFonts w:ascii="Arial" w:cs="Arial" w:eastAsia="Arial" w:hAnsi="Arial"/>
                <w:sz w:val="18"/>
                <w:szCs w:val="18"/>
                <w:color w:val="auto"/>
              </w:rPr>
              <w:t>Allowance for loan losses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50,782</w:t>
            </w:r>
          </w:p>
        </w:tc>
        <w:tc>
          <w:tcPr>
            <w:tcW w:w="200" w:type="dxa"/>
            <w:vAlign w:val="bottom"/>
            <w:shd w:val="clear" w:color="auto" w:fill="CCFFCC"/>
          </w:tcPr>
          <w:p>
            <w:pPr>
              <w:spacing w:after="0"/>
              <w:rPr>
                <w:sz w:val="18"/>
                <w:szCs w:val="18"/>
                <w:color w:val="auto"/>
              </w:rPr>
            </w:pP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11,395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29,722</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91,899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shd w:val="clear" w:color="auto" w:fill="CCFFCC"/>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160" w:hanging="490"/>
        <w:spacing w:after="0"/>
        <w:tabs>
          <w:tab w:leader="none" w:pos="11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Credit risk management on investments in trading securities and available-for-sale -</w:t>
      </w:r>
    </w:p>
    <w:p>
      <w:pPr>
        <w:spacing w:after="0" w:line="23" w:lineRule="exact"/>
        <w:rPr>
          <w:rFonts w:ascii="Arial" w:cs="Arial" w:eastAsia="Arial" w:hAnsi="Arial"/>
          <w:sz w:val="18"/>
          <w:szCs w:val="18"/>
          <w:color w:val="auto"/>
        </w:rPr>
      </w:pPr>
    </w:p>
    <w:p>
      <w:pPr>
        <w:ind w:left="1140"/>
        <w:spacing w:after="0" w:line="292" w:lineRule="auto"/>
        <w:rPr>
          <w:rFonts w:ascii="Arial" w:cs="Arial" w:eastAsia="Arial" w:hAnsi="Arial"/>
          <w:sz w:val="18"/>
          <w:szCs w:val="18"/>
          <w:color w:val="auto"/>
        </w:rPr>
      </w:pPr>
      <w:r>
        <w:rPr>
          <w:rFonts w:ascii="Arial" w:cs="Arial" w:eastAsia="Arial" w:hAnsi="Arial"/>
          <w:sz w:val="16"/>
          <w:szCs w:val="16"/>
          <w:color w:val="auto"/>
        </w:rPr>
        <w:t>The Group evaluates the credit risk identified of each of the financial instruments in these categories, considering the risk rating granted to them by a risk rating agency. For investments traded in Peru, the risk ratings use are those provided by Apoyo &amp; Asociados Internacionales S.A.C. (a Peruvian rating agency authorized by the Peruvian government regulator and associated to Fitch Rating) and for investments traded abroad, the risk-ratings used are those provided by Standard &amp; Poor’s. In the event any subsidiary use a risk-rating prepared by any other risk rating agency, such risk-ratings are standardized with those provided by the afore-mentioned institutions for consolidation purposes.</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following table shows the analysis of the risk-rating of available-for-sale investments, provided by the institutions referred to above: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250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w w:val="98"/>
              </w:rPr>
              <w:t>As of December 31, 2009</w:t>
            </w:r>
          </w:p>
        </w:tc>
        <w:tc>
          <w:tcPr>
            <w:tcW w:w="2320" w:type="dxa"/>
            <w:vAlign w:val="bottom"/>
            <w:gridSpan w:val="4"/>
          </w:tcPr>
          <w:p>
            <w:pPr>
              <w:ind w:left="160"/>
              <w:spacing w:after="0"/>
              <w:rPr>
                <w:sz w:val="20"/>
                <w:szCs w:val="20"/>
                <w:color w:val="auto"/>
              </w:rPr>
            </w:pPr>
            <w:r>
              <w:rPr>
                <w:rFonts w:ascii="Arial" w:cs="Arial" w:eastAsia="Arial" w:hAnsi="Arial"/>
                <w:sz w:val="18"/>
                <w:szCs w:val="18"/>
                <w:b w:val="1"/>
                <w:bCs w:val="1"/>
                <w:color w:val="auto"/>
              </w:rPr>
              <w:t>As of December 31, 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spacing w:after="0"/>
              <w:rPr>
                <w:sz w:val="20"/>
                <w:szCs w:val="20"/>
                <w:color w:val="auto"/>
              </w:rPr>
            </w:pPr>
          </w:p>
        </w:tc>
        <w:tc>
          <w:tcPr>
            <w:tcW w:w="1260" w:type="dxa"/>
            <w:vAlign w:val="bottom"/>
            <w:tcBorders>
              <w:top w:val="single" w:sz="8" w:color="auto"/>
            </w:tcBorders>
            <w:gridSpan w:val="2"/>
          </w:tcPr>
          <w:p>
            <w:pPr>
              <w:jc w:val="right"/>
              <w:ind w:right="380"/>
              <w:spacing w:after="0"/>
              <w:rPr>
                <w:sz w:val="20"/>
                <w:szCs w:val="20"/>
                <w:color w:val="auto"/>
              </w:rPr>
            </w:pPr>
            <w:r>
              <w:rPr>
                <w:rFonts w:ascii="Arial" w:cs="Arial" w:eastAsia="Arial" w:hAnsi="Arial"/>
                <w:sz w:val="18"/>
                <w:szCs w:val="18"/>
                <w:color w:val="auto"/>
              </w:rPr>
              <w:t>US$(000)</w:t>
            </w:r>
          </w:p>
        </w:tc>
        <w:tc>
          <w:tcPr>
            <w:tcW w:w="10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rPr>
              <w:t>US$(000)</w:t>
            </w: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Instruments rated in Peru and abroad</w:t>
            </w: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AAA</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341,344</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530,132</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AA- to AA+</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283,103</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165,050</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A- to A+</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470,347</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428,319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BBB- to BBB+</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1,284,826</w:t>
            </w:r>
          </w:p>
        </w:tc>
        <w:tc>
          <w:tcPr>
            <w:tcW w:w="2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785,250</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BB- to BB+</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324,118</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326,398</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2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243,199</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20,394</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Unrated (*)</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2,132,669</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2,695,211</w:t>
            </w:r>
          </w:p>
        </w:tc>
        <w:tc>
          <w:tcPr>
            <w:tcW w:w="1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5,079,606</w:t>
            </w:r>
          </w:p>
        </w:tc>
        <w:tc>
          <w:tcPr>
            <w:tcW w:w="22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100.0</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4,950,754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80" w:hanging="483"/>
        <w:spacing w:after="0" w:line="259" w:lineRule="auto"/>
        <w:tabs>
          <w:tab w:leader="none" w:pos="168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As of December 31, 2009, includes principally US$1,545.7 million of Peruvian Central Bank Certificates of Deposit, which represent 30.43 percent of the investments available-for-sale balance (US$2,209 million, which represent 44.62 percent as of December 31, 2008). It also includes US$330.7 and US$102.1 million of listed and non-listed equity securities and mutual funds, respectively (US$212.7 and US$96.9 million as of December 31, 2008, respectively).</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10" w:right="339"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60" w:hanging="490"/>
        <w:spacing w:after="0"/>
        <w:tabs>
          <w:tab w:leader="none" w:pos="116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Concentration of financial instruments exposed to credit risk:</w:t>
      </w:r>
    </w:p>
    <w:p>
      <w:pPr>
        <w:spacing w:after="0" w:line="23" w:lineRule="exact"/>
        <w:rPr>
          <w:rFonts w:ascii="Arial" w:cs="Arial" w:eastAsia="Arial" w:hAnsi="Arial"/>
          <w:sz w:val="18"/>
          <w:szCs w:val="18"/>
          <w:color w:val="auto"/>
        </w:rPr>
      </w:pPr>
    </w:p>
    <w:p>
      <w:pPr>
        <w:ind w:left="1140" w:right="240"/>
        <w:spacing w:after="0" w:line="261" w:lineRule="auto"/>
        <w:rPr>
          <w:rFonts w:ascii="Arial" w:cs="Arial" w:eastAsia="Arial" w:hAnsi="Arial"/>
          <w:sz w:val="18"/>
          <w:szCs w:val="18"/>
          <w:color w:val="auto"/>
        </w:rPr>
      </w:pPr>
      <w:r>
        <w:rPr>
          <w:rFonts w:ascii="Arial" w:cs="Arial" w:eastAsia="Arial" w:hAnsi="Arial"/>
          <w:sz w:val="18"/>
          <w:szCs w:val="18"/>
          <w:color w:val="auto"/>
        </w:rPr>
        <w:t>As of December 31, 2009 and 2008, financial instruments with exposure to credit risk were distributed considering the following economic sectors:</w:t>
      </w:r>
    </w:p>
    <w:p>
      <w:pPr>
        <w:spacing w:after="0" w:line="211" w:lineRule="exact"/>
        <w:rPr>
          <w:sz w:val="20"/>
          <w:szCs w:val="20"/>
          <w:color w:val="auto"/>
        </w:rPr>
      </w:pPr>
    </w:p>
    <w:p>
      <w:pPr>
        <w:ind w:left="4260"/>
        <w:spacing w:after="0"/>
        <w:tabs>
          <w:tab w:leader="none" w:pos="8920" w:val="left"/>
        </w:tabs>
        <w:rPr>
          <w:sz w:val="20"/>
          <w:szCs w:val="20"/>
          <w:color w:val="auto"/>
        </w:rPr>
      </w:pPr>
      <w:r>
        <w:rPr>
          <w:rFonts w:ascii="Arial" w:cs="Arial" w:eastAsia="Arial" w:hAnsi="Arial"/>
          <w:sz w:val="11"/>
          <w:szCs w:val="11"/>
          <w:b w:val="1"/>
          <w:bCs w:val="1"/>
          <w:color w:val="auto"/>
        </w:rPr>
        <w:t>2009</w:t>
      </w:r>
      <w:r>
        <w:rPr>
          <w:sz w:val="20"/>
          <w:szCs w:val="20"/>
          <w:color w:val="auto"/>
        </w:rPr>
        <w:tab/>
      </w:r>
      <w:r>
        <w:rPr>
          <w:rFonts w:ascii="Arial" w:cs="Arial" w:eastAsia="Arial" w:hAnsi="Arial"/>
          <w:sz w:val="11"/>
          <w:szCs w:val="11"/>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5715</wp:posOffset>
            </wp:positionV>
            <wp:extent cx="582295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822950" cy="17145"/>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p>
      <w:pPr>
        <w:spacing w:after="0" w:line="22" w:lineRule="exact"/>
        <w:rPr>
          <w:sz w:val="20"/>
          <w:szCs w:val="20"/>
          <w:color w:val="auto"/>
        </w:rPr>
      </w:pPr>
    </w:p>
    <w:p>
      <w:pPr>
        <w:jc w:val="center"/>
        <w:ind w:right="140"/>
        <w:spacing w:after="0"/>
        <w:rPr>
          <w:sz w:val="20"/>
          <w:szCs w:val="20"/>
          <w:color w:val="auto"/>
        </w:rPr>
      </w:pPr>
      <w:r>
        <w:rPr>
          <w:rFonts w:ascii="Arial" w:cs="Arial" w:eastAsia="Arial" w:hAnsi="Arial"/>
          <w:sz w:val="9"/>
          <w:szCs w:val="9"/>
          <w:b w:val="1"/>
          <w:bCs w:val="1"/>
          <w:color w:val="auto"/>
        </w:rPr>
        <w:t>Designated at fair value through</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1"/>
          <w:szCs w:val="11"/>
          <w:b w:val="1"/>
          <w:bCs w:val="1"/>
          <w:color w:val="auto"/>
        </w:rPr>
        <w:t>profit or loss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jc w:val="center"/>
        <w:ind w:right="3020"/>
        <w:spacing w:after="0"/>
        <w:rPr>
          <w:sz w:val="20"/>
          <w:szCs w:val="20"/>
          <w:color w:val="auto"/>
        </w:rPr>
      </w:pPr>
      <w:r>
        <w:rPr>
          <w:rFonts w:ascii="Arial" w:cs="Arial" w:eastAsia="Arial" w:hAnsi="Arial"/>
          <w:sz w:val="9"/>
          <w:szCs w:val="9"/>
          <w:b w:val="1"/>
          <w:bCs w:val="1"/>
          <w:color w:val="auto"/>
        </w:rPr>
        <w:t>Designated at fair value through</w:t>
      </w:r>
    </w:p>
    <w:p>
      <w:pPr>
        <w:spacing w:after="0" w:line="27" w:lineRule="exact"/>
        <w:rPr>
          <w:sz w:val="20"/>
          <w:szCs w:val="20"/>
          <w:color w:val="auto"/>
        </w:rPr>
      </w:pPr>
    </w:p>
    <w:p>
      <w:pPr>
        <w:jc w:val="center"/>
        <w:ind w:right="3000"/>
        <w:spacing w:after="0"/>
        <w:rPr>
          <w:sz w:val="20"/>
          <w:szCs w:val="20"/>
          <w:color w:val="auto"/>
        </w:rPr>
      </w:pPr>
      <w:r>
        <w:rPr>
          <w:rFonts w:ascii="Arial" w:cs="Arial" w:eastAsia="Arial" w:hAnsi="Arial"/>
          <w:sz w:val="11"/>
          <w:szCs w:val="11"/>
          <w:b w:val="1"/>
          <w:bCs w:val="1"/>
          <w:color w:val="auto"/>
        </w:rPr>
        <w:t>profit or loss</w:t>
      </w:r>
    </w:p>
    <w:p>
      <w:pPr>
        <w:spacing w:after="0" w:line="1" w:lineRule="exact"/>
        <w:rPr>
          <w:sz w:val="20"/>
          <w:szCs w:val="20"/>
          <w:color w:val="auto"/>
        </w:rPr>
      </w:pPr>
    </w:p>
    <w:p>
      <w:pPr>
        <w:sectPr>
          <w:pgSz w:w="11900" w:h="16838" w:orient="portrait"/>
          <w:cols w:equalWidth="0" w:num="2">
            <w:col w:w="6200" w:space="720"/>
            <w:col w:w="4500"/>
          </w:cols>
          <w:pgMar w:left="240" w:top="510" w:right="239" w:bottom="144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140" w:type="dxa"/>
            <w:vAlign w:val="bottom"/>
            <w:tcBorders>
              <w:top w:val="single" w:sz="8" w:color="auto"/>
            </w:tcBorders>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91"/>
              </w:rPr>
              <w:t>Held for trading and</w:t>
            </w:r>
          </w:p>
        </w:tc>
        <w:tc>
          <w:tcPr>
            <w:tcW w:w="66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gridSpan w:val="2"/>
          </w:tcPr>
          <w:p>
            <w:pPr>
              <w:jc w:val="center"/>
              <w:ind w:right="80"/>
              <w:spacing w:after="0" w:line="115" w:lineRule="exact"/>
              <w:rPr>
                <w:sz w:val="20"/>
                <w:szCs w:val="20"/>
                <w:color w:val="auto"/>
              </w:rPr>
            </w:pPr>
            <w:r>
              <w:rPr>
                <w:rFonts w:ascii="Arial" w:cs="Arial" w:eastAsia="Arial" w:hAnsi="Arial"/>
                <w:sz w:val="11"/>
                <w:szCs w:val="11"/>
                <w:b w:val="1"/>
                <w:bCs w:val="1"/>
                <w:color w:val="auto"/>
                <w:w w:val="90"/>
              </w:rPr>
              <w:t>Loans and</w:t>
            </w:r>
          </w:p>
        </w:tc>
        <w:tc>
          <w:tcPr>
            <w:tcW w:w="100" w:type="dxa"/>
            <w:vAlign w:val="bottom"/>
          </w:tcPr>
          <w:p>
            <w:pPr>
              <w:spacing w:after="0"/>
              <w:rPr>
                <w:sz w:val="9"/>
                <w:szCs w:val="9"/>
                <w:color w:val="auto"/>
              </w:rPr>
            </w:pPr>
          </w:p>
        </w:tc>
        <w:tc>
          <w:tcPr>
            <w:tcW w:w="980" w:type="dxa"/>
            <w:vAlign w:val="bottom"/>
            <w:gridSpan w:val="2"/>
          </w:tcPr>
          <w:p>
            <w:pPr>
              <w:jc w:val="center"/>
              <w:ind w:right="180"/>
              <w:spacing w:after="0" w:line="115" w:lineRule="exact"/>
              <w:rPr>
                <w:sz w:val="20"/>
                <w:szCs w:val="20"/>
                <w:color w:val="auto"/>
              </w:rPr>
            </w:pPr>
            <w:r>
              <w:rPr>
                <w:rFonts w:ascii="Arial" w:cs="Arial" w:eastAsia="Arial" w:hAnsi="Arial"/>
                <w:sz w:val="11"/>
                <w:szCs w:val="11"/>
                <w:b w:val="1"/>
                <w:bCs w:val="1"/>
                <w:color w:val="auto"/>
                <w:w w:val="87"/>
              </w:rPr>
              <w:t>Investments</w:t>
            </w: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tcBorders>
              <w:top w:val="single" w:sz="8" w:color="auto"/>
            </w:tcBorders>
            <w:gridSpan w:val="2"/>
          </w:tcPr>
          <w:p>
            <w:pPr>
              <w:jc w:val="center"/>
              <w:ind w:right="160"/>
              <w:spacing w:after="0" w:line="115" w:lineRule="exact"/>
              <w:rPr>
                <w:sz w:val="20"/>
                <w:szCs w:val="20"/>
                <w:color w:val="auto"/>
              </w:rPr>
            </w:pPr>
            <w:r>
              <w:rPr>
                <w:rFonts w:ascii="Arial" w:cs="Arial" w:eastAsia="Arial" w:hAnsi="Arial"/>
                <w:sz w:val="11"/>
                <w:szCs w:val="11"/>
                <w:b w:val="1"/>
                <w:bCs w:val="1"/>
                <w:color w:val="auto"/>
                <w:w w:val="91"/>
              </w:rPr>
              <w:t>Held for trading and</w:t>
            </w:r>
          </w:p>
        </w:tc>
        <w:tc>
          <w:tcPr>
            <w:tcW w:w="68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gridSpan w:val="2"/>
          </w:tcPr>
          <w:p>
            <w:pPr>
              <w:jc w:val="center"/>
              <w:ind w:right="100"/>
              <w:spacing w:after="0" w:line="115" w:lineRule="exact"/>
              <w:rPr>
                <w:sz w:val="20"/>
                <w:szCs w:val="20"/>
                <w:color w:val="auto"/>
              </w:rPr>
            </w:pPr>
            <w:r>
              <w:rPr>
                <w:rFonts w:ascii="Arial" w:cs="Arial" w:eastAsia="Arial" w:hAnsi="Arial"/>
                <w:sz w:val="11"/>
                <w:szCs w:val="11"/>
                <w:b w:val="1"/>
                <w:bCs w:val="1"/>
                <w:color w:val="auto"/>
                <w:w w:val="90"/>
              </w:rPr>
              <w:t>Loans and</w:t>
            </w:r>
          </w:p>
        </w:tc>
        <w:tc>
          <w:tcPr>
            <w:tcW w:w="120" w:type="dxa"/>
            <w:vAlign w:val="bottom"/>
          </w:tcPr>
          <w:p>
            <w:pPr>
              <w:spacing w:after="0"/>
              <w:rPr>
                <w:sz w:val="9"/>
                <w:szCs w:val="9"/>
                <w:color w:val="auto"/>
              </w:rPr>
            </w:pPr>
          </w:p>
        </w:tc>
        <w:tc>
          <w:tcPr>
            <w:tcW w:w="1000" w:type="dxa"/>
            <w:vAlign w:val="bottom"/>
            <w:gridSpan w:val="2"/>
          </w:tcPr>
          <w:p>
            <w:pPr>
              <w:jc w:val="center"/>
              <w:ind w:right="240"/>
              <w:spacing w:after="0" w:line="115" w:lineRule="exact"/>
              <w:rPr>
                <w:sz w:val="20"/>
                <w:szCs w:val="20"/>
                <w:color w:val="auto"/>
              </w:rPr>
            </w:pPr>
            <w:r>
              <w:rPr>
                <w:rFonts w:ascii="Arial" w:cs="Arial" w:eastAsia="Arial" w:hAnsi="Arial"/>
                <w:sz w:val="11"/>
                <w:szCs w:val="11"/>
                <w:b w:val="1"/>
                <w:bCs w:val="1"/>
                <w:color w:val="auto"/>
                <w:w w:val="87"/>
              </w:rPr>
              <w:t>Investments</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4"/>
              </w:rPr>
              <w:t>hedging</w:t>
            </w:r>
          </w:p>
        </w:tc>
        <w:tc>
          <w:tcPr>
            <w:tcW w:w="8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At inception</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receivables</w:t>
            </w:r>
          </w:p>
        </w:tc>
        <w:tc>
          <w:tcPr>
            <w:tcW w:w="108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available-for-sale</w:t>
            </w:r>
          </w:p>
        </w:tc>
        <w:tc>
          <w:tcPr>
            <w:tcW w:w="8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Total</w:t>
            </w: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hedging</w:t>
            </w: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8"/>
              </w:rPr>
              <w:t>At inception</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3"/>
              </w:rPr>
              <w:t>receivables</w:t>
            </w:r>
          </w:p>
        </w:tc>
        <w:tc>
          <w:tcPr>
            <w:tcW w:w="112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8"/>
              </w:rPr>
              <w:t>available-for-sale</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74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112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86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76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2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Central Reserve Bank of Perú</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2,107,635</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1,545,705</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3,653,340</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1,952,952</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2,208,942</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4,161,894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Financial services</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114,185</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125,912</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2,058,327</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1,243,021</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3,541,445</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101,126</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134,385</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1,944,796</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1,031,463</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3,211,770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Government and public administration</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53,874</w:t>
            </w: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642</w:t>
            </w:r>
          </w:p>
        </w:tc>
        <w:tc>
          <w:tcPr>
            <w:tcW w:w="18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233,446</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1,034,479</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1,322,441</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13,466</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595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273,506</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931,632</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1,219,199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Manufacturing</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4</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2,161</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2,462,733</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266,048</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2,730,946</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44</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507</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2,536,277</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156,418</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2,693,246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Commerce</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w:t>
            </w:r>
          </w:p>
        </w:tc>
        <w:tc>
          <w:tcPr>
            <w:tcW w:w="20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1,282,188</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68,740</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1,350,929</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1,484,431</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64,595</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1,549,031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Mortgage loans</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1,673,089</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1,673,089</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1,401,296</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1,401,296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Consumer loans</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1,402,422</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1,402,422</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1,126,301</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1,126,301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Electricity, gas and water</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47</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2,564</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745,613</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376,496</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1,124,720</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523</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879</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556,937</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202,716</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761,055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7"/>
              </w:rPr>
              <w:t>Communications, storage and transportation</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w:t>
            </w:r>
          </w:p>
        </w:tc>
        <w:tc>
          <w:tcPr>
            <w:tcW w:w="20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554,944</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154,305</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709,251</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632,895</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117,103</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749,998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Mining</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2</w:t>
            </w: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3,781</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667,970</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109,351</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781,104</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130</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1,058</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660,855</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77,358</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739,401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Leaseholds and real estate activities</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468,229</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49,401</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517,630</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608,651</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47,321</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655,972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Micro-business loans</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703,651</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703,651</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619,680</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619,680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Community services</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322,429</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322,429</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247,144</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247,144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Construction</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307</w:t>
            </w: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186,397</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5,250</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191,954</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57</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236,163</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2,226</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238,446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Agriculture</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269,882</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8,002</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277,884</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68</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224,417</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7,693</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232,178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Education, health and other services</w:t>
            </w: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151,569</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119,006</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270,575</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127,670</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29,699</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157,369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Fishing</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119,123</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291</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119,414</w:t>
            </w:r>
          </w:p>
        </w:tc>
        <w:tc>
          <w:tcPr>
            <w:tcW w:w="200" w:type="dxa"/>
            <w:vAlign w:val="bottom"/>
            <w:shd w:val="clear" w:color="auto" w:fill="CCFFCC"/>
          </w:tcPr>
          <w:p>
            <w:pPr>
              <w:spacing w:after="0"/>
              <w:rPr>
                <w:sz w:val="10"/>
                <w:szCs w:val="10"/>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80,277</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159</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80,438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120" w:type="dxa"/>
            <w:vAlign w:val="bottom"/>
          </w:tcPr>
          <w:p>
            <w:pPr>
              <w:spacing w:after="0" w:line="122" w:lineRule="exact"/>
              <w:rPr>
                <w:sz w:val="20"/>
                <w:szCs w:val="20"/>
                <w:color w:val="auto"/>
              </w:rPr>
            </w:pPr>
            <w:r>
              <w:rPr>
                <w:rFonts w:ascii="Arial" w:cs="Arial" w:eastAsia="Arial" w:hAnsi="Arial"/>
                <w:sz w:val="11"/>
                <w:szCs w:val="11"/>
                <w:color w:val="auto"/>
              </w:rPr>
              <w:t>Insurance</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4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167,101</w:t>
            </w:r>
          </w:p>
        </w:tc>
        <w:tc>
          <w:tcPr>
            <w:tcW w:w="108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40" w:type="dxa"/>
            <w:vAlign w:val="bottom"/>
          </w:tcPr>
          <w:p>
            <w:pPr>
              <w:jc w:val="right"/>
              <w:spacing w:after="0" w:line="122" w:lineRule="exact"/>
              <w:rPr>
                <w:sz w:val="20"/>
                <w:szCs w:val="20"/>
                <w:color w:val="auto"/>
              </w:rPr>
            </w:pPr>
            <w:r>
              <w:rPr>
                <w:rFonts w:ascii="Arial" w:cs="Arial" w:eastAsia="Arial" w:hAnsi="Arial"/>
                <w:sz w:val="11"/>
                <w:szCs w:val="11"/>
                <w:color w:val="auto"/>
              </w:rPr>
              <w:t>167,101</w:t>
            </w:r>
          </w:p>
        </w:tc>
        <w:tc>
          <w:tcPr>
            <w:tcW w:w="200" w:type="dxa"/>
            <w:vAlign w:val="bottom"/>
          </w:tcPr>
          <w:p>
            <w:pPr>
              <w:spacing w:after="0"/>
              <w:rPr>
                <w:sz w:val="10"/>
                <w:szCs w:val="10"/>
                <w:color w:val="auto"/>
              </w:rPr>
            </w:pPr>
          </w:p>
        </w:tc>
        <w:tc>
          <w:tcPr>
            <w:tcW w:w="112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27,430</w:t>
            </w:r>
          </w:p>
        </w:tc>
        <w:tc>
          <w:tcPr>
            <w:tcW w:w="112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27,430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Other</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303</w:t>
            </w:r>
          </w:p>
        </w:tc>
        <w:tc>
          <w:tcPr>
            <w:tcW w:w="180" w:type="dxa"/>
            <w:vAlign w:val="bottom"/>
            <w:shd w:val="clear" w:color="auto" w:fill="CCFFCC"/>
          </w:tcPr>
          <w:p>
            <w:pPr>
              <w:spacing w:after="0"/>
              <w:rPr>
                <w:sz w:val="11"/>
                <w:szCs w:val="11"/>
                <w:color w:val="auto"/>
              </w:rPr>
            </w:pPr>
          </w:p>
        </w:tc>
        <w:tc>
          <w:tcPr>
            <w:tcW w:w="74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168,930</w:t>
            </w:r>
          </w:p>
        </w:tc>
        <w:tc>
          <w:tcPr>
            <w:tcW w:w="1080" w:type="dxa"/>
            <w:vAlign w:val="bottom"/>
            <w:gridSpan w:val="3"/>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99,511</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268,744</w:t>
            </w:r>
          </w:p>
        </w:tc>
        <w:tc>
          <w:tcPr>
            <w:tcW w:w="200" w:type="dxa"/>
            <w:vAlign w:val="bottom"/>
            <w:shd w:val="clear" w:color="auto" w:fill="CCFFCC"/>
          </w:tcPr>
          <w:p>
            <w:pPr>
              <w:spacing w:after="0"/>
              <w:rPr>
                <w:sz w:val="11"/>
                <w:szCs w:val="11"/>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63</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396</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103,284</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73,429</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177,172</w:t>
            </w: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212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212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168,115</w:t>
            </w:r>
          </w:p>
        </w:tc>
        <w:tc>
          <w:tcPr>
            <w:tcW w:w="20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135,670</w:t>
            </w: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15,745,678</w:t>
            </w:r>
          </w:p>
        </w:tc>
        <w:tc>
          <w:tcPr>
            <w:tcW w:w="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9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5,079,606</w:t>
            </w:r>
          </w:p>
        </w:tc>
        <w:tc>
          <w:tcPr>
            <w:tcW w:w="6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21,129,069</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115,359</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137,945</w:t>
            </w:r>
          </w:p>
        </w:tc>
        <w:tc>
          <w:tcPr>
            <w:tcW w:w="7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14,844,962</w:t>
            </w:r>
          </w:p>
        </w:tc>
        <w:tc>
          <w:tcPr>
            <w:tcW w:w="112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4,950,754</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20,049,020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type w:val="continuous"/>
        </w:sectPr>
      </w:pPr>
    </w:p>
    <w:bookmarkStart w:id="262" w:name="page263"/>
    <w:bookmarkEnd w:id="26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2009 and 2008, the financial instruments with exposure to credit risk were distributed by the following geographical areas: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00" w:type="dxa"/>
            <w:vAlign w:val="bottom"/>
            <w:gridSpan w:val="4"/>
          </w:tcPr>
          <w:p>
            <w:pPr>
              <w:jc w:val="right"/>
              <w:ind w:right="220"/>
              <w:spacing w:after="0" w:line="198" w:lineRule="exact"/>
              <w:rPr>
                <w:sz w:val="20"/>
                <w:szCs w:val="20"/>
                <w:color w:val="auto"/>
              </w:rPr>
            </w:pPr>
            <w:r>
              <w:rPr>
                <w:rFonts w:ascii="Arial" w:cs="Arial" w:eastAsia="Arial" w:hAnsi="Arial"/>
                <w:sz w:val="18"/>
                <w:szCs w:val="18"/>
                <w:b w:val="1"/>
                <w:bCs w:val="1"/>
                <w:color w:val="auto"/>
                <w:w w:val="89"/>
              </w:rPr>
              <w:t>Designated at fair value through</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right"/>
              <w:ind w:right="980"/>
              <w:spacing w:after="0"/>
              <w:rPr>
                <w:sz w:val="20"/>
                <w:szCs w:val="20"/>
                <w:color w:val="auto"/>
              </w:rPr>
            </w:pPr>
            <w:r>
              <w:rPr>
                <w:rFonts w:ascii="Arial" w:cs="Arial" w:eastAsia="Arial" w:hAnsi="Arial"/>
                <w:sz w:val="18"/>
                <w:szCs w:val="18"/>
                <w:b w:val="1"/>
                <w:bCs w:val="1"/>
                <w:color w:val="auto"/>
              </w:rPr>
              <w:t>profit or loss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40"/>
              <w:spacing w:after="0" w:line="198" w:lineRule="exact"/>
              <w:rPr>
                <w:sz w:val="20"/>
                <w:szCs w:val="20"/>
                <w:color w:val="auto"/>
              </w:rPr>
            </w:pPr>
            <w:r>
              <w:rPr>
                <w:rFonts w:ascii="Arial" w:cs="Arial" w:eastAsia="Arial" w:hAnsi="Arial"/>
                <w:sz w:val="18"/>
                <w:szCs w:val="18"/>
                <w:b w:val="1"/>
                <w:bCs w:val="1"/>
                <w:color w:val="auto"/>
                <w:w w:val="94"/>
              </w:rPr>
              <w:t>Held for</w:t>
            </w: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trading and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Loans and</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Investments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hedging</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At inception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receivables</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available-for-sale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280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133,292</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11,231</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13,749,305</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3,156,355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17,050,183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gridSpan w:val="4"/>
          </w:tcPr>
          <w:p>
            <w:pPr>
              <w:jc w:val="right"/>
              <w:ind w:right="220"/>
              <w:spacing w:after="0"/>
              <w:rPr>
                <w:sz w:val="20"/>
                <w:szCs w:val="20"/>
                <w:color w:val="auto"/>
              </w:rPr>
            </w:pPr>
            <w:r>
              <w:rPr>
                <w:rFonts w:ascii="Arial" w:cs="Arial" w:eastAsia="Arial" w:hAnsi="Arial"/>
                <w:sz w:val="18"/>
                <w:szCs w:val="18"/>
                <w:color w:val="auto"/>
              </w:rPr>
              <w:t>23,596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123,570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806,511</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943,922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1,897,599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Bolivia</w:t>
            </w:r>
          </w:p>
        </w:tc>
        <w:tc>
          <w:tcPr>
            <w:tcW w:w="25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727,883</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216,016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943,920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Europe</w:t>
            </w:r>
          </w:p>
        </w:tc>
        <w:tc>
          <w:tcPr>
            <w:tcW w:w="2800" w:type="dxa"/>
            <w:vAlign w:val="bottom"/>
            <w:gridSpan w:val="4"/>
          </w:tcPr>
          <w:p>
            <w:pPr>
              <w:jc w:val="right"/>
              <w:ind w:right="220"/>
              <w:spacing w:after="0"/>
              <w:rPr>
                <w:sz w:val="20"/>
                <w:szCs w:val="20"/>
                <w:color w:val="auto"/>
              </w:rPr>
            </w:pPr>
            <w:r>
              <w:rPr>
                <w:rFonts w:ascii="Arial" w:cs="Arial" w:eastAsia="Arial" w:hAnsi="Arial"/>
                <w:sz w:val="18"/>
                <w:szCs w:val="18"/>
                <w:color w:val="auto"/>
              </w:rPr>
              <w:t>4,276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154,131</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122,527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280,934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Colombia</w:t>
            </w:r>
          </w:p>
        </w:tc>
        <w:tc>
          <w:tcPr>
            <w:tcW w:w="25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25,502</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191,036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216,538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Chile</w:t>
            </w:r>
          </w:p>
        </w:tc>
        <w:tc>
          <w:tcPr>
            <w:tcW w:w="2800" w:type="dxa"/>
            <w:vAlign w:val="bottom"/>
            <w:gridSpan w:val="4"/>
          </w:tcPr>
          <w:p>
            <w:pPr>
              <w:jc w:val="right"/>
              <w:ind w:right="220"/>
              <w:spacing w:after="0"/>
              <w:rPr>
                <w:sz w:val="20"/>
                <w:szCs w:val="20"/>
                <w:color w:val="auto"/>
              </w:rPr>
            </w:pPr>
            <w:r>
              <w:rPr>
                <w:rFonts w:ascii="Arial" w:cs="Arial" w:eastAsia="Arial" w:hAnsi="Arial"/>
                <w:sz w:val="18"/>
                <w:szCs w:val="18"/>
                <w:color w:val="auto"/>
              </w:rPr>
              <w:t>104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45,457</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165,856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211,417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280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6,826</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869</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236,889</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283,894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528,478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280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168,115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135,670</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15,745,678</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5,079,606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21,129,069</w:t>
            </w: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140" w:type="dxa"/>
            <w:vAlign w:val="bottom"/>
            <w:tcBorders>
              <w:top w:val="single" w:sz="8" w:color="CCFFCC"/>
            </w:tcBorders>
          </w:tcPr>
          <w:p>
            <w:pPr>
              <w:spacing w:after="0"/>
              <w:rPr>
                <w:sz w:val="24"/>
                <w:szCs w:val="24"/>
                <w:color w:val="auto"/>
              </w:rPr>
            </w:pPr>
          </w:p>
        </w:tc>
        <w:tc>
          <w:tcPr>
            <w:tcW w:w="1320" w:type="dxa"/>
            <w:vAlign w:val="bottom"/>
            <w:tcBorders>
              <w:top w:val="single" w:sz="8" w:color="CCFFCC"/>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FFCC"/>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FFCC"/>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top w:val="single" w:sz="8" w:color="CCFFCC"/>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FFCC"/>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20" w:type="dxa"/>
            <w:vAlign w:val="bottom"/>
            <w:gridSpan w:val="5"/>
          </w:tcPr>
          <w:p>
            <w:pPr>
              <w:jc w:val="right"/>
              <w:ind w:right="280"/>
              <w:spacing w:after="0" w:line="198" w:lineRule="exact"/>
              <w:rPr>
                <w:sz w:val="20"/>
                <w:szCs w:val="20"/>
                <w:color w:val="auto"/>
              </w:rPr>
            </w:pPr>
            <w:r>
              <w:rPr>
                <w:rFonts w:ascii="Arial" w:cs="Arial" w:eastAsia="Arial" w:hAnsi="Arial"/>
                <w:sz w:val="18"/>
                <w:szCs w:val="18"/>
                <w:b w:val="1"/>
                <w:bCs w:val="1"/>
                <w:color w:val="auto"/>
                <w:w w:val="91"/>
              </w:rPr>
              <w:t>Designated at fair value through</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0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profit or loss</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80" w:type="dxa"/>
            <w:vAlign w:val="bottom"/>
            <w:tcBorders>
              <w:top w:val="single" w:sz="8" w:color="auto"/>
            </w:tcBorders>
            <w:gridSpan w:val="3"/>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Held for trading</w:t>
            </w:r>
          </w:p>
        </w:tc>
        <w:tc>
          <w:tcPr>
            <w:tcW w:w="11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1"/>
              </w:rPr>
              <w:t>Loans and</w:t>
            </w:r>
          </w:p>
        </w:tc>
        <w:tc>
          <w:tcPr>
            <w:tcW w:w="1520" w:type="dxa"/>
            <w:vAlign w:val="bottom"/>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9"/>
              </w:rPr>
              <w:t>Investments</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and hedging</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At inception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receivables</w:t>
            </w:r>
          </w:p>
        </w:tc>
        <w:tc>
          <w:tcPr>
            <w:tcW w:w="15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available-for-sale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US$(000)</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US$(000)</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80" w:type="dxa"/>
            <w:vAlign w:val="bottom"/>
            <w:gridSpan w:val="3"/>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Peru</w:t>
            </w:r>
          </w:p>
        </w:tc>
        <w:tc>
          <w:tcPr>
            <w:tcW w:w="280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113,015</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4,497</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12,565,873</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3,566,716</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16,250,101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2800" w:type="dxa"/>
            <w:vAlign w:val="bottom"/>
            <w:gridSpan w:val="4"/>
          </w:tcPr>
          <w:p>
            <w:pPr>
              <w:jc w:val="right"/>
              <w:ind w:right="220"/>
              <w:spacing w:after="0"/>
              <w:rPr>
                <w:sz w:val="20"/>
                <w:szCs w:val="20"/>
                <w:color w:val="auto"/>
              </w:rPr>
            </w:pPr>
            <w:r>
              <w:rPr>
                <w:rFonts w:ascii="Arial" w:cs="Arial" w:eastAsia="Arial" w:hAnsi="Arial"/>
                <w:sz w:val="18"/>
                <w:szCs w:val="18"/>
                <w:color w:val="auto"/>
              </w:rPr>
              <w:t>109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132,722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871,859</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678,093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1,682,783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Bolivia</w:t>
            </w:r>
          </w:p>
        </w:tc>
        <w:tc>
          <w:tcPr>
            <w:tcW w:w="2800" w:type="dxa"/>
            <w:vAlign w:val="bottom"/>
            <w:gridSpan w:val="4"/>
            <w:shd w:val="clear" w:color="auto" w:fill="CCFFCC"/>
          </w:tcPr>
          <w:p>
            <w:pPr>
              <w:jc w:val="right"/>
              <w:ind w:right="220"/>
              <w:spacing w:after="0"/>
              <w:rPr>
                <w:sz w:val="20"/>
                <w:szCs w:val="20"/>
                <w:color w:val="auto"/>
              </w:rPr>
            </w:pPr>
            <w:r>
              <w:rPr>
                <w:rFonts w:ascii="Arial" w:cs="Arial" w:eastAsia="Arial" w:hAnsi="Arial"/>
                <w:sz w:val="18"/>
                <w:szCs w:val="18"/>
                <w:color w:val="auto"/>
              </w:rPr>
              <w:t>2,224</w:t>
            </w: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566,170</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309,530</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877,924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Europe</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307,533</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84,445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391,978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Chile</w:t>
            </w:r>
          </w:p>
        </w:tc>
        <w:tc>
          <w:tcPr>
            <w:tcW w:w="25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115,883</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90,587</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Colombia</w:t>
            </w:r>
          </w:p>
        </w:tc>
        <w:tc>
          <w:tcPr>
            <w:tcW w:w="25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101,173</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72,178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173,351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320" w:type="dxa"/>
            <w:vAlign w:val="bottom"/>
            <w:shd w:val="clear" w:color="auto" w:fill="CCFFCC"/>
          </w:tcPr>
          <w:p>
            <w:pPr>
              <w:spacing w:after="0"/>
              <w:rPr>
                <w:sz w:val="19"/>
                <w:szCs w:val="19"/>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CFFCC"/>
          </w:tcPr>
          <w:p>
            <w:pPr>
              <w:spacing w:after="0"/>
              <w:rPr>
                <w:sz w:val="19"/>
                <w:szCs w:val="19"/>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726</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316,471</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149,205</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466,413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40" w:type="dxa"/>
            <w:vAlign w:val="bottom"/>
            <w:tcBorders>
              <w:top w:val="single" w:sz="8" w:color="CCFFCC"/>
            </w:tcBorders>
          </w:tcPr>
          <w:p>
            <w:pPr>
              <w:spacing w:after="0"/>
              <w:rPr>
                <w:sz w:val="18"/>
                <w:szCs w:val="18"/>
                <w:color w:val="auto"/>
              </w:rPr>
            </w:pPr>
          </w:p>
        </w:tc>
        <w:tc>
          <w:tcPr>
            <w:tcW w:w="132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gridSpan w:val="2"/>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115,359</w:t>
            </w:r>
          </w:p>
        </w:tc>
        <w:tc>
          <w:tcPr>
            <w:tcW w:w="220" w:type="dxa"/>
            <w:vAlign w:val="bottom"/>
            <w:shd w:val="clear" w:color="auto" w:fill="CCFFCC"/>
          </w:tcPr>
          <w:p>
            <w:pPr>
              <w:spacing w:after="0"/>
              <w:rPr>
                <w:sz w:val="20"/>
                <w:szCs w:val="20"/>
                <w:color w:val="auto"/>
              </w:rPr>
            </w:pPr>
          </w:p>
        </w:tc>
        <w:tc>
          <w:tcPr>
            <w:tcW w:w="13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137,945</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14,844,962</w:t>
            </w:r>
          </w:p>
        </w:tc>
        <w:tc>
          <w:tcPr>
            <w:tcW w:w="15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4,950,754</w:t>
            </w: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20,049,020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w w:val="93"/>
              </w:rPr>
              <w:t>F-109</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140" w:type="dxa"/>
            <w:vAlign w:val="bottom"/>
            <w:tcBorders>
              <w:bottom w:val="single" w:sz="8" w:color="808080"/>
            </w:tcBorders>
          </w:tcPr>
          <w:p>
            <w:pPr>
              <w:spacing w:after="0"/>
              <w:rPr>
                <w:sz w:val="10"/>
                <w:szCs w:val="10"/>
                <w:color w:val="auto"/>
              </w:rPr>
            </w:pPr>
          </w:p>
        </w:tc>
        <w:tc>
          <w:tcPr>
            <w:tcW w:w="13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3" w:name="page264"/>
    <w:bookmarkEnd w:id="26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29.2</w:t>
      </w:r>
      <w:r>
        <w:rPr>
          <w:sz w:val="20"/>
          <w:szCs w:val="20"/>
          <w:color w:val="auto"/>
        </w:rPr>
        <w:tab/>
      </w:r>
      <w:r>
        <w:rPr>
          <w:rFonts w:ascii="Arial" w:cs="Arial" w:eastAsia="Arial" w:hAnsi="Arial"/>
          <w:sz w:val="17"/>
          <w:szCs w:val="17"/>
          <w:b w:val="1"/>
          <w:bCs w:val="1"/>
          <w:color w:val="auto"/>
        </w:rPr>
        <w:t>Market risk -</w:t>
      </w:r>
    </w:p>
    <w:p>
      <w:pPr>
        <w:spacing w:after="0" w:line="27"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20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20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Trading portfolios include those liquid positions arising from market-making transactions where the Group acts as principal with clients or with the market. Non-trading portfolios consist of relatively illiquid positions, mainly banking assets and liabilities (deposits and loans) and non-trading investments (available-for-sale).</w:t>
      </w:r>
    </w:p>
    <w:p>
      <w:pPr>
        <w:spacing w:after="0" w:line="208"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Liability Management (ALM).</w:t>
      </w:r>
    </w:p>
    <w:p>
      <w:pPr>
        <w:spacing w:after="0" w:line="197" w:lineRule="exact"/>
        <w:rPr>
          <w:sz w:val="20"/>
          <w:szCs w:val="20"/>
          <w:color w:val="auto"/>
        </w:rPr>
      </w:pPr>
    </w:p>
    <w:p>
      <w:pPr>
        <w:ind w:left="1160" w:hanging="490"/>
        <w:spacing w:after="0"/>
        <w:tabs>
          <w:tab w:leader="none" w:pos="1160"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Trading Book -</w:t>
      </w:r>
    </w:p>
    <w:p>
      <w:pPr>
        <w:spacing w:after="0" w:line="23" w:lineRule="exact"/>
        <w:rPr>
          <w:rFonts w:ascii="Arial" w:cs="Arial" w:eastAsia="Arial" w:hAnsi="Arial"/>
          <w:sz w:val="18"/>
          <w:szCs w:val="18"/>
          <w:color w:val="auto"/>
        </w:rPr>
      </w:pPr>
    </w:p>
    <w:p>
      <w:pPr>
        <w:ind w:left="1140" w:right="80"/>
        <w:spacing w:after="0" w:line="253" w:lineRule="auto"/>
        <w:rPr>
          <w:rFonts w:ascii="Arial" w:cs="Arial" w:eastAsia="Arial" w:hAnsi="Arial"/>
          <w:sz w:val="18"/>
          <w:szCs w:val="18"/>
          <w:color w:val="auto"/>
        </w:rPr>
      </w:pPr>
      <w:r>
        <w:rPr>
          <w:rFonts w:ascii="Arial" w:cs="Arial" w:eastAsia="Arial" w:hAnsi="Arial"/>
          <w:sz w:val="18"/>
          <w:szCs w:val="18"/>
          <w:color w:val="auto"/>
        </w:rPr>
        <w:t>The trading book is made up of liquid investment instruments. The trading book is characterized for having liquid positions in equities, bonds, foreign currencies and derivatives. Some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 The major measurement technique used to measure and control market risk is Value at Risk (VaR).</w:t>
      </w:r>
    </w:p>
    <w:p>
      <w:pPr>
        <w:spacing w:after="0" w:line="218" w:lineRule="exact"/>
        <w:rPr>
          <w:rFonts w:ascii="Arial" w:cs="Arial" w:eastAsia="Arial" w:hAnsi="Arial"/>
          <w:sz w:val="18"/>
          <w:szCs w:val="18"/>
          <w:color w:val="auto"/>
        </w:rPr>
      </w:pPr>
    </w:p>
    <w:p>
      <w:pPr>
        <w:jc w:val="both"/>
        <w:ind w:left="1140" w:right="60"/>
        <w:spacing w:after="0" w:line="264" w:lineRule="auto"/>
        <w:rPr>
          <w:rFonts w:ascii="Arial" w:cs="Arial" w:eastAsia="Arial" w:hAnsi="Arial"/>
          <w:sz w:val="18"/>
          <w:szCs w:val="18"/>
          <w:color w:val="auto"/>
        </w:rPr>
      </w:pPr>
      <w:r>
        <w:rPr>
          <w:rFonts w:ascii="Arial" w:cs="Arial" w:eastAsia="Arial" w:hAnsi="Arial"/>
          <w:sz w:val="18"/>
          <w:szCs w:val="18"/>
          <w:color w:val="auto"/>
        </w:rPr>
        <w:t>The Group applies VaR to its trading portfolios to estimate the market risk of positions held and the maximum losses that are expected, based upon a number of assumptions for various changes in market conditions. The Risk Management Committee set limits on the level of risk that may be accepted and review of daily.</w:t>
      </w:r>
    </w:p>
    <w:p>
      <w:pPr>
        <w:spacing w:after="0" w:line="208" w:lineRule="exact"/>
        <w:rPr>
          <w:rFonts w:ascii="Arial" w:cs="Arial" w:eastAsia="Arial" w:hAnsi="Arial"/>
          <w:sz w:val="18"/>
          <w:szCs w:val="18"/>
          <w:color w:val="auto"/>
        </w:rPr>
      </w:pPr>
    </w:p>
    <w:p>
      <w:pPr>
        <w:ind w:left="1140" w:right="60"/>
        <w:spacing w:after="0" w:line="272" w:lineRule="auto"/>
        <w:rPr>
          <w:rFonts w:ascii="Arial" w:cs="Arial" w:eastAsia="Arial" w:hAnsi="Arial"/>
          <w:sz w:val="18"/>
          <w:szCs w:val="18"/>
          <w:color w:val="auto"/>
        </w:rPr>
      </w:pPr>
      <w:r>
        <w:rPr>
          <w:rFonts w:ascii="Arial" w:cs="Arial" w:eastAsia="Arial" w:hAnsi="Arial"/>
          <w:sz w:val="17"/>
          <w:szCs w:val="17"/>
          <w:color w:val="auto"/>
        </w:rPr>
        <w:t>VaR is a statistically-based estimate of the potential loss on the current portfolio from adverse market movements. It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day - 10 days). The time horizon used to calculate VaR is one day; however, the one-day VAR is amplified to a 10-day time frame and calculated multiplying the one-day VaR times the square root of 10 - results are presented in the tables below. The assessment of past movements has been based on historical one-year data. The Group applies these historical changes in rates directly to its current positions (a method known as historical simulation).</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w:t>
      </w:r>
    </w:p>
    <w:p>
      <w:pPr>
        <w:spacing w:after="0" w:line="24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December 31, 2009 and 2008, the Group’s VaR by type of asset was as follows</w:t>
      </w:r>
      <w:r>
        <w:rPr>
          <w:rFonts w:ascii="Arial" w:cs="Arial" w:eastAsia="Arial" w:hAnsi="Arial"/>
          <w:sz w:val="18"/>
          <w:szCs w:val="18"/>
          <w:b w:val="1"/>
          <w:bCs w:val="1"/>
          <w:color w:val="auto"/>
        </w:rPr>
        <w: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3"/>
              </w:rPr>
              <w:t>US$(000)</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Mutual funds</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Fixed income</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1,142</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Derivatives</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2,541</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2,269</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000" w:type="dxa"/>
            <w:vAlign w:val="bottom"/>
          </w:tcPr>
          <w:p>
            <w:pPr>
              <w:ind w:left="1120"/>
              <w:spacing w:after="0"/>
              <w:rPr>
                <w:sz w:val="20"/>
                <w:szCs w:val="20"/>
                <w:color w:val="auto"/>
              </w:rPr>
            </w:pPr>
            <w:r>
              <w:rPr>
                <w:rFonts w:ascii="Arial" w:cs="Arial" w:eastAsia="Arial" w:hAnsi="Arial"/>
                <w:sz w:val="18"/>
                <w:szCs w:val="18"/>
                <w:color w:val="auto"/>
                <w:w w:val="92"/>
              </w:rPr>
              <w:t>As of December 31, 2009 and 2008, the Group’s VaR by risk type is as follows</w:t>
            </w:r>
            <w:r>
              <w:rPr>
                <w:rFonts w:ascii="Arial" w:cs="Arial" w:eastAsia="Arial" w:hAnsi="Arial"/>
                <w:sz w:val="18"/>
                <w:szCs w:val="18"/>
                <w:b w:val="1"/>
                <w:bCs w:val="1"/>
                <w:color w:val="auto"/>
                <w:w w:val="92"/>
              </w:rPr>
              <w:t>:</w:t>
            </w: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2009</w:t>
            </w: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p>
        </w:tc>
        <w:tc>
          <w:tcPr>
            <w:tcW w:w="1080" w:type="dxa"/>
            <w:vAlign w:val="bottom"/>
          </w:tcPr>
          <w:p>
            <w:pPr>
              <w:jc w:val="center"/>
              <w:ind w:right="30"/>
              <w:spacing w:after="0"/>
              <w:rPr>
                <w:sz w:val="20"/>
                <w:szCs w:val="20"/>
                <w:color w:val="auto"/>
              </w:rPr>
            </w:pPr>
            <w:r>
              <w:rPr>
                <w:rFonts w:ascii="Arial" w:cs="Arial" w:eastAsia="Arial" w:hAnsi="Arial"/>
                <w:sz w:val="18"/>
                <w:szCs w:val="18"/>
                <w:color w:val="auto"/>
                <w:w w:val="93"/>
              </w:rPr>
              <w:t>US$(000)</w:t>
            </w:r>
          </w:p>
        </w:tc>
        <w:tc>
          <w:tcPr>
            <w:tcW w:w="104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Foreign exchange risk</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985</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Interest rate risk</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1,802</w:t>
            </w:r>
          </w:p>
        </w:tc>
        <w:tc>
          <w:tcPr>
            <w:tcW w:w="1040" w:type="dxa"/>
            <w:vAlign w:val="bottom"/>
          </w:tcPr>
          <w:p>
            <w:pPr>
              <w:jc w:val="right"/>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FFCC"/>
          </w:tcPr>
          <w:p>
            <w:pPr>
              <w:spacing w:after="0"/>
              <w:rPr>
                <w:sz w:val="20"/>
                <w:szCs w:val="20"/>
                <w:color w:val="auto"/>
              </w:rPr>
            </w:pPr>
            <w:r>
              <w:rPr>
                <w:rFonts w:ascii="Arial" w:cs="Arial" w:eastAsia="Arial" w:hAnsi="Arial"/>
                <w:sz w:val="18"/>
                <w:szCs w:val="18"/>
                <w:color w:val="auto"/>
              </w:rPr>
              <w:t>Equity risk</w:t>
            </w:r>
          </w:p>
        </w:tc>
        <w:tc>
          <w:tcPr>
            <w:tcW w:w="108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Consolidated VaR by risk type</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2,269</w:t>
            </w:r>
          </w:p>
        </w:tc>
        <w:tc>
          <w:tcPr>
            <w:tcW w:w="1040" w:type="dxa"/>
            <w:vAlign w:val="bottom"/>
          </w:tcPr>
          <w:p>
            <w:pPr>
              <w:jc w:val="right"/>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1160" w:hanging="490"/>
        <w:spacing w:after="0"/>
        <w:tabs>
          <w:tab w:leader="none" w:pos="11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ALM Book -</w:t>
      </w:r>
    </w:p>
    <w:p>
      <w:pPr>
        <w:spacing w:after="0" w:line="23" w:lineRule="exact"/>
        <w:rPr>
          <w:rFonts w:ascii="Arial" w:cs="Arial" w:eastAsia="Arial" w:hAnsi="Arial"/>
          <w:sz w:val="18"/>
          <w:szCs w:val="18"/>
          <w:color w:val="auto"/>
        </w:rPr>
      </w:pPr>
    </w:p>
    <w:p>
      <w:pPr>
        <w:ind w:left="1140"/>
        <w:spacing w:after="0" w:line="255" w:lineRule="auto"/>
        <w:rPr>
          <w:rFonts w:ascii="Arial" w:cs="Arial" w:eastAsia="Arial" w:hAnsi="Arial"/>
          <w:sz w:val="18"/>
          <w:szCs w:val="18"/>
          <w:color w:val="auto"/>
        </w:rPr>
      </w:pPr>
      <w:r>
        <w:rPr>
          <w:rFonts w:ascii="Arial" w:cs="Arial" w:eastAsia="Arial" w:hAnsi="Arial"/>
          <w:sz w:val="18"/>
          <w:szCs w:val="18"/>
          <w:color w:val="auto"/>
        </w:rPr>
        <w:t>The management of the risks associated with long-term and structural positions is called Asset and Liability Management (ALM). Non-trading portfolios which comprise the ALM Book are exposed to different sensitivities that can bring about a deterioration in the value of the assets compared to its liabilities and hence to a reduction of its net worth.</w:t>
      </w:r>
    </w:p>
    <w:p>
      <w:pPr>
        <w:spacing w:after="0" w:line="3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0" w:right="379"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hanging="478"/>
        <w:spacing w:after="0"/>
        <w:tabs>
          <w:tab w:leader="none" w:pos="16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Interest risk -</w:t>
      </w:r>
    </w:p>
    <w:p>
      <w:pPr>
        <w:spacing w:after="0" w:line="23" w:lineRule="exact"/>
        <w:rPr>
          <w:rFonts w:ascii="Arial" w:cs="Arial" w:eastAsia="Arial" w:hAnsi="Arial"/>
          <w:sz w:val="18"/>
          <w:szCs w:val="18"/>
          <w:color w:val="auto"/>
        </w:rPr>
      </w:pPr>
    </w:p>
    <w:p>
      <w:pPr>
        <w:ind w:left="1620"/>
        <w:spacing w:after="0" w:line="252" w:lineRule="auto"/>
        <w:rPr>
          <w:rFonts w:ascii="Arial" w:cs="Arial" w:eastAsia="Arial" w:hAnsi="Arial"/>
          <w:sz w:val="18"/>
          <w:szCs w:val="18"/>
          <w:color w:val="auto"/>
        </w:rPr>
      </w:pPr>
      <w:r>
        <w:rPr>
          <w:rFonts w:ascii="Arial" w:cs="Arial" w:eastAsia="Arial" w:hAnsi="Arial"/>
          <w:sz w:val="18"/>
          <w:szCs w:val="18"/>
          <w:color w:val="auto"/>
        </w:rPr>
        <w:t>Interest rate risk arises from the possibility that changes in interest rates will affect future cash flows or the fair values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takes on exposure to the effects of fluctuations in the prevailing levels of market interest rates on both its fair value and cash flow risks. Interest margins may increase as a result of such changes but may also decrease in the event that unexpected movements arise. The Board sets limits on the level of mismatch of interest rate re-pricing that may be undertaken, which is monitored daily by Treasury Department.</w:t>
      </w:r>
    </w:p>
    <w:p>
      <w:pPr>
        <w:spacing w:after="0" w:line="216"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b w:val="1"/>
          <w:bCs w:val="1"/>
          <w:color w:val="auto"/>
        </w:rPr>
        <w:t>Re-pricing gap -</w:t>
      </w:r>
    </w:p>
    <w:p>
      <w:pPr>
        <w:spacing w:after="0" w:line="27" w:lineRule="exact"/>
        <w:rPr>
          <w:rFonts w:ascii="Arial" w:cs="Arial" w:eastAsia="Arial" w:hAnsi="Arial"/>
          <w:sz w:val="18"/>
          <w:szCs w:val="18"/>
          <w:color w:val="auto"/>
        </w:rPr>
      </w:pPr>
    </w:p>
    <w:p>
      <w:pPr>
        <w:ind w:left="1620" w:right="180"/>
        <w:spacing w:after="0" w:line="323" w:lineRule="auto"/>
        <w:rPr>
          <w:rFonts w:ascii="Arial" w:cs="Arial" w:eastAsia="Arial" w:hAnsi="Arial"/>
          <w:sz w:val="18"/>
          <w:szCs w:val="18"/>
          <w:color w:val="auto"/>
        </w:rPr>
      </w:pPr>
      <w:r>
        <w:rPr>
          <w:rFonts w:ascii="Arial" w:cs="Arial" w:eastAsia="Arial" w:hAnsi="Arial"/>
          <w:sz w:val="16"/>
          <w:szCs w:val="16"/>
          <w:color w:val="auto"/>
        </w:rPr>
        <w:t>Gap analysis comprises aggregating re-pricing timeframes into buckets and checking if each bucket nets to zero. Different bucketing schemes might be used. An interest rate gap is simply a positive or negative net re-pricing timeframe for one of the buckets.</w:t>
      </w:r>
    </w:p>
    <w:p>
      <w:pPr>
        <w:spacing w:after="0" w:line="3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320"/>
        <w:spacing w:after="0" w:line="277" w:lineRule="auto"/>
        <w:rPr>
          <w:sz w:val="20"/>
          <w:szCs w:val="20"/>
          <w:color w:val="auto"/>
        </w:rPr>
      </w:pPr>
      <w:r>
        <w:rPr>
          <w:rFonts w:ascii="Arial" w:cs="Arial" w:eastAsia="Arial" w:hAnsi="Arial"/>
          <w:sz w:val="18"/>
          <w:szCs w:val="18"/>
          <w:color w:val="auto"/>
        </w:rPr>
        <w:t>The table below summarizes the Group’s exposure to interest rate risks. It includes the Group’s financial instruments at carrying amounts, categorized by the earlier of contractual re-pricing or maturity dates: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As of December 31, 2009</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Up to 1 month</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1 to 3 months</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3 to 12 months</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1 to 5 years</w:t>
            </w:r>
          </w:p>
        </w:tc>
        <w:tc>
          <w:tcPr>
            <w:tcW w:w="106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6"/>
              </w:rPr>
              <w:t>More than 5</w:t>
            </w:r>
          </w:p>
        </w:tc>
        <w:tc>
          <w:tcPr>
            <w:tcW w:w="11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years</w:t>
            </w:r>
          </w:p>
        </w:tc>
        <w:tc>
          <w:tcPr>
            <w:tcW w:w="11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bearing</w:t>
            </w: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US$(000)</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US$(000)</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rPr>
              <w:t>US$(000)</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2,745,587</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70,616</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81,969</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938,486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3,836,658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494,937</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1,009,295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1,009,704</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1,254,765</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928,562</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453,117</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5,150,380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1,739,632</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3,144,271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2,142,219</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3,176,243</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1,028,915</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11,231,280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Assets designated at fair value through profit or loss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310</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1,657</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3,565</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129,880</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135,670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121,338</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121,338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Accounts receivable from reinsurers and coinsurers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137,098</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137,098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1,415,683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1,415,683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4,980,156</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4,224,440</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3,234,202</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4,432,665</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1,961,042</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3,195,602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22,028,107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4,025,133</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3,716,882</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2,711,965</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311,252</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28,601</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3,297,995</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14,091,828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310,694</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633,874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10,208</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128,643</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57,835</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26,184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1,167,438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Accounts payable to reinsurers and coinsurers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48,009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48,009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Technical, insurance claims reserves and reserves for</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80" w:type="dxa"/>
            <w:vAlign w:val="bottom"/>
            <w:tcBorders>
              <w:right w:val="single" w:sz="8" w:color="CCFFCC"/>
            </w:tcBorders>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CFFCC"/>
          </w:tcPr>
          <w:p>
            <w:pPr>
              <w:ind w:left="160"/>
              <w:spacing w:after="0"/>
              <w:rPr>
                <w:sz w:val="20"/>
                <w:szCs w:val="20"/>
                <w:color w:val="auto"/>
              </w:rPr>
            </w:pPr>
            <w:r>
              <w:rPr>
                <w:rFonts w:ascii="Arial" w:cs="Arial" w:eastAsia="Arial" w:hAnsi="Arial"/>
                <w:sz w:val="14"/>
                <w:szCs w:val="14"/>
                <w:color w:val="auto"/>
              </w:rPr>
              <w:t>unearned premiums</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39,932</w:t>
            </w:r>
          </w:p>
        </w:tc>
        <w:tc>
          <w:tcPr>
            <w:tcW w:w="24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24,949</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112,373</w:t>
            </w:r>
          </w:p>
        </w:tc>
        <w:tc>
          <w:tcPr>
            <w:tcW w:w="118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4"/>
                <w:szCs w:val="14"/>
                <w:color w:val="auto"/>
              </w:rPr>
              <w:t>164,216</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367,552</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309,769</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1,018,791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Borrowed funds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953,461</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2,815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13,385</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93,177</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26,383</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1,089,221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5,880</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18,768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71,627</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448,803</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728,653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13,291</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1,287,022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822,446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822,446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2,503,352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2,503,352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5,335,100</w:t>
            </w:r>
          </w:p>
        </w:tc>
        <w:tc>
          <w:tcPr>
            <w:tcW w:w="240" w:type="dxa"/>
            <w:vAlign w:val="bottom"/>
          </w:tcPr>
          <w:p>
            <w:pPr>
              <w:spacing w:after="0"/>
              <w:rPr>
                <w:sz w:val="13"/>
                <w:szCs w:val="13"/>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4,397,288</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2,919,558</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1,146,091</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1,209,024</w:t>
            </w:r>
          </w:p>
        </w:tc>
        <w:tc>
          <w:tcPr>
            <w:tcW w:w="200" w:type="dxa"/>
            <w:vAlign w:val="bottom"/>
          </w:tcPr>
          <w:p>
            <w:pPr>
              <w:spacing w:after="0"/>
              <w:rPr>
                <w:sz w:val="13"/>
                <w:szCs w:val="13"/>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7,021,046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22,028,107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assets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2,094,179</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1,574,953</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976,153</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1,152,853</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67,810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5,865,948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Derivatives liabilities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957,368</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1,238,661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1,221,097</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2,042,343</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406,479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5,865,948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1,136,811</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336,292</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(244,944)</w:t>
            </w:r>
          </w:p>
        </w:tc>
        <w:tc>
          <w:tcPr>
            <w:tcW w:w="118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(889,490)</w:t>
            </w: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(338,669)</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781,867</w:t>
            </w:r>
          </w:p>
        </w:tc>
        <w:tc>
          <w:tcPr>
            <w:tcW w:w="240" w:type="dxa"/>
            <w:vAlign w:val="bottom"/>
          </w:tcPr>
          <w:p>
            <w:pPr>
              <w:spacing w:after="0"/>
              <w:rPr>
                <w:sz w:val="13"/>
                <w:szCs w:val="13"/>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163,444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69,700</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2,397,084</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413,349</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(3,825,444)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781,867</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945,311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1,015,011</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3,412,095</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3,825,444</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As of December 31, 2008</w:t>
            </w:r>
          </w:p>
        </w:tc>
        <w:tc>
          <w:tcPr>
            <w:tcW w:w="8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1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3"/>
              </w:rPr>
              <w:t>Up to 1 month</w:t>
            </w:r>
          </w:p>
        </w:tc>
        <w:tc>
          <w:tcPr>
            <w:tcW w:w="11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4"/>
              </w:rPr>
              <w:t>1 to 3 months</w:t>
            </w:r>
          </w:p>
        </w:tc>
        <w:tc>
          <w:tcPr>
            <w:tcW w:w="11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1"/>
              </w:rPr>
              <w:t>3 to 12 months</w:t>
            </w:r>
          </w:p>
        </w:tc>
        <w:tc>
          <w:tcPr>
            <w:tcW w:w="11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1 to 5 years</w:t>
            </w:r>
          </w:p>
        </w:tc>
        <w:tc>
          <w:tcPr>
            <w:tcW w:w="1060" w:type="dxa"/>
            <w:vAlign w:val="bottom"/>
            <w:gridSpan w:val="2"/>
          </w:tcPr>
          <w:p>
            <w:pPr>
              <w:jc w:val="center"/>
              <w:ind w:right="260"/>
              <w:spacing w:after="0" w:line="126" w:lineRule="exact"/>
              <w:rPr>
                <w:sz w:val="20"/>
                <w:szCs w:val="20"/>
                <w:color w:val="auto"/>
              </w:rPr>
            </w:pPr>
            <w:r>
              <w:rPr>
                <w:rFonts w:ascii="Arial" w:cs="Arial" w:eastAsia="Arial" w:hAnsi="Arial"/>
                <w:sz w:val="14"/>
                <w:szCs w:val="14"/>
                <w:b w:val="1"/>
                <w:bCs w:val="1"/>
                <w:color w:val="auto"/>
                <w:w w:val="96"/>
              </w:rPr>
              <w:t>More than 5</w:t>
            </w:r>
          </w:p>
        </w:tc>
        <w:tc>
          <w:tcPr>
            <w:tcW w:w="1120" w:type="dxa"/>
            <w:vAlign w:val="bottom"/>
            <w:gridSpan w:val="2"/>
          </w:tcPr>
          <w:p>
            <w:pPr>
              <w:jc w:val="center"/>
              <w:ind w:right="200"/>
              <w:spacing w:after="0" w:line="126" w:lineRule="exact"/>
              <w:rPr>
                <w:sz w:val="20"/>
                <w:szCs w:val="20"/>
                <w:color w:val="auto"/>
              </w:rPr>
            </w:pPr>
            <w:r>
              <w:rPr>
                <w:rFonts w:ascii="Arial" w:cs="Arial" w:eastAsia="Arial" w:hAnsi="Arial"/>
                <w:sz w:val="14"/>
                <w:szCs w:val="14"/>
                <w:b w:val="1"/>
                <w:bCs w:val="1"/>
                <w:color w:val="auto"/>
                <w:w w:val="92"/>
              </w:rPr>
              <w:t>Non-interest</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7"/>
              </w:rPr>
              <w:t>years</w:t>
            </w:r>
          </w:p>
        </w:tc>
        <w:tc>
          <w:tcPr>
            <w:tcW w:w="112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w w:val="94"/>
              </w:rPr>
              <w:t>bearing</w:t>
            </w: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US$(000)</w:t>
            </w:r>
          </w:p>
        </w:tc>
        <w:tc>
          <w:tcPr>
            <w:tcW w:w="1160" w:type="dxa"/>
            <w:vAlign w:val="bottom"/>
            <w:gridSpan w:val="2"/>
          </w:tcPr>
          <w:p>
            <w:pPr>
              <w:jc w:val="right"/>
              <w:ind w:right="420"/>
              <w:spacing w:after="0"/>
              <w:rPr>
                <w:sz w:val="20"/>
                <w:szCs w:val="20"/>
                <w:color w:val="auto"/>
              </w:rPr>
            </w:pPr>
            <w:r>
              <w:rPr>
                <w:rFonts w:ascii="Arial" w:cs="Arial" w:eastAsia="Arial" w:hAnsi="Arial"/>
                <w:sz w:val="14"/>
                <w:szCs w:val="14"/>
                <w:color w:val="auto"/>
              </w:rPr>
              <w:t>US$(000)</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1180" w:type="dxa"/>
            <w:vAlign w:val="bottom"/>
            <w:gridSpan w:val="2"/>
          </w:tcPr>
          <w:p>
            <w:pPr>
              <w:jc w:val="right"/>
              <w:ind w:right="440"/>
              <w:spacing w:after="0"/>
              <w:rPr>
                <w:sz w:val="20"/>
                <w:szCs w:val="20"/>
                <w:color w:val="auto"/>
              </w:rPr>
            </w:pPr>
            <w:r>
              <w:rPr>
                <w:rFonts w:ascii="Arial" w:cs="Arial" w:eastAsia="Arial" w:hAnsi="Arial"/>
                <w:sz w:val="14"/>
                <w:szCs w:val="14"/>
                <w:color w:val="auto"/>
              </w:rPr>
              <w:t>US$(000)</w:t>
            </w: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US$(000)</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35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Assets</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2,455,413</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196,588</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46,536</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10,218</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1,057,416</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3,766,171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Investments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818,153</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1,208,344</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988,796</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542,759</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1,139,201</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289,585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4,986,838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Loans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2,038,457</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2,412,234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2,274,854</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2,992,480</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604,016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10,322,041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Assets designated at fair value through profit or loss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249</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329</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790</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1,954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134,623</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137,945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Premiums and other policies receivables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111,561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111,561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Accounts receivable from reinsurers and coinsurers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165,144</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165,144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1,331,369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1,331,369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 assets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5,312,023</w:t>
            </w:r>
          </w:p>
        </w:tc>
        <w:tc>
          <w:tcPr>
            <w:tcW w:w="240" w:type="dxa"/>
            <w:vAlign w:val="bottom"/>
            <w:shd w:val="clear" w:color="auto" w:fill="CCFFCC"/>
          </w:tcPr>
          <w:p>
            <w:pPr>
              <w:spacing w:after="0"/>
              <w:rPr>
                <w:sz w:val="13"/>
                <w:szCs w:val="13"/>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3,817,415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3,310,515</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3,546,247</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1,745,171</w:t>
            </w:r>
          </w:p>
        </w:tc>
        <w:tc>
          <w:tcPr>
            <w:tcW w:w="200" w:type="dxa"/>
            <w:vAlign w:val="bottom"/>
            <w:shd w:val="clear" w:color="auto" w:fill="CCFFCC"/>
          </w:tcPr>
          <w:p>
            <w:pPr>
              <w:spacing w:after="0"/>
              <w:rPr>
                <w:sz w:val="13"/>
                <w:szCs w:val="13"/>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3,089,698</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20,821,069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tcBorders>
              <w:top w:val="single" w:sz="8" w:color="CCFFC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80" w:type="dxa"/>
            <w:vAlign w:val="bottom"/>
            <w:tcBorders>
              <w:top w:val="single" w:sz="8" w:color="CCFFCC"/>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Deposits and obligations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4,114,430</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3,268,610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2,991,905</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321,984</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39,979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3,213,529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13,950,437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Due to banks and correspondents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178,539</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745,155</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197,935</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11,705</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32,544</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14,113</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1,179,991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Accounts payable to reinsurers and coinsurers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55,841</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55,841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54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Technical, insurance claims reserves and reserves for</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80" w:type="dxa"/>
            <w:vAlign w:val="bottom"/>
            <w:tcBorders>
              <w:right w:val="single" w:sz="8" w:color="CCFFCC"/>
            </w:tcBorders>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540" w:type="dxa"/>
            <w:vAlign w:val="bottom"/>
            <w:shd w:val="clear" w:color="auto" w:fill="CCFFCC"/>
          </w:tcPr>
          <w:p>
            <w:pPr>
              <w:ind w:left="320"/>
              <w:spacing w:after="0"/>
              <w:rPr>
                <w:sz w:val="20"/>
                <w:szCs w:val="20"/>
                <w:color w:val="auto"/>
              </w:rPr>
            </w:pPr>
            <w:r>
              <w:rPr>
                <w:rFonts w:ascii="Arial" w:cs="Arial" w:eastAsia="Arial" w:hAnsi="Arial"/>
                <w:sz w:val="14"/>
                <w:szCs w:val="14"/>
                <w:color w:val="auto"/>
              </w:rPr>
              <w:t>unearned premiums</w:t>
            </w:r>
          </w:p>
        </w:tc>
        <w:tc>
          <w:tcPr>
            <w:tcW w:w="940" w:type="dxa"/>
            <w:vAlign w:val="bottom"/>
            <w:shd w:val="clear" w:color="auto" w:fill="CCFFCC"/>
          </w:tcPr>
          <w:p>
            <w:pPr>
              <w:jc w:val="right"/>
              <w:spacing w:after="0"/>
              <w:rPr>
                <w:sz w:val="20"/>
                <w:szCs w:val="20"/>
                <w:color w:val="auto"/>
              </w:rPr>
            </w:pPr>
            <w:r>
              <w:rPr>
                <w:rFonts w:ascii="Arial" w:cs="Arial" w:eastAsia="Arial" w:hAnsi="Arial"/>
                <w:sz w:val="14"/>
                <w:szCs w:val="14"/>
                <w:color w:val="auto"/>
              </w:rPr>
              <w:t>31,254</w:t>
            </w:r>
          </w:p>
        </w:tc>
        <w:tc>
          <w:tcPr>
            <w:tcW w:w="240" w:type="dxa"/>
            <w:vAlign w:val="bottom"/>
            <w:shd w:val="clear" w:color="auto" w:fill="CCFFCC"/>
          </w:tcPr>
          <w:p>
            <w:pPr>
              <w:spacing w:after="0"/>
              <w:rPr>
                <w:sz w:val="14"/>
                <w:szCs w:val="14"/>
                <w:color w:val="auto"/>
              </w:rPr>
            </w:pPr>
          </w:p>
        </w:tc>
        <w:tc>
          <w:tcPr>
            <w:tcW w:w="116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19,357</w:t>
            </w: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86,935</w:t>
            </w:r>
          </w:p>
        </w:tc>
        <w:tc>
          <w:tcPr>
            <w:tcW w:w="118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4"/>
                <w:szCs w:val="14"/>
                <w:color w:val="auto"/>
              </w:rPr>
              <w:t>148,437</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331,697</w:t>
            </w:r>
          </w:p>
        </w:tc>
        <w:tc>
          <w:tcPr>
            <w:tcW w:w="11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350,090</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967,770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Borrowed funds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1,008,997</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2,474</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11,762</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81,871</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45,612</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1,150,716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817</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63,208</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284,577</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428,788</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7,840</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785,230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Other liabilities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934,979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934,979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1,796,105</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1,796,105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Total liabilities and equity</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5,334,037</w:t>
            </w:r>
          </w:p>
        </w:tc>
        <w:tc>
          <w:tcPr>
            <w:tcW w:w="240" w:type="dxa"/>
            <w:vAlign w:val="bottom"/>
          </w:tcPr>
          <w:p>
            <w:pPr>
              <w:spacing w:after="0"/>
              <w:rPr>
                <w:sz w:val="13"/>
                <w:szCs w:val="13"/>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4,035,596</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3,351,745</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848,574</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878,620</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6,372,497</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20,821,069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Off-Balance sheet items</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Derivatives assets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2,499,906</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1,295,838</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590,446</w:t>
            </w:r>
          </w:p>
        </w:tc>
        <w:tc>
          <w:tcPr>
            <w:tcW w:w="1180" w:type="dxa"/>
            <w:vAlign w:val="bottom"/>
            <w:tcBorders>
              <w:right w:val="single" w:sz="8" w:color="CCFFCC"/>
            </w:tcBorders>
            <w:gridSpan w:val="2"/>
            <w:shd w:val="clear" w:color="auto" w:fill="CCFFCC"/>
          </w:tcPr>
          <w:p>
            <w:pPr>
              <w:jc w:val="right"/>
              <w:ind w:right="280"/>
              <w:spacing w:after="0" w:line="149" w:lineRule="exact"/>
              <w:rPr>
                <w:sz w:val="20"/>
                <w:szCs w:val="20"/>
                <w:color w:val="auto"/>
              </w:rPr>
            </w:pPr>
            <w:r>
              <w:rPr>
                <w:rFonts w:ascii="Arial" w:cs="Arial" w:eastAsia="Arial" w:hAnsi="Arial"/>
                <w:sz w:val="14"/>
                <w:szCs w:val="14"/>
                <w:color w:val="auto"/>
              </w:rPr>
              <w:t>469,276</w:t>
            </w:r>
          </w:p>
        </w:tc>
        <w:tc>
          <w:tcPr>
            <w:tcW w:w="106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293,100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5,148,566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color w:val="auto"/>
              </w:rPr>
              <w:t>Derivatives liabilities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1,618,002</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788,307</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834,589</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1,471,042</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436,626</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5,148,566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881,904</w:t>
            </w:r>
          </w:p>
        </w:tc>
        <w:tc>
          <w:tcPr>
            <w:tcW w:w="240" w:type="dxa"/>
            <w:vAlign w:val="bottom"/>
            <w:shd w:val="clear" w:color="auto" w:fill="CCFFCC"/>
          </w:tcPr>
          <w:p>
            <w:pPr>
              <w:spacing w:after="0"/>
              <w:rPr>
                <w:sz w:val="12"/>
                <w:szCs w:val="12"/>
                <w:color w:val="auto"/>
              </w:rPr>
            </w:pPr>
          </w:p>
        </w:tc>
        <w:tc>
          <w:tcPr>
            <w:tcW w:w="116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507,531</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(244,143)</w:t>
            </w:r>
          </w:p>
        </w:tc>
        <w:tc>
          <w:tcPr>
            <w:tcW w:w="1180" w:type="dxa"/>
            <w:vAlign w:val="bottom"/>
            <w:tcBorders>
              <w:right w:val="single" w:sz="8" w:color="CCFFCC"/>
            </w:tcBorders>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(1,001,766)</w:t>
            </w:r>
          </w:p>
        </w:tc>
        <w:tc>
          <w:tcPr>
            <w:tcW w:w="106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(143,526)</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Borders>
              <w:right w:val="single" w:sz="8" w:color="auto"/>
            </w:tcBorders>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Marginal gap</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859,890</w:t>
            </w:r>
          </w:p>
        </w:tc>
        <w:tc>
          <w:tcPr>
            <w:tcW w:w="240" w:type="dxa"/>
            <w:vAlign w:val="bottom"/>
          </w:tcPr>
          <w:p>
            <w:pPr>
              <w:spacing w:after="0"/>
              <w:rPr>
                <w:sz w:val="13"/>
                <w:szCs w:val="13"/>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289,350</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(285,373)</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1,695,907</w:t>
            </w:r>
          </w:p>
        </w:tc>
        <w:tc>
          <w:tcPr>
            <w:tcW w:w="10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723,025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(3,282,799)</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5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80" w:type="dxa"/>
            <w:vAlign w:val="bottom"/>
            <w:tcBorders>
              <w:right w:val="single" w:sz="8" w:color="CCFFCC"/>
            </w:tcBorders>
            <w:shd w:val="clear" w:color="auto" w:fill="CCFFCC"/>
          </w:tcPr>
          <w:p>
            <w:pPr>
              <w:spacing w:after="0"/>
              <w:rPr>
                <w:sz w:val="12"/>
                <w:szCs w:val="12"/>
                <w:color w:val="auto"/>
              </w:rPr>
            </w:pPr>
          </w:p>
        </w:tc>
        <w:tc>
          <w:tcPr>
            <w:tcW w:w="86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540" w:type="dxa"/>
            <w:vAlign w:val="bottom"/>
          </w:tcPr>
          <w:p>
            <w:pPr>
              <w:spacing w:after="0" w:line="149" w:lineRule="exact"/>
              <w:rPr>
                <w:sz w:val="20"/>
                <w:szCs w:val="20"/>
                <w:color w:val="auto"/>
              </w:rPr>
            </w:pPr>
            <w:r>
              <w:rPr>
                <w:rFonts w:ascii="Arial" w:cs="Arial" w:eastAsia="Arial" w:hAnsi="Arial"/>
                <w:sz w:val="14"/>
                <w:szCs w:val="14"/>
                <w:b w:val="1"/>
                <w:bCs w:val="1"/>
                <w:color w:val="auto"/>
              </w:rPr>
              <w:t>Accumulated gap</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859,890</w:t>
            </w:r>
          </w:p>
        </w:tc>
        <w:tc>
          <w:tcPr>
            <w:tcW w:w="240" w:type="dxa"/>
            <w:vAlign w:val="bottom"/>
          </w:tcPr>
          <w:p>
            <w:pPr>
              <w:spacing w:after="0"/>
              <w:rPr>
                <w:sz w:val="12"/>
                <w:szCs w:val="12"/>
                <w:color w:val="auto"/>
              </w:rPr>
            </w:pPr>
          </w:p>
        </w:tc>
        <w:tc>
          <w:tcPr>
            <w:tcW w:w="11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1,149,240</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863,867</w:t>
            </w:r>
          </w:p>
        </w:tc>
        <w:tc>
          <w:tcPr>
            <w:tcW w:w="118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2,559,774</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3,282,799</w:t>
            </w:r>
          </w:p>
        </w:tc>
        <w:tc>
          <w:tcPr>
            <w:tcW w:w="2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Sensitivity to changes in interest rates -</w:t>
      </w:r>
    </w:p>
    <w:p>
      <w:pPr>
        <w:spacing w:after="0" w:line="23" w:lineRule="exact"/>
        <w:rPr>
          <w:sz w:val="20"/>
          <w:szCs w:val="20"/>
          <w:color w:val="auto"/>
        </w:rPr>
      </w:pPr>
    </w:p>
    <w:p>
      <w:pPr>
        <w:ind w:left="1620" w:right="240"/>
        <w:spacing w:after="0" w:line="255" w:lineRule="auto"/>
        <w:rPr>
          <w:sz w:val="20"/>
          <w:szCs w:val="20"/>
          <w:color w:val="auto"/>
        </w:rPr>
      </w:pPr>
      <w:r>
        <w:rPr>
          <w:rFonts w:ascii="Arial" w:cs="Arial" w:eastAsia="Arial" w:hAnsi="Arial"/>
          <w:sz w:val="18"/>
          <w:szCs w:val="18"/>
          <w:color w:val="auto"/>
        </w:rPr>
        <w:t>The following table presents the sensitivity to a reasonable possible change in interest rates, with all other variables held constant, of the Group’s consolidated income statement and consolidated statements of comprehensive income; before income tax and minority interest.</w:t>
      </w:r>
    </w:p>
    <w:p>
      <w:pPr>
        <w:spacing w:after="0" w:line="217" w:lineRule="exact"/>
        <w:rPr>
          <w:sz w:val="20"/>
          <w:szCs w:val="20"/>
          <w:color w:val="auto"/>
        </w:rPr>
      </w:pPr>
    </w:p>
    <w:p>
      <w:pPr>
        <w:ind w:left="1620" w:right="40"/>
        <w:spacing w:after="0" w:line="273" w:lineRule="auto"/>
        <w:rPr>
          <w:sz w:val="20"/>
          <w:szCs w:val="20"/>
          <w:color w:val="auto"/>
        </w:rPr>
      </w:pPr>
      <w:r>
        <w:rPr>
          <w:rFonts w:ascii="Arial" w:cs="Arial" w:eastAsia="Arial" w:hAnsi="Arial"/>
          <w:sz w:val="17"/>
          <w:szCs w:val="17"/>
          <w:color w:val="auto"/>
        </w:rPr>
        <w:t>The sensitivity of the consolidated income statement is the effect of the assumed changes in interest rates on the net interest income for one year before income tax and minority interest, based on the floating rate of non-trading financial assets and financial liabilities held at December 31, 2009 and 2008, including the effect of derivatives instruments. The sensitivity of consolidated comprehensive income is calculated by revaluing fixed rate available-for-sale financial assets, before income tax and minority interest, including the effect of any associated hedges, and derivatives instruments designated as cash flow hedges, as of December 31, 2009 and 2008 for the effects of the assumed changes in interest rates: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 2009</w:t>
            </w: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Sensitivity of</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7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6"/>
              </w:rPr>
              <w:t>Changes in basis</w:t>
            </w:r>
          </w:p>
        </w:tc>
        <w:tc>
          <w:tcPr>
            <w:tcW w:w="17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8"/>
              </w:rPr>
              <w:t>Sensitivity of net</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comprehensive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440" w:type="dxa"/>
            <w:vAlign w:val="bottom"/>
          </w:tcPr>
          <w:p>
            <w:pPr>
              <w:spacing w:after="0"/>
              <w:rPr>
                <w:sz w:val="19"/>
                <w:szCs w:val="19"/>
                <w:color w:val="auto"/>
              </w:rPr>
            </w:pPr>
          </w:p>
        </w:tc>
        <w:tc>
          <w:tcPr>
            <w:tcW w:w="1260" w:type="dxa"/>
            <w:vAlign w:val="bottom"/>
          </w:tcPr>
          <w:p>
            <w:pPr>
              <w:jc w:val="center"/>
              <w:ind w:right="550"/>
              <w:spacing w:after="0"/>
              <w:rPr>
                <w:sz w:val="20"/>
                <w:szCs w:val="20"/>
                <w:color w:val="auto"/>
              </w:rPr>
            </w:pPr>
            <w:r>
              <w:rPr>
                <w:rFonts w:ascii="Arial" w:cs="Arial" w:eastAsia="Arial" w:hAnsi="Arial"/>
                <w:sz w:val="18"/>
                <w:szCs w:val="18"/>
                <w:b w:val="1"/>
                <w:bCs w:val="1"/>
                <w:color w:val="auto"/>
                <w:w w:val="85"/>
              </w:rPr>
              <w:t>points</w:t>
            </w:r>
          </w:p>
        </w:tc>
        <w:tc>
          <w:tcPr>
            <w:tcW w:w="360" w:type="dxa"/>
            <w:vAlign w:val="bottom"/>
          </w:tcPr>
          <w:p>
            <w:pPr>
              <w:spacing w:after="0"/>
              <w:rPr>
                <w:sz w:val="19"/>
                <w:szCs w:val="19"/>
                <w:color w:val="auto"/>
              </w:rPr>
            </w:pPr>
          </w:p>
        </w:tc>
        <w:tc>
          <w:tcPr>
            <w:tcW w:w="1340" w:type="dxa"/>
            <w:vAlign w:val="bottom"/>
          </w:tcPr>
          <w:p>
            <w:pPr>
              <w:jc w:val="center"/>
              <w:ind w:right="530"/>
              <w:spacing w:after="0"/>
              <w:rPr>
                <w:sz w:val="20"/>
                <w:szCs w:val="20"/>
                <w:color w:val="auto"/>
              </w:rPr>
            </w:pPr>
            <w:r>
              <w:rPr>
                <w:rFonts w:ascii="Arial" w:cs="Arial" w:eastAsia="Arial" w:hAnsi="Arial"/>
                <w:sz w:val="18"/>
                <w:szCs w:val="18"/>
                <w:b w:val="1"/>
                <w:bCs w:val="1"/>
                <w:color w:val="auto"/>
                <w:w w:val="88"/>
              </w:rPr>
              <w:t>income</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income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center"/>
              <w:ind w:right="530"/>
              <w:spacing w:after="0"/>
              <w:rPr>
                <w:sz w:val="20"/>
                <w:szCs w:val="20"/>
                <w:color w:val="auto"/>
              </w:rPr>
            </w:pPr>
            <w:r>
              <w:rPr>
                <w:rFonts w:ascii="Arial" w:cs="Arial" w:eastAsia="Arial" w:hAnsi="Arial"/>
                <w:sz w:val="18"/>
                <w:szCs w:val="18"/>
                <w:color w:val="auto"/>
                <w:w w:val="93"/>
              </w:rPr>
              <w:t>US$(000)</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10,484</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43,174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Dollar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15,727</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64,762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20,969</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86,349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Dollar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31,453</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129,523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3,446</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24,856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Peruvian Currency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75</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5,169</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37,284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6,892</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49,711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Peruvian Currency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150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10,339</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74,567</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 2008</w:t>
            </w:r>
          </w:p>
        </w:tc>
        <w:tc>
          <w:tcPr>
            <w:tcW w:w="5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36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9"/>
              </w:rPr>
              <w:t>Sensitivity of</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700" w:type="dxa"/>
            <w:vAlign w:val="bottom"/>
            <w:gridSpan w:val="2"/>
          </w:tcPr>
          <w:p>
            <w:pPr>
              <w:jc w:val="center"/>
              <w:ind w:right="130"/>
              <w:spacing w:after="0"/>
              <w:rPr>
                <w:sz w:val="20"/>
                <w:szCs w:val="20"/>
                <w:color w:val="auto"/>
              </w:rPr>
            </w:pPr>
            <w:r>
              <w:rPr>
                <w:rFonts w:ascii="Arial" w:cs="Arial" w:eastAsia="Arial" w:hAnsi="Arial"/>
                <w:sz w:val="18"/>
                <w:szCs w:val="18"/>
                <w:b w:val="1"/>
                <w:bCs w:val="1"/>
                <w:color w:val="auto"/>
                <w:w w:val="86"/>
              </w:rPr>
              <w:t>Changes in basis</w:t>
            </w:r>
          </w:p>
        </w:tc>
        <w:tc>
          <w:tcPr>
            <w:tcW w:w="17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8"/>
              </w:rPr>
              <w:t>Sensitivity of net</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comprehensive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440" w:type="dxa"/>
            <w:vAlign w:val="bottom"/>
          </w:tcPr>
          <w:p>
            <w:pPr>
              <w:spacing w:after="0"/>
              <w:rPr>
                <w:sz w:val="19"/>
                <w:szCs w:val="19"/>
                <w:color w:val="auto"/>
              </w:rPr>
            </w:pPr>
          </w:p>
        </w:tc>
        <w:tc>
          <w:tcPr>
            <w:tcW w:w="1260" w:type="dxa"/>
            <w:vAlign w:val="bottom"/>
          </w:tcPr>
          <w:p>
            <w:pPr>
              <w:jc w:val="center"/>
              <w:ind w:right="550"/>
              <w:spacing w:after="0"/>
              <w:rPr>
                <w:sz w:val="20"/>
                <w:szCs w:val="20"/>
                <w:color w:val="auto"/>
              </w:rPr>
            </w:pPr>
            <w:r>
              <w:rPr>
                <w:rFonts w:ascii="Arial" w:cs="Arial" w:eastAsia="Arial" w:hAnsi="Arial"/>
                <w:sz w:val="18"/>
                <w:szCs w:val="18"/>
                <w:b w:val="1"/>
                <w:bCs w:val="1"/>
                <w:color w:val="auto"/>
                <w:w w:val="85"/>
              </w:rPr>
              <w:t>points</w:t>
            </w:r>
          </w:p>
        </w:tc>
        <w:tc>
          <w:tcPr>
            <w:tcW w:w="360" w:type="dxa"/>
            <w:vAlign w:val="bottom"/>
          </w:tcPr>
          <w:p>
            <w:pPr>
              <w:spacing w:after="0"/>
              <w:rPr>
                <w:sz w:val="19"/>
                <w:szCs w:val="19"/>
                <w:color w:val="auto"/>
              </w:rPr>
            </w:pPr>
          </w:p>
        </w:tc>
        <w:tc>
          <w:tcPr>
            <w:tcW w:w="1340" w:type="dxa"/>
            <w:vAlign w:val="bottom"/>
          </w:tcPr>
          <w:p>
            <w:pPr>
              <w:jc w:val="center"/>
              <w:ind w:right="530"/>
              <w:spacing w:after="0"/>
              <w:rPr>
                <w:sz w:val="20"/>
                <w:szCs w:val="20"/>
                <w:color w:val="auto"/>
              </w:rPr>
            </w:pPr>
            <w:r>
              <w:rPr>
                <w:rFonts w:ascii="Arial" w:cs="Arial" w:eastAsia="Arial" w:hAnsi="Arial"/>
                <w:sz w:val="18"/>
                <w:szCs w:val="18"/>
                <w:b w:val="1"/>
                <w:bCs w:val="1"/>
                <w:color w:val="auto"/>
                <w:w w:val="88"/>
              </w:rPr>
              <w:t>income</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income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40" w:type="dxa"/>
            <w:vAlign w:val="bottom"/>
          </w:tcPr>
          <w:p>
            <w:pPr>
              <w:jc w:val="center"/>
              <w:ind w:right="530"/>
              <w:spacing w:after="0"/>
              <w:rPr>
                <w:sz w:val="20"/>
                <w:szCs w:val="20"/>
                <w:color w:val="auto"/>
              </w:rPr>
            </w:pPr>
            <w:r>
              <w:rPr>
                <w:rFonts w:ascii="Arial" w:cs="Arial" w:eastAsia="Arial" w:hAnsi="Arial"/>
                <w:sz w:val="18"/>
                <w:szCs w:val="18"/>
                <w:color w:val="auto"/>
                <w:w w:val="93"/>
              </w:rPr>
              <w:t>US$(000)</w:t>
            </w:r>
          </w:p>
        </w:tc>
        <w:tc>
          <w:tcPr>
            <w:tcW w:w="144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6,842</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Dollar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13,684</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33,417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27,368</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66,834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U.S. Dollar</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41,052</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100,251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50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12,227</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16,791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Peruvian Currency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24,454</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33,581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200</w:t>
            </w:r>
          </w:p>
        </w:tc>
        <w:tc>
          <w:tcPr>
            <w:tcW w:w="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48,908</w:t>
            </w:r>
          </w:p>
        </w:tc>
        <w:tc>
          <w:tcPr>
            <w:tcW w:w="58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67,162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Peruvian Currency</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300</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50"/>
              <w:spacing w:after="0"/>
              <w:rPr>
                <w:sz w:val="20"/>
                <w:szCs w:val="20"/>
                <w:color w:val="auto"/>
              </w:rPr>
            </w:pPr>
            <w:r>
              <w:rPr>
                <w:rFonts w:ascii="Arial" w:cs="Arial" w:eastAsia="Arial" w:hAnsi="Arial"/>
                <w:sz w:val="18"/>
                <w:szCs w:val="18"/>
                <w:color w:val="auto"/>
              </w:rPr>
              <w:t>73,362</w:t>
            </w:r>
          </w:p>
        </w:tc>
        <w:tc>
          <w:tcPr>
            <w:tcW w:w="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100,743</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F-115</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28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60" w:type="dxa"/>
            <w:vAlign w:val="bottom"/>
            <w:tcBorders>
              <w:bottom w:val="single" w:sz="8" w:color="808080"/>
            </w:tcBorders>
          </w:tcPr>
          <w:p>
            <w:pPr>
              <w:spacing w:after="0"/>
              <w:rPr>
                <w:sz w:val="10"/>
                <w:szCs w:val="10"/>
                <w:color w:val="auto"/>
              </w:rPr>
            </w:pPr>
          </w:p>
        </w:tc>
        <w:tc>
          <w:tcPr>
            <w:tcW w:w="3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spacing w:after="0" w:line="272"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 In addition, the Group seeks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205" w:lineRule="exact"/>
        <w:rPr>
          <w:sz w:val="20"/>
          <w:szCs w:val="20"/>
          <w:color w:val="auto"/>
        </w:rPr>
      </w:pPr>
    </w:p>
    <w:p>
      <w:pPr>
        <w:ind w:left="1620" w:right="420"/>
        <w:spacing w:after="0" w:line="312" w:lineRule="auto"/>
        <w:rPr>
          <w:sz w:val="20"/>
          <w:szCs w:val="20"/>
          <w:color w:val="auto"/>
        </w:rPr>
      </w:pPr>
      <w:r>
        <w:rPr>
          <w:rFonts w:ascii="Arial" w:cs="Arial" w:eastAsia="Arial" w:hAnsi="Arial"/>
          <w:sz w:val="16"/>
          <w:szCs w:val="16"/>
          <w:color w:val="auto"/>
        </w:rPr>
        <w:t>Available-for-sale investments securities and mutual funds are not considered as part of the investment securities for sensitivity calculation purposes; however, a 10, 25 and 30 percent for equity and mutual funds changes in market prices is conducted to these price-sensitivity securities and the expected unrealized gain or loss, before income tax, is presented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Changes in</w:t>
            </w:r>
          </w:p>
        </w:tc>
        <w:tc>
          <w:tcPr>
            <w:tcW w:w="1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840" w:type="dxa"/>
            <w:vAlign w:val="bottom"/>
          </w:tcPr>
          <w:p>
            <w:pPr>
              <w:jc w:val="center"/>
              <w:ind w:left="850"/>
              <w:spacing w:after="0"/>
              <w:rPr>
                <w:sz w:val="20"/>
                <w:szCs w:val="20"/>
                <w:color w:val="auto"/>
              </w:rPr>
            </w:pPr>
            <w:r>
              <w:rPr>
                <w:rFonts w:ascii="Arial" w:cs="Arial" w:eastAsia="Arial" w:hAnsi="Arial"/>
                <w:sz w:val="18"/>
                <w:szCs w:val="18"/>
                <w:b w:val="1"/>
                <w:bCs w:val="1"/>
                <w:color w:val="auto"/>
                <w:w w:val="88"/>
              </w:rPr>
              <w:t>Changes in</w:t>
            </w:r>
          </w:p>
        </w:tc>
        <w:tc>
          <w:tcPr>
            <w:tcW w:w="280" w:type="dxa"/>
            <w:vAlign w:val="bottom"/>
          </w:tcPr>
          <w:p>
            <w:pPr>
              <w:spacing w:after="0"/>
              <w:rPr>
                <w:sz w:val="18"/>
                <w:szCs w:val="18"/>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b w:val="1"/>
                <w:bCs w:val="1"/>
                <w:color w:val="auto"/>
                <w:w w:val="92"/>
              </w:rPr>
              <w:t>As of December 31,</w:t>
            </w:r>
          </w:p>
        </w:tc>
        <w:tc>
          <w:tcPr>
            <w:tcW w:w="380" w:type="dxa"/>
            <w:vAlign w:val="bottom"/>
          </w:tcPr>
          <w:p>
            <w:pPr>
              <w:spacing w:after="0"/>
              <w:rPr>
                <w:sz w:val="18"/>
                <w:szCs w:val="18"/>
                <w:color w:val="auto"/>
              </w:rPr>
            </w:pPr>
          </w:p>
        </w:tc>
        <w:tc>
          <w:tcPr>
            <w:tcW w:w="960" w:type="dxa"/>
            <w:vAlign w:val="bottom"/>
          </w:tcPr>
          <w:p>
            <w:pPr>
              <w:jc w:val="center"/>
              <w:ind w:right="190"/>
              <w:spacing w:after="0"/>
              <w:rPr>
                <w:sz w:val="20"/>
                <w:szCs w:val="20"/>
                <w:color w:val="auto"/>
              </w:rPr>
            </w:pPr>
            <w:r>
              <w:rPr>
                <w:rFonts w:ascii="Arial" w:cs="Arial" w:eastAsia="Arial" w:hAnsi="Arial"/>
                <w:sz w:val="18"/>
                <w:szCs w:val="18"/>
                <w:b w:val="1"/>
                <w:bCs w:val="1"/>
                <w:color w:val="auto"/>
                <w:w w:val="94"/>
              </w:rPr>
              <w:t>market</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As of December</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60" w:type="dxa"/>
            <w:vAlign w:val="bottom"/>
            <w:gridSpan w:val="2"/>
          </w:tcPr>
          <w:p>
            <w:pPr>
              <w:spacing w:after="0"/>
              <w:rPr>
                <w:sz w:val="20"/>
                <w:szCs w:val="20"/>
                <w:color w:val="auto"/>
              </w:rPr>
            </w:pPr>
            <w:r>
              <w:rPr>
                <w:rFonts w:ascii="Arial" w:cs="Arial" w:eastAsia="Arial" w:hAnsi="Arial"/>
                <w:sz w:val="18"/>
                <w:szCs w:val="18"/>
                <w:b w:val="1"/>
                <w:bCs w:val="1"/>
                <w:color w:val="auto"/>
              </w:rPr>
              <w:t>Market price sensitivity</w:t>
            </w:r>
          </w:p>
        </w:tc>
        <w:tc>
          <w:tcPr>
            <w:tcW w:w="2120" w:type="dxa"/>
            <w:vAlign w:val="bottom"/>
            <w:gridSpan w:val="2"/>
          </w:tcPr>
          <w:p>
            <w:pPr>
              <w:jc w:val="center"/>
              <w:ind w:left="570"/>
              <w:spacing w:after="0"/>
              <w:rPr>
                <w:sz w:val="20"/>
                <w:szCs w:val="20"/>
                <w:color w:val="auto"/>
              </w:rPr>
            </w:pPr>
            <w:r>
              <w:rPr>
                <w:rFonts w:ascii="Arial" w:cs="Arial" w:eastAsia="Arial" w:hAnsi="Arial"/>
                <w:sz w:val="18"/>
                <w:szCs w:val="18"/>
                <w:b w:val="1"/>
                <w:bCs w:val="1"/>
                <w:color w:val="auto"/>
                <w:w w:val="90"/>
              </w:rPr>
              <w:t>market prices</w:t>
            </w:r>
          </w:p>
        </w:tc>
        <w:tc>
          <w:tcPr>
            <w:tcW w:w="1680" w:type="dxa"/>
            <w:vAlign w:val="bottom"/>
          </w:tcPr>
          <w:p>
            <w:pPr>
              <w:jc w:val="right"/>
              <w:ind w:right="590"/>
              <w:spacing w:after="0"/>
              <w:rPr>
                <w:sz w:val="20"/>
                <w:szCs w:val="20"/>
                <w:color w:val="auto"/>
              </w:rPr>
            </w:pPr>
            <w:r>
              <w:rPr>
                <w:rFonts w:ascii="Arial" w:cs="Arial" w:eastAsia="Arial" w:hAnsi="Arial"/>
                <w:sz w:val="18"/>
                <w:szCs w:val="18"/>
                <w:b w:val="1"/>
                <w:bCs w:val="1"/>
                <w:color w:val="auto"/>
              </w:rPr>
              <w:t>2009</w:t>
            </w:r>
          </w:p>
        </w:tc>
        <w:tc>
          <w:tcPr>
            <w:tcW w:w="380" w:type="dxa"/>
            <w:vAlign w:val="bottom"/>
          </w:tcPr>
          <w:p>
            <w:pPr>
              <w:spacing w:after="0"/>
              <w:rPr>
                <w:sz w:val="19"/>
                <w:szCs w:val="19"/>
                <w:color w:val="auto"/>
              </w:rPr>
            </w:pPr>
          </w:p>
        </w:tc>
        <w:tc>
          <w:tcPr>
            <w:tcW w:w="960" w:type="dxa"/>
            <w:vAlign w:val="bottom"/>
          </w:tcPr>
          <w:p>
            <w:pPr>
              <w:jc w:val="center"/>
              <w:ind w:right="210"/>
              <w:spacing w:after="0"/>
              <w:rPr>
                <w:sz w:val="20"/>
                <w:szCs w:val="20"/>
                <w:color w:val="auto"/>
              </w:rPr>
            </w:pPr>
            <w:r>
              <w:rPr>
                <w:rFonts w:ascii="Arial" w:cs="Arial" w:eastAsia="Arial" w:hAnsi="Arial"/>
                <w:sz w:val="18"/>
                <w:szCs w:val="18"/>
                <w:b w:val="1"/>
                <w:bCs w:val="1"/>
                <w:color w:val="auto"/>
                <w:w w:val="86"/>
              </w:rPr>
              <w:t>prices</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88"/>
              </w:rPr>
              <w:t>31, 2008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840" w:type="dxa"/>
            <w:vAlign w:val="bottom"/>
          </w:tcPr>
          <w:p>
            <w:pPr>
              <w:jc w:val="center"/>
              <w:ind w:left="850"/>
              <w:spacing w:after="0"/>
              <w:rPr>
                <w:sz w:val="20"/>
                <w:szCs w:val="20"/>
                <w:color w:val="auto"/>
              </w:rPr>
            </w:pPr>
            <w:r>
              <w:rPr>
                <w:rFonts w:ascii="Arial" w:cs="Arial" w:eastAsia="Arial" w:hAnsi="Arial"/>
                <w:sz w:val="18"/>
                <w:szCs w:val="18"/>
                <w:color w:val="auto"/>
                <w:w w:val="87"/>
              </w:rPr>
              <w:t>%</w:t>
            </w:r>
          </w:p>
        </w:tc>
        <w:tc>
          <w:tcPr>
            <w:tcW w:w="280" w:type="dxa"/>
            <w:vAlign w:val="bottom"/>
          </w:tcPr>
          <w:p>
            <w:pPr>
              <w:spacing w:after="0"/>
              <w:rPr>
                <w:sz w:val="20"/>
                <w:szCs w:val="20"/>
                <w:color w:val="auto"/>
              </w:rPr>
            </w:pPr>
          </w:p>
        </w:tc>
        <w:tc>
          <w:tcPr>
            <w:tcW w:w="1680" w:type="dxa"/>
            <w:vAlign w:val="bottom"/>
          </w:tcPr>
          <w:p>
            <w:pPr>
              <w:jc w:val="right"/>
              <w:ind w:right="410"/>
              <w:spacing w:after="0"/>
              <w:rPr>
                <w:sz w:val="20"/>
                <w:szCs w:val="20"/>
                <w:color w:val="auto"/>
              </w:rPr>
            </w:pPr>
            <w:r>
              <w:rPr>
                <w:rFonts w:ascii="Arial" w:cs="Arial" w:eastAsia="Arial" w:hAnsi="Arial"/>
                <w:sz w:val="18"/>
                <w:szCs w:val="18"/>
                <w:color w:val="auto"/>
              </w:rPr>
              <w:t>US$(000)</w:t>
            </w:r>
          </w:p>
        </w:tc>
        <w:tc>
          <w:tcPr>
            <w:tcW w:w="380" w:type="dxa"/>
            <w:vAlign w:val="bottom"/>
          </w:tcPr>
          <w:p>
            <w:pPr>
              <w:spacing w:after="0"/>
              <w:rPr>
                <w:sz w:val="20"/>
                <w:szCs w:val="20"/>
                <w:color w:val="auto"/>
              </w:rPr>
            </w:pPr>
          </w:p>
        </w:tc>
        <w:tc>
          <w:tcPr>
            <w:tcW w:w="960" w:type="dxa"/>
            <w:vAlign w:val="bottom"/>
          </w:tcPr>
          <w:p>
            <w:pPr>
              <w:jc w:val="center"/>
              <w:ind w:right="210"/>
              <w:spacing w:after="0"/>
              <w:rPr>
                <w:sz w:val="20"/>
                <w:szCs w:val="20"/>
                <w:color w:val="auto"/>
              </w:rPr>
            </w:pPr>
            <w:r>
              <w:rPr>
                <w:rFonts w:ascii="Arial" w:cs="Arial" w:eastAsia="Arial" w:hAnsi="Arial"/>
                <w:sz w:val="18"/>
                <w:szCs w:val="18"/>
                <w:color w:val="auto"/>
                <w:w w:val="87"/>
              </w:rPr>
              <w:t>%</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84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10</w:t>
            </w:r>
          </w:p>
        </w:tc>
        <w:tc>
          <w:tcPr>
            <w:tcW w:w="16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33,073</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21,762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Equity securities</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25</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82,683</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340" w:type="dxa"/>
            <w:vAlign w:val="bottom"/>
          </w:tcPr>
          <w:p>
            <w:pPr>
              <w:jc w:val="right"/>
              <w:spacing w:after="0"/>
              <w:rPr>
                <w:sz w:val="20"/>
                <w:szCs w:val="20"/>
                <w:color w:val="auto"/>
              </w:rPr>
            </w:pPr>
            <w:r>
              <w:rPr>
                <w:rFonts w:ascii="Arial" w:cs="Arial" w:eastAsia="Arial" w:hAnsi="Arial"/>
                <w:sz w:val="18"/>
                <w:szCs w:val="18"/>
                <w:color w:val="auto"/>
              </w:rPr>
              <w:t>65,285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84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30</w:t>
            </w:r>
          </w:p>
        </w:tc>
        <w:tc>
          <w:tcPr>
            <w:tcW w:w="16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99,220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108,809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Mutual funds</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10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17,454</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340" w:type="dxa"/>
            <w:vAlign w:val="bottom"/>
          </w:tcPr>
          <w:p>
            <w:pPr>
              <w:jc w:val="right"/>
              <w:spacing w:after="0"/>
              <w:rPr>
                <w:sz w:val="20"/>
                <w:szCs w:val="20"/>
                <w:color w:val="auto"/>
              </w:rPr>
            </w:pPr>
            <w:r>
              <w:rPr>
                <w:rFonts w:ascii="Arial" w:cs="Arial" w:eastAsia="Arial" w:hAnsi="Arial"/>
                <w:sz w:val="18"/>
                <w:szCs w:val="18"/>
                <w:color w:val="auto"/>
              </w:rPr>
              <w:t>13,132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184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25</w:t>
            </w:r>
          </w:p>
        </w:tc>
        <w:tc>
          <w:tcPr>
            <w:tcW w:w="16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43,635</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26,264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r>
              <w:rPr>
                <w:rFonts w:ascii="Arial" w:cs="Arial" w:eastAsia="Arial" w:hAnsi="Arial"/>
                <w:sz w:val="18"/>
                <w:szCs w:val="18"/>
                <w:color w:val="auto"/>
              </w:rPr>
              <w:t>Mutual funds</w:t>
            </w: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9"/>
              </w:rPr>
              <w:t>30</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52,361</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1340" w:type="dxa"/>
            <w:vAlign w:val="bottom"/>
          </w:tcPr>
          <w:p>
            <w:pPr>
              <w:jc w:val="right"/>
              <w:spacing w:after="0"/>
              <w:rPr>
                <w:sz w:val="20"/>
                <w:szCs w:val="20"/>
                <w:color w:val="auto"/>
              </w:rPr>
            </w:pPr>
            <w:r>
              <w:rPr>
                <w:rFonts w:ascii="Arial" w:cs="Arial" w:eastAsia="Arial" w:hAnsi="Arial"/>
                <w:sz w:val="18"/>
                <w:szCs w:val="18"/>
                <w:color w:val="auto"/>
              </w:rPr>
              <w:t>39,397</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F-116</w:t>
            </w: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184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34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0" w:name="page271"/>
    <w:bookmarkEnd w:id="2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40" w:hanging="484"/>
        <w:spacing w:after="0"/>
        <w:tabs>
          <w:tab w:leader="none" w:pos="164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Foreign exchange risk -</w:t>
      </w:r>
    </w:p>
    <w:p>
      <w:pPr>
        <w:spacing w:after="0" w:line="23" w:lineRule="exact"/>
        <w:rPr>
          <w:rFonts w:ascii="Arial" w:cs="Arial" w:eastAsia="Arial" w:hAnsi="Arial"/>
          <w:sz w:val="18"/>
          <w:szCs w:val="18"/>
          <w:color w:val="auto"/>
        </w:rPr>
      </w:pPr>
    </w:p>
    <w:p>
      <w:pPr>
        <w:ind w:left="1620" w:right="80"/>
        <w:spacing w:after="0" w:line="261" w:lineRule="auto"/>
        <w:rPr>
          <w:rFonts w:ascii="Arial" w:cs="Arial" w:eastAsia="Arial" w:hAnsi="Arial"/>
          <w:sz w:val="18"/>
          <w:szCs w:val="18"/>
          <w:color w:val="auto"/>
        </w:rPr>
      </w:pPr>
      <w:r>
        <w:rPr>
          <w:rFonts w:ascii="Arial" w:cs="Arial" w:eastAsia="Arial" w:hAnsi="Arial"/>
          <w:sz w:val="18"/>
          <w:szCs w:val="18"/>
          <w:color w:val="auto"/>
        </w:rPr>
        <w:t>The Group is exposed to foreign currency exchange rates on its financial position and cash flows. Management sets limits on the level of exposure by currency and in total for both overnight and intra-day positions, which are monitored daily.</w:t>
      </w:r>
    </w:p>
    <w:p>
      <w:pPr>
        <w:spacing w:after="0" w:line="211" w:lineRule="exact"/>
        <w:rPr>
          <w:sz w:val="20"/>
          <w:szCs w:val="20"/>
          <w:color w:val="auto"/>
        </w:rPr>
      </w:pPr>
    </w:p>
    <w:p>
      <w:pPr>
        <w:ind w:left="1620" w:right="820"/>
        <w:spacing w:after="0" w:line="342" w:lineRule="auto"/>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 As of December 31, 2009 and 2008, the Group’s assets and liabilities by currencies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2009</w:t>
            </w:r>
          </w:p>
        </w:tc>
        <w:tc>
          <w:tcPr>
            <w:tcW w:w="9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b w:val="1"/>
                <w:bCs w:val="1"/>
                <w:color w:val="auto"/>
              </w:rPr>
              <w:t>2008</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1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U.S. Dollars</w:t>
            </w:r>
          </w:p>
        </w:tc>
        <w:tc>
          <w:tcPr>
            <w:tcW w:w="1180" w:type="dxa"/>
            <w:vAlign w:val="bottom"/>
            <w:gridSpan w:val="2"/>
          </w:tcPr>
          <w:p>
            <w:pPr>
              <w:jc w:val="right"/>
              <w:ind w:right="460"/>
              <w:spacing w:after="0" w:line="126" w:lineRule="exact"/>
              <w:rPr>
                <w:sz w:val="20"/>
                <w:szCs w:val="20"/>
                <w:color w:val="auto"/>
              </w:rPr>
            </w:pPr>
            <w:r>
              <w:rPr>
                <w:rFonts w:ascii="Arial" w:cs="Arial" w:eastAsia="Arial" w:hAnsi="Arial"/>
                <w:sz w:val="14"/>
                <w:szCs w:val="14"/>
                <w:b w:val="1"/>
                <w:bCs w:val="1"/>
                <w:color w:val="auto"/>
              </w:rPr>
              <w:t>Peruvian</w:t>
            </w:r>
          </w:p>
        </w:tc>
        <w:tc>
          <w:tcPr>
            <w:tcW w:w="1140" w:type="dxa"/>
            <w:vAlign w:val="bottom"/>
            <w:gridSpan w:val="2"/>
          </w:tcPr>
          <w:p>
            <w:pPr>
              <w:jc w:val="center"/>
              <w:ind w:right="220"/>
              <w:spacing w:after="0" w:line="126" w:lineRule="exact"/>
              <w:rPr>
                <w:sz w:val="20"/>
                <w:szCs w:val="20"/>
                <w:color w:val="auto"/>
              </w:rPr>
            </w:pPr>
            <w:r>
              <w:rPr>
                <w:rFonts w:ascii="Arial" w:cs="Arial" w:eastAsia="Arial" w:hAnsi="Arial"/>
                <w:sz w:val="14"/>
                <w:szCs w:val="14"/>
                <w:b w:val="1"/>
                <w:bCs w:val="1"/>
                <w:color w:val="auto"/>
                <w:w w:val="96"/>
              </w:rPr>
              <w:t>Other</w:t>
            </w:r>
          </w:p>
        </w:tc>
        <w:tc>
          <w:tcPr>
            <w:tcW w:w="11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Total</w:t>
            </w:r>
          </w:p>
        </w:tc>
        <w:tc>
          <w:tcPr>
            <w:tcW w:w="11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U.S. Dollars</w:t>
            </w:r>
          </w:p>
        </w:tc>
        <w:tc>
          <w:tcPr>
            <w:tcW w:w="1220" w:type="dxa"/>
            <w:vAlign w:val="bottom"/>
            <w:gridSpan w:val="3"/>
          </w:tcPr>
          <w:p>
            <w:pPr>
              <w:ind w:left="160"/>
              <w:spacing w:after="0" w:line="126" w:lineRule="exact"/>
              <w:rPr>
                <w:sz w:val="20"/>
                <w:szCs w:val="20"/>
                <w:color w:val="auto"/>
              </w:rPr>
            </w:pPr>
            <w:r>
              <w:rPr>
                <w:rFonts w:ascii="Arial" w:cs="Arial" w:eastAsia="Arial" w:hAnsi="Arial"/>
                <w:sz w:val="14"/>
                <w:szCs w:val="14"/>
                <w:b w:val="1"/>
                <w:bCs w:val="1"/>
                <w:color w:val="auto"/>
              </w:rPr>
              <w:t>Peruvian</w:t>
            </w:r>
          </w:p>
        </w:tc>
        <w:tc>
          <w:tcPr>
            <w:tcW w:w="1020" w:type="dxa"/>
            <w:vAlign w:val="bottom"/>
            <w:gridSpan w:val="2"/>
          </w:tcPr>
          <w:p>
            <w:pPr>
              <w:jc w:val="center"/>
              <w:ind w:right="300"/>
              <w:spacing w:after="0" w:line="126" w:lineRule="exact"/>
              <w:rPr>
                <w:sz w:val="20"/>
                <w:szCs w:val="20"/>
                <w:color w:val="auto"/>
              </w:rPr>
            </w:pPr>
            <w:r>
              <w:rPr>
                <w:rFonts w:ascii="Arial" w:cs="Arial" w:eastAsia="Arial" w:hAnsi="Arial"/>
                <w:sz w:val="14"/>
                <w:szCs w:val="14"/>
                <w:b w:val="1"/>
                <w:bCs w:val="1"/>
                <w:color w:val="auto"/>
                <w:w w:val="96"/>
              </w:rPr>
              <w:t>Other</w:t>
            </w:r>
          </w:p>
        </w:tc>
        <w:tc>
          <w:tcPr>
            <w:tcW w:w="10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180" w:type="dxa"/>
            <w:vAlign w:val="bottom"/>
            <w:gridSpan w:val="2"/>
          </w:tcPr>
          <w:p>
            <w:pPr>
              <w:jc w:val="right"/>
              <w:ind w:right="440"/>
              <w:spacing w:after="0" w:line="153" w:lineRule="exact"/>
              <w:rPr>
                <w:sz w:val="20"/>
                <w:szCs w:val="20"/>
                <w:color w:val="auto"/>
              </w:rPr>
            </w:pPr>
            <w:r>
              <w:rPr>
                <w:rFonts w:ascii="Arial" w:cs="Arial" w:eastAsia="Arial" w:hAnsi="Arial"/>
                <w:sz w:val="14"/>
                <w:szCs w:val="14"/>
                <w:b w:val="1"/>
                <w:bCs w:val="1"/>
                <w:color w:val="auto"/>
              </w:rPr>
              <w:t>currency</w:t>
            </w:r>
          </w:p>
        </w:tc>
        <w:tc>
          <w:tcPr>
            <w:tcW w:w="114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0"/>
              </w:rPr>
              <w:t>currencies</w:t>
            </w:r>
          </w:p>
        </w:tc>
        <w:tc>
          <w:tcPr>
            <w:tcW w:w="1120" w:type="dxa"/>
            <w:vAlign w:val="bottom"/>
            <w:gridSpan w:val="2"/>
            <w:vMerge w:val="continue"/>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220" w:type="dxa"/>
            <w:vAlign w:val="bottom"/>
            <w:gridSpan w:val="3"/>
          </w:tcPr>
          <w:p>
            <w:pPr>
              <w:ind w:left="180"/>
              <w:spacing w:after="0" w:line="153" w:lineRule="exact"/>
              <w:rPr>
                <w:sz w:val="20"/>
                <w:szCs w:val="20"/>
                <w:color w:val="auto"/>
              </w:rPr>
            </w:pPr>
            <w:r>
              <w:rPr>
                <w:rFonts w:ascii="Arial" w:cs="Arial" w:eastAsia="Arial" w:hAnsi="Arial"/>
                <w:sz w:val="14"/>
                <w:szCs w:val="14"/>
                <w:b w:val="1"/>
                <w:bCs w:val="1"/>
                <w:color w:val="auto"/>
              </w:rPr>
              <w:t>currency</w:t>
            </w:r>
          </w:p>
        </w:tc>
        <w:tc>
          <w:tcPr>
            <w:tcW w:w="102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currencies</w:t>
            </w: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US$(000)</w:t>
            </w:r>
          </w:p>
        </w:tc>
        <w:tc>
          <w:tcPr>
            <w:tcW w:w="1180" w:type="dxa"/>
            <w:vAlign w:val="bottom"/>
            <w:gridSpan w:val="2"/>
          </w:tcPr>
          <w:p>
            <w:pPr>
              <w:jc w:val="right"/>
              <w:ind w:right="420"/>
              <w:spacing w:after="0"/>
              <w:rPr>
                <w:sz w:val="20"/>
                <w:szCs w:val="20"/>
                <w:color w:val="auto"/>
              </w:rPr>
            </w:pPr>
            <w:r>
              <w:rPr>
                <w:rFonts w:ascii="Arial" w:cs="Arial" w:eastAsia="Arial" w:hAnsi="Arial"/>
                <w:sz w:val="14"/>
                <w:szCs w:val="14"/>
                <w:color w:val="auto"/>
              </w:rPr>
              <w:t>US$(000)</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color w:val="auto"/>
                <w:w w:val="93"/>
              </w:rPr>
              <w:t>US$(000)</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1120" w:type="dxa"/>
            <w:vAlign w:val="bottom"/>
            <w:gridSpan w:val="2"/>
          </w:tcPr>
          <w:p>
            <w:pPr>
              <w:jc w:val="right"/>
              <w:ind w:right="380"/>
              <w:spacing w:after="0"/>
              <w:rPr>
                <w:sz w:val="20"/>
                <w:szCs w:val="20"/>
                <w:color w:val="auto"/>
              </w:rPr>
            </w:pPr>
            <w:r>
              <w:rPr>
                <w:rFonts w:ascii="Arial" w:cs="Arial" w:eastAsia="Arial" w:hAnsi="Arial"/>
                <w:sz w:val="14"/>
                <w:szCs w:val="14"/>
                <w:color w:val="auto"/>
              </w:rPr>
              <w:t>US$(000)</w:t>
            </w:r>
          </w:p>
        </w:tc>
        <w:tc>
          <w:tcPr>
            <w:tcW w:w="1220" w:type="dxa"/>
            <w:vAlign w:val="bottom"/>
            <w:gridSpan w:val="3"/>
          </w:tcPr>
          <w:p>
            <w:pPr>
              <w:ind w:left="180"/>
              <w:spacing w:after="0"/>
              <w:rPr>
                <w:sz w:val="20"/>
                <w:szCs w:val="20"/>
                <w:color w:val="auto"/>
              </w:rPr>
            </w:pPr>
            <w:r>
              <w:rPr>
                <w:rFonts w:ascii="Arial" w:cs="Arial" w:eastAsia="Arial" w:hAnsi="Arial"/>
                <w:sz w:val="14"/>
                <w:szCs w:val="14"/>
                <w:color w:val="auto"/>
              </w:rPr>
              <w:t>US$(000)</w:t>
            </w: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US$(000)</w:t>
            </w:r>
          </w:p>
        </w:tc>
        <w:tc>
          <w:tcPr>
            <w:tcW w:w="1020" w:type="dxa"/>
            <w:vAlign w:val="bottom"/>
            <w:gridSpan w:val="2"/>
          </w:tcPr>
          <w:p>
            <w:pPr>
              <w:jc w:val="right"/>
              <w:ind w:right="280"/>
              <w:spacing w:after="0"/>
              <w:rPr>
                <w:sz w:val="20"/>
                <w:szCs w:val="20"/>
                <w:color w:val="auto"/>
              </w:rPr>
            </w:pPr>
            <w:r>
              <w:rPr>
                <w:rFonts w:ascii="Arial" w:cs="Arial" w:eastAsia="Arial" w:hAnsi="Arial"/>
                <w:sz w:val="14"/>
                <w:szCs w:val="14"/>
                <w:color w:val="auto"/>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Monetary assets -</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Cash and due from banks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3,094,366</w:t>
            </w:r>
          </w:p>
        </w:tc>
        <w:tc>
          <w:tcPr>
            <w:tcW w:w="24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501,769</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240,523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3,836,658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3,156,279</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495,550</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114,342</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3,766,171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Trading securities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13,982</w:t>
            </w:r>
          </w:p>
        </w:tc>
        <w:tc>
          <w:tcPr>
            <w:tcW w:w="24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8,920</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47,872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70,774</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23,220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11,523</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1,341</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36,084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Available-for-sale investments</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2,354,804</w:t>
            </w:r>
          </w:p>
        </w:tc>
        <w:tc>
          <w:tcPr>
            <w:tcW w:w="24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2,034,768</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690,034</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5,079,606</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2,890,978</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1,734,526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325,250</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4,950,754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Loans, net</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6,755,563</w:t>
            </w:r>
          </w:p>
        </w:tc>
        <w:tc>
          <w:tcPr>
            <w:tcW w:w="24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4,285,076</w:t>
            </w: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190,641</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11,231,280</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6,930,125</w:t>
            </w:r>
          </w:p>
        </w:tc>
        <w:tc>
          <w:tcPr>
            <w:tcW w:w="9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3,298,579</w:t>
            </w: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93,337</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10,322,041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w w:val="95"/>
              </w:rPr>
              <w:t>Financial assets designated to fair value</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320"/>
              <w:spacing w:after="0"/>
              <w:rPr>
                <w:sz w:val="20"/>
                <w:szCs w:val="20"/>
                <w:color w:val="auto"/>
              </w:rPr>
            </w:pPr>
            <w:r>
              <w:rPr>
                <w:rFonts w:ascii="Arial" w:cs="Arial" w:eastAsia="Arial" w:hAnsi="Arial"/>
                <w:sz w:val="14"/>
                <w:szCs w:val="14"/>
                <w:color w:val="auto"/>
              </w:rPr>
              <w:t>through profit or loss</w:t>
            </w:r>
          </w:p>
        </w:tc>
        <w:tc>
          <w:tcPr>
            <w:tcW w:w="940" w:type="dxa"/>
            <w:vAlign w:val="bottom"/>
          </w:tcPr>
          <w:p>
            <w:pPr>
              <w:jc w:val="right"/>
              <w:spacing w:after="0"/>
              <w:rPr>
                <w:sz w:val="20"/>
                <w:szCs w:val="20"/>
                <w:color w:val="auto"/>
              </w:rPr>
            </w:pPr>
            <w:r>
              <w:rPr>
                <w:rFonts w:ascii="Arial" w:cs="Arial" w:eastAsia="Arial" w:hAnsi="Arial"/>
                <w:sz w:val="14"/>
                <w:szCs w:val="14"/>
                <w:color w:val="auto"/>
              </w:rPr>
              <w:t>135,670</w:t>
            </w:r>
          </w:p>
        </w:tc>
        <w:tc>
          <w:tcPr>
            <w:tcW w:w="240" w:type="dxa"/>
            <w:vAlign w:val="bottom"/>
          </w:tcPr>
          <w:p>
            <w:pPr>
              <w:spacing w:after="0"/>
              <w:rPr>
                <w:sz w:val="14"/>
                <w:szCs w:val="1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135,670</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136,311</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4"/>
                <w:szCs w:val="14"/>
                <w:color w:val="auto"/>
              </w:rPr>
              <w:t>137,945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assets</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507,057</w:t>
            </w:r>
          </w:p>
        </w:tc>
        <w:tc>
          <w:tcPr>
            <w:tcW w:w="240" w:type="dxa"/>
            <w:vAlign w:val="bottom"/>
            <w:shd w:val="clear" w:color="auto" w:fill="CCFFCC"/>
          </w:tcPr>
          <w:p>
            <w:pPr>
              <w:spacing w:after="0"/>
              <w:rPr>
                <w:sz w:val="12"/>
                <w:szCs w:val="12"/>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563,065</w:t>
            </w:r>
          </w:p>
        </w:tc>
        <w:tc>
          <w:tcPr>
            <w:tcW w:w="24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22,977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1,093,099</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594,107</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255,476</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12,383</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861,966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12,861,442</w:t>
            </w:r>
          </w:p>
        </w:tc>
        <w:tc>
          <w:tcPr>
            <w:tcW w:w="240" w:type="dxa"/>
            <w:vAlign w:val="bottom"/>
          </w:tcPr>
          <w:p>
            <w:pPr>
              <w:spacing w:after="0"/>
              <w:rPr>
                <w:sz w:val="13"/>
                <w:szCs w:val="13"/>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7,393,598</w:t>
            </w:r>
          </w:p>
        </w:tc>
        <w:tc>
          <w:tcPr>
            <w:tcW w:w="240" w:type="dxa"/>
            <w:vAlign w:val="bottom"/>
          </w:tcPr>
          <w:p>
            <w:pPr>
              <w:spacing w:after="0"/>
              <w:rPr>
                <w:sz w:val="13"/>
                <w:szCs w:val="13"/>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1,192,047</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21,447,087</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13,731,020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5,797,288</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546,653</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20,074,961</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Monetary liabilities -</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Deposits and obligations</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(8,156,869)</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(5,398,780)</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(536,179)</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(14,091,828)</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(8,614,042)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(4,963,932)</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(372,463)</w:t>
            </w:r>
          </w:p>
        </w:tc>
        <w:tc>
          <w:tcPr>
            <w:tcW w:w="10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(13,950,437)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tcPr>
          <w:p>
            <w:pPr>
              <w:spacing w:after="0" w:line="130" w:lineRule="exact"/>
              <w:rPr>
                <w:sz w:val="20"/>
                <w:szCs w:val="20"/>
                <w:color w:val="auto"/>
              </w:rPr>
            </w:pPr>
            <w:r>
              <w:rPr>
                <w:rFonts w:ascii="Arial" w:cs="Arial" w:eastAsia="Arial" w:hAnsi="Arial"/>
                <w:sz w:val="14"/>
                <w:szCs w:val="14"/>
                <w:color w:val="auto"/>
              </w:rPr>
              <w:t>Due to bank and correspondents and</w:t>
            </w: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tcPr>
          <w:p>
            <w:pPr>
              <w:ind w:left="320"/>
              <w:spacing w:after="0"/>
              <w:rPr>
                <w:sz w:val="20"/>
                <w:szCs w:val="20"/>
                <w:color w:val="auto"/>
              </w:rPr>
            </w:pPr>
            <w:r>
              <w:rPr>
                <w:rFonts w:ascii="Arial" w:cs="Arial" w:eastAsia="Arial" w:hAnsi="Arial"/>
                <w:sz w:val="14"/>
                <w:szCs w:val="14"/>
                <w:color w:val="auto"/>
              </w:rPr>
              <w:t>borrowed funds</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(2,126,963)</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(128,800)</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(896)</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(2,256,659)</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(2,189,114)</w:t>
            </w:r>
          </w:p>
        </w:tc>
        <w:tc>
          <w:tcPr>
            <w:tcW w:w="1120" w:type="dxa"/>
            <w:vAlign w:val="bottom"/>
            <w:gridSpan w:val="2"/>
          </w:tcPr>
          <w:p>
            <w:pPr>
              <w:jc w:val="right"/>
              <w:ind w:right="160"/>
              <w:spacing w:after="0"/>
              <w:rPr>
                <w:sz w:val="20"/>
                <w:szCs w:val="20"/>
                <w:color w:val="auto"/>
              </w:rPr>
            </w:pPr>
            <w:r>
              <w:rPr>
                <w:rFonts w:ascii="Arial" w:cs="Arial" w:eastAsia="Arial" w:hAnsi="Arial"/>
                <w:sz w:val="14"/>
                <w:szCs w:val="14"/>
                <w:color w:val="auto"/>
              </w:rPr>
              <w:t>(140,155)</w:t>
            </w:r>
          </w:p>
        </w:tc>
        <w:tc>
          <w:tcPr>
            <w:tcW w:w="10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(1,438)</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(2,330,707)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40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Technical reserves, insurance claims</w:t>
            </w: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ind w:left="320"/>
              <w:spacing w:after="0" w:line="149" w:lineRule="exact"/>
              <w:rPr>
                <w:sz w:val="20"/>
                <w:szCs w:val="20"/>
                <w:color w:val="auto"/>
              </w:rPr>
            </w:pPr>
            <w:r>
              <w:rPr>
                <w:rFonts w:ascii="Arial" w:cs="Arial" w:eastAsia="Arial" w:hAnsi="Arial"/>
                <w:sz w:val="14"/>
                <w:szCs w:val="14"/>
                <w:color w:val="auto"/>
              </w:rPr>
              <w:t>reserves and reserves for</w:t>
            </w: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00" w:type="dxa"/>
            <w:vAlign w:val="bottom"/>
            <w:shd w:val="clear" w:color="auto" w:fill="CCFFCC"/>
          </w:tcPr>
          <w:p>
            <w:pPr>
              <w:ind w:left="320"/>
              <w:spacing w:after="0"/>
              <w:rPr>
                <w:sz w:val="20"/>
                <w:szCs w:val="20"/>
                <w:color w:val="auto"/>
              </w:rPr>
            </w:pPr>
            <w:r>
              <w:rPr>
                <w:rFonts w:ascii="Arial" w:cs="Arial" w:eastAsia="Arial" w:hAnsi="Arial"/>
                <w:sz w:val="14"/>
                <w:szCs w:val="14"/>
                <w:color w:val="auto"/>
              </w:rPr>
              <w:t>unearned premiums</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(744,393)</w:t>
            </w:r>
          </w:p>
        </w:tc>
        <w:tc>
          <w:tcPr>
            <w:tcW w:w="118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(274,398)</w:t>
            </w:r>
          </w:p>
        </w:tc>
        <w:tc>
          <w:tcPr>
            <w:tcW w:w="92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4"/>
                <w:szCs w:val="14"/>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(1,018,791)</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(734,537)</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4"/>
                <w:szCs w:val="14"/>
                <w:color w:val="auto"/>
              </w:rPr>
              <w:t>(233,233)</w:t>
            </w:r>
          </w:p>
        </w:tc>
        <w:tc>
          <w:tcPr>
            <w:tcW w:w="10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(967,770)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Bonds and subordinated notes issued</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(612,098)</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(562,739)</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(112,185)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(1,287,022)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(311,860)</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(473,370)</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(785,230)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liabilities</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(443,346)</w:t>
            </w: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(376,967)</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(50,142)</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(870,455)</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(691,280)</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(274,830)</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(24,710)</w:t>
            </w:r>
          </w:p>
        </w:tc>
        <w:tc>
          <w:tcPr>
            <w:tcW w:w="102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(990,820)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FFCC"/>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(12,083,669)</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(6,741,684)</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(699,402)</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(19,524,755)</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(12,540,833)</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(6,085,520)</w:t>
            </w:r>
          </w:p>
        </w:tc>
        <w:tc>
          <w:tcPr>
            <w:tcW w:w="100" w:type="dxa"/>
            <w:vAlign w:val="bottom"/>
          </w:tcPr>
          <w:p>
            <w:pPr>
              <w:spacing w:after="0"/>
              <w:rPr>
                <w:sz w:val="12"/>
                <w:szCs w:val="12"/>
                <w:color w:val="auto"/>
              </w:rPr>
            </w:pPr>
          </w:p>
        </w:tc>
        <w:tc>
          <w:tcPr>
            <w:tcW w:w="10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(398,611)</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(19,024,964)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4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shd w:val="clear" w:color="auto" w:fill="CCFFCC"/>
          </w:tcPr>
          <w:p>
            <w:pPr>
              <w:spacing w:after="0"/>
              <w:rPr>
                <w:sz w:val="13"/>
                <w:szCs w:val="13"/>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777,773</w:t>
            </w:r>
          </w:p>
        </w:tc>
        <w:tc>
          <w:tcPr>
            <w:tcW w:w="240" w:type="dxa"/>
            <w:vAlign w:val="bottom"/>
            <w:shd w:val="clear" w:color="auto" w:fill="CCFFCC"/>
          </w:tcPr>
          <w:p>
            <w:pPr>
              <w:spacing w:after="0"/>
              <w:rPr>
                <w:sz w:val="13"/>
                <w:szCs w:val="13"/>
                <w:color w:val="auto"/>
              </w:rPr>
            </w:pP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651,914</w:t>
            </w:r>
          </w:p>
        </w:tc>
        <w:tc>
          <w:tcPr>
            <w:tcW w:w="240" w:type="dxa"/>
            <w:vAlign w:val="bottom"/>
            <w:shd w:val="clear" w:color="auto" w:fill="CCFFCC"/>
          </w:tcPr>
          <w:p>
            <w:pPr>
              <w:spacing w:after="0"/>
              <w:rPr>
                <w:sz w:val="13"/>
                <w:szCs w:val="13"/>
                <w:color w:val="auto"/>
              </w:rPr>
            </w:pPr>
          </w:p>
        </w:tc>
        <w:tc>
          <w:tcPr>
            <w:tcW w:w="11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492,645</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1,922,332</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1,190,187</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(288,232)</w:t>
            </w:r>
          </w:p>
        </w:tc>
        <w:tc>
          <w:tcPr>
            <w:tcW w:w="100" w:type="dxa"/>
            <w:vAlign w:val="bottom"/>
            <w:shd w:val="clear" w:color="auto" w:fill="CCFFCC"/>
          </w:tcPr>
          <w:p>
            <w:pPr>
              <w:spacing w:after="0"/>
              <w:rPr>
                <w:sz w:val="13"/>
                <w:szCs w:val="13"/>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148,042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1,049,997</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tcBorders>
              <w:top w:val="single" w:sz="8" w:color="CCFFC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Forwards position, net</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265,114</w:t>
            </w:r>
          </w:p>
        </w:tc>
        <w:tc>
          <w:tcPr>
            <w:tcW w:w="24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(198,637)</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(66,477)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(627,600)</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591,628</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35,972</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Currency swaps position, net</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(142,015)</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183,598</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(41,583)</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71,154</w:t>
            </w:r>
          </w:p>
        </w:tc>
        <w:tc>
          <w:tcPr>
            <w:tcW w:w="11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(71,154)</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Cross currency swaps position, net</w:t>
            </w:r>
          </w:p>
        </w:tc>
        <w:tc>
          <w:tcPr>
            <w:tcW w:w="9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77,768</w:t>
            </w:r>
          </w:p>
        </w:tc>
        <w:tc>
          <w:tcPr>
            <w:tcW w:w="240" w:type="dxa"/>
            <w:vAlign w:val="bottom"/>
            <w:shd w:val="clear" w:color="auto" w:fill="CCFFCC"/>
          </w:tcPr>
          <w:p>
            <w:pPr>
              <w:spacing w:after="0"/>
              <w:rPr>
                <w:sz w:val="12"/>
                <w:szCs w:val="12"/>
                <w:color w:val="auto"/>
              </w:rPr>
            </w:pPr>
          </w:p>
        </w:tc>
        <w:tc>
          <w:tcPr>
            <w:tcW w:w="118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129,049</w:t>
            </w:r>
          </w:p>
        </w:tc>
        <w:tc>
          <w:tcPr>
            <w:tcW w:w="114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(206,817)</w:t>
            </w: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(317,043)</w:t>
            </w:r>
          </w:p>
        </w:tc>
        <w:tc>
          <w:tcPr>
            <w:tcW w:w="11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317,043</w:t>
            </w:r>
          </w:p>
        </w:tc>
        <w:tc>
          <w:tcPr>
            <w:tcW w:w="10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color w:val="auto"/>
              </w:rPr>
              <w:t>Options, net</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(3,711)</w:t>
            </w: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3,711</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40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40" w:type="dxa"/>
            <w:vAlign w:val="bottom"/>
            <w:tcBorders>
              <w:top w:val="single" w:sz="8" w:color="auto"/>
            </w:tcBorders>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tcBorders>
              <w:top w:val="single" w:sz="8" w:color="auto"/>
            </w:tcBorders>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0" w:type="dxa"/>
            <w:vAlign w:val="bottom"/>
            <w:tcBorders>
              <w:top w:val="single" w:sz="8" w:color="auto"/>
            </w:tcBorders>
            <w:shd w:val="clear" w:color="auto" w:fill="CCFFCC"/>
          </w:tcPr>
          <w:p>
            <w:pPr>
              <w:spacing w:after="0"/>
              <w:rPr>
                <w:sz w:val="12"/>
                <w:szCs w:val="12"/>
                <w:color w:val="auto"/>
              </w:rPr>
            </w:pPr>
          </w:p>
        </w:tc>
        <w:tc>
          <w:tcPr>
            <w:tcW w:w="82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92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400" w:type="dxa"/>
            <w:vAlign w:val="bottom"/>
          </w:tcPr>
          <w:p>
            <w:pPr>
              <w:spacing w:after="0" w:line="149" w:lineRule="exact"/>
              <w:rPr>
                <w:sz w:val="20"/>
                <w:szCs w:val="20"/>
                <w:color w:val="auto"/>
              </w:rPr>
            </w:pPr>
            <w:r>
              <w:rPr>
                <w:rFonts w:ascii="Arial" w:cs="Arial" w:eastAsia="Arial" w:hAnsi="Arial"/>
                <w:sz w:val="14"/>
                <w:szCs w:val="14"/>
                <w:b w:val="1"/>
                <w:bCs w:val="1"/>
                <w:color w:val="auto"/>
              </w:rPr>
              <w:t>Net monetary position</w:t>
            </w:r>
          </w:p>
        </w:tc>
        <w:tc>
          <w:tcPr>
            <w:tcW w:w="940" w:type="dxa"/>
            <w:vAlign w:val="bottom"/>
          </w:tcPr>
          <w:p>
            <w:pPr>
              <w:jc w:val="right"/>
              <w:spacing w:after="0" w:line="149" w:lineRule="exact"/>
              <w:rPr>
                <w:sz w:val="20"/>
                <w:szCs w:val="20"/>
                <w:color w:val="auto"/>
              </w:rPr>
            </w:pPr>
            <w:r>
              <w:rPr>
                <w:rFonts w:ascii="Arial" w:cs="Arial" w:eastAsia="Arial" w:hAnsi="Arial"/>
                <w:sz w:val="14"/>
                <w:szCs w:val="14"/>
                <w:color w:val="auto"/>
              </w:rPr>
              <w:t>974,929</w:t>
            </w:r>
          </w:p>
        </w:tc>
        <w:tc>
          <w:tcPr>
            <w:tcW w:w="240" w:type="dxa"/>
            <w:vAlign w:val="bottom"/>
          </w:tcPr>
          <w:p>
            <w:pPr>
              <w:spacing w:after="0"/>
              <w:rPr>
                <w:sz w:val="12"/>
                <w:szCs w:val="12"/>
                <w:color w:val="auto"/>
              </w:rPr>
            </w:pPr>
          </w:p>
        </w:tc>
        <w:tc>
          <w:tcPr>
            <w:tcW w:w="11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769,635</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177,768</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1,922,332</w:t>
            </w: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316,698</w:t>
            </w: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549,285</w:t>
            </w: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184,014</w:t>
            </w: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1,049,997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160"/>
        <w:spacing w:after="0" w:line="255" w:lineRule="auto"/>
        <w:rPr>
          <w:sz w:val="20"/>
          <w:szCs w:val="20"/>
          <w:color w:val="auto"/>
        </w:rPr>
      </w:pPr>
      <w:r>
        <w:rPr>
          <w:rFonts w:ascii="Arial" w:cs="Arial" w:eastAsia="Arial" w:hAnsi="Arial"/>
          <w:sz w:val="18"/>
          <w:szCs w:val="18"/>
          <w:color w:val="auto"/>
        </w:rPr>
        <w:t>The Group manages foreign exchange risk by monitoring and controlling the position values due to changes in exchange rates. The Group measures its performance in U.S. Dollar, so if the net foreign exchange position (e.g. Peruvian currency) is an asset, any depreciation of the U.S. Dollar with respect to this currency would affect positively the Group’s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216" w:lineRule="exact"/>
        <w:rPr>
          <w:sz w:val="20"/>
          <w:szCs w:val="20"/>
          <w:color w:val="auto"/>
        </w:rPr>
      </w:pPr>
    </w:p>
    <w:p>
      <w:pPr>
        <w:ind w:left="1620" w:right="160"/>
        <w:spacing w:after="0" w:line="279" w:lineRule="auto"/>
        <w:rPr>
          <w:sz w:val="20"/>
          <w:szCs w:val="20"/>
          <w:color w:val="auto"/>
        </w:rPr>
      </w:pPr>
      <w:r>
        <w:rPr>
          <w:rFonts w:ascii="Arial" w:cs="Arial" w:eastAsia="Arial" w:hAnsi="Arial"/>
          <w:sz w:val="17"/>
          <w:szCs w:val="17"/>
          <w:color w:val="auto"/>
        </w:rPr>
        <w:t>The Group’s net foreign exchange balance is the sum of its positive open non-U.S. Dollar positions (net long position) less the sum of its negative open non-U.S. Dollar positions (net short position); and any devaluation/revaluation of the foreign exchange position would affect the consolidated income statement. A currency mismatch would leave the Group’s consolidated statements of financial position vulnerable to a fluctuation of the foreign currency (exchange rate shock).</w:t>
      </w:r>
    </w:p>
    <w:p>
      <w:pPr>
        <w:spacing w:after="0" w:line="198" w:lineRule="exact"/>
        <w:rPr>
          <w:sz w:val="20"/>
          <w:szCs w:val="20"/>
          <w:color w:val="auto"/>
        </w:rPr>
      </w:pPr>
    </w:p>
    <w:p>
      <w:pPr>
        <w:ind w:left="1620" w:right="160"/>
        <w:spacing w:after="0" w:line="276" w:lineRule="auto"/>
        <w:rPr>
          <w:sz w:val="20"/>
          <w:szCs w:val="20"/>
          <w:color w:val="auto"/>
        </w:rPr>
      </w:pPr>
      <w:r>
        <w:rPr>
          <w:rFonts w:ascii="Arial" w:cs="Arial" w:eastAsia="Arial" w:hAnsi="Arial"/>
          <w:sz w:val="17"/>
          <w:szCs w:val="17"/>
          <w:color w:val="auto"/>
        </w:rPr>
        <w:t>The table below shows the sensitivity analysis of the Peruvian Currency, the currency to which the Group had significant exposure as of December 31, 2009 and 2008 on its non-trading monetary assets and liabilities and its forecast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consolidated income statement, while a positive amount reflects a net potential increase: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620" w:type="dxa"/>
            <w:vAlign w:val="bottom"/>
          </w:tcPr>
          <w:p>
            <w:pPr>
              <w:jc w:val="center"/>
              <w:ind w:left="1770"/>
              <w:spacing w:after="0"/>
              <w:rPr>
                <w:sz w:val="20"/>
                <w:szCs w:val="20"/>
                <w:color w:val="auto"/>
              </w:rPr>
            </w:pPr>
            <w:r>
              <w:rPr>
                <w:rFonts w:ascii="Arial" w:cs="Arial" w:eastAsia="Arial" w:hAnsi="Arial"/>
                <w:sz w:val="18"/>
                <w:szCs w:val="18"/>
                <w:b w:val="1"/>
                <w:bCs w:val="1"/>
                <w:color w:val="auto"/>
                <w:w w:val="90"/>
              </w:rPr>
              <w:t>Change in currency</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Sensitivity Analysis</w:t>
            </w:r>
          </w:p>
        </w:tc>
        <w:tc>
          <w:tcPr>
            <w:tcW w:w="3620" w:type="dxa"/>
            <w:vAlign w:val="bottom"/>
          </w:tcPr>
          <w:p>
            <w:pPr>
              <w:jc w:val="center"/>
              <w:ind w:left="1790"/>
              <w:spacing w:after="0"/>
              <w:rPr>
                <w:sz w:val="20"/>
                <w:szCs w:val="20"/>
                <w:color w:val="auto"/>
              </w:rPr>
            </w:pPr>
            <w:r>
              <w:rPr>
                <w:rFonts w:ascii="Arial" w:cs="Arial" w:eastAsia="Arial" w:hAnsi="Arial"/>
                <w:sz w:val="18"/>
                <w:szCs w:val="18"/>
                <w:b w:val="1"/>
                <w:bCs w:val="1"/>
                <w:color w:val="auto"/>
                <w:w w:val="88"/>
              </w:rPr>
              <w:t>rates</w:t>
            </w:r>
          </w:p>
        </w:tc>
        <w:tc>
          <w:tcPr>
            <w:tcW w:w="106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980" w:type="dxa"/>
            <w:vAlign w:val="bottom"/>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3620" w:type="dxa"/>
            <w:vAlign w:val="bottom"/>
          </w:tcPr>
          <w:p>
            <w:pPr>
              <w:jc w:val="center"/>
              <w:ind w:left="17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US$(000)</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Devaluation -</w:t>
            </w:r>
          </w:p>
        </w:tc>
        <w:tc>
          <w:tcPr>
            <w:tcW w:w="36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Peruvian Currency</w:t>
            </w:r>
          </w:p>
        </w:tc>
        <w:tc>
          <w:tcPr>
            <w:tcW w:w="36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60" w:type="dxa"/>
            <w:vAlign w:val="bottom"/>
          </w:tcPr>
          <w:p>
            <w:pPr>
              <w:jc w:val="right"/>
              <w:spacing w:after="0"/>
              <w:rPr>
                <w:sz w:val="20"/>
                <w:szCs w:val="20"/>
                <w:color w:val="auto"/>
              </w:rPr>
            </w:pPr>
            <w:r>
              <w:rPr>
                <w:rFonts w:ascii="Arial" w:cs="Arial" w:eastAsia="Arial" w:hAnsi="Arial"/>
                <w:sz w:val="18"/>
                <w:szCs w:val="18"/>
                <w:color w:val="auto"/>
              </w:rPr>
              <w:t>(40,507)</w:t>
            </w:r>
          </w:p>
        </w:tc>
        <w:tc>
          <w:tcPr>
            <w:tcW w:w="980" w:type="dxa"/>
            <w:vAlign w:val="bottom"/>
          </w:tcPr>
          <w:p>
            <w:pPr>
              <w:jc w:val="right"/>
              <w:spacing w:after="0"/>
              <w:rPr>
                <w:sz w:val="20"/>
                <w:szCs w:val="20"/>
                <w:color w:val="auto"/>
              </w:rPr>
            </w:pPr>
            <w:r>
              <w:rPr>
                <w:rFonts w:ascii="Arial" w:cs="Arial" w:eastAsia="Arial" w:hAnsi="Arial"/>
                <w:sz w:val="18"/>
                <w:szCs w:val="18"/>
                <w:color w:val="auto"/>
              </w:rPr>
              <w:t>(28,910)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(85,515)</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(61,032)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Revaluation -</w:t>
            </w:r>
          </w:p>
        </w:tc>
        <w:tc>
          <w:tcPr>
            <w:tcW w:w="362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Peruvian Currency</w:t>
            </w:r>
          </w:p>
        </w:tc>
        <w:tc>
          <w:tcPr>
            <w:tcW w:w="36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36,649</w:t>
            </w:r>
          </w:p>
        </w:tc>
        <w:tc>
          <w:tcPr>
            <w:tcW w:w="980" w:type="dxa"/>
            <w:vAlign w:val="bottom"/>
          </w:tcPr>
          <w:p>
            <w:pPr>
              <w:jc w:val="right"/>
              <w:spacing w:after="0"/>
              <w:rPr>
                <w:sz w:val="20"/>
                <w:szCs w:val="20"/>
                <w:color w:val="auto"/>
              </w:rPr>
            </w:pPr>
            <w:r>
              <w:rPr>
                <w:rFonts w:ascii="Arial" w:cs="Arial" w:eastAsia="Arial" w:hAnsi="Arial"/>
                <w:sz w:val="18"/>
                <w:szCs w:val="18"/>
                <w:color w:val="auto"/>
              </w:rPr>
              <w:t>26,156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6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w:t>
            </w:r>
          </w:p>
        </w:tc>
        <w:tc>
          <w:tcPr>
            <w:tcW w:w="106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69,967</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49,935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620" w:type="dxa"/>
            <w:vAlign w:val="bottom"/>
          </w:tcPr>
          <w:p>
            <w:pPr>
              <w:jc w:val="right"/>
              <w:ind w:right="1090"/>
              <w:spacing w:after="0"/>
              <w:rPr>
                <w:sz w:val="20"/>
                <w:szCs w:val="20"/>
                <w:color w:val="auto"/>
              </w:rPr>
            </w:pPr>
            <w:r>
              <w:rPr>
                <w:rFonts w:ascii="Arial" w:cs="Arial" w:eastAsia="Arial" w:hAnsi="Arial"/>
                <w:sz w:val="18"/>
                <w:szCs w:val="18"/>
                <w:color w:val="auto"/>
              </w:rPr>
              <w:t>F-118</w:t>
            </w: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60" w:type="dxa"/>
            <w:vAlign w:val="bottom"/>
            <w:tcBorders>
              <w:bottom w:val="single" w:sz="8" w:color="808080"/>
            </w:tcBorders>
          </w:tcPr>
          <w:p>
            <w:pPr>
              <w:spacing w:after="0"/>
              <w:rPr>
                <w:sz w:val="10"/>
                <w:szCs w:val="10"/>
                <w:color w:val="auto"/>
              </w:rPr>
            </w:pPr>
          </w:p>
        </w:tc>
        <w:tc>
          <w:tcPr>
            <w:tcW w:w="36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2" w:name="page273"/>
    <w:bookmarkEnd w:id="2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29.3</w:t>
      </w:r>
      <w:r>
        <w:rPr>
          <w:sz w:val="20"/>
          <w:szCs w:val="20"/>
          <w:color w:val="auto"/>
        </w:rPr>
        <w:tab/>
      </w:r>
      <w:r>
        <w:rPr>
          <w:rFonts w:ascii="Arial" w:cs="Arial" w:eastAsia="Arial" w:hAnsi="Arial"/>
          <w:sz w:val="16"/>
          <w:szCs w:val="16"/>
          <w:b w:val="1"/>
          <w:bCs w:val="1"/>
          <w:color w:val="auto"/>
        </w:rPr>
        <w:t>Liquidity risk -</w:t>
      </w:r>
    </w:p>
    <w:p>
      <w:pPr>
        <w:spacing w:after="0" w:line="27"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Liquidity risk is the risk that the Group is unable to meet its payment obligations associated with its financial liabilities when they fall due and to replace funds when they are withdrawn. The consequence may be the failure to meet obligations to repay depositors, fulfill commitments to lend or meet other operating cash needs.</w:t>
      </w:r>
    </w:p>
    <w:p>
      <w:pPr>
        <w:spacing w:after="0" w:line="217" w:lineRule="exact"/>
        <w:rPr>
          <w:sz w:val="20"/>
          <w:szCs w:val="20"/>
          <w:color w:val="auto"/>
        </w:rPr>
      </w:pPr>
    </w:p>
    <w:p>
      <w:pPr>
        <w:ind w:left="660" w:right="80"/>
        <w:spacing w:after="0" w:line="273" w:lineRule="auto"/>
        <w:rPr>
          <w:sz w:val="20"/>
          <w:szCs w:val="20"/>
          <w:color w:val="auto"/>
        </w:rPr>
      </w:pPr>
      <w:r>
        <w:rPr>
          <w:rFonts w:ascii="Arial" w:cs="Arial" w:eastAsia="Arial" w:hAnsi="Arial"/>
          <w:sz w:val="17"/>
          <w:szCs w:val="17"/>
          <w:color w:val="auto"/>
        </w:rPr>
        <w:t>The Group is exposed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 Sources of liquidity are regularly reviewed by a separate team in Group Treasury Department to maintain a wide diversification by currency, geography, provider, product and term.</w:t>
      </w:r>
    </w:p>
    <w:p>
      <w:pPr>
        <w:spacing w:after="0" w:line="205" w:lineRule="exact"/>
        <w:rPr>
          <w:sz w:val="20"/>
          <w:szCs w:val="20"/>
          <w:color w:val="auto"/>
        </w:rPr>
      </w:pPr>
    </w:p>
    <w:p>
      <w:pPr>
        <w:jc w:val="both"/>
        <w:ind w:left="660" w:right="520"/>
        <w:spacing w:after="0" w:line="286" w:lineRule="auto"/>
        <w:rPr>
          <w:sz w:val="20"/>
          <w:szCs w:val="20"/>
          <w:color w:val="auto"/>
        </w:rPr>
      </w:pPr>
      <w:r>
        <w:rPr>
          <w:rFonts w:ascii="Arial" w:cs="Arial" w:eastAsia="Arial" w:hAnsi="Arial"/>
          <w:sz w:val="17"/>
          <w:szCs w:val="17"/>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93"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197" w:lineRule="exact"/>
        <w:rPr>
          <w:sz w:val="20"/>
          <w:szCs w:val="20"/>
          <w:color w:val="auto"/>
        </w:rPr>
      </w:pPr>
    </w:p>
    <w:p>
      <w:pPr>
        <w:ind w:left="660" w:right="400"/>
        <w:spacing w:after="0" w:line="259" w:lineRule="auto"/>
        <w:rPr>
          <w:sz w:val="20"/>
          <w:szCs w:val="20"/>
          <w:color w:val="auto"/>
        </w:rPr>
      </w:pPr>
      <w:r>
        <w:rPr>
          <w:rFonts w:ascii="Arial" w:cs="Arial" w:eastAsia="Arial" w:hAnsi="Arial"/>
          <w:sz w:val="18"/>
          <w:szCs w:val="18"/>
          <w:color w:val="auto"/>
        </w:rPr>
        <w:t>Liquidity requirements to support calls under guarantees and standby letters of credit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214"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A maturity mismatch, long-term illiquid assets against short-term liabilities, exposes a consolidated statements of financial position to risks related both to rollover and to interest rates. If liquid assets do not cover maturing debts; a consolidated statements of financial position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0" w:right="27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The table below presents the cash flows payable by the Group by remaining contractual maturities (including future interest payments) at the date of the consolidated statements of financial position. The amounts disclosed in the table are the contractual undiscounted cash flows: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1"/>
                <w:szCs w:val="11"/>
                <w:b w:val="1"/>
                <w:bCs w:val="1"/>
                <w:color w:val="auto"/>
              </w:rPr>
              <w:t>As of December 31, 2009</w:t>
            </w: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1"/>
                <w:szCs w:val="11"/>
                <w:b w:val="1"/>
                <w:bCs w:val="1"/>
                <w:color w:val="auto"/>
              </w:rPr>
              <w:t>As of December 31, 2008</w:t>
            </w: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gridSpan w:val="2"/>
          </w:tcPr>
          <w:p>
            <w:pPr>
              <w:jc w:val="center"/>
              <w:ind w:right="80"/>
              <w:spacing w:after="0" w:line="108" w:lineRule="exact"/>
              <w:rPr>
                <w:sz w:val="20"/>
                <w:szCs w:val="20"/>
                <w:color w:val="auto"/>
              </w:rPr>
            </w:pPr>
            <w:r>
              <w:rPr>
                <w:rFonts w:ascii="Arial" w:cs="Arial" w:eastAsia="Arial" w:hAnsi="Arial"/>
                <w:sz w:val="11"/>
                <w:szCs w:val="11"/>
                <w:b w:val="1"/>
                <w:bCs w:val="1"/>
                <w:color w:val="auto"/>
                <w:w w:val="90"/>
              </w:rPr>
              <w:t>From 1 to 3</w:t>
            </w:r>
          </w:p>
        </w:tc>
        <w:tc>
          <w:tcPr>
            <w:tcW w:w="86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1"/>
              </w:rPr>
              <w:t>From 3 to 12</w:t>
            </w: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87"/>
              </w:rPr>
              <w:t>From 1 to 3</w:t>
            </w:r>
          </w:p>
        </w:tc>
        <w:tc>
          <w:tcPr>
            <w:tcW w:w="18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1"/>
              </w:rPr>
              <w:t>From 3 to 12</w:t>
            </w: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Up to a month</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5"/>
              </w:rPr>
              <w:t>months</w:t>
            </w:r>
          </w:p>
        </w:tc>
        <w:tc>
          <w:tcPr>
            <w:tcW w:w="80" w:type="dxa"/>
            <w:vAlign w:val="bottom"/>
          </w:tcPr>
          <w:p>
            <w:pPr>
              <w:spacing w:after="0"/>
              <w:rPr>
                <w:sz w:val="10"/>
                <w:szCs w:val="10"/>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0"/>
              </w:rPr>
              <w:t>months</w:t>
            </w:r>
          </w:p>
        </w:tc>
        <w:tc>
          <w:tcPr>
            <w:tcW w:w="100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5"/>
              </w:rPr>
              <w:t>From 1 to 5 years</w:t>
            </w: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7"/>
              </w:rPr>
              <w:t>Over 5 years</w:t>
            </w:r>
          </w:p>
        </w:tc>
        <w:tc>
          <w:tcPr>
            <w:tcW w:w="780" w:type="dxa"/>
            <w:vAlign w:val="bottom"/>
            <w:gridSpan w:val="2"/>
          </w:tcPr>
          <w:p>
            <w:pPr>
              <w:jc w:val="right"/>
              <w:ind w:right="360"/>
              <w:spacing w:after="0"/>
              <w:rPr>
                <w:sz w:val="20"/>
                <w:szCs w:val="20"/>
                <w:color w:val="auto"/>
              </w:rPr>
            </w:pPr>
            <w:r>
              <w:rPr>
                <w:rFonts w:ascii="Arial" w:cs="Arial" w:eastAsia="Arial" w:hAnsi="Arial"/>
                <w:sz w:val="11"/>
                <w:szCs w:val="11"/>
                <w:b w:val="1"/>
                <w:bCs w:val="1"/>
                <w:color w:val="auto"/>
              </w:rPr>
              <w:t>Total</w:t>
            </w: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w w:val="86"/>
              </w:rPr>
              <w:t>Up to a month</w:t>
            </w: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0"/>
              </w:rPr>
              <w:t>months</w:t>
            </w:r>
          </w:p>
        </w:tc>
        <w:tc>
          <w:tcPr>
            <w:tcW w:w="18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months</w:t>
            </w:r>
          </w:p>
        </w:tc>
        <w:tc>
          <w:tcPr>
            <w:tcW w:w="900" w:type="dxa"/>
            <w:vAlign w:val="bottom"/>
            <w:gridSpan w:val="2"/>
          </w:tcPr>
          <w:p>
            <w:pPr>
              <w:jc w:val="right"/>
              <w:ind w:right="100"/>
              <w:spacing w:after="0"/>
              <w:rPr>
                <w:sz w:val="20"/>
                <w:szCs w:val="20"/>
                <w:color w:val="auto"/>
              </w:rPr>
            </w:pPr>
            <w:r>
              <w:rPr>
                <w:rFonts w:ascii="Arial" w:cs="Arial" w:eastAsia="Arial" w:hAnsi="Arial"/>
                <w:sz w:val="11"/>
                <w:szCs w:val="11"/>
                <w:b w:val="1"/>
                <w:bCs w:val="1"/>
                <w:color w:val="auto"/>
                <w:w w:val="85"/>
              </w:rPr>
              <w:t>From 1 to 5 years</w:t>
            </w:r>
          </w:p>
        </w:tc>
        <w:tc>
          <w:tcPr>
            <w:tcW w:w="860" w:type="dxa"/>
            <w:vAlign w:val="bottom"/>
            <w:gridSpan w:val="3"/>
          </w:tcPr>
          <w:p>
            <w:pPr>
              <w:jc w:val="center"/>
              <w:ind w:right="80"/>
              <w:spacing w:after="0"/>
              <w:rPr>
                <w:sz w:val="20"/>
                <w:szCs w:val="20"/>
                <w:color w:val="auto"/>
              </w:rPr>
            </w:pPr>
            <w:r>
              <w:rPr>
                <w:rFonts w:ascii="Arial" w:cs="Arial" w:eastAsia="Arial" w:hAnsi="Arial"/>
                <w:sz w:val="11"/>
                <w:szCs w:val="11"/>
                <w:b w:val="1"/>
                <w:bCs w:val="1"/>
                <w:color w:val="auto"/>
                <w:w w:val="87"/>
              </w:rPr>
              <w:t>Over 5 years</w:t>
            </w:r>
          </w:p>
        </w:tc>
        <w:tc>
          <w:tcPr>
            <w:tcW w:w="6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80" w:type="dxa"/>
            <w:vAlign w:val="bottom"/>
          </w:tcPr>
          <w:p>
            <w:pPr>
              <w:spacing w:after="0"/>
              <w:rPr>
                <w:sz w:val="11"/>
                <w:szCs w:val="11"/>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US$(000)</w:t>
            </w:r>
          </w:p>
        </w:tc>
        <w:tc>
          <w:tcPr>
            <w:tcW w:w="1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3"/>
              </w:rPr>
              <w:t>US$(000)</w:t>
            </w:r>
          </w:p>
        </w:tc>
        <w:tc>
          <w:tcPr>
            <w:tcW w:w="18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90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1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obligations</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4,100,737</w:t>
            </w:r>
          </w:p>
        </w:tc>
        <w:tc>
          <w:tcPr>
            <w:tcW w:w="180" w:type="dxa"/>
            <w:vAlign w:val="bottom"/>
            <w:shd w:val="clear" w:color="auto" w:fill="CCFFCC"/>
          </w:tcPr>
          <w:p>
            <w:pPr>
              <w:spacing w:after="0"/>
              <w:rPr>
                <w:sz w:val="10"/>
                <w:szCs w:val="10"/>
                <w:color w:val="auto"/>
              </w:rPr>
            </w:pP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1,589,588</w:t>
            </w:r>
          </w:p>
        </w:tc>
        <w:tc>
          <w:tcPr>
            <w:tcW w:w="8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6,382,365</w:t>
            </w:r>
          </w:p>
        </w:tc>
        <w:tc>
          <w:tcPr>
            <w:tcW w:w="100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2,071,812</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119,360</w:t>
            </w: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14,263,862</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4,200,202</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1,573,685</w:t>
            </w:r>
          </w:p>
        </w:tc>
        <w:tc>
          <w:tcPr>
            <w:tcW w:w="7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6,727,731</w:t>
            </w:r>
          </w:p>
        </w:tc>
        <w:tc>
          <w:tcPr>
            <w:tcW w:w="200" w:type="dxa"/>
            <w:vAlign w:val="bottom"/>
            <w:shd w:val="clear" w:color="auto" w:fill="CCFFCC"/>
          </w:tcPr>
          <w:p>
            <w:pPr>
              <w:spacing w:after="0"/>
              <w:rPr>
                <w:sz w:val="10"/>
                <w:szCs w:val="10"/>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1,485,233</w:t>
            </w:r>
          </w:p>
        </w:tc>
        <w:tc>
          <w:tcPr>
            <w:tcW w:w="10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381,475</w:t>
            </w: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14,368,326</w:t>
            </w: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tcPr>
          <w:p>
            <w:pPr>
              <w:spacing w:after="0" w:line="112" w:lineRule="exact"/>
              <w:rPr>
                <w:sz w:val="20"/>
                <w:szCs w:val="20"/>
                <w:color w:val="auto"/>
              </w:rPr>
            </w:pPr>
            <w:r>
              <w:rPr>
                <w:rFonts w:ascii="Arial" w:cs="Arial" w:eastAsia="Arial" w:hAnsi="Arial"/>
                <w:sz w:val="11"/>
                <w:szCs w:val="11"/>
                <w:color w:val="auto"/>
                <w:w w:val="90"/>
              </w:rPr>
              <w:t>Due to bank and correspondents and</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tcPr>
          <w:p>
            <w:pPr>
              <w:ind w:left="160"/>
              <w:spacing w:after="0"/>
              <w:rPr>
                <w:sz w:val="20"/>
                <w:szCs w:val="20"/>
                <w:color w:val="auto"/>
              </w:rPr>
            </w:pPr>
            <w:r>
              <w:rPr>
                <w:rFonts w:ascii="Arial" w:cs="Arial" w:eastAsia="Arial" w:hAnsi="Arial"/>
                <w:sz w:val="11"/>
                <w:szCs w:val="11"/>
                <w:color w:val="auto"/>
              </w:rPr>
              <w:t>Borrowed funds</w:t>
            </w:r>
          </w:p>
        </w:tc>
        <w:tc>
          <w:tcPr>
            <w:tcW w:w="680" w:type="dxa"/>
            <w:vAlign w:val="bottom"/>
          </w:tcPr>
          <w:p>
            <w:pPr>
              <w:jc w:val="right"/>
              <w:spacing w:after="0"/>
              <w:rPr>
                <w:sz w:val="20"/>
                <w:szCs w:val="20"/>
                <w:color w:val="auto"/>
              </w:rPr>
            </w:pPr>
            <w:r>
              <w:rPr>
                <w:rFonts w:ascii="Arial" w:cs="Arial" w:eastAsia="Arial" w:hAnsi="Arial"/>
                <w:sz w:val="11"/>
                <w:szCs w:val="11"/>
                <w:color w:val="auto"/>
              </w:rPr>
              <w:t>382,789</w:t>
            </w:r>
          </w:p>
        </w:tc>
        <w:tc>
          <w:tcPr>
            <w:tcW w:w="1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364,018</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418,620</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1,285,930</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368,271</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2,819,628</w:t>
            </w:r>
          </w:p>
        </w:tc>
        <w:tc>
          <w:tcPr>
            <w:tcW w:w="680" w:type="dxa"/>
            <w:vAlign w:val="bottom"/>
          </w:tcPr>
          <w:p>
            <w:pPr>
              <w:jc w:val="right"/>
              <w:spacing w:after="0"/>
              <w:rPr>
                <w:sz w:val="20"/>
                <w:szCs w:val="20"/>
                <w:color w:val="auto"/>
              </w:rPr>
            </w:pPr>
            <w:r>
              <w:rPr>
                <w:rFonts w:ascii="Arial" w:cs="Arial" w:eastAsia="Arial" w:hAnsi="Arial"/>
                <w:sz w:val="11"/>
                <w:szCs w:val="11"/>
                <w:color w:val="auto"/>
              </w:rPr>
              <w:t>222,667</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262,027</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355,464</w:t>
            </w:r>
          </w:p>
        </w:tc>
        <w:tc>
          <w:tcPr>
            <w:tcW w:w="2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1,226,162</w:t>
            </w:r>
          </w:p>
        </w:tc>
        <w:tc>
          <w:tcPr>
            <w:tcW w:w="10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564,212</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2,630,532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Accounts payable to reinsurer and</w:t>
            </w: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shd w:val="clear" w:color="auto" w:fill="CCFFCC"/>
          </w:tcPr>
          <w:p>
            <w:pPr>
              <w:ind w:left="160"/>
              <w:spacing w:after="0"/>
              <w:rPr>
                <w:sz w:val="20"/>
                <w:szCs w:val="20"/>
                <w:color w:val="auto"/>
              </w:rPr>
            </w:pPr>
            <w:r>
              <w:rPr>
                <w:rFonts w:ascii="Arial" w:cs="Arial" w:eastAsia="Arial" w:hAnsi="Arial"/>
                <w:sz w:val="11"/>
                <w:szCs w:val="11"/>
                <w:color w:val="auto"/>
              </w:rPr>
              <w:t>coinsurers</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7,058</w:t>
            </w:r>
          </w:p>
        </w:tc>
        <w:tc>
          <w:tcPr>
            <w:tcW w:w="1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31,974</w:t>
            </w: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10,119</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49,151</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16,232</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13,663</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25,946</w:t>
            </w:r>
          </w:p>
        </w:tc>
        <w:tc>
          <w:tcPr>
            <w:tcW w:w="200" w:type="dxa"/>
            <w:vAlign w:val="bottom"/>
            <w:shd w:val="clear" w:color="auto" w:fill="CCFFCC"/>
          </w:tcPr>
          <w:p>
            <w:pPr>
              <w:spacing w:after="0"/>
              <w:rPr>
                <w:sz w:val="11"/>
                <w:szCs w:val="11"/>
                <w:color w:val="auto"/>
              </w:rPr>
            </w:pPr>
          </w:p>
        </w:tc>
        <w:tc>
          <w:tcPr>
            <w:tcW w:w="9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55,841</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tcPr>
          <w:p>
            <w:pPr>
              <w:spacing w:after="0" w:line="112" w:lineRule="exact"/>
              <w:rPr>
                <w:sz w:val="20"/>
                <w:szCs w:val="20"/>
                <w:color w:val="auto"/>
              </w:rPr>
            </w:pPr>
            <w:r>
              <w:rPr>
                <w:rFonts w:ascii="Arial" w:cs="Arial" w:eastAsia="Arial" w:hAnsi="Arial"/>
                <w:sz w:val="11"/>
                <w:szCs w:val="11"/>
                <w:color w:val="auto"/>
                <w:w w:val="90"/>
              </w:rPr>
              <w:t>Technical, insurance claims reserves</w:t>
            </w: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660" w:type="dxa"/>
            <w:vAlign w:val="bottom"/>
          </w:tcPr>
          <w:p>
            <w:pPr>
              <w:ind w:left="160"/>
              <w:spacing w:after="0" w:line="122" w:lineRule="exact"/>
              <w:rPr>
                <w:sz w:val="20"/>
                <w:szCs w:val="20"/>
                <w:color w:val="auto"/>
              </w:rPr>
            </w:pPr>
            <w:r>
              <w:rPr>
                <w:rFonts w:ascii="Arial" w:cs="Arial" w:eastAsia="Arial" w:hAnsi="Arial"/>
                <w:sz w:val="11"/>
                <w:szCs w:val="11"/>
                <w:color w:val="auto"/>
              </w:rPr>
              <w:t>and reserves for unearned</w:t>
            </w: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tcPr>
          <w:p>
            <w:pPr>
              <w:ind w:left="160"/>
              <w:spacing w:after="0"/>
              <w:rPr>
                <w:sz w:val="20"/>
                <w:szCs w:val="20"/>
                <w:color w:val="auto"/>
              </w:rPr>
            </w:pPr>
            <w:r>
              <w:rPr>
                <w:rFonts w:ascii="Arial" w:cs="Arial" w:eastAsia="Arial" w:hAnsi="Arial"/>
                <w:sz w:val="11"/>
                <w:szCs w:val="11"/>
                <w:color w:val="auto"/>
              </w:rPr>
              <w:t>premiums</w:t>
            </w:r>
          </w:p>
        </w:tc>
        <w:tc>
          <w:tcPr>
            <w:tcW w:w="680" w:type="dxa"/>
            <w:vAlign w:val="bottom"/>
          </w:tcPr>
          <w:p>
            <w:pPr>
              <w:jc w:val="right"/>
              <w:spacing w:after="0"/>
              <w:rPr>
                <w:sz w:val="20"/>
                <w:szCs w:val="20"/>
                <w:color w:val="auto"/>
              </w:rPr>
            </w:pPr>
            <w:r>
              <w:rPr>
                <w:rFonts w:ascii="Arial" w:cs="Arial" w:eastAsia="Arial" w:hAnsi="Arial"/>
                <w:sz w:val="11"/>
                <w:szCs w:val="11"/>
                <w:color w:val="auto"/>
              </w:rPr>
              <w:t>61,464</w:t>
            </w:r>
          </w:p>
        </w:tc>
        <w:tc>
          <w:tcPr>
            <w:tcW w:w="180" w:type="dxa"/>
            <w:vAlign w:val="bottom"/>
          </w:tcPr>
          <w:p>
            <w:pPr>
              <w:spacing w:after="0"/>
              <w:rPr>
                <w:sz w:val="11"/>
                <w:szCs w:val="11"/>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1"/>
                <w:szCs w:val="11"/>
                <w:color w:val="auto"/>
              </w:rPr>
              <w:t>112,548</w:t>
            </w:r>
          </w:p>
        </w:tc>
        <w:tc>
          <w:tcPr>
            <w:tcW w:w="860" w:type="dxa"/>
            <w:vAlign w:val="bottom"/>
            <w:gridSpan w:val="3"/>
          </w:tcPr>
          <w:p>
            <w:pPr>
              <w:jc w:val="right"/>
              <w:ind w:right="180"/>
              <w:spacing w:after="0"/>
              <w:rPr>
                <w:sz w:val="20"/>
                <w:szCs w:val="20"/>
                <w:color w:val="auto"/>
              </w:rPr>
            </w:pPr>
            <w:r>
              <w:rPr>
                <w:rFonts w:ascii="Arial" w:cs="Arial" w:eastAsia="Arial" w:hAnsi="Arial"/>
                <w:sz w:val="11"/>
                <w:szCs w:val="11"/>
                <w:color w:val="auto"/>
              </w:rPr>
              <w:t>266,121</w:t>
            </w:r>
          </w:p>
        </w:tc>
        <w:tc>
          <w:tcPr>
            <w:tcW w:w="1000" w:type="dxa"/>
            <w:vAlign w:val="bottom"/>
            <w:gridSpan w:val="2"/>
          </w:tcPr>
          <w:p>
            <w:pPr>
              <w:jc w:val="right"/>
              <w:ind w:right="180"/>
              <w:spacing w:after="0"/>
              <w:rPr>
                <w:sz w:val="20"/>
                <w:szCs w:val="20"/>
                <w:color w:val="auto"/>
              </w:rPr>
            </w:pPr>
            <w:r>
              <w:rPr>
                <w:rFonts w:ascii="Arial" w:cs="Arial" w:eastAsia="Arial" w:hAnsi="Arial"/>
                <w:sz w:val="11"/>
                <w:szCs w:val="11"/>
                <w:color w:val="auto"/>
              </w:rPr>
              <w:t>210,524</w:t>
            </w: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630,396</w:t>
            </w:r>
          </w:p>
        </w:tc>
        <w:tc>
          <w:tcPr>
            <w:tcW w:w="780" w:type="dxa"/>
            <w:vAlign w:val="bottom"/>
            <w:gridSpan w:val="2"/>
          </w:tcPr>
          <w:p>
            <w:pPr>
              <w:jc w:val="right"/>
              <w:ind w:right="200"/>
              <w:spacing w:after="0"/>
              <w:rPr>
                <w:sz w:val="20"/>
                <w:szCs w:val="20"/>
                <w:color w:val="auto"/>
              </w:rPr>
            </w:pPr>
            <w:r>
              <w:rPr>
                <w:rFonts w:ascii="Arial" w:cs="Arial" w:eastAsia="Arial" w:hAnsi="Arial"/>
                <w:sz w:val="11"/>
                <w:szCs w:val="11"/>
                <w:color w:val="auto"/>
              </w:rPr>
              <w:t>1,281,053</w:t>
            </w:r>
          </w:p>
        </w:tc>
        <w:tc>
          <w:tcPr>
            <w:tcW w:w="680" w:type="dxa"/>
            <w:vAlign w:val="bottom"/>
          </w:tcPr>
          <w:p>
            <w:pPr>
              <w:jc w:val="right"/>
              <w:spacing w:after="0"/>
              <w:rPr>
                <w:sz w:val="20"/>
                <w:szCs w:val="20"/>
                <w:color w:val="auto"/>
              </w:rPr>
            </w:pPr>
            <w:r>
              <w:rPr>
                <w:rFonts w:ascii="Arial" w:cs="Arial" w:eastAsia="Arial" w:hAnsi="Arial"/>
                <w:sz w:val="11"/>
                <w:szCs w:val="11"/>
                <w:color w:val="auto"/>
              </w:rPr>
              <w:t>57,470</w:t>
            </w:r>
          </w:p>
        </w:tc>
        <w:tc>
          <w:tcPr>
            <w:tcW w:w="740" w:type="dxa"/>
            <w:vAlign w:val="bottom"/>
            <w:gridSpan w:val="2"/>
          </w:tcPr>
          <w:p>
            <w:pPr>
              <w:jc w:val="right"/>
              <w:spacing w:after="0"/>
              <w:rPr>
                <w:sz w:val="20"/>
                <w:szCs w:val="20"/>
                <w:color w:val="auto"/>
              </w:rPr>
            </w:pPr>
            <w:r>
              <w:rPr>
                <w:rFonts w:ascii="Arial" w:cs="Arial" w:eastAsia="Arial" w:hAnsi="Arial"/>
                <w:sz w:val="11"/>
                <w:szCs w:val="11"/>
                <w:color w:val="auto"/>
              </w:rPr>
              <w:t>117,509</w:t>
            </w:r>
          </w:p>
        </w:tc>
        <w:tc>
          <w:tcPr>
            <w:tcW w:w="760" w:type="dxa"/>
            <w:vAlign w:val="bottom"/>
            <w:gridSpan w:val="2"/>
          </w:tcPr>
          <w:p>
            <w:pPr>
              <w:jc w:val="right"/>
              <w:spacing w:after="0"/>
              <w:rPr>
                <w:sz w:val="20"/>
                <w:szCs w:val="20"/>
                <w:color w:val="auto"/>
              </w:rPr>
            </w:pPr>
            <w:r>
              <w:rPr>
                <w:rFonts w:ascii="Arial" w:cs="Arial" w:eastAsia="Arial" w:hAnsi="Arial"/>
                <w:sz w:val="11"/>
                <w:szCs w:val="11"/>
                <w:color w:val="auto"/>
              </w:rPr>
              <w:t>280,424</w:t>
            </w:r>
          </w:p>
        </w:tc>
        <w:tc>
          <w:tcPr>
            <w:tcW w:w="200" w:type="dxa"/>
            <w:vAlign w:val="bottom"/>
          </w:tcPr>
          <w:p>
            <w:pPr>
              <w:spacing w:after="0"/>
              <w:rPr>
                <w:sz w:val="11"/>
                <w:szCs w:val="11"/>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200,023</w:t>
            </w:r>
          </w:p>
        </w:tc>
        <w:tc>
          <w:tcPr>
            <w:tcW w:w="100" w:type="dxa"/>
            <w:vAlign w:val="bottom"/>
          </w:tcPr>
          <w:p>
            <w:pPr>
              <w:spacing w:after="0"/>
              <w:rPr>
                <w:sz w:val="11"/>
                <w:szCs w:val="11"/>
                <w:color w:val="auto"/>
              </w:rPr>
            </w:pPr>
          </w:p>
        </w:tc>
        <w:tc>
          <w:tcPr>
            <w:tcW w:w="680" w:type="dxa"/>
            <w:vAlign w:val="bottom"/>
            <w:gridSpan w:val="2"/>
          </w:tcPr>
          <w:p>
            <w:pPr>
              <w:jc w:val="right"/>
              <w:spacing w:after="0"/>
              <w:rPr>
                <w:sz w:val="20"/>
                <w:szCs w:val="20"/>
                <w:color w:val="auto"/>
              </w:rPr>
            </w:pPr>
            <w:r>
              <w:rPr>
                <w:rFonts w:ascii="Arial" w:cs="Arial" w:eastAsia="Arial" w:hAnsi="Arial"/>
                <w:sz w:val="11"/>
                <w:szCs w:val="11"/>
                <w:color w:val="auto"/>
              </w:rPr>
              <w:t>606,096</w:t>
            </w:r>
          </w:p>
        </w:tc>
        <w:tc>
          <w:tcPr>
            <w:tcW w:w="180" w:type="dxa"/>
            <w:vAlign w:val="bottom"/>
          </w:tcPr>
          <w:p>
            <w:pPr>
              <w:spacing w:after="0"/>
              <w:rPr>
                <w:sz w:val="11"/>
                <w:szCs w:val="11"/>
                <w:color w:val="auto"/>
              </w:rPr>
            </w:pPr>
          </w:p>
        </w:tc>
        <w:tc>
          <w:tcPr>
            <w:tcW w:w="580" w:type="dxa"/>
            <w:vAlign w:val="bottom"/>
          </w:tcPr>
          <w:p>
            <w:pPr>
              <w:jc w:val="right"/>
              <w:spacing w:after="0"/>
              <w:rPr>
                <w:sz w:val="20"/>
                <w:szCs w:val="20"/>
                <w:color w:val="auto"/>
              </w:rPr>
            </w:pPr>
            <w:r>
              <w:rPr>
                <w:rFonts w:ascii="Arial" w:cs="Arial" w:eastAsia="Arial" w:hAnsi="Arial"/>
                <w:sz w:val="11"/>
                <w:szCs w:val="11"/>
                <w:color w:val="auto"/>
              </w:rPr>
              <w:t>1,261,522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Bonds and subordinates notes</w:t>
            </w: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660" w:type="dxa"/>
            <w:vAlign w:val="bottom"/>
            <w:shd w:val="clear" w:color="auto" w:fill="CCFFCC"/>
          </w:tcPr>
          <w:p>
            <w:pPr>
              <w:ind w:left="160"/>
              <w:spacing w:after="0"/>
              <w:rPr>
                <w:sz w:val="20"/>
                <w:szCs w:val="20"/>
                <w:color w:val="auto"/>
              </w:rPr>
            </w:pPr>
            <w:r>
              <w:rPr>
                <w:rFonts w:ascii="Arial" w:cs="Arial" w:eastAsia="Arial" w:hAnsi="Arial"/>
                <w:sz w:val="11"/>
                <w:szCs w:val="11"/>
                <w:color w:val="auto"/>
              </w:rPr>
              <w:t>issued</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13,078</w:t>
            </w:r>
          </w:p>
        </w:tc>
        <w:tc>
          <w:tcPr>
            <w:tcW w:w="180" w:type="dxa"/>
            <w:vAlign w:val="bottom"/>
            <w:shd w:val="clear" w:color="auto" w:fill="CCFFCC"/>
          </w:tcPr>
          <w:p>
            <w:pPr>
              <w:spacing w:after="0"/>
              <w:rPr>
                <w:sz w:val="11"/>
                <w:szCs w:val="11"/>
                <w:color w:val="auto"/>
              </w:rPr>
            </w:pPr>
          </w:p>
        </w:tc>
        <w:tc>
          <w:tcPr>
            <w:tcW w:w="66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27,855</w:t>
            </w: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154,433</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749,497</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1,004,251</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1,949,114</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6,635</w:t>
            </w:r>
          </w:p>
        </w:tc>
        <w:tc>
          <w:tcPr>
            <w:tcW w:w="7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5,883</w:t>
            </w:r>
          </w:p>
        </w:tc>
        <w:tc>
          <w:tcPr>
            <w:tcW w:w="7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110,975</w:t>
            </w:r>
          </w:p>
        </w:tc>
        <w:tc>
          <w:tcPr>
            <w:tcW w:w="200" w:type="dxa"/>
            <w:vAlign w:val="bottom"/>
            <w:shd w:val="clear" w:color="auto" w:fill="CCFFCC"/>
          </w:tcPr>
          <w:p>
            <w:pPr>
              <w:spacing w:after="0"/>
              <w:rPr>
                <w:sz w:val="11"/>
                <w:szCs w:val="11"/>
                <w:color w:val="auto"/>
              </w:rPr>
            </w:pP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444,563</w:t>
            </w:r>
          </w:p>
        </w:tc>
        <w:tc>
          <w:tcPr>
            <w:tcW w:w="10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589,016</w:t>
            </w:r>
          </w:p>
        </w:tc>
        <w:tc>
          <w:tcPr>
            <w:tcW w:w="180" w:type="dxa"/>
            <w:vAlign w:val="bottom"/>
            <w:shd w:val="clear" w:color="auto" w:fill="CCFFCC"/>
          </w:tcPr>
          <w:p>
            <w:pPr>
              <w:spacing w:after="0"/>
              <w:rPr>
                <w:sz w:val="11"/>
                <w:szCs w:val="11"/>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1,157,072</w:t>
            </w: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60" w:type="dxa"/>
            <w:vAlign w:val="bottom"/>
          </w:tcPr>
          <w:p>
            <w:pPr>
              <w:spacing w:after="0" w:line="122" w:lineRule="exact"/>
              <w:rPr>
                <w:sz w:val="20"/>
                <w:szCs w:val="20"/>
                <w:color w:val="auto"/>
              </w:rPr>
            </w:pPr>
            <w:r>
              <w:rPr>
                <w:rFonts w:ascii="Arial" w:cs="Arial" w:eastAsia="Arial" w:hAnsi="Arial"/>
                <w:sz w:val="11"/>
                <w:szCs w:val="11"/>
                <w:color w:val="auto"/>
              </w:rPr>
              <w:t>Other liabilities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454,405</w:t>
            </w:r>
          </w:p>
        </w:tc>
        <w:tc>
          <w:tcPr>
            <w:tcW w:w="180" w:type="dxa"/>
            <w:vAlign w:val="bottom"/>
          </w:tcPr>
          <w:p>
            <w:pPr>
              <w:spacing w:after="0"/>
              <w:rPr>
                <w:sz w:val="11"/>
                <w:szCs w:val="11"/>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26,387</w:t>
            </w:r>
          </w:p>
        </w:tc>
        <w:tc>
          <w:tcPr>
            <w:tcW w:w="8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89,225</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102,950</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20,045</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693,012</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122,619</w:t>
            </w: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155,032</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379,563</w:t>
            </w:r>
          </w:p>
        </w:tc>
        <w:tc>
          <w:tcPr>
            <w:tcW w:w="200" w:type="dxa"/>
            <w:vAlign w:val="bottom"/>
          </w:tcPr>
          <w:p>
            <w:pPr>
              <w:spacing w:after="0"/>
              <w:rPr>
                <w:sz w:val="11"/>
                <w:szCs w:val="11"/>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90,430</w:t>
            </w:r>
          </w:p>
        </w:tc>
        <w:tc>
          <w:tcPr>
            <w:tcW w:w="100" w:type="dxa"/>
            <w:vAlign w:val="bottom"/>
          </w:tcPr>
          <w:p>
            <w:pPr>
              <w:spacing w:after="0"/>
              <w:rPr>
                <w:sz w:val="11"/>
                <w:szCs w:val="11"/>
                <w:color w:val="auto"/>
              </w:rPr>
            </w:pP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60,048</w:t>
            </w:r>
          </w:p>
        </w:tc>
        <w:tc>
          <w:tcPr>
            <w:tcW w:w="180" w:type="dxa"/>
            <w:vAlign w:val="bottom"/>
          </w:tcPr>
          <w:p>
            <w:pPr>
              <w:spacing w:after="0"/>
              <w:rPr>
                <w:sz w:val="11"/>
                <w:szCs w:val="11"/>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807,692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66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660" w:type="dxa"/>
            <w:vAlign w:val="bottom"/>
          </w:tcPr>
          <w:p>
            <w:pPr>
              <w:spacing w:after="0" w:line="122" w:lineRule="exact"/>
              <w:rPr>
                <w:sz w:val="20"/>
                <w:szCs w:val="20"/>
                <w:color w:val="auto"/>
              </w:rPr>
            </w:pPr>
            <w:r>
              <w:rPr>
                <w:rFonts w:ascii="Arial" w:cs="Arial" w:eastAsia="Arial" w:hAnsi="Arial"/>
                <w:sz w:val="11"/>
                <w:szCs w:val="11"/>
                <w:b w:val="1"/>
                <w:bCs w:val="1"/>
                <w:color w:val="auto"/>
              </w:rPr>
              <w:t>Total liabilities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5,019,531</w:t>
            </w:r>
          </w:p>
        </w:tc>
        <w:tc>
          <w:tcPr>
            <w:tcW w:w="180" w:type="dxa"/>
            <w:vAlign w:val="bottom"/>
          </w:tcPr>
          <w:p>
            <w:pPr>
              <w:spacing w:after="0"/>
              <w:rPr>
                <w:sz w:val="10"/>
                <w:szCs w:val="10"/>
                <w:color w:val="auto"/>
              </w:rPr>
            </w:pPr>
          </w:p>
        </w:tc>
        <w:tc>
          <w:tcPr>
            <w:tcW w:w="6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2,152,370</w:t>
            </w:r>
          </w:p>
        </w:tc>
        <w:tc>
          <w:tcPr>
            <w:tcW w:w="8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7,320,883</w:t>
            </w:r>
          </w:p>
        </w:tc>
        <w:tc>
          <w:tcPr>
            <w:tcW w:w="100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4,420,713</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2,142,323</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21,055,820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4,625,825</w:t>
            </w: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2,127,799</w:t>
            </w:r>
          </w:p>
        </w:tc>
        <w:tc>
          <w:tcPr>
            <w:tcW w:w="7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7,880,103</w:t>
            </w:r>
          </w:p>
        </w:tc>
        <w:tc>
          <w:tcPr>
            <w:tcW w:w="20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3,446,411</w:t>
            </w:r>
          </w:p>
        </w:tc>
        <w:tc>
          <w:tcPr>
            <w:tcW w:w="100" w:type="dxa"/>
            <w:vAlign w:val="bottom"/>
          </w:tcPr>
          <w:p>
            <w:pPr>
              <w:spacing w:after="0"/>
              <w:rPr>
                <w:sz w:val="10"/>
                <w:szCs w:val="10"/>
                <w:color w:val="auto"/>
              </w:rPr>
            </w:pPr>
          </w:p>
        </w:tc>
        <w:tc>
          <w:tcPr>
            <w:tcW w:w="6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2,200,847</w:t>
            </w:r>
          </w:p>
        </w:tc>
        <w:tc>
          <w:tcPr>
            <w:tcW w:w="1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20,280,985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the contractual maturity of the Group’s contingent credits at the date of the consolidated statements of financial position:</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226"/>
              <w:spacing w:after="0"/>
              <w:rPr>
                <w:sz w:val="20"/>
                <w:szCs w:val="20"/>
                <w:color w:val="auto"/>
              </w:rPr>
            </w:pPr>
            <w:r>
              <w:rPr>
                <w:rFonts w:ascii="Arial" w:cs="Arial" w:eastAsia="Arial" w:hAnsi="Arial"/>
                <w:sz w:val="11"/>
                <w:szCs w:val="11"/>
                <w:b w:val="1"/>
                <w:bCs w:val="1"/>
                <w:color w:val="auto"/>
                <w:w w:val="98"/>
              </w:rPr>
              <w:t>As of December 31, 2009</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206"/>
              <w:spacing w:after="0"/>
              <w:rPr>
                <w:sz w:val="20"/>
                <w:szCs w:val="20"/>
                <w:color w:val="auto"/>
              </w:rPr>
            </w:pPr>
            <w:r>
              <w:rPr>
                <w:rFonts w:ascii="Arial" w:cs="Arial" w:eastAsia="Arial" w:hAnsi="Arial"/>
                <w:sz w:val="11"/>
                <w:szCs w:val="11"/>
                <w:b w:val="1"/>
                <w:bCs w:val="1"/>
                <w:color w:val="auto"/>
              </w:rPr>
              <w:t>As of December 31, 2008</w:t>
            </w:r>
          </w:p>
        </w:tc>
        <w:tc>
          <w:tcPr>
            <w:tcW w:w="2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From 1 to 3</w:t>
            </w:r>
          </w:p>
        </w:tc>
        <w:tc>
          <w:tcPr>
            <w:tcW w:w="180" w:type="dxa"/>
            <w:vAlign w:val="bottom"/>
          </w:tcPr>
          <w:p>
            <w:pPr>
              <w:spacing w:after="0"/>
              <w:rPr>
                <w:sz w:val="9"/>
                <w:szCs w:val="9"/>
                <w:color w:val="auto"/>
              </w:rPr>
            </w:pPr>
          </w:p>
        </w:tc>
        <w:tc>
          <w:tcPr>
            <w:tcW w:w="78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1"/>
              </w:rPr>
              <w:t>From 3 to 12</w:t>
            </w: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jc w:val="center"/>
              <w:spacing w:after="0" w:line="108" w:lineRule="exact"/>
              <w:rPr>
                <w:sz w:val="20"/>
                <w:szCs w:val="20"/>
                <w:color w:val="auto"/>
              </w:rPr>
            </w:pPr>
            <w:r>
              <w:rPr>
                <w:rFonts w:ascii="Arial" w:cs="Arial" w:eastAsia="Arial" w:hAnsi="Arial"/>
                <w:sz w:val="11"/>
                <w:szCs w:val="11"/>
                <w:b w:val="1"/>
                <w:bCs w:val="1"/>
                <w:color w:val="auto"/>
                <w:w w:val="90"/>
              </w:rPr>
              <w:t>From 1 to 3</w:t>
            </w:r>
          </w:p>
        </w:tc>
        <w:tc>
          <w:tcPr>
            <w:tcW w:w="200" w:type="dxa"/>
            <w:vAlign w:val="bottom"/>
          </w:tcPr>
          <w:p>
            <w:pPr>
              <w:spacing w:after="0"/>
              <w:rPr>
                <w:sz w:val="9"/>
                <w:szCs w:val="9"/>
                <w:color w:val="auto"/>
              </w:rPr>
            </w:pPr>
          </w:p>
        </w:tc>
        <w:tc>
          <w:tcPr>
            <w:tcW w:w="7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88"/>
              </w:rPr>
              <w:t>From 1 to 12</w:t>
            </w: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Arial" w:cs="Arial" w:eastAsia="Arial" w:hAnsi="Arial"/>
                <w:sz w:val="11"/>
                <w:szCs w:val="11"/>
                <w:b w:val="1"/>
                <w:bCs w:val="1"/>
                <w:color w:val="auto"/>
                <w:w w:val="86"/>
              </w:rPr>
              <w:t>Up to a month</w:t>
            </w:r>
          </w:p>
        </w:tc>
        <w:tc>
          <w:tcPr>
            <w:tcW w:w="180" w:type="dxa"/>
            <w:vAlign w:val="bottom"/>
          </w:tcPr>
          <w:p>
            <w:pPr>
              <w:spacing w:after="0"/>
              <w:rPr>
                <w:sz w:val="10"/>
                <w:szCs w:val="10"/>
                <w:color w:val="auto"/>
              </w:rPr>
            </w:pP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85"/>
              </w:rPr>
              <w:t>months</w:t>
            </w:r>
          </w:p>
        </w:tc>
        <w:tc>
          <w:tcPr>
            <w:tcW w:w="180" w:type="dxa"/>
            <w:vAlign w:val="bottom"/>
          </w:tcPr>
          <w:p>
            <w:pPr>
              <w:spacing w:after="0"/>
              <w:rPr>
                <w:sz w:val="10"/>
                <w:szCs w:val="10"/>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5"/>
              </w:rPr>
              <w:t>months</w:t>
            </w:r>
          </w:p>
        </w:tc>
        <w:tc>
          <w:tcPr>
            <w:tcW w:w="800" w:type="dxa"/>
            <w:vAlign w:val="bottom"/>
          </w:tcPr>
          <w:p>
            <w:pPr>
              <w:jc w:val="right"/>
              <w:spacing w:after="0"/>
              <w:rPr>
                <w:sz w:val="20"/>
                <w:szCs w:val="20"/>
                <w:color w:val="auto"/>
              </w:rPr>
            </w:pPr>
            <w:r>
              <w:rPr>
                <w:rFonts w:ascii="Arial" w:cs="Arial" w:eastAsia="Arial" w:hAnsi="Arial"/>
                <w:sz w:val="11"/>
                <w:szCs w:val="11"/>
                <w:b w:val="1"/>
                <w:bCs w:val="1"/>
                <w:color w:val="auto"/>
                <w:w w:val="85"/>
              </w:rPr>
              <w:t>From 1 to 5 years</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84"/>
              </w:rPr>
              <w:t>Over 5 years</w:t>
            </w:r>
          </w:p>
        </w:tc>
        <w:tc>
          <w:tcPr>
            <w:tcW w:w="7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1"/>
              </w:rPr>
              <w:t>Total</w:t>
            </w:r>
          </w:p>
        </w:tc>
        <w:tc>
          <w:tcPr>
            <w:tcW w:w="660" w:type="dxa"/>
            <w:vAlign w:val="bottom"/>
          </w:tcPr>
          <w:p>
            <w:pPr>
              <w:jc w:val="right"/>
              <w:spacing w:after="0"/>
              <w:rPr>
                <w:sz w:val="20"/>
                <w:szCs w:val="20"/>
                <w:color w:val="auto"/>
              </w:rPr>
            </w:pPr>
            <w:r>
              <w:rPr>
                <w:rFonts w:ascii="Arial" w:cs="Arial" w:eastAsia="Arial" w:hAnsi="Arial"/>
                <w:sz w:val="11"/>
                <w:szCs w:val="11"/>
                <w:b w:val="1"/>
                <w:bCs w:val="1"/>
                <w:color w:val="auto"/>
                <w:w w:val="86"/>
              </w:rPr>
              <w:t>Up to a month</w:t>
            </w:r>
          </w:p>
        </w:tc>
        <w:tc>
          <w:tcPr>
            <w:tcW w:w="2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5"/>
              </w:rPr>
              <w:t>months</w:t>
            </w:r>
          </w:p>
        </w:tc>
        <w:tc>
          <w:tcPr>
            <w:tcW w:w="200" w:type="dxa"/>
            <w:vAlign w:val="bottom"/>
          </w:tcPr>
          <w:p>
            <w:pPr>
              <w:spacing w:after="0"/>
              <w:rPr>
                <w:sz w:val="10"/>
                <w:szCs w:val="10"/>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5"/>
              </w:rPr>
              <w:t>months</w:t>
            </w:r>
          </w:p>
        </w:tc>
        <w:tc>
          <w:tcPr>
            <w:tcW w:w="820" w:type="dxa"/>
            <w:vAlign w:val="bottom"/>
          </w:tcPr>
          <w:p>
            <w:pPr>
              <w:jc w:val="right"/>
              <w:spacing w:after="0"/>
              <w:rPr>
                <w:sz w:val="20"/>
                <w:szCs w:val="20"/>
                <w:color w:val="auto"/>
              </w:rPr>
            </w:pPr>
            <w:r>
              <w:rPr>
                <w:rFonts w:ascii="Arial" w:cs="Arial" w:eastAsia="Arial" w:hAnsi="Arial"/>
                <w:sz w:val="11"/>
                <w:szCs w:val="11"/>
                <w:b w:val="1"/>
                <w:bCs w:val="1"/>
                <w:color w:val="auto"/>
                <w:w w:val="87"/>
              </w:rPr>
              <w:t>From 1 to 5 years</w:t>
            </w:r>
          </w:p>
        </w:tc>
        <w:tc>
          <w:tcPr>
            <w:tcW w:w="20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4"/>
              </w:rPr>
              <w:t>Over 5 years</w:t>
            </w: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680" w:type="dxa"/>
            <w:vAlign w:val="bottom"/>
          </w:tcPr>
          <w:p>
            <w:pPr>
              <w:jc w:val="right"/>
              <w:ind w:right="86"/>
              <w:spacing w:after="0"/>
              <w:rPr>
                <w:sz w:val="20"/>
                <w:szCs w:val="20"/>
                <w:color w:val="auto"/>
              </w:rPr>
            </w:pPr>
            <w:r>
              <w:rPr>
                <w:rFonts w:ascii="Arial" w:cs="Arial" w:eastAsia="Arial" w:hAnsi="Arial"/>
                <w:sz w:val="11"/>
                <w:szCs w:val="11"/>
                <w:color w:val="auto"/>
              </w:rPr>
              <w:t>US$(000)</w:t>
            </w:r>
          </w:p>
        </w:tc>
        <w:tc>
          <w:tcPr>
            <w:tcW w:w="18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Arial" w:cs="Arial" w:eastAsia="Arial" w:hAnsi="Arial"/>
                <w:sz w:val="11"/>
                <w:szCs w:val="11"/>
                <w:color w:val="auto"/>
                <w:w w:val="93"/>
              </w:rPr>
              <w:t>US$(000)</w:t>
            </w:r>
          </w:p>
        </w:tc>
        <w:tc>
          <w:tcPr>
            <w:tcW w:w="180" w:type="dxa"/>
            <w:vAlign w:val="bottom"/>
          </w:tcPr>
          <w:p>
            <w:pPr>
              <w:spacing w:after="0"/>
              <w:rPr>
                <w:sz w:val="11"/>
                <w:szCs w:val="11"/>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800" w:type="dxa"/>
            <w:vAlign w:val="bottom"/>
          </w:tcPr>
          <w:p>
            <w:pPr>
              <w:jc w:val="right"/>
              <w:ind w:right="126"/>
              <w:spacing w:after="0"/>
              <w:rPr>
                <w:sz w:val="20"/>
                <w:szCs w:val="20"/>
                <w:color w:val="auto"/>
              </w:rPr>
            </w:pPr>
            <w:r>
              <w:rPr>
                <w:rFonts w:ascii="Arial" w:cs="Arial" w:eastAsia="Arial" w:hAnsi="Arial"/>
                <w:sz w:val="11"/>
                <w:szCs w:val="11"/>
                <w:color w:val="auto"/>
              </w:rPr>
              <w:t>US$(000)</w:t>
            </w:r>
          </w:p>
        </w:tc>
        <w:tc>
          <w:tcPr>
            <w:tcW w:w="20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color w:val="auto"/>
              </w:rPr>
              <w:t>US$(000)</w:t>
            </w:r>
          </w:p>
        </w:tc>
        <w:tc>
          <w:tcPr>
            <w:tcW w:w="74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2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200" w:type="dxa"/>
            <w:vAlign w:val="bottom"/>
          </w:tcPr>
          <w:p>
            <w:pPr>
              <w:spacing w:after="0"/>
              <w:rPr>
                <w:sz w:val="11"/>
                <w:szCs w:val="11"/>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820" w:type="dxa"/>
            <w:vAlign w:val="bottom"/>
          </w:tcPr>
          <w:p>
            <w:pPr>
              <w:jc w:val="right"/>
              <w:ind w:right="146"/>
              <w:spacing w:after="0"/>
              <w:rPr>
                <w:sz w:val="20"/>
                <w:szCs w:val="20"/>
                <w:color w:val="auto"/>
              </w:rPr>
            </w:pPr>
            <w:r>
              <w:rPr>
                <w:rFonts w:ascii="Arial" w:cs="Arial" w:eastAsia="Arial" w:hAnsi="Arial"/>
                <w:sz w:val="11"/>
                <w:szCs w:val="11"/>
                <w:color w:val="auto"/>
              </w:rPr>
              <w:t>US$(000)</w:t>
            </w:r>
          </w:p>
        </w:tc>
        <w:tc>
          <w:tcPr>
            <w:tcW w:w="200" w:type="dxa"/>
            <w:vAlign w:val="bottom"/>
          </w:tcPr>
          <w:p>
            <w:pPr>
              <w:spacing w:after="0"/>
              <w:rPr>
                <w:sz w:val="11"/>
                <w:szCs w:val="11"/>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US$(000)</w:t>
            </w:r>
          </w:p>
        </w:tc>
        <w:tc>
          <w:tcPr>
            <w:tcW w:w="66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vMerge w:val="continue"/>
          </w:tcPr>
          <w:p>
            <w:pPr>
              <w:spacing w:after="0"/>
              <w:rPr>
                <w:sz w:val="12"/>
                <w:szCs w:val="12"/>
                <w:color w:val="auto"/>
              </w:rPr>
            </w:pPr>
          </w:p>
        </w:tc>
        <w:tc>
          <w:tcPr>
            <w:tcW w:w="16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Contingent credits</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283,051</w:t>
            </w:r>
          </w:p>
        </w:tc>
        <w:tc>
          <w:tcPr>
            <w:tcW w:w="180" w:type="dxa"/>
            <w:vAlign w:val="bottom"/>
            <w:shd w:val="clear" w:color="auto" w:fill="CCFFCC"/>
          </w:tcPr>
          <w:p>
            <w:pPr>
              <w:spacing w:after="0"/>
              <w:rPr>
                <w:sz w:val="12"/>
                <w:szCs w:val="12"/>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798,222</w:t>
            </w:r>
          </w:p>
        </w:tc>
        <w:tc>
          <w:tcPr>
            <w:tcW w:w="18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1,019,234</w:t>
            </w:r>
          </w:p>
        </w:tc>
        <w:tc>
          <w:tcPr>
            <w:tcW w:w="20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303,597</w:t>
            </w:r>
          </w:p>
        </w:tc>
        <w:tc>
          <w:tcPr>
            <w:tcW w:w="200" w:type="dxa"/>
            <w:vAlign w:val="bottom"/>
            <w:shd w:val="clear" w:color="auto" w:fill="CCFFCC"/>
          </w:tcPr>
          <w:p>
            <w:pPr>
              <w:spacing w:after="0"/>
              <w:rPr>
                <w:sz w:val="12"/>
                <w:szCs w:val="12"/>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124,031</w:t>
            </w:r>
          </w:p>
        </w:tc>
        <w:tc>
          <w:tcPr>
            <w:tcW w:w="180" w:type="dxa"/>
            <w:vAlign w:val="bottom"/>
            <w:shd w:val="clear" w:color="auto" w:fill="CCFFCC"/>
          </w:tcPr>
          <w:p>
            <w:pPr>
              <w:spacing w:after="0"/>
              <w:rPr>
                <w:sz w:val="12"/>
                <w:szCs w:val="12"/>
                <w:color w:val="auto"/>
              </w:rPr>
            </w:pPr>
          </w:p>
        </w:tc>
        <w:tc>
          <w:tcPr>
            <w:tcW w:w="7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2,528,135</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208,248</w:t>
            </w: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541,900</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705,150</w:t>
            </w:r>
          </w:p>
        </w:tc>
        <w:tc>
          <w:tcPr>
            <w:tcW w:w="180" w:type="dxa"/>
            <w:vAlign w:val="bottom"/>
            <w:shd w:val="clear" w:color="auto" w:fill="CCFFCC"/>
          </w:tcPr>
          <w:p>
            <w:pPr>
              <w:spacing w:after="0"/>
              <w:rPr>
                <w:sz w:val="12"/>
                <w:szCs w:val="12"/>
                <w:color w:val="auto"/>
              </w:rPr>
            </w:pPr>
          </w:p>
        </w:tc>
        <w:tc>
          <w:tcPr>
            <w:tcW w:w="8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279,693</w:t>
            </w:r>
          </w:p>
        </w:tc>
        <w:tc>
          <w:tcPr>
            <w:tcW w:w="1000" w:type="dxa"/>
            <w:vAlign w:val="bottom"/>
            <w:gridSpan w:val="3"/>
            <w:shd w:val="clear" w:color="auto" w:fill="CCFFCC"/>
          </w:tcPr>
          <w:p>
            <w:pPr>
              <w:jc w:val="right"/>
              <w:ind w:right="220"/>
              <w:spacing w:after="0" w:line="122" w:lineRule="exact"/>
              <w:rPr>
                <w:sz w:val="20"/>
                <w:szCs w:val="20"/>
                <w:color w:val="auto"/>
              </w:rPr>
            </w:pPr>
            <w:r>
              <w:rPr>
                <w:rFonts w:ascii="Arial" w:cs="Arial" w:eastAsia="Arial" w:hAnsi="Arial"/>
                <w:sz w:val="11"/>
                <w:szCs w:val="11"/>
                <w:color w:val="auto"/>
              </w:rPr>
              <w:t>20,911</w:t>
            </w:r>
          </w:p>
        </w:tc>
        <w:tc>
          <w:tcPr>
            <w:tcW w:w="6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1,755,902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top w:val="single" w:sz="8" w:color="CCFFCC"/>
            </w:tcBorders>
            <w:shd w:val="clear" w:color="auto" w:fill="CCFFC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group expects that not all of the contingent liabilities or commitments will be drawn before expiration of the commitments.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29.4</w:t>
      </w:r>
      <w:r>
        <w:rPr>
          <w:sz w:val="20"/>
          <w:szCs w:val="20"/>
          <w:color w:val="auto"/>
        </w:rPr>
        <w:tab/>
      </w:r>
      <w:r>
        <w:rPr>
          <w:rFonts w:ascii="Arial" w:cs="Arial" w:eastAsia="Arial" w:hAnsi="Arial"/>
          <w:sz w:val="16"/>
          <w:szCs w:val="16"/>
          <w:b w:val="1"/>
          <w:bCs w:val="1"/>
          <w:color w:val="auto"/>
        </w:rPr>
        <w:t>Operational risk -</w:t>
      </w:r>
    </w:p>
    <w:p>
      <w:pPr>
        <w:spacing w:after="0" w:line="27" w:lineRule="exact"/>
        <w:rPr>
          <w:sz w:val="20"/>
          <w:szCs w:val="20"/>
          <w:color w:val="auto"/>
        </w:rPr>
      </w:pPr>
    </w:p>
    <w:p>
      <w:pPr>
        <w:ind w:left="660" w:right="340"/>
        <w:spacing w:after="0" w:line="281" w:lineRule="auto"/>
        <w:rPr>
          <w:sz w:val="20"/>
          <w:szCs w:val="20"/>
          <w:color w:val="auto"/>
        </w:rPr>
      </w:pPr>
      <w:r>
        <w:rPr>
          <w:rFonts w:ascii="Arial" w:cs="Arial" w:eastAsia="Arial" w:hAnsi="Arial"/>
          <w:sz w:val="16"/>
          <w:szCs w:val="16"/>
          <w:color w:val="auto"/>
        </w:rPr>
        <w:t>Operational risk is the risk of loss arising from systems failure, human error, fraud or external events. When controls fail to perform, operational risks can cause damage to reputation, have legal or regulatory implications, or lead to financial loss. The Group cannot expect to eliminate all operational risks, but through a control framework and by monitoring and responding to potential risks, the Group is able to manage the</w:t>
      </w:r>
    </w:p>
    <w:p>
      <w:pPr>
        <w:spacing w:after="0" w:line="2" w:lineRule="exact"/>
        <w:rPr>
          <w:sz w:val="20"/>
          <w:szCs w:val="20"/>
          <w:color w:val="auto"/>
        </w:rPr>
      </w:pPr>
    </w:p>
    <w:p>
      <w:pPr>
        <w:ind w:left="660" w:right="40"/>
        <w:spacing w:after="0" w:line="261" w:lineRule="auto"/>
        <w:rPr>
          <w:sz w:val="20"/>
          <w:szCs w:val="20"/>
          <w:color w:val="auto"/>
        </w:rPr>
      </w:pPr>
      <w:r>
        <w:rPr>
          <w:rFonts w:ascii="Arial" w:cs="Arial" w:eastAsia="Arial" w:hAnsi="Arial"/>
          <w:sz w:val="18"/>
          <w:szCs w:val="18"/>
          <w:color w:val="auto"/>
        </w:rPr>
        <w:t>risks. Controls include effective segregation of duties, access, authorization and reconciliation procedures, staff education and assessment processes, including the use of Internal Audit.</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Risk of the insurance activity -</w:t>
      </w:r>
    </w:p>
    <w:p>
      <w:pPr>
        <w:spacing w:after="0" w:line="27"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217"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The above risk exposure is mitigated by diversification across a large portfolio of insurance contracts and geographical areas. The variability of risks is also improved by careful selection and implementation of underwriting strategy guidelines, as well as the use of reinsurance arrangements. The Group’s placement of reinsurance is diversified such that it is neither dependent on a single reinsurer nor are the operations of the Group substantially dependent upon any single reinsurance contract.</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Life insurance contracts</w:t>
      </w:r>
    </w:p>
    <w:p>
      <w:pPr>
        <w:spacing w:after="0" w:line="27" w:lineRule="exact"/>
        <w:rPr>
          <w:sz w:val="20"/>
          <w:szCs w:val="20"/>
          <w:color w:val="auto"/>
        </w:rPr>
      </w:pPr>
    </w:p>
    <w:p>
      <w:pPr>
        <w:ind w:left="660" w:right="200"/>
        <w:spacing w:after="0" w:line="261" w:lineRule="auto"/>
        <w:rPr>
          <w:sz w:val="20"/>
          <w:szCs w:val="20"/>
          <w:color w:val="auto"/>
        </w:rPr>
      </w:pPr>
      <w:r>
        <w:rPr>
          <w:rFonts w:ascii="Arial" w:cs="Arial" w:eastAsia="Arial" w:hAnsi="Arial"/>
          <w:sz w:val="18"/>
          <w:szCs w:val="18"/>
          <w:color w:val="auto"/>
        </w:rPr>
        <w:t>Life insurance contracts offered by the Group include whole life, term assurance, unitized pensions, guaranteed annuity pensions, pure endowment pensions and mortgage endowments.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Whole life and term assurance are conventional regular premium products where lump sum benefits are payable on death or permanent disability.</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Few contracts have a surrender value.</w:t>
      </w:r>
    </w:p>
    <w:p>
      <w:pPr>
        <w:spacing w:after="0" w:line="238"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The main risks that the Group is exposed are mortality, morbidity, longevity, investment return, expense of loss arising from expense experience being different than expected, and policyholder decision, all of which, do not vary significantly in relation to the location of the risk insured by the Group, type of risk insured or industry.</w:t>
      </w:r>
    </w:p>
    <w:p>
      <w:pPr>
        <w:spacing w:after="0" w:line="208" w:lineRule="exact"/>
        <w:rPr>
          <w:sz w:val="20"/>
          <w:szCs w:val="20"/>
          <w:color w:val="auto"/>
        </w:rPr>
      </w:pPr>
    </w:p>
    <w:p>
      <w:pPr>
        <w:ind w:left="660"/>
        <w:spacing w:after="0" w:line="284" w:lineRule="auto"/>
        <w:rPr>
          <w:sz w:val="20"/>
          <w:szCs w:val="20"/>
          <w:color w:val="auto"/>
        </w:rPr>
      </w:pPr>
      <w:r>
        <w:rPr>
          <w:rFonts w:ascii="Arial" w:cs="Arial" w:eastAsia="Arial" w:hAnsi="Arial"/>
          <w:sz w:val="16"/>
          <w:szCs w:val="16"/>
          <w:color w:val="auto"/>
        </w:rPr>
        <w:t>The Group’s underwriting strategy is designed to ensure that risks are well diversified in terms of type of risk and level of insured benefits. This is largely achieved through diversification across industry sectors and geography,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 Insurance contracts also entitle the Group to pursue third parties for payment of some or all costs. The Group further enforces a policy of actively managing and prompt pursuing of claims, in order to reduce its exposure to unpredictable future developments that can negatively impact the Group.</w:t>
      </w:r>
    </w:p>
    <w:p>
      <w:pPr>
        <w:spacing w:after="0" w:line="3"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For contracts when death or disability is the insured risk, the significant factors that could increase the overall frequency of claims are epidemics, widespread changes in lifestyle and natural disasters, resulting in earlier or more claims than expected. Group wide reinsurance limits of US$50,000 on any single life insured and on all high risk individuals insured are in place.</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For annuity contracts, the most significant factor is continuing improvement in medical science and social conditions that would increase longevity.</w:t>
      </w:r>
    </w:p>
    <w:p>
      <w:pPr>
        <w:spacing w:after="0" w:line="2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has made a sensitivity analysis of the estimates of the technical reserves, note 14(c).</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Non-life insurance contracts (general insurance and healthcare)</w:t>
      </w:r>
    </w:p>
    <w:p>
      <w:pPr>
        <w:spacing w:after="0" w:line="27" w:lineRule="exact"/>
        <w:rPr>
          <w:sz w:val="20"/>
          <w:szCs w:val="20"/>
          <w:color w:val="auto"/>
        </w:rPr>
      </w:pPr>
    </w:p>
    <w:p>
      <w:pPr>
        <w:ind w:left="660" w:right="280"/>
        <w:spacing w:after="0" w:line="261" w:lineRule="auto"/>
        <w:rPr>
          <w:sz w:val="20"/>
          <w:szCs w:val="20"/>
          <w:color w:val="auto"/>
        </w:rPr>
      </w:pPr>
      <w:r>
        <w:rPr>
          <w:rFonts w:ascii="Arial" w:cs="Arial" w:eastAsia="Arial" w:hAnsi="Arial"/>
          <w:sz w:val="18"/>
          <w:szCs w:val="18"/>
          <w:color w:val="auto"/>
        </w:rPr>
        <w:t>The Group principally issues the following types of general insurance contracts: motor, household and commercial. Healthcare contracts provide medical expense cover to policyholders. Risks under non-life insurance policies usually cover 12 months.</w:t>
      </w:r>
    </w:p>
    <w:p>
      <w:pPr>
        <w:spacing w:after="0" w:line="211" w:lineRule="exact"/>
        <w:rPr>
          <w:sz w:val="20"/>
          <w:szCs w:val="20"/>
          <w:color w:val="auto"/>
        </w:rPr>
      </w:pPr>
    </w:p>
    <w:p>
      <w:pPr>
        <w:ind w:left="660" w:right="300"/>
        <w:spacing w:after="0" w:line="308"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These risks do not vary significantly in relation to the location of the risk insured by the Group, type of risk insured or industry.</w:t>
      </w:r>
    </w:p>
    <w:p>
      <w:pPr>
        <w:spacing w:after="0" w:line="252"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The above risks exposures are mitigated by diversification across a large portfolio of insurance contracts. The variability of risk is improved by careful selection and implementation of underwriting strategies, which are designed to ensure that risks are diversified in terms of risks type and level of insured benefits. This is largely achieved through diversification across industry sectors and geography. Further, strict claim review policies to assess all new and ongoing claims, regular detailed review of claims handling procedures and frequent investigation of possible fraudulent claims are all policies and procedures put in place to reduce the Group´s risk exposure. Also, the Group actively manages and promptly pursues claims, in order to reduce its exposure to unpredictable future developments that can negatively impact the Group.</w:t>
      </w:r>
    </w:p>
    <w:p>
      <w:pPr>
        <w:spacing w:after="0" w:line="205"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Group has also limited its exposure by imposing maximum claim amounts on certain contracts as well as the use of reinsurance arrangements in order to limit its exposure to catastrophic events.</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0" w:right="299" w:bottom="1440" w:gutter="0" w:footer="0" w:header="0"/>
        </w:sectPr>
      </w:pPr>
    </w:p>
    <w:bookmarkStart w:id="276" w:name="page277"/>
    <w:bookmarkEnd w:id="2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In the following paragraphs the Group has segregated some risk information related to its insurance business, which has been already included in the Group’s consolidated risk information; in order to provide more specific insight about this particular business.</w:t>
      </w:r>
    </w:p>
    <w:p>
      <w:pPr>
        <w:spacing w:after="0" w:line="197" w:lineRule="exact"/>
        <w:rPr>
          <w:sz w:val="20"/>
          <w:szCs w:val="20"/>
          <w:color w:val="auto"/>
        </w:rPr>
      </w:pPr>
    </w:p>
    <w:p>
      <w:pPr>
        <w:ind w:left="1160" w:hanging="490"/>
        <w:spacing w:after="0"/>
        <w:tabs>
          <w:tab w:leader="none" w:pos="11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Sensitivity to changes in interest rates -</w:t>
      </w:r>
    </w:p>
    <w:p>
      <w:pPr>
        <w:spacing w:after="0" w:line="23" w:lineRule="exact"/>
        <w:rPr>
          <w:rFonts w:ascii="Arial" w:cs="Arial" w:eastAsia="Arial" w:hAnsi="Arial"/>
          <w:sz w:val="18"/>
          <w:szCs w:val="18"/>
          <w:color w:val="auto"/>
        </w:rPr>
      </w:pPr>
    </w:p>
    <w:p>
      <w:pPr>
        <w:ind w:left="1140" w:right="380"/>
        <w:spacing w:after="0" w:line="323" w:lineRule="auto"/>
        <w:rPr>
          <w:rFonts w:ascii="Arial" w:cs="Arial" w:eastAsia="Arial" w:hAnsi="Arial"/>
          <w:sz w:val="18"/>
          <w:szCs w:val="18"/>
          <w:color w:val="auto"/>
        </w:rPr>
      </w:pPr>
      <w:r>
        <w:rPr>
          <w:rFonts w:ascii="Arial" w:cs="Arial" w:eastAsia="Arial" w:hAnsi="Arial"/>
          <w:sz w:val="16"/>
          <w:szCs w:val="16"/>
          <w:color w:val="auto"/>
        </w:rPr>
        <w:t>The following tables demonstrate the sensitivity to a reasonably possible change in interest rates, with all other variables held constant, in consolidated income statement and consolidated statements of comprehensive income of the insurance activity, before income tax: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 2009</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Sensitivity of</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Changes in basis</w:t>
            </w:r>
          </w:p>
        </w:tc>
        <w:tc>
          <w:tcPr>
            <w:tcW w:w="16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Sensitivity of net</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comprehensive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380" w:type="dxa"/>
            <w:vAlign w:val="bottom"/>
          </w:tcPr>
          <w:p>
            <w:pPr>
              <w:spacing w:after="0"/>
              <w:rPr>
                <w:sz w:val="19"/>
                <w:szCs w:val="19"/>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points</w:t>
            </w:r>
          </w:p>
        </w:tc>
        <w:tc>
          <w:tcPr>
            <w:tcW w:w="380" w:type="dxa"/>
            <w:vAlign w:val="bottom"/>
          </w:tcPr>
          <w:p>
            <w:pPr>
              <w:spacing w:after="0"/>
              <w:rPr>
                <w:sz w:val="19"/>
                <w:szCs w:val="19"/>
                <w:color w:val="auto"/>
              </w:rPr>
            </w:pPr>
          </w:p>
        </w:tc>
        <w:tc>
          <w:tcPr>
            <w:tcW w:w="1300" w:type="dxa"/>
            <w:vAlign w:val="bottom"/>
          </w:tcPr>
          <w:p>
            <w:pPr>
              <w:jc w:val="center"/>
              <w:ind w:right="450"/>
              <w:spacing w:after="0"/>
              <w:rPr>
                <w:sz w:val="20"/>
                <w:szCs w:val="20"/>
                <w:color w:val="auto"/>
              </w:rPr>
            </w:pPr>
            <w:r>
              <w:rPr>
                <w:rFonts w:ascii="Arial" w:cs="Arial" w:eastAsia="Arial" w:hAnsi="Arial"/>
                <w:sz w:val="18"/>
                <w:szCs w:val="18"/>
                <w:b w:val="1"/>
                <w:bCs w:val="1"/>
                <w:color w:val="auto"/>
                <w:w w:val="88"/>
              </w:rPr>
              <w:t>income</w:t>
            </w:r>
          </w:p>
        </w:tc>
        <w:tc>
          <w:tcPr>
            <w:tcW w:w="320" w:type="dxa"/>
            <w:vAlign w:val="bottom"/>
          </w:tcPr>
          <w:p>
            <w:pPr>
              <w:spacing w:after="0"/>
              <w:rPr>
                <w:sz w:val="19"/>
                <w:szCs w:val="19"/>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income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right="450"/>
              <w:spacing w:after="0"/>
              <w:rPr>
                <w:sz w:val="20"/>
                <w:szCs w:val="20"/>
                <w:color w:val="auto"/>
              </w:rPr>
            </w:pPr>
            <w:r>
              <w:rPr>
                <w:rFonts w:ascii="Arial" w:cs="Arial" w:eastAsia="Arial" w:hAnsi="Arial"/>
                <w:sz w:val="18"/>
                <w:szCs w:val="18"/>
                <w:color w:val="auto"/>
                <w:w w:val="93"/>
              </w:rPr>
              <w:t>US$(000)</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15,967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Dollar</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246</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23,951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328</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31,935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Dollar</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493</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47,902</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3,469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Peruvian Currency</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75</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5,204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69</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6,939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Peruvian Currency</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104</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10,408</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As of December 31, 2008</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8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Sensitivity of</w:t>
            </w:r>
          </w:p>
        </w:tc>
        <w:tc>
          <w:tcPr>
            <w:tcW w:w="8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8"/>
                <w:szCs w:val="18"/>
                <w:b w:val="1"/>
                <w:bCs w:val="1"/>
                <w:color w:val="auto"/>
                <w:w w:val="97"/>
              </w:rPr>
              <w:t>Changes in basis</w:t>
            </w:r>
          </w:p>
        </w:tc>
        <w:tc>
          <w:tcPr>
            <w:tcW w:w="16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88"/>
              </w:rPr>
              <w:t>Sensitivity of net</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comprehensive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380" w:type="dxa"/>
            <w:vAlign w:val="bottom"/>
          </w:tcPr>
          <w:p>
            <w:pPr>
              <w:spacing w:after="0"/>
              <w:rPr>
                <w:sz w:val="19"/>
                <w:szCs w:val="19"/>
                <w:color w:val="auto"/>
              </w:rPr>
            </w:pPr>
          </w:p>
        </w:tc>
        <w:tc>
          <w:tcPr>
            <w:tcW w:w="1140" w:type="dxa"/>
            <w:vAlign w:val="bottom"/>
          </w:tcPr>
          <w:p>
            <w:pPr>
              <w:jc w:val="right"/>
              <w:ind w:right="490"/>
              <w:spacing w:after="0"/>
              <w:rPr>
                <w:sz w:val="20"/>
                <w:szCs w:val="20"/>
                <w:color w:val="auto"/>
              </w:rPr>
            </w:pPr>
            <w:r>
              <w:rPr>
                <w:rFonts w:ascii="Arial" w:cs="Arial" w:eastAsia="Arial" w:hAnsi="Arial"/>
                <w:sz w:val="18"/>
                <w:szCs w:val="18"/>
                <w:b w:val="1"/>
                <w:bCs w:val="1"/>
                <w:color w:val="auto"/>
                <w:w w:val="99"/>
              </w:rPr>
              <w:t>points</w:t>
            </w:r>
          </w:p>
        </w:tc>
        <w:tc>
          <w:tcPr>
            <w:tcW w:w="380" w:type="dxa"/>
            <w:vAlign w:val="bottom"/>
          </w:tcPr>
          <w:p>
            <w:pPr>
              <w:spacing w:after="0"/>
              <w:rPr>
                <w:sz w:val="19"/>
                <w:szCs w:val="19"/>
                <w:color w:val="auto"/>
              </w:rPr>
            </w:pPr>
          </w:p>
        </w:tc>
        <w:tc>
          <w:tcPr>
            <w:tcW w:w="1300" w:type="dxa"/>
            <w:vAlign w:val="bottom"/>
          </w:tcPr>
          <w:p>
            <w:pPr>
              <w:jc w:val="center"/>
              <w:ind w:right="450"/>
              <w:spacing w:after="0"/>
              <w:rPr>
                <w:sz w:val="20"/>
                <w:szCs w:val="20"/>
                <w:color w:val="auto"/>
              </w:rPr>
            </w:pPr>
            <w:r>
              <w:rPr>
                <w:rFonts w:ascii="Arial" w:cs="Arial" w:eastAsia="Arial" w:hAnsi="Arial"/>
                <w:sz w:val="18"/>
                <w:szCs w:val="18"/>
                <w:b w:val="1"/>
                <w:bCs w:val="1"/>
                <w:color w:val="auto"/>
                <w:w w:val="88"/>
              </w:rPr>
              <w:t>income</w:t>
            </w:r>
          </w:p>
        </w:tc>
        <w:tc>
          <w:tcPr>
            <w:tcW w:w="320" w:type="dxa"/>
            <w:vAlign w:val="bottom"/>
          </w:tcPr>
          <w:p>
            <w:pPr>
              <w:spacing w:after="0"/>
              <w:rPr>
                <w:sz w:val="19"/>
                <w:szCs w:val="19"/>
                <w:color w:val="auto"/>
              </w:rPr>
            </w:pPr>
          </w:p>
        </w:tc>
        <w:tc>
          <w:tcPr>
            <w:tcW w:w="104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8"/>
              </w:rPr>
              <w:t>income</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right="450"/>
              <w:spacing w:after="0"/>
              <w:rPr>
                <w:sz w:val="20"/>
                <w:szCs w:val="20"/>
                <w:color w:val="auto"/>
              </w:rPr>
            </w:pPr>
            <w:r>
              <w:rPr>
                <w:rFonts w:ascii="Arial" w:cs="Arial" w:eastAsia="Arial" w:hAnsi="Arial"/>
                <w:sz w:val="18"/>
                <w:szCs w:val="18"/>
                <w:color w:val="auto"/>
                <w:w w:val="93"/>
              </w:rPr>
              <w:t>US$(000)</w:t>
            </w:r>
          </w:p>
        </w:tc>
        <w:tc>
          <w:tcPr>
            <w:tcW w:w="136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201</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6,734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Dollar</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402</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13,468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805</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26,935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U.S. Dollar</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1,207</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40,403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50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58</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2,597</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Peruvian Currency</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117</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5,193</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38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200</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CCFFCC"/>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10,386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Peruvian Currency</w:t>
            </w:r>
          </w:p>
        </w:tc>
        <w:tc>
          <w:tcPr>
            <w:tcW w:w="380" w:type="dxa"/>
            <w:vAlign w:val="bottom"/>
          </w:tcPr>
          <w:p>
            <w:pPr>
              <w:ind w:lef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50"/>
              <w:spacing w:after="0"/>
              <w:rPr>
                <w:sz w:val="20"/>
                <w:szCs w:val="20"/>
                <w:color w:val="auto"/>
              </w:rPr>
            </w:pPr>
            <w:r>
              <w:rPr>
                <w:rFonts w:ascii="Arial" w:cs="Arial" w:eastAsia="Arial" w:hAnsi="Arial"/>
                <w:sz w:val="18"/>
                <w:szCs w:val="18"/>
                <w:color w:val="auto"/>
              </w:rPr>
              <w:t>351</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15,579</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jc w:val="right"/>
              <w:ind w:right="90"/>
              <w:spacing w:after="0"/>
              <w:rPr>
                <w:sz w:val="20"/>
                <w:szCs w:val="20"/>
                <w:color w:val="auto"/>
              </w:rPr>
            </w:pPr>
            <w:r>
              <w:rPr>
                <w:rFonts w:ascii="Arial" w:cs="Arial" w:eastAsia="Arial" w:hAnsi="Arial"/>
                <w:sz w:val="18"/>
                <w:szCs w:val="18"/>
                <w:color w:val="auto"/>
              </w:rPr>
              <w:t>F-123</w:t>
            </w:r>
          </w:p>
        </w:tc>
        <w:tc>
          <w:tcPr>
            <w:tcW w:w="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56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22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77" w:name="page278"/>
    <w:bookmarkEnd w:id="2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40"/>
        <w:spacing w:after="0" w:line="286" w:lineRule="auto"/>
        <w:rPr>
          <w:sz w:val="20"/>
          <w:szCs w:val="20"/>
          <w:color w:val="auto"/>
        </w:rPr>
      </w:pPr>
      <w:r>
        <w:rPr>
          <w:rFonts w:ascii="Arial" w:cs="Arial" w:eastAsia="Arial" w:hAnsi="Arial"/>
          <w:sz w:val="17"/>
          <w:szCs w:val="17"/>
          <w:color w:val="auto"/>
        </w:rPr>
        <w:t>The interest rate sensitivities set out in the table above are illustrative only and employ simplified scenarios. It should be noted that the effects may not be linear and therefore the results cannot be extrapolated. The sensitivities do not incorporate actions that could be taken by Management to mitigate the effect of the interest rate movements, nor any changes in policyholders´ behaviors.</w:t>
      </w:r>
    </w:p>
    <w:p>
      <w:pPr>
        <w:spacing w:after="0" w:line="193" w:lineRule="exact"/>
        <w:rPr>
          <w:sz w:val="20"/>
          <w:szCs w:val="20"/>
          <w:color w:val="auto"/>
        </w:rPr>
      </w:pPr>
    </w:p>
    <w:p>
      <w:pPr>
        <w:ind w:left="1140" w:hanging="484"/>
        <w:spacing w:after="0"/>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Liquidity risk of the insurance activity -</w:t>
      </w:r>
    </w:p>
    <w:p>
      <w:pPr>
        <w:spacing w:after="0" w:line="23" w:lineRule="exact"/>
        <w:rPr>
          <w:rFonts w:ascii="Arial" w:cs="Arial" w:eastAsia="Arial" w:hAnsi="Arial"/>
          <w:sz w:val="18"/>
          <w:szCs w:val="18"/>
          <w:color w:val="auto"/>
        </w:rPr>
      </w:pPr>
    </w:p>
    <w:p>
      <w:pPr>
        <w:ind w:left="1140" w:right="140"/>
        <w:spacing w:after="0" w:line="290" w:lineRule="auto"/>
        <w:rPr>
          <w:rFonts w:ascii="Arial" w:cs="Arial" w:eastAsia="Arial" w:hAnsi="Arial"/>
          <w:sz w:val="18"/>
          <w:szCs w:val="18"/>
          <w:color w:val="auto"/>
        </w:rPr>
      </w:pPr>
      <w:r>
        <w:rPr>
          <w:rFonts w:ascii="Arial" w:cs="Arial" w:eastAsia="Arial" w:hAnsi="Arial"/>
          <w:sz w:val="17"/>
          <w:szCs w:val="17"/>
          <w:color w:val="auto"/>
        </w:rPr>
        <w:t>The Group´s insurance companies are exposed to requirements of cash available, mainly for contracts of insurance claims of short term. The Group holds the available funds for covering its liabilities according to their maturity and estimated unexpected claims.</w:t>
      </w:r>
    </w:p>
    <w:p>
      <w:pPr>
        <w:spacing w:after="0" w:line="188" w:lineRule="exact"/>
        <w:rPr>
          <w:rFonts w:ascii="Arial" w:cs="Arial" w:eastAsia="Arial" w:hAnsi="Arial"/>
          <w:sz w:val="18"/>
          <w:szCs w:val="18"/>
          <w:color w:val="auto"/>
        </w:rPr>
      </w:pPr>
    </w:p>
    <w:p>
      <w:pPr>
        <w:ind w:left="1140"/>
        <w:spacing w:after="0" w:line="264" w:lineRule="auto"/>
        <w:rPr>
          <w:rFonts w:ascii="Arial" w:cs="Arial" w:eastAsia="Arial" w:hAnsi="Arial"/>
          <w:sz w:val="18"/>
          <w:szCs w:val="18"/>
          <w:color w:val="auto"/>
        </w:rPr>
      </w:pPr>
      <w:r>
        <w:rPr>
          <w:rFonts w:ascii="Arial" w:cs="Arial" w:eastAsia="Arial" w:hAnsi="Arial"/>
          <w:sz w:val="18"/>
          <w:szCs w:val="18"/>
          <w:color w:val="auto"/>
        </w:rPr>
        <w:t>The Group´s insurance companies control liquidity risk through the exposure of the maturity of their liabilities. Therefore, the investment plan has been structured considering the maturities in order to manage the risk of fund requirements to cover insurance claims and others, in addition to the Group support.</w:t>
      </w:r>
    </w:p>
    <w:p>
      <w:pPr>
        <w:spacing w:after="0" w:line="208" w:lineRule="exact"/>
        <w:rPr>
          <w:rFonts w:ascii="Arial" w:cs="Arial" w:eastAsia="Arial" w:hAnsi="Arial"/>
          <w:sz w:val="18"/>
          <w:szCs w:val="18"/>
          <w:color w:val="auto"/>
        </w:rPr>
      </w:pPr>
    </w:p>
    <w:p>
      <w:pPr>
        <w:ind w:left="1140" w:right="420"/>
        <w:spacing w:after="0" w:line="277" w:lineRule="auto"/>
        <w:rPr>
          <w:rFonts w:ascii="Arial" w:cs="Arial" w:eastAsia="Arial" w:hAnsi="Arial"/>
          <w:sz w:val="18"/>
          <w:szCs w:val="18"/>
          <w:color w:val="auto"/>
        </w:rPr>
      </w:pPr>
      <w:r>
        <w:rPr>
          <w:rFonts w:ascii="Arial" w:cs="Arial" w:eastAsia="Arial" w:hAnsi="Arial"/>
          <w:sz w:val="18"/>
          <w:szCs w:val="18"/>
          <w:color w:val="auto"/>
        </w:rPr>
        <w:t>The undiscounted cash flows payable by the Group for technical, insurance claims reserves and reserves for unearned premiums by their remaining contractual maturities, including future interest payments, are presented in note 29.3.</w:t>
      </w:r>
    </w:p>
    <w:p>
      <w:pPr>
        <w:spacing w:after="0" w:line="197" w:lineRule="exact"/>
        <w:rPr>
          <w:rFonts w:ascii="Arial" w:cs="Arial" w:eastAsia="Arial" w:hAnsi="Arial"/>
          <w:sz w:val="18"/>
          <w:szCs w:val="18"/>
          <w:color w:val="auto"/>
        </w:rPr>
      </w:pPr>
    </w:p>
    <w:p>
      <w:pPr>
        <w:jc w:val="both"/>
        <w:ind w:left="1140" w:right="100"/>
        <w:spacing w:after="0" w:line="342" w:lineRule="auto"/>
        <w:rPr>
          <w:rFonts w:ascii="Arial" w:cs="Arial" w:eastAsia="Arial" w:hAnsi="Arial"/>
          <w:sz w:val="18"/>
          <w:szCs w:val="18"/>
          <w:color w:val="auto"/>
        </w:rPr>
      </w:pPr>
      <w:r>
        <w:rPr>
          <w:rFonts w:ascii="Arial" w:cs="Arial" w:eastAsia="Arial" w:hAnsi="Arial"/>
          <w:sz w:val="16"/>
          <w:szCs w:val="16"/>
          <w:color w:val="auto"/>
        </w:rPr>
        <w:t>Other non-derivative financial liabilities are related to the balances presented in the consolidated statements of financial position and include mainly accounts payable to reinsurers and coinsurers and other liabilities with contractual maturities of less than one year, see also note 29.3.</w:t>
      </w:r>
    </w:p>
    <w:p>
      <w:pPr>
        <w:spacing w:after="0" w:line="150"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Unit linked liabilities are repayable or transferable on demand and are included in the up to a year column.</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279"/>
        </w:numPr>
        <w:rPr>
          <w:rFonts w:ascii="Arial" w:cs="Arial" w:eastAsia="Arial" w:hAnsi="Arial"/>
          <w:sz w:val="18"/>
          <w:szCs w:val="18"/>
          <w:color w:val="auto"/>
        </w:rPr>
      </w:pPr>
      <w:r>
        <w:rPr>
          <w:rFonts w:ascii="Arial" w:cs="Arial" w:eastAsia="Arial" w:hAnsi="Arial"/>
          <w:sz w:val="18"/>
          <w:szCs w:val="18"/>
          <w:color w:val="auto"/>
        </w:rPr>
        <w:t>Credit risk of the insurance activity -</w:t>
      </w:r>
    </w:p>
    <w:p>
      <w:pPr>
        <w:spacing w:after="0" w:line="23" w:lineRule="exact"/>
        <w:rPr>
          <w:rFonts w:ascii="Arial" w:cs="Arial" w:eastAsia="Arial" w:hAnsi="Arial"/>
          <w:sz w:val="18"/>
          <w:szCs w:val="18"/>
          <w:color w:val="auto"/>
        </w:rPr>
      </w:pPr>
    </w:p>
    <w:p>
      <w:pPr>
        <w:ind w:left="1140" w:right="40"/>
        <w:spacing w:after="0" w:line="524" w:lineRule="auto"/>
        <w:rPr>
          <w:rFonts w:ascii="Arial" w:cs="Arial" w:eastAsia="Arial" w:hAnsi="Arial"/>
          <w:sz w:val="18"/>
          <w:szCs w:val="18"/>
          <w:color w:val="auto"/>
        </w:rPr>
      </w:pPr>
      <w:r>
        <w:rPr>
          <w:rFonts w:ascii="Arial" w:cs="Arial" w:eastAsia="Arial" w:hAnsi="Arial"/>
          <w:sz w:val="18"/>
          <w:szCs w:val="18"/>
          <w:color w:val="auto"/>
        </w:rPr>
        <w:t>Credit risk is the risk that one party to a financial instrument will cause a financial loss to the other party by failing to discharge an obligation. The following policies and procedures are in place to mitigate the Group’s exposure to credit risk:</w:t>
      </w:r>
    </w:p>
    <w:p>
      <w:pPr>
        <w:ind w:left="1620" w:right="340" w:hanging="478"/>
        <w:spacing w:after="0" w:line="277" w:lineRule="auto"/>
        <w:tabs>
          <w:tab w:leader="none" w:pos="16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The Group sets the maximum amounts and limits that may be advanced to corporate counterparties by reference to their long- term credit ratings.</w:t>
      </w:r>
    </w:p>
    <w:p>
      <w:pPr>
        <w:spacing w:after="0" w:line="197" w:lineRule="exact"/>
        <w:rPr>
          <w:rFonts w:ascii="Arial" w:cs="Arial" w:eastAsia="Arial" w:hAnsi="Arial"/>
          <w:sz w:val="18"/>
          <w:szCs w:val="18"/>
          <w:color w:val="auto"/>
        </w:rPr>
      </w:pPr>
    </w:p>
    <w:p>
      <w:pPr>
        <w:jc w:val="both"/>
        <w:ind w:left="1620" w:right="300" w:hanging="478"/>
        <w:spacing w:after="0" w:line="264" w:lineRule="auto"/>
        <w:tabs>
          <w:tab w:leader="none" w:pos="16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Credit risk from customer balances,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208" w:lineRule="exact"/>
        <w:rPr>
          <w:rFonts w:ascii="Arial" w:cs="Arial" w:eastAsia="Arial" w:hAnsi="Arial"/>
          <w:sz w:val="18"/>
          <w:szCs w:val="18"/>
          <w:color w:val="auto"/>
        </w:rPr>
      </w:pPr>
    </w:p>
    <w:p>
      <w:pPr>
        <w:jc w:val="both"/>
        <w:ind w:left="1620" w:right="20" w:hanging="478"/>
        <w:spacing w:after="0" w:line="259" w:lineRule="auto"/>
        <w:tabs>
          <w:tab w:leader="none" w:pos="1620" w:val="left"/>
        </w:tabs>
        <w:numPr>
          <w:ilvl w:val="1"/>
          <w:numId w:val="279"/>
        </w:numPr>
        <w:rPr>
          <w:rFonts w:ascii="Arial" w:cs="Arial" w:eastAsia="Arial" w:hAnsi="Arial"/>
          <w:sz w:val="18"/>
          <w:szCs w:val="18"/>
          <w:color w:val="auto"/>
        </w:rPr>
      </w:pPr>
      <w:r>
        <w:rPr>
          <w:rFonts w:ascii="Arial" w:cs="Arial" w:eastAsia="Arial" w:hAnsi="Arial"/>
          <w:sz w:val="18"/>
          <w:szCs w:val="18"/>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purchase strategy, ascertaining suitable allowance for impairment.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78" w:name="page279"/>
    <w:bookmarkEnd w:id="2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620" w:right="100" w:hanging="478"/>
        <w:spacing w:after="0" w:line="264" w:lineRule="auto"/>
        <w:tabs>
          <w:tab w:leader="none" w:pos="16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208" w:lineRule="exact"/>
        <w:rPr>
          <w:rFonts w:ascii="Arial" w:cs="Arial" w:eastAsia="Arial" w:hAnsi="Arial"/>
          <w:sz w:val="18"/>
          <w:szCs w:val="18"/>
          <w:color w:val="auto"/>
        </w:rPr>
      </w:pPr>
    </w:p>
    <w:p>
      <w:pPr>
        <w:ind w:left="1620" w:right="100" w:hanging="478"/>
        <w:spacing w:after="0" w:line="264" w:lineRule="auto"/>
        <w:tabs>
          <w:tab w:leader="none" w:pos="16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Group issues unit-linked investment policies whereby the policyholder bears the investment risk on the assets held in the unit-linked funds as the policy benefits are directly linked to the value of the assets in the fund. Therefore, the Group has no material credit risk on unit-linked financial assets.</w:t>
      </w:r>
    </w:p>
    <w:p>
      <w:pPr>
        <w:spacing w:after="0" w:line="208" w:lineRule="exact"/>
        <w:rPr>
          <w:rFonts w:ascii="Arial" w:cs="Arial" w:eastAsia="Arial" w:hAnsi="Arial"/>
          <w:sz w:val="18"/>
          <w:szCs w:val="18"/>
          <w:color w:val="auto"/>
        </w:rPr>
      </w:pPr>
    </w:p>
    <w:p>
      <w:pPr>
        <w:ind w:left="1620" w:right="60" w:hanging="478"/>
        <w:spacing w:after="0" w:line="264" w:lineRule="auto"/>
        <w:tabs>
          <w:tab w:leader="none" w:pos="162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Group has not provided the credit risk analysis for the financial assets of the unit-linked business. This is due to the fact that, in unit-linked business, the liability to policyholders is linked to the performance and value of the assets that back those liabilities and the shareholders have no direct exposure to any credit risk in those assets.</w:t>
      </w:r>
    </w:p>
    <w:p>
      <w:pPr>
        <w:spacing w:after="0" w:line="20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29.6</w:t>
      </w:r>
      <w:r>
        <w:rPr>
          <w:sz w:val="20"/>
          <w:szCs w:val="20"/>
          <w:color w:val="auto"/>
        </w:rPr>
        <w:tab/>
      </w:r>
      <w:r>
        <w:rPr>
          <w:rFonts w:ascii="Arial" w:cs="Arial" w:eastAsia="Arial" w:hAnsi="Arial"/>
          <w:sz w:val="16"/>
          <w:szCs w:val="16"/>
          <w:b w:val="1"/>
          <w:bCs w:val="1"/>
          <w:color w:val="auto"/>
        </w:rPr>
        <w:t>Capital management</w:t>
      </w:r>
    </w:p>
    <w:p>
      <w:pPr>
        <w:spacing w:after="0" w:line="27" w:lineRule="exact"/>
        <w:rPr>
          <w:sz w:val="20"/>
          <w:szCs w:val="20"/>
          <w:color w:val="auto"/>
        </w:rPr>
      </w:pPr>
    </w:p>
    <w:p>
      <w:pPr>
        <w:ind w:left="660" w:right="260"/>
        <w:spacing w:after="0" w:line="255" w:lineRule="auto"/>
        <w:rPr>
          <w:sz w:val="20"/>
          <w:szCs w:val="20"/>
          <w:color w:val="auto"/>
        </w:rPr>
      </w:pPr>
      <w:r>
        <w:rPr>
          <w:rFonts w:ascii="Arial" w:cs="Arial" w:eastAsia="Arial" w:hAnsi="Arial"/>
          <w:sz w:val="18"/>
          <w:szCs w:val="18"/>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w:t>
      </w:r>
    </w:p>
    <w:p>
      <w:pPr>
        <w:spacing w:after="0" w:line="217"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The Group’s objectives when managing capital, which is a broader concept than the “Equity” on the face of the consolidated statements of financial position, are: (i) to comply with the capital requirements set by the regulators of the banking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w:t>
      </w:r>
    </w:p>
    <w:p>
      <w:pPr>
        <w:spacing w:after="0" w:line="198"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Capital adequacy and the use of regulatory capital are monitored daily by the Group’s Management, employing techniques based on the guidelines developed by the Basel Committee, as implemented by the SBS for supervisory purposes. The required information is filed with the SBS on a quarterly basis. The SBS requires each bank or banking group to: (a) hold the minimum level of the regulatory capital, and (b) maintain a ratio of total regulatory capital to the risk-weighted asset at maximum level of 11. On June 2008, through Legislative Decree 1028, the ratio indicated in (b) above was modified, requiring that starting July 1, 2011, the regulatory capital be at least 10 percent of the assets and contingent credits weighed by credit risk plus 10 times the required regulatory capital for operational and market risk (9.5 percent starting July 1, 2009 and 9.8 percent starting July 1, 2010). In addition, those individual banking subsidiaries or similar financial institutions not incorporated in Peru are directly regulated and supervised by their local banking supervisor, whose regulatory capital requirements may differ from country to country.</w:t>
      </w:r>
    </w:p>
    <w:p>
      <w:pPr>
        <w:spacing w:after="0" w:line="193" w:lineRule="exact"/>
        <w:rPr>
          <w:sz w:val="20"/>
          <w:szCs w:val="20"/>
          <w:color w:val="auto"/>
        </w:rPr>
      </w:pPr>
    </w:p>
    <w:p>
      <w:pPr>
        <w:ind w:left="660" w:right="240"/>
        <w:spacing w:after="0" w:line="312" w:lineRule="auto"/>
        <w:rPr>
          <w:sz w:val="20"/>
          <w:szCs w:val="20"/>
          <w:color w:val="auto"/>
        </w:rPr>
      </w:pPr>
      <w:r>
        <w:rPr>
          <w:rFonts w:ascii="Arial" w:cs="Arial" w:eastAsia="Arial" w:hAnsi="Arial"/>
          <w:sz w:val="16"/>
          <w:szCs w:val="16"/>
          <w:color w:val="auto"/>
        </w:rPr>
        <w:t>The risk-weighted assets are measured by means of a hierarchy of five risk weights classified according to the nature and reflecting an estimate of credit, market and other risks associated with each asset and counterparty, taking into account any eligible collateral or guarantees. A similar treatment is adopted for off-balance sheet exposure, with some adjustments to reflect the more contingent nature of the potential losses.</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79" w:name="page280"/>
    <w:bookmarkEnd w:id="2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According to the SBS regulations, the Junior Subordinated Notes issued by BCP through its Panama branch for US$250.0 million are computable to determinate the Group’s regulatory capital, see note 15(a)(iii).</w:t>
      </w:r>
    </w:p>
    <w:p>
      <w:pPr>
        <w:spacing w:after="0" w:line="197" w:lineRule="exact"/>
        <w:rPr>
          <w:sz w:val="20"/>
          <w:szCs w:val="20"/>
          <w:color w:val="auto"/>
        </w:rPr>
      </w:pPr>
    </w:p>
    <w:p>
      <w:pPr>
        <w:ind w:left="660"/>
        <w:spacing w:after="0" w:line="279" w:lineRule="auto"/>
        <w:rPr>
          <w:sz w:val="20"/>
          <w:szCs w:val="20"/>
          <w:color w:val="auto"/>
        </w:rPr>
      </w:pPr>
      <w:r>
        <w:rPr>
          <w:rFonts w:ascii="Arial" w:cs="Arial" w:eastAsia="Arial" w:hAnsi="Arial"/>
          <w:sz w:val="17"/>
          <w:szCs w:val="17"/>
          <w:color w:val="auto"/>
        </w:rPr>
        <w:t>As of December 31, 2009 and 2008, the regulatory capital for the subsidiaries engaged in financial and insurance activities amounted to approximately US$2,221.1 and US$1,604.7 million, respectively. This regulatory capital has been determined in accordance with SBS regulations in force as of such dates. According to the SBS regulations, the Group’s regulatory capital exceeds in approximately US$660.3 million the minimum regulatory capital required as of December 31, 2009 (approximately US$263.6 million as of December 31, 2008).</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29.7</w:t>
      </w:r>
      <w:r>
        <w:rPr>
          <w:sz w:val="20"/>
          <w:szCs w:val="20"/>
          <w:color w:val="auto"/>
        </w:rPr>
        <w:tab/>
      </w:r>
      <w:r>
        <w:rPr>
          <w:rFonts w:ascii="Arial" w:cs="Arial" w:eastAsia="Arial" w:hAnsi="Arial"/>
          <w:sz w:val="16"/>
          <w:szCs w:val="16"/>
          <w:b w:val="1"/>
          <w:bCs w:val="1"/>
          <w:color w:val="auto"/>
        </w:rPr>
        <w:t>Fair value</w:t>
      </w:r>
    </w:p>
    <w:p>
      <w:pPr>
        <w:spacing w:after="0" w:line="27" w:lineRule="exact"/>
        <w:rPr>
          <w:sz w:val="20"/>
          <w:szCs w:val="20"/>
          <w:color w:val="auto"/>
        </w:rPr>
      </w:pPr>
    </w:p>
    <w:p>
      <w:pPr>
        <w:ind w:left="1160" w:right="120" w:hanging="490"/>
        <w:spacing w:after="0" w:line="261" w:lineRule="auto"/>
        <w:tabs>
          <w:tab w:leader="none" w:pos="116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210" w:lineRule="exact"/>
        <w:rPr>
          <w:rFonts w:ascii="Arial" w:cs="Arial" w:eastAsia="Arial" w:hAnsi="Arial"/>
          <w:sz w:val="18"/>
          <w:szCs w:val="18"/>
          <w:color w:val="auto"/>
        </w:rPr>
      </w:pPr>
    </w:p>
    <w:p>
      <w:pPr>
        <w:ind w:left="1140" w:right="20"/>
        <w:spacing w:after="0" w:line="273" w:lineRule="auto"/>
        <w:rPr>
          <w:rFonts w:ascii="Arial" w:cs="Arial" w:eastAsia="Arial" w:hAnsi="Arial"/>
          <w:sz w:val="18"/>
          <w:szCs w:val="18"/>
          <w:color w:val="auto"/>
        </w:rPr>
      </w:pPr>
      <w:r>
        <w:rPr>
          <w:rFonts w:ascii="Arial" w:cs="Arial" w:eastAsia="Arial" w:hAnsi="Arial"/>
          <w:sz w:val="17"/>
          <w:szCs w:val="17"/>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80" w:name="page281"/>
    <w:bookmarkEnd w:id="2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right="600"/>
        <w:spacing w:after="0" w:line="277" w:lineRule="auto"/>
        <w:rPr>
          <w:sz w:val="20"/>
          <w:szCs w:val="20"/>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197" w:lineRule="exact"/>
        <w:rPr>
          <w:sz w:val="20"/>
          <w:szCs w:val="20"/>
          <w:color w:val="auto"/>
        </w:rPr>
      </w:pPr>
    </w:p>
    <w:p>
      <w:pPr>
        <w:ind w:left="1620" w:right="120" w:hanging="478"/>
        <w:spacing w:after="0" w:line="312" w:lineRule="auto"/>
        <w:tabs>
          <w:tab w:leader="none" w:pos="1620" w:val="left"/>
        </w:tabs>
        <w:numPr>
          <w:ilvl w:val="0"/>
          <w:numId w:val="282"/>
        </w:numPr>
        <w:rPr>
          <w:rFonts w:ascii="Arial" w:cs="Arial" w:eastAsia="Arial" w:hAnsi="Arial"/>
          <w:sz w:val="16"/>
          <w:szCs w:val="16"/>
          <w:color w:val="auto"/>
        </w:rPr>
      </w:pPr>
      <w:r>
        <w:rPr>
          <w:rFonts w:ascii="Arial" w:cs="Arial" w:eastAsia="Arial" w:hAnsi="Arial"/>
          <w:sz w:val="16"/>
          <w:szCs w:val="16"/>
          <w:color w:val="auto"/>
        </w:rPr>
        <w:t>Assets for which fair value approximates carrying value - For financial assets and financial liabilities that are liquid or having a short term maturity (less than three months) it is assumed that the carrying amounts approximate to their fair value. This assumption is also applied to demand deposits, savings accounts without a specific maturity and variable rate financial instruments.</w:t>
      </w:r>
    </w:p>
    <w:p>
      <w:pPr>
        <w:spacing w:after="0" w:line="173" w:lineRule="exact"/>
        <w:rPr>
          <w:rFonts w:ascii="Arial" w:cs="Arial" w:eastAsia="Arial" w:hAnsi="Arial"/>
          <w:sz w:val="16"/>
          <w:szCs w:val="16"/>
          <w:color w:val="auto"/>
        </w:rPr>
      </w:pPr>
    </w:p>
    <w:p>
      <w:pPr>
        <w:ind w:left="1620" w:right="40" w:hanging="478"/>
        <w:spacing w:after="0" w:line="273" w:lineRule="auto"/>
        <w:tabs>
          <w:tab w:leader="none" w:pos="16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money-market interest rates for debts with similar credit risk and maturity. For quoted debt issued the fair values are calculated based on quoted market prices. For those notes issued where quoted market prices are not available, a discounted cash flow model is used based on a current interest rate yield curve appropriate for the remaining term to maturity.</w:t>
      </w:r>
    </w:p>
    <w:p>
      <w:pPr>
        <w:spacing w:after="0" w:line="205" w:lineRule="exact"/>
        <w:rPr>
          <w:rFonts w:ascii="Arial" w:cs="Arial" w:eastAsia="Arial" w:hAnsi="Arial"/>
          <w:sz w:val="17"/>
          <w:szCs w:val="17"/>
          <w:color w:val="auto"/>
        </w:rPr>
      </w:pPr>
    </w:p>
    <w:p>
      <w:pPr>
        <w:ind w:left="1620" w:hanging="478"/>
        <w:spacing w:after="0" w:line="276" w:lineRule="auto"/>
        <w:tabs>
          <w:tab w:leader="none" w:pos="1620" w:val="left"/>
        </w:tabs>
        <w:numPr>
          <w:ilvl w:val="0"/>
          <w:numId w:val="282"/>
        </w:numPr>
        <w:rPr>
          <w:rFonts w:ascii="Arial" w:cs="Arial" w:eastAsia="Arial" w:hAnsi="Arial"/>
          <w:sz w:val="17"/>
          <w:szCs w:val="17"/>
          <w:color w:val="auto"/>
        </w:rPr>
      </w:pPr>
      <w:r>
        <w:rPr>
          <w:rFonts w:ascii="Arial" w:cs="Arial" w:eastAsia="Arial" w:hAnsi="Arial"/>
          <w:sz w:val="17"/>
          <w:szCs w:val="17"/>
          <w:color w:val="auto"/>
        </w:rPr>
        <w:t>Financial instrument recorded at fair value - The fair value for financial instruments traded in active markets at the dates of the consolidated statements of financial position is based on their quoted market price or dealer price quotations (bid price for long positions and ask price for short positions), without any deduction for transaction costs. For all other financial instruments not listed in an active market, the fair value is determined by using appropriate valuation techniques. Valuation techniques include net present value techniques and comparison to similar instruments for which market observable prices exist, see (b).</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0" w:right="259" w:bottom="1440" w:gutter="0" w:footer="0" w:header="0"/>
        </w:sectPr>
      </w:pPr>
    </w:p>
    <w:bookmarkStart w:id="281" w:name="page282"/>
    <w:bookmarkEnd w:id="2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right="380"/>
        <w:spacing w:after="0" w:line="264" w:lineRule="auto"/>
        <w:rPr>
          <w:sz w:val="20"/>
          <w:szCs w:val="20"/>
          <w:color w:val="auto"/>
        </w:rPr>
      </w:pPr>
      <w:r>
        <w:rPr>
          <w:rFonts w:ascii="Arial" w:cs="Arial" w:eastAsia="Arial" w:hAnsi="Arial"/>
          <w:sz w:val="18"/>
          <w:szCs w:val="18"/>
          <w:color w:val="auto"/>
        </w:rPr>
        <w:t>Based in the aforementioned, set out below is a comparison of the carrying amounts and fair values of the Group’s financial instruments that are carried in the consolidated statements of financial position. The table does not include the fair values of non-financial assets and non-financial liabilities: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2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20" w:type="dxa"/>
            <w:vAlign w:val="bottom"/>
            <w:tcBorders>
              <w:top w:val="single" w:sz="8" w:color="auto"/>
            </w:tcBorders>
            <w:gridSpan w:val="3"/>
          </w:tcPr>
          <w:p>
            <w:pPr>
              <w:ind w:left="320"/>
              <w:spacing w:after="0" w:line="198" w:lineRule="exact"/>
              <w:rPr>
                <w:sz w:val="20"/>
                <w:szCs w:val="20"/>
                <w:color w:val="auto"/>
              </w:rPr>
            </w:pPr>
            <w:r>
              <w:rPr>
                <w:rFonts w:ascii="Arial" w:cs="Arial" w:eastAsia="Arial" w:hAnsi="Arial"/>
                <w:sz w:val="18"/>
                <w:szCs w:val="18"/>
                <w:b w:val="1"/>
                <w:bCs w:val="1"/>
                <w:color w:val="auto"/>
              </w:rPr>
              <w:t>Book</w:t>
            </w:r>
          </w:p>
        </w:tc>
        <w:tc>
          <w:tcPr>
            <w:tcW w:w="960" w:type="dxa"/>
            <w:vAlign w:val="bottom"/>
            <w:tcBorders>
              <w:top w:val="single" w:sz="8" w:color="auto"/>
            </w:tcBorders>
          </w:tcPr>
          <w:p>
            <w:pPr>
              <w:jc w:val="center"/>
              <w:ind w:right="70"/>
              <w:spacing w:after="0" w:line="198"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7"/>
                <w:szCs w:val="17"/>
                <w:color w:val="auto"/>
              </w:rPr>
            </w:pPr>
          </w:p>
        </w:tc>
        <w:tc>
          <w:tcPr>
            <w:tcW w:w="1420" w:type="dxa"/>
            <w:vAlign w:val="bottom"/>
            <w:tcBorders>
              <w:top w:val="single" w:sz="8" w:color="auto"/>
            </w:tcBorders>
            <w:gridSpan w:val="3"/>
          </w:tcPr>
          <w:p>
            <w:pPr>
              <w:ind w:left="320"/>
              <w:spacing w:after="0" w:line="198" w:lineRule="exact"/>
              <w:rPr>
                <w:sz w:val="20"/>
                <w:szCs w:val="20"/>
                <w:color w:val="auto"/>
              </w:rPr>
            </w:pPr>
            <w:r>
              <w:rPr>
                <w:rFonts w:ascii="Arial" w:cs="Arial" w:eastAsia="Arial" w:hAnsi="Arial"/>
                <w:sz w:val="18"/>
                <w:szCs w:val="18"/>
                <w:b w:val="1"/>
                <w:bCs w:val="1"/>
                <w:color w:val="auto"/>
              </w:rPr>
              <w:t>Book</w:t>
            </w:r>
          </w:p>
        </w:tc>
        <w:tc>
          <w:tcPr>
            <w:tcW w:w="960" w:type="dxa"/>
            <w:vAlign w:val="bottom"/>
            <w:tcBorders>
              <w:top w:val="single" w:sz="8" w:color="auto"/>
            </w:tcBorders>
          </w:tcPr>
          <w:p>
            <w:pPr>
              <w:jc w:val="center"/>
              <w:ind w:right="90"/>
              <w:spacing w:after="0" w:line="198" w:lineRule="exact"/>
              <w:rPr>
                <w:sz w:val="20"/>
                <w:szCs w:val="20"/>
                <w:color w:val="auto"/>
              </w:rPr>
            </w:pPr>
            <w:r>
              <w:rPr>
                <w:rFonts w:ascii="Arial" w:cs="Arial" w:eastAsia="Arial" w:hAnsi="Arial"/>
                <w:sz w:val="18"/>
                <w:szCs w:val="18"/>
                <w:b w:val="1"/>
                <w:bCs w:val="1"/>
                <w:color w:val="auto"/>
              </w:rPr>
              <w:t>Fair</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20" w:type="dxa"/>
            <w:vAlign w:val="bottom"/>
            <w:gridSpan w:val="3"/>
          </w:tcPr>
          <w:p>
            <w:pPr>
              <w:ind w:left="340"/>
              <w:spacing w:after="0"/>
              <w:rPr>
                <w:sz w:val="20"/>
                <w:szCs w:val="20"/>
                <w:color w:val="auto"/>
              </w:rPr>
            </w:pPr>
            <w:r>
              <w:rPr>
                <w:rFonts w:ascii="Arial" w:cs="Arial" w:eastAsia="Arial" w:hAnsi="Arial"/>
                <w:sz w:val="18"/>
                <w:szCs w:val="18"/>
                <w:b w:val="1"/>
                <w:bCs w:val="1"/>
                <w:color w:val="auto"/>
              </w:rPr>
              <w:t>value</w:t>
            </w: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value</w:t>
            </w:r>
          </w:p>
        </w:tc>
        <w:tc>
          <w:tcPr>
            <w:tcW w:w="1420" w:type="dxa"/>
            <w:vAlign w:val="bottom"/>
            <w:gridSpan w:val="3"/>
          </w:tcPr>
          <w:p>
            <w:pPr>
              <w:ind w:left="320"/>
              <w:spacing w:after="0"/>
              <w:rPr>
                <w:sz w:val="20"/>
                <w:szCs w:val="20"/>
                <w:color w:val="auto"/>
              </w:rPr>
            </w:pPr>
            <w:r>
              <w:rPr>
                <w:rFonts w:ascii="Arial" w:cs="Arial" w:eastAsia="Arial" w:hAnsi="Arial"/>
                <w:sz w:val="18"/>
                <w:szCs w:val="18"/>
                <w:b w:val="1"/>
                <w:bCs w:val="1"/>
                <w:color w:val="auto"/>
              </w:rPr>
              <w:t>value</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US$(000)</w:t>
            </w:r>
          </w:p>
        </w:tc>
        <w:tc>
          <w:tcPr>
            <w:tcW w:w="1180" w:type="dxa"/>
            <w:vAlign w:val="bottom"/>
            <w:gridSpan w:val="2"/>
          </w:tcPr>
          <w:p>
            <w:pPr>
              <w:jc w:val="center"/>
              <w:ind w:right="340"/>
              <w:spacing w:after="0"/>
              <w:rPr>
                <w:sz w:val="20"/>
                <w:szCs w:val="20"/>
                <w:color w:val="auto"/>
              </w:rPr>
            </w:pPr>
            <w:r>
              <w:rPr>
                <w:rFonts w:ascii="Arial" w:cs="Arial" w:eastAsia="Arial" w:hAnsi="Arial"/>
                <w:sz w:val="18"/>
                <w:szCs w:val="18"/>
                <w:color w:val="auto"/>
                <w:w w:val="93"/>
              </w:rPr>
              <w:t>US$(000)</w:t>
            </w:r>
          </w:p>
        </w:tc>
        <w:tc>
          <w:tcPr>
            <w:tcW w:w="1420" w:type="dxa"/>
            <w:vAlign w:val="bottom"/>
            <w:gridSpan w:val="3"/>
          </w:tcPr>
          <w:p>
            <w:pPr>
              <w:ind w:left="180"/>
              <w:spacing w:after="0"/>
              <w:rPr>
                <w:sz w:val="20"/>
                <w:szCs w:val="20"/>
                <w:color w:val="auto"/>
              </w:rPr>
            </w:pPr>
            <w:r>
              <w:rPr>
                <w:rFonts w:ascii="Arial" w:cs="Arial" w:eastAsia="Arial" w:hAnsi="Arial"/>
                <w:sz w:val="18"/>
                <w:szCs w:val="18"/>
                <w:color w:val="auto"/>
              </w:rPr>
              <w:t>US$(000)</w:t>
            </w:r>
          </w:p>
        </w:tc>
        <w:tc>
          <w:tcPr>
            <w:tcW w:w="10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US$(000)</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3,836,658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3,836,658</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3,766,171</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3,766,171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2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70,774</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70,774</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36,084</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36,084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5,079,606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5,079,606</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4,950,754</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4,950,754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2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11,231,280</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11,253,024</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10,322,041</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10,330,518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135,670</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135,670</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137,945</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137,945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2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121,338</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121,338</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111,561</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111,561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137,098</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137,098</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165,144</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165,144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2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96,423</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96,423</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232,580</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232,580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assets</w:t>
            </w:r>
          </w:p>
        </w:tc>
        <w:tc>
          <w:tcPr>
            <w:tcW w:w="8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420,222</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420,222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326,740</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326,740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FFCC"/>
          </w:tcPr>
          <w:p>
            <w:pPr>
              <w:spacing w:after="0"/>
              <w:rPr>
                <w:sz w:val="19"/>
                <w:szCs w:val="19"/>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21,129,069</w:t>
            </w:r>
          </w:p>
        </w:tc>
        <w:tc>
          <w:tcPr>
            <w:tcW w:w="120" w:type="dxa"/>
            <w:vAlign w:val="bottom"/>
            <w:shd w:val="clear" w:color="auto" w:fill="CCFFCC"/>
          </w:tcPr>
          <w:p>
            <w:pPr>
              <w:spacing w:after="0"/>
              <w:rPr>
                <w:sz w:val="19"/>
                <w:szCs w:val="19"/>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21,150,813</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20,049,020</w:t>
            </w:r>
          </w:p>
        </w:tc>
        <w:tc>
          <w:tcPr>
            <w:tcW w:w="120" w:type="dxa"/>
            <w:vAlign w:val="bottom"/>
            <w:shd w:val="clear" w:color="auto" w:fill="CCFFCC"/>
          </w:tcPr>
          <w:p>
            <w:pPr>
              <w:spacing w:after="0"/>
              <w:rPr>
                <w:sz w:val="19"/>
                <w:szCs w:val="19"/>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20,057,497</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40" w:type="dxa"/>
            <w:vAlign w:val="bottom"/>
            <w:tcBorders>
              <w:top w:val="single" w:sz="8" w:color="CCFFCC"/>
            </w:tcBorders>
          </w:tcPr>
          <w:p>
            <w:pPr>
              <w:spacing w:after="0"/>
              <w:rPr>
                <w:sz w:val="18"/>
                <w:szCs w:val="18"/>
                <w:color w:val="auto"/>
              </w:rPr>
            </w:pPr>
          </w:p>
        </w:tc>
        <w:tc>
          <w:tcPr>
            <w:tcW w:w="80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80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Deposits and obligation</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14,091,828</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14,091,828</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13,950,437</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13,950,437</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1,167,438</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1,167,502</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1,179,991</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1,180,404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2100" w:type="dxa"/>
            <w:vAlign w:val="bottom"/>
            <w:gridSpan w:val="3"/>
          </w:tcPr>
          <w:p>
            <w:pPr>
              <w:jc w:val="right"/>
              <w:ind w:right="220"/>
              <w:spacing w:after="0"/>
              <w:rPr>
                <w:sz w:val="20"/>
                <w:szCs w:val="20"/>
                <w:color w:val="auto"/>
              </w:rPr>
            </w:pPr>
            <w:r>
              <w:rPr>
                <w:rFonts w:ascii="Arial" w:cs="Arial" w:eastAsia="Arial" w:hAnsi="Arial"/>
                <w:sz w:val="18"/>
                <w:szCs w:val="18"/>
                <w:color w:val="auto"/>
              </w:rPr>
              <w:t>96,423</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96,423</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232,580</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232,580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210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48,009</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48,009</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55,841</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55,841</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Borrowed funds</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1,089,221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1,093,215</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1,150,716</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1,153,108</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1,287,022</w:t>
            </w:r>
          </w:p>
        </w:tc>
        <w:tc>
          <w:tcPr>
            <w:tcW w:w="2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1,321,004</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785,230</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773,652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596,589</w:t>
            </w:r>
          </w:p>
        </w:tc>
        <w:tc>
          <w:tcPr>
            <w:tcW w:w="1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596,589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575,112</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575,112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8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18,376,530</w:t>
            </w:r>
          </w:p>
        </w:tc>
        <w:tc>
          <w:tcPr>
            <w:tcW w:w="1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18,414,570</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17,929,907</w:t>
            </w:r>
          </w:p>
        </w:tc>
        <w:tc>
          <w:tcPr>
            <w:tcW w:w="1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17,921,134</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shd w:val="clear" w:color="auto" w:fill="CCFFCC"/>
          </w:tcPr>
          <w:p>
            <w:pPr>
              <w:spacing w:after="0"/>
              <w:rPr>
                <w:sz w:val="2"/>
                <w:szCs w:val="2"/>
                <w:color w:val="auto"/>
              </w:rPr>
            </w:pPr>
          </w:p>
        </w:tc>
        <w:tc>
          <w:tcPr>
            <w:tcW w:w="80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FFCC"/>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FFCC"/>
          </w:tcPr>
          <w:p>
            <w:pPr>
              <w:spacing w:after="0"/>
              <w:rPr>
                <w:sz w:val="2"/>
                <w:szCs w:val="2"/>
                <w:color w:val="auto"/>
              </w:rPr>
            </w:pPr>
          </w:p>
        </w:tc>
        <w:tc>
          <w:tcPr>
            <w:tcW w:w="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608"/>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220" w:type="dxa"/>
            <w:vAlign w:val="bottom"/>
            <w:gridSpan w:val="4"/>
          </w:tcPr>
          <w:p>
            <w:pPr>
              <w:jc w:val="right"/>
              <w:ind w:right="1260"/>
              <w:spacing w:after="0"/>
              <w:rPr>
                <w:sz w:val="20"/>
                <w:szCs w:val="20"/>
                <w:color w:val="auto"/>
              </w:rPr>
            </w:pPr>
            <w:r>
              <w:rPr>
                <w:rFonts w:ascii="Arial" w:cs="Arial" w:eastAsia="Arial" w:hAnsi="Arial"/>
                <w:sz w:val="18"/>
                <w:szCs w:val="18"/>
                <w:color w:val="auto"/>
              </w:rPr>
              <w:t>F-128</w:t>
            </w: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9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5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82" w:name="page283"/>
    <w:bookmarkEnd w:id="2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1140" w:hanging="484"/>
        <w:spacing w:after="0"/>
        <w:tabs>
          <w:tab w:leader="none" w:pos="114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Determination of fair value and fair values hierarchy -</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The following table shows an analysis of financial instruments recorded at fair value by level of the fair value hierarchy:</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860" w:type="dxa"/>
            <w:vAlign w:val="bottom"/>
            <w:gridSpan w:val="2"/>
            <w:vMerge w:val="restart"/>
          </w:tcPr>
          <w:p>
            <w:pPr>
              <w:ind w:left="1140"/>
              <w:spacing w:after="0"/>
              <w:rPr>
                <w:sz w:val="20"/>
                <w:szCs w:val="20"/>
                <w:color w:val="auto"/>
              </w:rPr>
            </w:pPr>
            <w:r>
              <w:rPr>
                <w:rFonts w:ascii="Arial" w:cs="Arial" w:eastAsia="Arial" w:hAnsi="Arial"/>
                <w:sz w:val="18"/>
                <w:szCs w:val="18"/>
                <w:b w:val="1"/>
                <w:bCs w:val="1"/>
                <w:color w:val="auto"/>
              </w:rPr>
              <w:t>December 31, 2009</w:t>
            </w: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Level 1</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Level 2</w:t>
            </w:r>
          </w:p>
        </w:tc>
        <w:tc>
          <w:tcPr>
            <w:tcW w:w="10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Level 3</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gridSpan w:val="2"/>
            <w:vMerge w:val="continue"/>
          </w:tcPr>
          <w:p>
            <w:pPr>
              <w:spacing w:after="0"/>
              <w:rPr>
                <w:sz w:val="20"/>
                <w:szCs w:val="20"/>
                <w:color w:val="auto"/>
              </w:rPr>
            </w:pPr>
          </w:p>
        </w:tc>
        <w:tc>
          <w:tcPr>
            <w:tcW w:w="640" w:type="dxa"/>
            <w:vAlign w:val="bottom"/>
          </w:tcPr>
          <w:p>
            <w:pPr>
              <w:ind w:left="280"/>
              <w:spacing w:after="0"/>
              <w:rPr>
                <w:sz w:val="20"/>
                <w:szCs w:val="20"/>
                <w:color w:val="auto"/>
              </w:rPr>
            </w:pPr>
            <w:r>
              <w:rPr>
                <w:rFonts w:ascii="Arial" w:cs="Arial" w:eastAsia="Arial" w:hAnsi="Arial"/>
                <w:sz w:val="18"/>
                <w:szCs w:val="18"/>
                <w:color w:val="auto"/>
                <w:w w:val="89"/>
              </w:rPr>
              <w:t>Note</w:t>
            </w:r>
          </w:p>
        </w:tc>
        <w:tc>
          <w:tcPr>
            <w:tcW w:w="260" w:type="dxa"/>
            <w:vAlign w:val="bottom"/>
          </w:tcPr>
          <w:p>
            <w:pPr>
              <w:spacing w:after="0"/>
              <w:rPr>
                <w:sz w:val="20"/>
                <w:szCs w:val="20"/>
                <w:color w:val="auto"/>
              </w:rPr>
            </w:pPr>
          </w:p>
        </w:tc>
        <w:tc>
          <w:tcPr>
            <w:tcW w:w="10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US$(000)</w:t>
            </w: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US$(000)</w:t>
            </w:r>
          </w:p>
        </w:tc>
        <w:tc>
          <w:tcPr>
            <w:tcW w:w="9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assets</w:t>
            </w: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Held for trading</w:t>
            </w:r>
          </w:p>
        </w:tc>
        <w:tc>
          <w:tcPr>
            <w:tcW w:w="640" w:type="dxa"/>
            <w:vAlign w:val="bottom"/>
          </w:tcPr>
          <w:p>
            <w:pPr>
              <w:spacing w:after="0"/>
              <w:rPr>
                <w:sz w:val="18"/>
                <w:szCs w:val="18"/>
                <w:color w:val="auto"/>
              </w:rPr>
            </w:pP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83,077</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83,077</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Held as hedges</w:t>
            </w: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14,264</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14,264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72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640" w:type="dxa"/>
            <w:vAlign w:val="bottom"/>
          </w:tcPr>
          <w:p>
            <w:pPr>
              <w:jc w:val="center"/>
              <w:ind w:left="170"/>
              <w:spacing w:after="0"/>
              <w:rPr>
                <w:sz w:val="20"/>
                <w:szCs w:val="20"/>
                <w:color w:val="auto"/>
              </w:rPr>
            </w:pPr>
            <w:r>
              <w:rPr>
                <w:rFonts w:ascii="Arial" w:cs="Arial" w:eastAsia="Arial" w:hAnsi="Arial"/>
                <w:sz w:val="18"/>
                <w:szCs w:val="18"/>
                <w:color w:val="auto"/>
                <w:w w:val="90"/>
              </w:rPr>
              <w:t>11(b)</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97,341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97,341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640" w:type="dxa"/>
            <w:vAlign w:val="bottom"/>
            <w:shd w:val="clear" w:color="auto" w:fill="CCFFCC"/>
          </w:tcPr>
          <w:p>
            <w:pPr>
              <w:spacing w:after="0"/>
              <w:rPr>
                <w:sz w:val="18"/>
                <w:szCs w:val="18"/>
                <w:color w:val="auto"/>
              </w:rPr>
            </w:pPr>
          </w:p>
        </w:tc>
        <w:tc>
          <w:tcPr>
            <w:tcW w:w="13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53,716</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17,058</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70,774</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40" w:type="dxa"/>
            <w:vAlign w:val="bottom"/>
          </w:tcPr>
          <w:p>
            <w:pPr>
              <w:spacing w:after="0"/>
              <w:rPr>
                <w:sz w:val="17"/>
                <w:szCs w:val="17"/>
                <w:color w:val="auto"/>
              </w:rPr>
            </w:pPr>
          </w:p>
        </w:tc>
        <w:tc>
          <w:tcPr>
            <w:tcW w:w="3720" w:type="dxa"/>
            <w:vAlign w:val="bottom"/>
          </w:tcPr>
          <w:p>
            <w:pPr>
              <w:spacing w:after="0" w:line="201" w:lineRule="exact"/>
              <w:rPr>
                <w:sz w:val="20"/>
                <w:szCs w:val="20"/>
                <w:color w:val="auto"/>
              </w:rPr>
            </w:pPr>
            <w:r>
              <w:rPr>
                <w:rFonts w:ascii="Arial" w:cs="Arial" w:eastAsia="Arial" w:hAnsi="Arial"/>
                <w:sz w:val="18"/>
                <w:szCs w:val="18"/>
                <w:color w:val="auto"/>
                <w:w w:val="95"/>
              </w:rPr>
              <w:t>Financial assets designated at fair value through</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20"/>
                <w:szCs w:val="20"/>
                <w:color w:val="auto"/>
              </w:rPr>
            </w:pPr>
          </w:p>
        </w:tc>
        <w:tc>
          <w:tcPr>
            <w:tcW w:w="3720" w:type="dxa"/>
            <w:vAlign w:val="bottom"/>
          </w:tcPr>
          <w:p>
            <w:pPr>
              <w:ind w:left="160"/>
              <w:spacing w:after="0"/>
              <w:rPr>
                <w:sz w:val="20"/>
                <w:szCs w:val="20"/>
                <w:color w:val="auto"/>
              </w:rPr>
            </w:pPr>
            <w:r>
              <w:rPr>
                <w:rFonts w:ascii="Arial" w:cs="Arial" w:eastAsia="Arial" w:hAnsi="Arial"/>
                <w:sz w:val="18"/>
                <w:szCs w:val="18"/>
                <w:color w:val="auto"/>
              </w:rPr>
              <w:t>profit or loss</w:t>
            </w:r>
          </w:p>
        </w:tc>
        <w:tc>
          <w:tcPr>
            <w:tcW w:w="640" w:type="dxa"/>
            <w:vAlign w:val="bottom"/>
          </w:tcPr>
          <w:p>
            <w:pPr>
              <w:jc w:val="center"/>
              <w:ind w:left="170"/>
              <w:spacing w:after="0"/>
              <w:rPr>
                <w:sz w:val="20"/>
                <w:szCs w:val="20"/>
                <w:color w:val="auto"/>
              </w:rPr>
            </w:pPr>
            <w:r>
              <w:rPr>
                <w:rFonts w:ascii="Arial" w:cs="Arial" w:eastAsia="Arial" w:hAnsi="Arial"/>
                <w:sz w:val="18"/>
                <w:szCs w:val="18"/>
                <w:color w:val="auto"/>
                <w:w w:val="99"/>
              </w:rPr>
              <w:t>7</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135,670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135,670</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Investments available-for-sale:</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Debt securities</w:t>
            </w:r>
          </w:p>
        </w:tc>
        <w:tc>
          <w:tcPr>
            <w:tcW w:w="640" w:type="dxa"/>
            <w:vAlign w:val="bottom"/>
            <w:shd w:val="clear" w:color="auto" w:fill="CCFFCC"/>
          </w:tcPr>
          <w:p>
            <w:pPr>
              <w:spacing w:after="0"/>
              <w:rPr>
                <w:sz w:val="18"/>
                <w:szCs w:val="18"/>
                <w:color w:val="auto"/>
              </w:rPr>
            </w:pPr>
          </w:p>
        </w:tc>
        <w:tc>
          <w:tcPr>
            <w:tcW w:w="13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1,490,567</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3,164,273</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42,423</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4,697,263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Equity securities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301,420</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22,058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7,255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330,733</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64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93"/>
              </w:rPr>
              <w:t>5(a)</w:t>
            </w: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1,791,987</w:t>
            </w:r>
          </w:p>
        </w:tc>
        <w:tc>
          <w:tcPr>
            <w:tcW w:w="1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3,186,331</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49,678</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5,027,996</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3720" w:type="dxa"/>
            <w:vAlign w:val="bottom"/>
            <w:shd w:val="clear" w:color="auto" w:fill="CCFFCC"/>
          </w:tcPr>
          <w:p>
            <w:pPr>
              <w:spacing w:after="0"/>
              <w:rPr>
                <w:sz w:val="2"/>
                <w:szCs w:val="2"/>
                <w:color w:val="auto"/>
              </w:rPr>
            </w:pPr>
          </w:p>
        </w:tc>
        <w:tc>
          <w:tcPr>
            <w:tcW w:w="640" w:type="dxa"/>
            <w:vAlign w:val="bottom"/>
            <w:shd w:val="clear" w:color="auto" w:fill="CCFFCC"/>
          </w:tcPr>
          <w:p>
            <w:pPr>
              <w:spacing w:after="0"/>
              <w:rPr>
                <w:sz w:val="2"/>
                <w:szCs w:val="2"/>
                <w:color w:val="auto"/>
              </w:rPr>
            </w:pPr>
          </w:p>
        </w:tc>
        <w:tc>
          <w:tcPr>
            <w:tcW w:w="260" w:type="dxa"/>
            <w:vAlign w:val="bottom"/>
            <w:shd w:val="clear" w:color="auto" w:fill="CCFFCC"/>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shd w:val="clear" w:color="auto" w:fill="CCFFCC"/>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shd w:val="clear" w:color="auto" w:fill="CCFFCC"/>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shd w:val="clear" w:color="auto" w:fill="CCFFCC"/>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Total financial assets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1,981,373</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3,300,730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49,678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5,331,781</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restart"/>
          </w:tcPr>
          <w:p>
            <w:pPr>
              <w:spacing w:after="0"/>
              <w:rPr>
                <w:sz w:val="18"/>
                <w:szCs w:val="18"/>
                <w:color w:val="auto"/>
              </w:rPr>
            </w:pPr>
          </w:p>
        </w:tc>
        <w:tc>
          <w:tcPr>
            <w:tcW w:w="37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color w:val="auto"/>
              </w:rPr>
              <w:t>Held for trading</w:t>
            </w:r>
          </w:p>
        </w:tc>
        <w:tc>
          <w:tcPr>
            <w:tcW w:w="640" w:type="dxa"/>
            <w:vAlign w:val="bottom"/>
            <w:shd w:val="clear" w:color="auto" w:fill="CCFFCC"/>
          </w:tcPr>
          <w:p>
            <w:pPr>
              <w:spacing w:after="0"/>
              <w:rPr>
                <w:sz w:val="18"/>
                <w:szCs w:val="18"/>
                <w:color w:val="auto"/>
              </w:rPr>
            </w:pPr>
          </w:p>
        </w:tc>
        <w:tc>
          <w:tcPr>
            <w:tcW w:w="13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63,019</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63,019</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Held as hedges</w:t>
            </w: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104,830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104,830</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14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vMerge w:val="continue"/>
          </w:tcPr>
          <w:p>
            <w:pPr>
              <w:spacing w:after="0"/>
              <w:rPr>
                <w:sz w:val="20"/>
                <w:szCs w:val="20"/>
                <w:color w:val="auto"/>
              </w:rPr>
            </w:pPr>
          </w:p>
        </w:tc>
        <w:tc>
          <w:tcPr>
            <w:tcW w:w="37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financial liabilities</w:t>
            </w:r>
          </w:p>
        </w:tc>
        <w:tc>
          <w:tcPr>
            <w:tcW w:w="640" w:type="dxa"/>
            <w:vAlign w:val="bottom"/>
            <w:shd w:val="clear" w:color="auto" w:fill="CCFFCC"/>
          </w:tcPr>
          <w:p>
            <w:pPr>
              <w:jc w:val="center"/>
              <w:ind w:left="170"/>
              <w:spacing w:after="0"/>
              <w:rPr>
                <w:sz w:val="20"/>
                <w:szCs w:val="20"/>
                <w:color w:val="auto"/>
              </w:rPr>
            </w:pPr>
            <w:r>
              <w:rPr>
                <w:rFonts w:ascii="Arial" w:cs="Arial" w:eastAsia="Arial" w:hAnsi="Arial"/>
                <w:sz w:val="18"/>
                <w:szCs w:val="18"/>
                <w:color w:val="auto"/>
                <w:w w:val="90"/>
              </w:rPr>
              <w:t>11(b)</w:t>
            </w:r>
          </w:p>
        </w:tc>
        <w:tc>
          <w:tcPr>
            <w:tcW w:w="260" w:type="dxa"/>
            <w:vAlign w:val="bottom"/>
            <w:shd w:val="clear" w:color="auto" w:fill="CCFFCC"/>
          </w:tcPr>
          <w:p>
            <w:pPr>
              <w:spacing w:after="0"/>
              <w:rPr>
                <w:sz w:val="20"/>
                <w:szCs w:val="20"/>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20"/>
                <w:szCs w:val="20"/>
                <w:color w:val="auto"/>
              </w:rPr>
            </w:pPr>
          </w:p>
        </w:tc>
        <w:tc>
          <w:tcPr>
            <w:tcW w:w="1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167,849</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167,849</w:t>
            </w: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2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gridSpan w:val="3"/>
          </w:tcPr>
          <w:p>
            <w:pPr>
              <w:spacing w:after="0"/>
              <w:rPr>
                <w:sz w:val="20"/>
                <w:szCs w:val="20"/>
                <w:color w:val="auto"/>
              </w:rPr>
            </w:pPr>
            <w:r>
              <w:rPr>
                <w:rFonts w:ascii="Arial" w:cs="Arial" w:eastAsia="Arial" w:hAnsi="Arial"/>
                <w:sz w:val="18"/>
                <w:szCs w:val="18"/>
                <w:color w:val="auto"/>
              </w:rPr>
              <w:t>F-129</w:t>
            </w: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1140" w:type="dxa"/>
            <w:vAlign w:val="bottom"/>
            <w:tcBorders>
              <w:bottom w:val="single" w:sz="8" w:color="808080"/>
            </w:tcBorders>
          </w:tcPr>
          <w:p>
            <w:pPr>
              <w:spacing w:after="0"/>
              <w:rPr>
                <w:sz w:val="10"/>
                <w:szCs w:val="10"/>
                <w:color w:val="auto"/>
              </w:rPr>
            </w:pPr>
          </w:p>
        </w:tc>
        <w:tc>
          <w:tcPr>
            <w:tcW w:w="372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86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6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83" w:name="page284"/>
    <w:bookmarkEnd w:id="2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Included in the Level 1 category are financial assets that are measured in whole or in part by reference to published quotes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214" w:lineRule="exact"/>
        <w:rPr>
          <w:sz w:val="20"/>
          <w:szCs w:val="20"/>
          <w:color w:val="auto"/>
        </w:rPr>
      </w:pPr>
    </w:p>
    <w:p>
      <w:pPr>
        <w:ind w:left="660"/>
        <w:spacing w:after="0" w:line="302" w:lineRule="auto"/>
        <w:rPr>
          <w:sz w:val="20"/>
          <w:szCs w:val="20"/>
          <w:color w:val="auto"/>
        </w:rPr>
      </w:pPr>
      <w:r>
        <w:rPr>
          <w:rFonts w:ascii="Arial" w:cs="Arial" w:eastAsia="Arial" w:hAnsi="Arial"/>
          <w:sz w:val="16"/>
          <w:szCs w:val="16"/>
          <w:color w:val="auto"/>
        </w:rPr>
        <w:t>The Level 2 category are financial assets and liabilities measured using a valuation technique based on assumptions that are supported by prices from observable current market transactions, are assets and liabilities for which pricing is obtained via pricing services, but where prices have not been determined in an active market, financial assets with fair values based on broker quotes, investments in private equity funds with fair values obtained via fund managers and assets that are valued using the Group’s own models whereby the majority of assumptions are market observable.</w:t>
      </w:r>
    </w:p>
    <w:p>
      <w:pPr>
        <w:spacing w:after="0" w:line="181" w:lineRule="exact"/>
        <w:rPr>
          <w:sz w:val="20"/>
          <w:szCs w:val="20"/>
          <w:color w:val="auto"/>
        </w:rPr>
      </w:pPr>
    </w:p>
    <w:p>
      <w:pPr>
        <w:ind w:left="660" w:right="260"/>
        <w:spacing w:after="0" w:line="308" w:lineRule="auto"/>
        <w:rPr>
          <w:sz w:val="20"/>
          <w:szCs w:val="20"/>
          <w:color w:val="auto"/>
        </w:rPr>
      </w:pPr>
      <w:r>
        <w:rPr>
          <w:rFonts w:ascii="Arial" w:cs="Arial" w:eastAsia="Arial" w:hAnsi="Arial"/>
          <w:sz w:val="17"/>
          <w:szCs w:val="17"/>
          <w:color w:val="auto"/>
        </w:rPr>
        <w:t>The Level 3 category are financial assets measured using a valuation technique (model) based on assumptions that are neither supported by prices from observable current market transactions in the same instrument nor are they based on available market data.</w:t>
      </w:r>
    </w:p>
    <w:p>
      <w:pPr>
        <w:spacing w:after="0" w:line="174" w:lineRule="exact"/>
        <w:rPr>
          <w:sz w:val="20"/>
          <w:szCs w:val="20"/>
          <w:color w:val="auto"/>
        </w:rPr>
      </w:pPr>
    </w:p>
    <w:p>
      <w:pPr>
        <w:ind w:left="660" w:right="20"/>
        <w:spacing w:after="0" w:line="308" w:lineRule="auto"/>
        <w:rPr>
          <w:sz w:val="20"/>
          <w:szCs w:val="20"/>
          <w:color w:val="auto"/>
        </w:rPr>
      </w:pPr>
      <w:r>
        <w:rPr>
          <w:rFonts w:ascii="Arial" w:cs="Arial" w:eastAsia="Arial" w:hAnsi="Arial"/>
          <w:sz w:val="17"/>
          <w:szCs w:val="17"/>
          <w:color w:val="auto"/>
        </w:rPr>
        <w:t>Level 3 financial instruments measured at fair value amounting to US$49.7 million. The net unrealized gains of these instruments amount to US$3.6 million, and the gross impairment recorded for these investments amounting to US$7.8 million as of December 31, 2009.</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2009, there were not transfer from Level 3 to Level 1 and Level 2 of financial instruments measured at fair value.</w:t>
      </w:r>
    </w:p>
    <w:p>
      <w:pPr>
        <w:spacing w:after="0" w:line="24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29.8</w:t>
      </w:r>
      <w:r>
        <w:rPr>
          <w:sz w:val="20"/>
          <w:szCs w:val="20"/>
          <w:color w:val="auto"/>
        </w:rPr>
        <w:tab/>
      </w:r>
      <w:r>
        <w:rPr>
          <w:rFonts w:ascii="Arial" w:cs="Arial" w:eastAsia="Arial" w:hAnsi="Arial"/>
          <w:sz w:val="16"/>
          <w:szCs w:val="16"/>
          <w:b w:val="1"/>
          <w:bCs w:val="1"/>
          <w:color w:val="auto"/>
        </w:rPr>
        <w:t>Fiduciary activities, management of funds and pension funds -</w:t>
      </w:r>
    </w:p>
    <w:p>
      <w:pPr>
        <w:spacing w:after="0" w:line="27" w:lineRule="exact"/>
        <w:rPr>
          <w:sz w:val="20"/>
          <w:szCs w:val="20"/>
          <w:color w:val="auto"/>
        </w:rPr>
      </w:pPr>
    </w:p>
    <w:p>
      <w:pPr>
        <w:ind w:left="660" w:right="80"/>
        <w:spacing w:after="0" w:line="302"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 Group makes allocations and purchase and sale decisions in relation to a wide range of financial instruments. Those assets that are held in a fiduciary capacity are not included in these consolidated financial statements. These services give rise to the risk that the Group will be accused of poor administration or under-performance.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84" w:name="page285"/>
    <w:bookmarkEnd w:id="2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4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December 31, 2009 and 2008, the assigned value of the financial assets under administration (in millions of U.S. Dollars) is as follows: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5540" w:type="dxa"/>
            <w:vAlign w:val="bottom"/>
            <w:gridSpan w:val="2"/>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2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Investments funds</w:t>
            </w:r>
          </w:p>
        </w:tc>
        <w:tc>
          <w:tcPr>
            <w:tcW w:w="5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1,997.2</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1,394.6</w:t>
            </w:r>
          </w:p>
        </w:tc>
        <w:tc>
          <w:tcPr>
            <w:tcW w:w="100" w:type="dxa"/>
            <w:vAlign w:val="bottom"/>
            <w:shd w:val="clear" w:color="auto" w:fill="CCFFCC"/>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Pension funds</w:t>
            </w:r>
          </w:p>
        </w:tc>
        <w:tc>
          <w:tcPr>
            <w:tcW w:w="5540" w:type="dxa"/>
            <w:vAlign w:val="bottom"/>
            <w:gridSpan w:val="2"/>
          </w:tcPr>
          <w:p>
            <w:pPr>
              <w:jc w:val="right"/>
              <w:spacing w:after="0"/>
              <w:rPr>
                <w:sz w:val="20"/>
                <w:szCs w:val="20"/>
                <w:color w:val="auto"/>
              </w:rPr>
            </w:pPr>
            <w:r>
              <w:rPr>
                <w:rFonts w:ascii="Arial" w:cs="Arial" w:eastAsia="Arial" w:hAnsi="Arial"/>
                <w:sz w:val="18"/>
                <w:szCs w:val="18"/>
                <w:color w:val="auto"/>
              </w:rPr>
              <w:t>6,582.8</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4,199.0</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Equity managed</w:t>
            </w:r>
          </w:p>
        </w:tc>
        <w:tc>
          <w:tcPr>
            <w:tcW w:w="55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2,534.4</w:t>
            </w:r>
          </w:p>
        </w:tc>
        <w:tc>
          <w:tcPr>
            <w:tcW w:w="12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1,966.8</w:t>
            </w:r>
          </w:p>
        </w:tc>
        <w:tc>
          <w:tcPr>
            <w:tcW w:w="100" w:type="dxa"/>
            <w:vAlign w:val="bottom"/>
            <w:shd w:val="clear" w:color="auto" w:fill="CCFFC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Borders>
              <w:top w:val="single" w:sz="8" w:color="CCFFCC"/>
            </w:tcBorders>
          </w:tcPr>
          <w:p>
            <w:pPr>
              <w:spacing w:after="0"/>
              <w:rPr>
                <w:sz w:val="18"/>
                <w:szCs w:val="18"/>
                <w:color w:val="auto"/>
              </w:rPr>
            </w:pPr>
          </w:p>
        </w:tc>
        <w:tc>
          <w:tcPr>
            <w:tcW w:w="450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4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450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11,114.4</w:t>
            </w:r>
          </w:p>
        </w:tc>
        <w:tc>
          <w:tcPr>
            <w:tcW w:w="20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7,560.4</w:t>
            </w:r>
          </w:p>
        </w:tc>
        <w:tc>
          <w:tcPr>
            <w:tcW w:w="100" w:type="dxa"/>
            <w:vAlign w:val="bottom"/>
            <w:tcBorders>
              <w:bottom w:val="single" w:sz="8" w:color="CCFFCC"/>
            </w:tcBorders>
            <w:shd w:val="clear" w:color="auto" w:fill="CCFFCC"/>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540" w:type="dxa"/>
            <w:vAlign w:val="bottom"/>
            <w:gridSpan w:val="2"/>
          </w:tcPr>
          <w:p>
            <w:pPr>
              <w:jc w:val="right"/>
              <w:ind w:right="2950"/>
              <w:spacing w:after="0"/>
              <w:rPr>
                <w:sz w:val="20"/>
                <w:szCs w:val="20"/>
                <w:color w:val="auto"/>
              </w:rPr>
            </w:pPr>
            <w:r>
              <w:rPr>
                <w:rFonts w:ascii="Arial" w:cs="Arial" w:eastAsia="Arial" w:hAnsi="Arial"/>
                <w:sz w:val="18"/>
                <w:szCs w:val="18"/>
                <w:color w:val="auto"/>
              </w:rPr>
              <w:t>F-131</w:t>
            </w: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450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285" w:name="page286"/>
    <w:bookmarkEnd w:id="285"/>
    <w:p>
      <w:pPr>
        <w:spacing w:after="0"/>
        <w:tabs>
          <w:tab w:leader="none" w:pos="960" w:val="left"/>
        </w:tabs>
        <w:rPr>
          <w:sz w:val="20"/>
          <w:szCs w:val="20"/>
          <w:color w:val="auto"/>
        </w:rPr>
      </w:pPr>
      <w:r>
        <w:rPr>
          <w:rFonts w:ascii="Arial" w:cs="Arial" w:eastAsia="Arial" w:hAnsi="Arial"/>
          <w:sz w:val="18"/>
          <w:szCs w:val="18"/>
          <w:b w:val="1"/>
          <w:bCs w:val="1"/>
          <w:color w:val="auto"/>
        </w:rPr>
        <w:t>ITEM 19.</w:t>
        <w:tab/>
        <w:t>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Index to Exhibits</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 2005</w:t>
      </w:r>
    </w:p>
    <w:p>
      <w:pPr>
        <w:spacing w:after="0" w:line="225" w:lineRule="exact"/>
        <w:rPr>
          <w:sz w:val="20"/>
          <w:szCs w:val="20"/>
          <w:color w:val="auto"/>
        </w:rPr>
      </w:pPr>
    </w:p>
    <w:p>
      <w:pPr>
        <w:ind w:left="820" w:hanging="809"/>
        <w:spacing w:after="0" w:line="277" w:lineRule="auto"/>
        <w:tabs>
          <w:tab w:leader="none" w:pos="8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70" w:lineRule="exact"/>
        <w:rPr>
          <w:sz w:val="20"/>
          <w:szCs w:val="20"/>
          <w:color w:val="auto"/>
        </w:rPr>
      </w:pPr>
    </w:p>
    <w:p>
      <w:pPr>
        <w:ind w:left="820" w:hanging="812"/>
        <w:spacing w:after="0"/>
        <w:tabs>
          <w:tab w:leader="none" w:pos="82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List of Subsidiaries, incorporated herein by reference to Exhibit 8 to Credicorp’s Annual Report on Form 20-F dated June 27, 2003</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12.1</w:t>
      </w:r>
      <w:r>
        <w:rPr>
          <w:rFonts w:ascii="Arial" w:cs="Arial" w:eastAsia="Arial" w:hAnsi="Arial"/>
          <w:sz w:val="16"/>
          <w:szCs w:val="16"/>
          <w:color w:val="auto"/>
        </w:rPr>
        <w:t>Certification by the Chief Executive Officer Pursuant to Section 302 of the U.S. Sarbanes-Oxley Act of 2002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12.2</w:t>
      </w:r>
      <w:r>
        <w:rPr>
          <w:rFonts w:ascii="Arial" w:cs="Arial" w:eastAsia="Arial" w:hAnsi="Arial"/>
          <w:sz w:val="16"/>
          <w:szCs w:val="16"/>
          <w:color w:val="auto"/>
        </w:rPr>
        <w:t>Certification by the Chief Financial Officer Pursuant to Section 302 of the U.S. Sarbanes-Oxley Act of 2002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13.1</w:t>
      </w:r>
      <w:r>
        <w:rPr>
          <w:rFonts w:ascii="Arial" w:cs="Arial" w:eastAsia="Arial" w:hAnsi="Arial"/>
          <w:sz w:val="16"/>
          <w:szCs w:val="16"/>
          <w:color w:val="auto"/>
        </w:rPr>
        <w:t>Certification by the Chief Executive Officer Pursuant to Section 906 of the U.S. Sarbanes-Oxley Act of 2002</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13.2</w:t>
      </w:r>
      <w:r>
        <w:rPr>
          <w:rFonts w:ascii="Arial" w:cs="Arial" w:eastAsia="Arial" w:hAnsi="Arial"/>
          <w:sz w:val="16"/>
          <w:szCs w:val="16"/>
          <w:color w:val="auto"/>
        </w:rPr>
        <w:t>Certification by the Chief Financial Officer Pursuant to Section 906 of the U.S. Sarbanes-Oxley Act of 2002</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286" w:name="page287"/>
    <w:bookmarkEnd w:id="28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ALVARO CORREA</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420" w:type="dxa"/>
            <w:vAlign w:val="bottom"/>
          </w:tcPr>
          <w:p>
            <w:pPr>
              <w:spacing w:after="0" w:line="201" w:lineRule="exact"/>
              <w:rPr>
                <w:sz w:val="20"/>
                <w:szCs w:val="20"/>
                <w:color w:val="auto"/>
              </w:rPr>
            </w:pPr>
            <w:r>
              <w:rPr>
                <w:rFonts w:ascii="Arial" w:cs="Arial" w:eastAsia="Arial" w:hAnsi="Arial"/>
                <w:sz w:val="18"/>
                <w:szCs w:val="18"/>
                <w:color w:val="auto"/>
              </w:rPr>
              <w:t>Alvaro Correa</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4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2011</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87" w:name="page288"/>
    <w:bookmarkEnd w:id="287"/>
    <w:p>
      <w:pPr>
        <w:spacing w:after="0"/>
        <w:rPr>
          <w:sz w:val="20"/>
          <w:szCs w:val="20"/>
          <w:color w:val="auto"/>
        </w:rPr>
      </w:pPr>
      <w:r>
        <w:rPr>
          <w:rFonts w:ascii="Arial" w:cs="Arial" w:eastAsia="Arial" w:hAnsi="Arial"/>
          <w:sz w:val="18"/>
          <w:szCs w:val="18"/>
          <w:b w:val="1"/>
          <w:bCs w:val="1"/>
          <w:color w:val="auto"/>
        </w:rPr>
        <w:t>EXHIBIT INDEX</w:t>
      </w:r>
    </w:p>
    <w:p>
      <w:pPr>
        <w:spacing w:after="0" w:line="256" w:lineRule="exact"/>
        <w:rPr>
          <w:sz w:val="20"/>
          <w:szCs w:val="20"/>
          <w:color w:val="auto"/>
        </w:rPr>
      </w:pPr>
    </w:p>
    <w:p>
      <w:pPr>
        <w:ind w:left="700"/>
        <w:spacing w:after="0"/>
        <w:tabs>
          <w:tab w:leader="none" w:pos="1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2005</w:t>
      </w:r>
    </w:p>
    <w:p>
      <w:pPr>
        <w:spacing w:after="0" w:line="211" w:lineRule="exact"/>
        <w:rPr>
          <w:sz w:val="20"/>
          <w:szCs w:val="20"/>
          <w:color w:val="auto"/>
        </w:rPr>
      </w:pPr>
    </w:p>
    <w:p>
      <w:pPr>
        <w:ind w:left="1380" w:hanging="688"/>
        <w:spacing w:after="0" w:line="277" w:lineRule="auto"/>
        <w:tabs>
          <w:tab w:leader="none" w:pos="1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70" w:lineRule="exact"/>
        <w:rPr>
          <w:sz w:val="20"/>
          <w:szCs w:val="20"/>
          <w:color w:val="auto"/>
        </w:rPr>
      </w:pPr>
    </w:p>
    <w:p>
      <w:pPr>
        <w:ind w:left="1380" w:hanging="683"/>
        <w:spacing w:after="0"/>
        <w:tabs>
          <w:tab w:leader="none" w:pos="1380" w:val="left"/>
        </w:tabs>
        <w:numPr>
          <w:ilvl w:val="0"/>
          <w:numId w:val="285"/>
        </w:numPr>
        <w:rPr>
          <w:rFonts w:ascii="Arial" w:cs="Arial" w:eastAsia="Arial" w:hAnsi="Arial"/>
          <w:sz w:val="17"/>
          <w:szCs w:val="17"/>
          <w:color w:val="auto"/>
        </w:rPr>
      </w:pPr>
      <w:r>
        <w:rPr>
          <w:rFonts w:ascii="Arial" w:cs="Arial" w:eastAsia="Arial" w:hAnsi="Arial"/>
          <w:sz w:val="17"/>
          <w:szCs w:val="17"/>
          <w:color w:val="auto"/>
        </w:rPr>
        <w:t>List of Subsidiaries, incorporated herein by reference to Exhibit 8 to Credicorp’s Annual Report on Form 20-F dated June 27, 2003</w:t>
      </w:r>
    </w:p>
    <w:p>
      <w:pPr>
        <w:spacing w:after="0" w:line="236"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12.1</w:t>
      </w:r>
      <w:r>
        <w:rPr>
          <w:rFonts w:ascii="Arial" w:cs="Arial" w:eastAsia="Arial" w:hAnsi="Arial"/>
          <w:sz w:val="16"/>
          <w:szCs w:val="16"/>
          <w:color w:val="auto"/>
        </w:rPr>
        <w:t>Certification by the Chief Executive Officer Pursuant to Section 302 of the U.S. Sarbanes-Oxley Act of 2002</w:t>
      </w:r>
    </w:p>
    <w:p>
      <w:pPr>
        <w:spacing w:after="0" w:line="22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12.2</w:t>
      </w:r>
      <w:r>
        <w:rPr>
          <w:rFonts w:ascii="Arial" w:cs="Arial" w:eastAsia="Arial" w:hAnsi="Arial"/>
          <w:sz w:val="16"/>
          <w:szCs w:val="16"/>
          <w:color w:val="auto"/>
        </w:rPr>
        <w:t>Certification by the Chief Financial and Accounting Officer Pursuant to Section 302 of the U.S. Sarbanes-Oxley Act of 2002</w:t>
      </w:r>
    </w:p>
    <w:p>
      <w:pPr>
        <w:spacing w:after="0" w:line="22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13.1</w:t>
      </w:r>
      <w:r>
        <w:rPr>
          <w:rFonts w:ascii="Arial" w:cs="Arial" w:eastAsia="Arial" w:hAnsi="Arial"/>
          <w:sz w:val="16"/>
          <w:szCs w:val="16"/>
          <w:color w:val="auto"/>
        </w:rPr>
        <w:t>Certification by the Chief Executive Officer Pursuant to Section 906 of the U.S. Sarbanes-Oxley Act of 2002</w:t>
      </w:r>
    </w:p>
    <w:p>
      <w:pPr>
        <w:spacing w:after="0" w:line="225" w:lineRule="exact"/>
        <w:rPr>
          <w:rFonts w:ascii="Arial" w:cs="Arial" w:eastAsia="Arial" w:hAnsi="Arial"/>
          <w:sz w:val="17"/>
          <w:szCs w:val="17"/>
          <w:color w:val="auto"/>
        </w:rPr>
      </w:pPr>
    </w:p>
    <w:p>
      <w:pPr>
        <w:ind w:left="700"/>
        <w:spacing w:after="0"/>
        <w:rPr>
          <w:rFonts w:ascii="Arial" w:cs="Arial" w:eastAsia="Arial" w:hAnsi="Arial"/>
          <w:sz w:val="17"/>
          <w:szCs w:val="17"/>
          <w:color w:val="auto"/>
        </w:rPr>
      </w:pPr>
      <w:r>
        <w:rPr>
          <w:rFonts w:ascii="Arial" w:cs="Arial" w:eastAsia="Arial" w:hAnsi="Arial"/>
          <w:sz w:val="18"/>
          <w:szCs w:val="18"/>
          <w:color w:val="auto"/>
        </w:rPr>
        <w:t>13.2</w:t>
      </w:r>
      <w:r>
        <w:rPr>
          <w:rFonts w:ascii="Arial" w:cs="Arial" w:eastAsia="Arial" w:hAnsi="Arial"/>
          <w:sz w:val="16"/>
          <w:szCs w:val="16"/>
          <w:color w:val="auto"/>
        </w:rPr>
        <w:t>Certification by the Chief Financial and Accounting Officer Pursuant to Section 906 of the U.S. Sarbanes-Oxley Act of 2002</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88" w:name="page289"/>
    <w:bookmarkEnd w:id="288"/>
    <w:p>
      <w:pPr>
        <w:spacing w:after="0"/>
        <w:rPr>
          <w:sz w:val="20"/>
          <w:szCs w:val="20"/>
          <w:color w:val="auto"/>
        </w:rPr>
      </w:pPr>
      <w:r>
        <w:rPr>
          <w:rFonts w:ascii="Arial" w:cs="Arial" w:eastAsia="Arial" w:hAnsi="Arial"/>
          <w:sz w:val="18"/>
          <w:szCs w:val="18"/>
          <w:color w:val="auto"/>
        </w:rPr>
        <w:t>Exhibit 12.1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certify that:</w:t>
      </w:r>
    </w:p>
    <w:p>
      <w:pPr>
        <w:spacing w:after="0" w:line="252" w:lineRule="exact"/>
        <w:rPr>
          <w:sz w:val="20"/>
          <w:szCs w:val="20"/>
          <w:color w:val="auto"/>
        </w:rPr>
      </w:pPr>
    </w:p>
    <w:p>
      <w:pPr>
        <w:ind w:left="180" w:hanging="172"/>
        <w:spacing w:after="0"/>
        <w:tabs>
          <w:tab w:leader="none" w:pos="1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8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7" w:lineRule="exact"/>
        <w:rPr>
          <w:rFonts w:ascii="Arial" w:cs="Arial" w:eastAsia="Arial" w:hAnsi="Arial"/>
          <w:sz w:val="18"/>
          <w:szCs w:val="18"/>
          <w:color w:val="auto"/>
        </w:rPr>
      </w:pPr>
    </w:p>
    <w:p>
      <w:pPr>
        <w:ind w:firstLine="8"/>
        <w:spacing w:after="0" w:line="264" w:lineRule="auto"/>
        <w:tabs>
          <w:tab w:leader="none" w:pos="1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8" w:lineRule="exact"/>
        <w:rPr>
          <w:sz w:val="20"/>
          <w:szCs w:val="20"/>
          <w:color w:val="auto"/>
        </w:rPr>
      </w:pPr>
    </w:p>
    <w:p>
      <w:pPr>
        <w:ind w:right="100" w:firstLine="8"/>
        <w:spacing w:after="0" w:line="264" w:lineRule="auto"/>
        <w:tabs>
          <w:tab w:leader="none" w:pos="18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right="280" w:firstLine="8"/>
        <w:spacing w:after="0" w:line="264" w:lineRule="auto"/>
        <w:tabs>
          <w:tab w:leader="none" w:pos="19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100" w:firstLine="8"/>
        <w:spacing w:after="0" w:line="277" w:lineRule="auto"/>
        <w:tabs>
          <w:tab w:leader="none" w:pos="18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520" w:firstLine="8"/>
        <w:spacing w:after="0" w:line="308" w:lineRule="auto"/>
        <w:tabs>
          <w:tab w:leader="none" w:pos="195" w:val="left"/>
        </w:tabs>
        <w:numPr>
          <w:ilvl w:val="0"/>
          <w:numId w:val="287"/>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4" w:lineRule="exact"/>
        <w:rPr>
          <w:sz w:val="20"/>
          <w:szCs w:val="20"/>
          <w:color w:val="auto"/>
        </w:rPr>
      </w:pPr>
    </w:p>
    <w:p>
      <w:pPr>
        <w:ind w:right="620" w:firstLine="8"/>
        <w:spacing w:after="0" w:line="308" w:lineRule="auto"/>
        <w:tabs>
          <w:tab w:leader="none" w:pos="18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sz w:val="20"/>
          <w:szCs w:val="20"/>
          <w:color w:val="auto"/>
        </w:rPr>
      </w:pPr>
    </w:p>
    <w:p>
      <w:pPr>
        <w:ind w:right="320" w:firstLine="8"/>
        <w:spacing w:after="0" w:line="277" w:lineRule="auto"/>
        <w:tabs>
          <w:tab w:leader="none" w:pos="18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right="540" w:firstLine="8"/>
        <w:spacing w:after="0" w:line="277" w:lineRule="auto"/>
        <w:tabs>
          <w:tab w:leader="none" w:pos="19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 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9" w:name="page290"/>
    <w:bookmarkEnd w:id="289"/>
    <w:p>
      <w:pPr>
        <w:spacing w:after="0"/>
        <w:rPr>
          <w:sz w:val="20"/>
          <w:szCs w:val="20"/>
          <w:color w:val="auto"/>
        </w:rPr>
      </w:pPr>
      <w:r>
        <w:rPr>
          <w:rFonts w:ascii="Arial" w:cs="Arial" w:eastAsia="Arial" w:hAnsi="Arial"/>
          <w:sz w:val="18"/>
          <w:szCs w:val="18"/>
          <w:color w:val="auto"/>
        </w:rPr>
        <w:t>Exhibit 12.2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Alvaro Correa, certify that:</w:t>
      </w:r>
    </w:p>
    <w:p>
      <w:pPr>
        <w:spacing w:after="0" w:line="252" w:lineRule="exact"/>
        <w:rPr>
          <w:sz w:val="20"/>
          <w:szCs w:val="20"/>
          <w:color w:val="auto"/>
        </w:rPr>
      </w:pPr>
    </w:p>
    <w:p>
      <w:pPr>
        <w:ind w:left="180" w:hanging="172"/>
        <w:spacing w:after="0"/>
        <w:tabs>
          <w:tab w:leader="none" w:pos="1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52"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9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97" w:lineRule="exact"/>
        <w:rPr>
          <w:rFonts w:ascii="Arial" w:cs="Arial" w:eastAsia="Arial" w:hAnsi="Arial"/>
          <w:sz w:val="18"/>
          <w:szCs w:val="18"/>
          <w:color w:val="auto"/>
        </w:rPr>
      </w:pPr>
    </w:p>
    <w:p>
      <w:pPr>
        <w:ind w:firstLine="8"/>
        <w:spacing w:after="0" w:line="264" w:lineRule="auto"/>
        <w:tabs>
          <w:tab w:leader="none" w:pos="180"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208" w:lineRule="exact"/>
        <w:rPr>
          <w:sz w:val="20"/>
          <w:szCs w:val="20"/>
          <w:color w:val="auto"/>
        </w:rPr>
      </w:pPr>
    </w:p>
    <w:p>
      <w:pPr>
        <w:ind w:right="100" w:firstLine="8"/>
        <w:spacing w:after="0" w:line="264" w:lineRule="auto"/>
        <w:tabs>
          <w:tab w:leader="none" w:pos="18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ind w:right="280" w:firstLine="8"/>
        <w:spacing w:after="0" w:line="264" w:lineRule="auto"/>
        <w:tabs>
          <w:tab w:leader="none" w:pos="19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right="100" w:firstLine="8"/>
        <w:spacing w:after="0" w:line="277" w:lineRule="auto"/>
        <w:tabs>
          <w:tab w:leader="none" w:pos="185"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97" w:lineRule="exact"/>
        <w:rPr>
          <w:rFonts w:ascii="Arial" w:cs="Arial" w:eastAsia="Arial" w:hAnsi="Arial"/>
          <w:sz w:val="18"/>
          <w:szCs w:val="18"/>
          <w:color w:val="auto"/>
        </w:rPr>
      </w:pPr>
    </w:p>
    <w:p>
      <w:pPr>
        <w:ind w:right="520" w:firstLine="8"/>
        <w:spacing w:after="0" w:line="308" w:lineRule="auto"/>
        <w:tabs>
          <w:tab w:leader="none" w:pos="195" w:val="left"/>
        </w:tabs>
        <w:numPr>
          <w:ilvl w:val="0"/>
          <w:numId w:val="29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74" w:lineRule="exact"/>
        <w:rPr>
          <w:sz w:val="20"/>
          <w:szCs w:val="20"/>
          <w:color w:val="auto"/>
        </w:rPr>
      </w:pPr>
    </w:p>
    <w:p>
      <w:pPr>
        <w:ind w:right="620" w:firstLine="8"/>
        <w:spacing w:after="0" w:line="308" w:lineRule="auto"/>
        <w:tabs>
          <w:tab w:leader="none" w:pos="18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4" w:lineRule="exact"/>
        <w:rPr>
          <w:sz w:val="20"/>
          <w:szCs w:val="20"/>
          <w:color w:val="auto"/>
        </w:rPr>
      </w:pPr>
    </w:p>
    <w:p>
      <w:pPr>
        <w:ind w:right="320" w:firstLine="8"/>
        <w:spacing w:after="0" w:line="277" w:lineRule="auto"/>
        <w:tabs>
          <w:tab w:leader="none" w:pos="18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97" w:lineRule="exact"/>
        <w:rPr>
          <w:rFonts w:ascii="Arial" w:cs="Arial" w:eastAsia="Arial" w:hAnsi="Arial"/>
          <w:sz w:val="18"/>
          <w:szCs w:val="18"/>
          <w:color w:val="auto"/>
        </w:rPr>
      </w:pPr>
    </w:p>
    <w:p>
      <w:pPr>
        <w:ind w:right="540" w:firstLine="8"/>
        <w:spacing w:after="0" w:line="277" w:lineRule="auto"/>
        <w:tabs>
          <w:tab w:leader="none" w:pos="195"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90" w:name="page291"/>
    <w:bookmarkEnd w:id="290"/>
    <w:p>
      <w:pPr>
        <w:spacing w:after="0"/>
        <w:rPr>
          <w:sz w:val="20"/>
          <w:szCs w:val="20"/>
          <w:color w:val="auto"/>
        </w:rPr>
      </w:pPr>
      <w:r>
        <w:rPr>
          <w:rFonts w:ascii="Arial" w:cs="Arial" w:eastAsia="Arial" w:hAnsi="Arial"/>
          <w:sz w:val="18"/>
          <w:szCs w:val="18"/>
          <w:color w:val="auto"/>
        </w:rPr>
        <w:t>Exhibit 13.1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97" w:lineRule="exact"/>
        <w:rPr>
          <w:sz w:val="20"/>
          <w:szCs w:val="20"/>
          <w:color w:val="auto"/>
        </w:rPr>
      </w:pPr>
    </w:p>
    <w:p>
      <w:pPr>
        <w:ind w:left="640" w:hanging="632"/>
        <w:spacing w:after="0"/>
        <w:tabs>
          <w:tab w:leader="none" w:pos="6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I am the Chief Executive Officer of Credicorp Ltd. (the “Company”).</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52" w:lineRule="exact"/>
        <w:rPr>
          <w:sz w:val="20"/>
          <w:szCs w:val="20"/>
          <w:color w:val="auto"/>
        </w:rPr>
      </w:pPr>
    </w:p>
    <w:p>
      <w:pPr>
        <w:jc w:val="both"/>
        <w:ind w:firstLine="8"/>
        <w:spacing w:after="0" w:line="264" w:lineRule="auto"/>
        <w:tabs>
          <w:tab w:leader="none" w:pos="72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2009 accompanying this Certification, in the form filed with the Securities and Exchange Commission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left="640" w:hanging="632"/>
        <w:spacing w:after="0"/>
        <w:tabs>
          <w:tab w:leader="none" w:pos="6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DIONISIO ROMERO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17805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1780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1" w:name="page292"/>
    <w:bookmarkEnd w:id="291"/>
    <w:p>
      <w:pPr>
        <w:spacing w:after="0"/>
        <w:rPr>
          <w:sz w:val="20"/>
          <w:szCs w:val="20"/>
          <w:color w:val="auto"/>
        </w:rPr>
      </w:pPr>
      <w:r>
        <w:rPr>
          <w:rFonts w:ascii="Arial" w:cs="Arial" w:eastAsia="Arial" w:hAnsi="Arial"/>
          <w:sz w:val="18"/>
          <w:szCs w:val="18"/>
          <w:color w:val="auto"/>
        </w:rPr>
        <w:t>Exhibit 13.2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97" w:lineRule="exact"/>
        <w:rPr>
          <w:sz w:val="20"/>
          <w:szCs w:val="20"/>
          <w:color w:val="auto"/>
        </w:rPr>
      </w:pPr>
    </w:p>
    <w:p>
      <w:pPr>
        <w:ind w:left="640" w:hanging="632"/>
        <w:spacing w:after="0"/>
        <w:tabs>
          <w:tab w:leader="none" w:pos="6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 am the Chief Financial Officer of Credicorp Ltd. (the “Company”).</w:t>
      </w:r>
    </w:p>
    <w:p>
      <w:pPr>
        <w:spacing w:after="0" w:line="252" w:lineRule="exact"/>
        <w:rPr>
          <w:rFonts w:ascii="Arial" w:cs="Arial" w:eastAsia="Arial" w:hAnsi="Arial"/>
          <w:sz w:val="18"/>
          <w:szCs w:val="18"/>
          <w:color w:val="auto"/>
        </w:rPr>
      </w:pPr>
    </w:p>
    <w:p>
      <w:pPr>
        <w:ind w:left="640" w:hanging="632"/>
        <w:spacing w:after="0"/>
        <w:tabs>
          <w:tab w:leader="none" w:pos="6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52" w:lineRule="exact"/>
        <w:rPr>
          <w:sz w:val="20"/>
          <w:szCs w:val="20"/>
          <w:color w:val="auto"/>
        </w:rPr>
      </w:pPr>
    </w:p>
    <w:p>
      <w:pPr>
        <w:jc w:val="both"/>
        <w:ind w:firstLine="8"/>
        <w:spacing w:after="0" w:line="264" w:lineRule="auto"/>
        <w:tabs>
          <w:tab w:leader="none" w:pos="726"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2009 accompanying this Certification, in the form filed with the Securities and Exchange Commission (the “Report”), fully complies with the requirements of Section 13(a) or 15(d) of the Securities Exchange Act of 1934; and</w:t>
      </w:r>
    </w:p>
    <w:p>
      <w:pPr>
        <w:spacing w:after="0" w:line="208" w:lineRule="exact"/>
        <w:rPr>
          <w:rFonts w:ascii="Arial" w:cs="Arial" w:eastAsia="Arial" w:hAnsi="Arial"/>
          <w:sz w:val="18"/>
          <w:szCs w:val="18"/>
          <w:color w:val="auto"/>
        </w:rPr>
      </w:pPr>
    </w:p>
    <w:p>
      <w:pPr>
        <w:ind w:left="600" w:hanging="592"/>
        <w:spacing w:after="0"/>
        <w:tabs>
          <w:tab w:leader="none" w:pos="6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23,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By: /s/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14605</wp:posOffset>
            </wp:positionV>
            <wp:extent cx="1955165"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0DDE32"/>
    <w:multiLevelType w:val="hybridMultilevel"/>
    <w:lvl w:ilvl="0">
      <w:lvlJc w:val="left"/>
      <w:lvlText w:val="☐"/>
      <w:numFmt w:val="bullet"/>
      <w:start w:val="1"/>
    </w:lvl>
  </w:abstractNum>
  <w:abstractNum w:abstractNumId="1">
    <w:nsid w:val="65968C1C"/>
    <w:multiLevelType w:val="hybridMultilevel"/>
    <w:lvl w:ilvl="0">
      <w:lvlJc w:val="left"/>
      <w:lvlText w:val="☐"/>
      <w:numFmt w:val="bullet"/>
      <w:start w:val="1"/>
    </w:lvl>
  </w:abstractNum>
  <w:abstractNum w:abstractNumId="2">
    <w:nsid w:val="46263DEC"/>
    <w:multiLevelType w:val="hybridMultilevel"/>
    <w:lvl w:ilvl="0">
      <w:lvlJc w:val="left"/>
      <w:lvlText w:val="·"/>
      <w:numFmt w:val="bullet"/>
      <w:start w:val="1"/>
    </w:lvl>
  </w:abstractNum>
  <w:abstractNum w:abstractNumId="3">
    <w:nsid w:val="260D8C4A"/>
    <w:multiLevelType w:val="hybridMultilevel"/>
    <w:lvl w:ilvl="0">
      <w:lvlJc w:val="left"/>
      <w:lvlText w:val="·"/>
      <w:numFmt w:val="bullet"/>
      <w:start w:val="1"/>
    </w:lvl>
  </w:abstractNum>
  <w:abstractNum w:abstractNumId="4">
    <w:nsid w:val="73D4D3C4"/>
    <w:multiLevelType w:val="hybridMultilevel"/>
    <w:lvl w:ilvl="0">
      <w:lvlJc w:val="left"/>
      <w:lvlText w:val="(%1)"/>
      <w:numFmt w:val="upperLetter"/>
      <w:start w:val="1"/>
    </w:lvl>
  </w:abstractNum>
  <w:abstractNum w:abstractNumId="5">
    <w:nsid w:val="746F2E30"/>
    <w:multiLevelType w:val="hybridMultilevel"/>
    <w:lvl w:ilvl="0">
      <w:lvlJc w:val="left"/>
      <w:lvlText w:val="(%1)"/>
      <w:numFmt w:val="decimal"/>
      <w:start w:val="1"/>
    </w:lvl>
  </w:abstractNum>
  <w:abstractNum w:abstractNumId="6">
    <w:nsid w:val="6FDE8AF6"/>
    <w:multiLevelType w:val="hybridMultilevel"/>
    <w:lvl w:ilvl="0">
      <w:lvlJc w:val="left"/>
      <w:lvlText w:val="(%1)"/>
      <w:numFmt w:val="decimal"/>
      <w:start w:val="10"/>
    </w:lvl>
  </w:abstractNum>
  <w:abstractNum w:abstractNumId="7">
    <w:nsid w:val="3FC32E20"/>
    <w:multiLevelType w:val="hybridMultilevel"/>
    <w:lvl w:ilvl="0">
      <w:lvlJc w:val="left"/>
      <w:lvlText w:val="(%1)"/>
      <w:numFmt w:val="decimal"/>
      <w:start w:val="1"/>
    </w:lvl>
  </w:abstractNum>
  <w:abstractNum w:abstractNumId="8">
    <w:nsid w:val="49C0E823"/>
    <w:multiLevelType w:val="hybridMultilevel"/>
    <w:lvl w:ilvl="0">
      <w:lvlJc w:val="left"/>
      <w:lvlText w:val="(%1)"/>
      <w:numFmt w:val="decimal"/>
      <w:start w:val="1"/>
    </w:lvl>
  </w:abstractNum>
  <w:abstractNum w:abstractNumId="9">
    <w:nsid w:val="14D53685"/>
    <w:multiLevelType w:val="hybridMultilevel"/>
    <w:lvl w:ilvl="0">
      <w:lvlJc w:val="left"/>
      <w:lvlText w:val="(%1)"/>
      <w:numFmt w:val="upperLetter"/>
      <w:start w:val="2"/>
    </w:lvl>
  </w:abstractNum>
  <w:abstractNum w:abstractNumId="10">
    <w:nsid w:val="230F856C"/>
    <w:multiLevelType w:val="hybridMultilevel"/>
    <w:lvl w:ilvl="0">
      <w:lvlJc w:val="left"/>
      <w:lvlText w:val="(%1)"/>
      <w:numFmt w:val="upperLetter"/>
      <w:start w:val="4"/>
    </w:lvl>
  </w:abstractNum>
  <w:abstractNum w:abstractNumId="11">
    <w:nsid w:val="6EAA85FB"/>
    <w:multiLevelType w:val="hybridMultilevel"/>
    <w:lvl w:ilvl="0">
      <w:lvlJc w:val="left"/>
      <w:lvlText w:val="·"/>
      <w:numFmt w:val="bullet"/>
      <w:start w:val="1"/>
    </w:lvl>
  </w:abstractNum>
  <w:abstractNum w:abstractNumId="12">
    <w:nsid w:val="3F06ECB2"/>
    <w:multiLevelType w:val="hybridMultilevel"/>
    <w:lvl w:ilvl="0">
      <w:lvlJc w:val="left"/>
      <w:lvlText w:val="·"/>
      <w:numFmt w:val="bullet"/>
      <w:start w:val="1"/>
    </w:lvl>
  </w:abstractNum>
  <w:abstractNum w:abstractNumId="13">
    <w:nsid w:val="3B594807"/>
    <w:multiLevelType w:val="hybridMultilevel"/>
    <w:lvl w:ilvl="0">
      <w:lvlJc w:val="left"/>
      <w:lvlText w:val="·"/>
      <w:numFmt w:val="bullet"/>
      <w:start w:val="1"/>
    </w:lvl>
  </w:abstractNum>
  <w:abstractNum w:abstractNumId="14">
    <w:nsid w:val="6CAA2304"/>
    <w:multiLevelType w:val="hybridMultilevel"/>
    <w:lvl w:ilvl="0">
      <w:lvlJc w:val="left"/>
      <w:lvlText w:val="(%1)"/>
      <w:numFmt w:val="upperLetter"/>
      <w:start w:val="1"/>
    </w:lvl>
  </w:abstractNum>
  <w:abstractNum w:abstractNumId="15">
    <w:nsid w:val="3F7C2FF4"/>
    <w:multiLevelType w:val="hybridMultilevel"/>
    <w:lvl w:ilvl="0">
      <w:lvlJc w:val="left"/>
      <w:lvlText w:val="(%1)"/>
      <w:numFmt w:val="decimal"/>
      <w:start w:val="1"/>
    </w:lvl>
  </w:abstractNum>
  <w:abstractNum w:abstractNumId="16">
    <w:nsid w:val="25413BEC"/>
    <w:multiLevelType w:val="hybridMultilevel"/>
    <w:lvl w:ilvl="0">
      <w:lvlJc w:val="left"/>
      <w:lvlText w:val="(%1)"/>
      <w:numFmt w:val="decimal"/>
      <w:start w:val="1"/>
    </w:lvl>
    <w:lvl w:ilvl="1">
      <w:lvlJc w:val="left"/>
      <w:lvlText w:val="(%2)"/>
      <w:numFmt w:val="upperLetter"/>
      <w:start w:val="2"/>
    </w:lvl>
  </w:abstractNum>
  <w:abstractNum w:abstractNumId="17">
    <w:nsid w:val="17180B0B"/>
    <w:multiLevelType w:val="hybridMultilevel"/>
    <w:lvl w:ilvl="0">
      <w:lvlJc w:val="left"/>
      <w:lvlText w:val="(%1)"/>
      <w:numFmt w:val="decimal"/>
      <w:start w:val="1"/>
    </w:lvl>
  </w:abstractNum>
  <w:abstractNum w:abstractNumId="18">
    <w:nsid w:val="579328B9"/>
    <w:multiLevelType w:val="hybridMultilevel"/>
    <w:lvl w:ilvl="0">
      <w:lvlJc w:val="left"/>
      <w:lvlText w:val="%1."/>
      <w:numFmt w:val="decimal"/>
      <w:start w:val="200"/>
    </w:lvl>
  </w:abstractNum>
  <w:abstractNum w:abstractNumId="19">
    <w:nsid w:val="5D205E20"/>
    <w:multiLevelType w:val="hybridMultilevel"/>
    <w:lvl w:ilvl="0">
      <w:lvlJc w:val="left"/>
      <w:lvlText w:val="(%1)"/>
      <w:numFmt w:val="decimal"/>
      <w:start w:val="1"/>
    </w:lvl>
  </w:abstractNum>
  <w:abstractNum w:abstractNumId="20">
    <w:nsid w:val="11CCA8BA"/>
    <w:multiLevelType w:val="hybridMultilevel"/>
    <w:lvl w:ilvl="0">
      <w:lvlJc w:val="left"/>
      <w:lvlText w:val="(%1)"/>
      <w:numFmt w:val="decimal"/>
      <w:start w:val="2"/>
    </w:lvl>
  </w:abstractNum>
  <w:abstractNum w:abstractNumId="21">
    <w:nsid w:val="4D32AB86"/>
    <w:multiLevelType w:val="hybridMultilevel"/>
    <w:lvl w:ilvl="0">
      <w:lvlJc w:val="left"/>
      <w:lvlText w:val="(%1)"/>
      <w:numFmt w:val="decimal"/>
      <w:start w:val="3"/>
    </w:lvl>
  </w:abstractNum>
  <w:abstractNum w:abstractNumId="22">
    <w:nsid w:val="3F07ACC3"/>
    <w:multiLevelType w:val="hybridMultilevel"/>
    <w:lvl w:ilvl="0">
      <w:lvlJc w:val="left"/>
      <w:lvlText w:val="·"/>
      <w:numFmt w:val="bullet"/>
      <w:start w:val="1"/>
    </w:lvl>
  </w:abstractNum>
  <w:abstractNum w:abstractNumId="23">
    <w:nsid w:val="6B47F63E"/>
    <w:multiLevelType w:val="hybridMultilevel"/>
    <w:lvl w:ilvl="0">
      <w:lvlJc w:val="left"/>
      <w:lvlText w:val="·"/>
      <w:numFmt w:val="bullet"/>
      <w:start w:val="1"/>
    </w:lvl>
  </w:abstractNum>
  <w:abstractNum w:abstractNumId="24">
    <w:nsid w:val="5CB44A05"/>
    <w:multiLevelType w:val="hybridMultilevel"/>
    <w:lvl w:ilvl="0">
      <w:lvlJc w:val="left"/>
      <w:lvlText w:val="(%1)"/>
      <w:numFmt w:val="decimal"/>
      <w:start w:val="4"/>
    </w:lvl>
  </w:abstractNum>
  <w:abstractNum w:abstractNumId="25">
    <w:nsid w:val="16CF80F1"/>
    <w:multiLevelType w:val="hybridMultilevel"/>
    <w:lvl w:ilvl="0">
      <w:lvlJc w:val="left"/>
      <w:lvlText w:val="(%1)"/>
      <w:numFmt w:val="lowerRoman"/>
      <w:start w:val="1"/>
    </w:lvl>
  </w:abstractNum>
  <w:abstractNum w:abstractNumId="26">
    <w:nsid w:val="1C695DEC"/>
    <w:multiLevelType w:val="hybridMultilevel"/>
    <w:lvl w:ilvl="0">
      <w:lvlJc w:val="left"/>
      <w:lvlText w:val="·"/>
      <w:numFmt w:val="bullet"/>
      <w:start w:val="1"/>
    </w:lvl>
  </w:abstractNum>
  <w:abstractNum w:abstractNumId="27">
    <w:nsid w:val="3FCFAED9"/>
    <w:multiLevelType w:val="hybridMultilevel"/>
    <w:lvl w:ilvl="0">
      <w:lvlJc w:val="left"/>
      <w:lvlText w:val="(%1)"/>
      <w:numFmt w:val="lowerRoman"/>
      <w:start w:val="2"/>
    </w:lvl>
  </w:abstractNum>
  <w:abstractNum w:abstractNumId="28">
    <w:nsid w:val="F856867"/>
    <w:multiLevelType w:val="hybridMultilevel"/>
    <w:lvl w:ilvl="0">
      <w:lvlJc w:val="left"/>
      <w:lvlText w:val="·"/>
      <w:numFmt w:val="bullet"/>
      <w:start w:val="1"/>
    </w:lvl>
  </w:abstractNum>
  <w:abstractNum w:abstractNumId="29">
    <w:nsid w:val="11B1CC33"/>
    <w:multiLevelType w:val="hybridMultilevel"/>
    <w:lvl w:ilvl="0">
      <w:lvlJc w:val="left"/>
      <w:lvlText w:val="·"/>
      <w:numFmt w:val="bullet"/>
      <w:start w:val="1"/>
    </w:lvl>
  </w:abstractNum>
  <w:abstractNum w:abstractNumId="30">
    <w:nsid w:val="2E22FBB7"/>
    <w:multiLevelType w:val="hybridMultilevel"/>
    <w:lvl w:ilvl="0">
      <w:lvlJc w:val="left"/>
      <w:lvlText w:val="·"/>
      <w:numFmt w:val="bullet"/>
      <w:start w:val="1"/>
    </w:lvl>
  </w:abstractNum>
  <w:abstractNum w:abstractNumId="31">
    <w:nsid w:val="29934699"/>
    <w:multiLevelType w:val="hybridMultilevel"/>
    <w:lvl w:ilvl="0">
      <w:lvlJc w:val="left"/>
      <w:lvlText w:val="·"/>
      <w:numFmt w:val="bullet"/>
      <w:start w:val="1"/>
    </w:lvl>
  </w:abstractNum>
  <w:abstractNum w:abstractNumId="32">
    <w:nsid w:val="77485850"/>
    <w:multiLevelType w:val="hybridMultilevel"/>
    <w:lvl w:ilvl="0">
      <w:lvlJc w:val="left"/>
      <w:lvlText w:val="·"/>
      <w:numFmt w:val="bullet"/>
      <w:start w:val="1"/>
    </w:lvl>
    <w:lvl w:ilvl="1">
      <w:lvlJc w:val="left"/>
      <w:lvlText w:val="·"/>
      <w:numFmt w:val="bullet"/>
      <w:start w:val="1"/>
    </w:lvl>
  </w:abstractNum>
  <w:abstractNum w:abstractNumId="33">
    <w:nsid w:val="744939A3"/>
    <w:multiLevelType w:val="hybridMultilevel"/>
    <w:lvl w:ilvl="0">
      <w:lvlJc w:val="left"/>
      <w:lvlText w:val="(%1)"/>
      <w:numFmt w:val="lowerRoman"/>
      <w:start w:val="3"/>
    </w:lvl>
  </w:abstractNum>
  <w:abstractNum w:abstractNumId="34">
    <w:nsid w:val="4FA0D2E3"/>
    <w:multiLevelType w:val="hybridMultilevel"/>
    <w:lvl w:ilvl="0">
      <w:lvlJc w:val="left"/>
      <w:lvlText w:val="(%1)"/>
      <w:numFmt w:val="lowerRoman"/>
      <w:start w:val="4"/>
    </w:lvl>
  </w:abstractNum>
  <w:abstractNum w:abstractNumId="35">
    <w:nsid w:val="6B1D2C14"/>
    <w:multiLevelType w:val="hybridMultilevel"/>
    <w:lvl w:ilvl="0">
      <w:lvlJc w:val="left"/>
      <w:lvlText w:val="(%1)"/>
      <w:numFmt w:val="lowerRoman"/>
      <w:start w:val="5"/>
    </w:lvl>
  </w:abstractNum>
  <w:abstractNum w:abstractNumId="36">
    <w:nsid w:val="68B867D3"/>
    <w:multiLevelType w:val="hybridMultilevel"/>
    <w:lvl w:ilvl="0">
      <w:lvlJc w:val="left"/>
      <w:lvlText w:val="(%1)"/>
      <w:numFmt w:val="decimal"/>
      <w:start w:val="1"/>
    </w:lvl>
  </w:abstractNum>
  <w:abstractNum w:abstractNumId="37">
    <w:nsid w:val="3F7F5DD9"/>
    <w:multiLevelType w:val="hybridMultilevel"/>
    <w:lvl w:ilvl="0">
      <w:lvlJc w:val="left"/>
      <w:lvlText w:val="(%1)"/>
      <w:numFmt w:val="lowerRoman"/>
      <w:start w:val="6"/>
    </w:lvl>
  </w:abstractNum>
  <w:abstractNum w:abstractNumId="38">
    <w:nsid w:val="2AE05A34"/>
    <w:multiLevelType w:val="hybridMultilevel"/>
    <w:lvl w:ilvl="0">
      <w:lvlJc w:val="left"/>
      <w:lvlText w:val="(%1)"/>
      <w:numFmt w:val="lowerRoman"/>
      <w:start w:val="7"/>
    </w:lvl>
  </w:abstractNum>
  <w:abstractNum w:abstractNumId="39">
    <w:nsid w:val="32794FF7"/>
    <w:multiLevelType w:val="hybridMultilevel"/>
    <w:lvl w:ilvl="0">
      <w:lvlJc w:val="left"/>
      <w:lvlText w:val="(%1)"/>
      <w:numFmt w:val="lowerRoman"/>
      <w:start w:val="8"/>
    </w:lvl>
  </w:abstractNum>
  <w:abstractNum w:abstractNumId="40">
    <w:nsid w:val="5454945E"/>
    <w:multiLevelType w:val="hybridMultilevel"/>
    <w:lvl w:ilvl="0">
      <w:lvlJc w:val="left"/>
      <w:lvlText w:val="(%1)"/>
      <w:numFmt w:val="lowerRoman"/>
      <w:start w:val="9"/>
    </w:lvl>
  </w:abstractNum>
  <w:abstractNum w:abstractNumId="41">
    <w:nsid w:val="4DEFDFA0"/>
    <w:multiLevelType w:val="hybridMultilevel"/>
    <w:lvl w:ilvl="0">
      <w:lvlJc w:val="left"/>
      <w:lvlText w:val="(%1)"/>
      <w:numFmt w:val="decimal"/>
      <w:start w:val="5"/>
    </w:lvl>
  </w:abstractNum>
  <w:abstractNum w:abstractNumId="42">
    <w:nsid w:val="2123D5F2"/>
    <w:multiLevelType w:val="hybridMultilevel"/>
    <w:lvl w:ilvl="0">
      <w:lvlJc w:val="left"/>
      <w:lvlText w:val="(%1)"/>
      <w:numFmt w:val="decimal"/>
      <w:start w:val="6"/>
    </w:lvl>
  </w:abstractNum>
  <w:abstractNum w:abstractNumId="43">
    <w:nsid w:val="135B8110"/>
    <w:multiLevelType w:val="hybridMultilevel"/>
    <w:lvl w:ilvl="0">
      <w:lvlJc w:val="left"/>
      <w:lvlText w:val="(%1)"/>
      <w:numFmt w:val="lowerRoman"/>
      <w:start w:val="1"/>
    </w:lvl>
  </w:abstractNum>
  <w:abstractNum w:abstractNumId="44">
    <w:nsid w:val="94927A8"/>
    <w:multiLevelType w:val="hybridMultilevel"/>
    <w:lvl w:ilvl="0">
      <w:lvlJc w:val="left"/>
      <w:lvlText w:val="(%1)"/>
      <w:numFmt w:val="lowerRoman"/>
      <w:start w:val="2"/>
    </w:lvl>
  </w:abstractNum>
  <w:abstractNum w:abstractNumId="45">
    <w:nsid w:val="DCDF8F6"/>
    <w:multiLevelType w:val="hybridMultilevel"/>
    <w:lvl w:ilvl="0">
      <w:lvlJc w:val="left"/>
      <w:lvlText w:val="(%1)"/>
      <w:numFmt w:val="lowerRoman"/>
      <w:start w:val="3"/>
    </w:lvl>
  </w:abstractNum>
  <w:abstractNum w:abstractNumId="46">
    <w:nsid w:val="52D7B105"/>
    <w:multiLevelType w:val="hybridMultilevel"/>
    <w:lvl w:ilvl="0">
      <w:lvlJc w:val="left"/>
      <w:lvlText w:val="(%1)"/>
      <w:numFmt w:val="decimal"/>
      <w:start w:val="7"/>
    </w:lvl>
  </w:abstractNum>
  <w:abstractNum w:abstractNumId="47">
    <w:nsid w:val="2E8A6394"/>
    <w:multiLevelType w:val="hybridMultilevel"/>
    <w:lvl w:ilvl="0">
      <w:lvlJc w:val="left"/>
      <w:lvlText w:val="(%1)"/>
      <w:numFmt w:val="decimal"/>
      <w:start w:val="8"/>
    </w:lvl>
  </w:abstractNum>
  <w:abstractNum w:abstractNumId="48">
    <w:nsid w:val="24E60401"/>
    <w:multiLevelType w:val="hybridMultilevel"/>
    <w:lvl w:ilvl="0">
      <w:lvlJc w:val="left"/>
      <w:lvlText w:val="(%1)"/>
      <w:numFmt w:val="lowerRoman"/>
      <w:start w:val="1"/>
    </w:lvl>
  </w:abstractNum>
  <w:abstractNum w:abstractNumId="49">
    <w:nsid w:val="2A6AD9BE"/>
    <w:multiLevelType w:val="hybridMultilevel"/>
    <w:lvl w:ilvl="0">
      <w:lvlJc w:val="left"/>
      <w:lvlText w:val="(%1)"/>
      <w:numFmt w:val="lowerRoman"/>
      <w:start w:val="2"/>
    </w:lvl>
  </w:abstractNum>
  <w:abstractNum w:abstractNumId="50">
    <w:nsid w:val="BAAC1B4"/>
    <w:multiLevelType w:val="hybridMultilevel"/>
    <w:lvl w:ilvl="0">
      <w:lvlJc w:val="left"/>
      <w:lvlText w:val="(%1)"/>
      <w:numFmt w:val="lowerRoman"/>
      <w:start w:val="3"/>
    </w:lvl>
  </w:abstractNum>
  <w:abstractNum w:abstractNumId="51">
    <w:nsid w:val="36B2ACBC"/>
    <w:multiLevelType w:val="hybridMultilevel"/>
    <w:lvl w:ilvl="0">
      <w:lvlJc w:val="left"/>
      <w:lvlText w:val="(%1)"/>
      <w:numFmt w:val="lowerRoman"/>
      <w:start w:val="4"/>
    </w:lvl>
  </w:abstractNum>
  <w:abstractNum w:abstractNumId="52">
    <w:nsid w:val="779D8544"/>
    <w:multiLevelType w:val="hybridMultilevel"/>
    <w:lvl w:ilvl="0">
      <w:lvlJc w:val="left"/>
      <w:lvlText w:val="(%1)"/>
      <w:numFmt w:val="decimal"/>
      <w:start w:val="9"/>
    </w:lvl>
  </w:abstractNum>
  <w:abstractNum w:abstractNumId="53">
    <w:nsid w:val="4AB26E78"/>
    <w:multiLevelType w:val="hybridMultilevel"/>
    <w:lvl w:ilvl="0">
      <w:lvlJc w:val="left"/>
      <w:lvlText w:val="(%1)"/>
      <w:numFmt w:val="lowerRoman"/>
      <w:start w:val="1"/>
    </w:lvl>
  </w:abstractNum>
  <w:abstractNum w:abstractNumId="54">
    <w:nsid w:val="21FAA2FA"/>
    <w:multiLevelType w:val="hybridMultilevel"/>
    <w:lvl w:ilvl="0">
      <w:lvlJc w:val="left"/>
      <w:lvlText w:val="%1."/>
      <w:numFmt w:val="decimal"/>
      <w:start w:val="3"/>
    </w:lvl>
  </w:abstractNum>
  <w:abstractNum w:abstractNumId="55">
    <w:nsid w:val="5451CF49"/>
    <w:multiLevelType w:val="hybridMultilevel"/>
    <w:lvl w:ilvl="0">
      <w:lvlJc w:val="left"/>
      <w:lvlText w:val="(%1)"/>
      <w:numFmt w:val="lowerRoman"/>
      <w:start w:val="2"/>
    </w:lvl>
  </w:abstractNum>
  <w:abstractNum w:abstractNumId="56">
    <w:nsid w:val="6181EF69"/>
    <w:multiLevelType w:val="hybridMultilevel"/>
    <w:lvl w:ilvl="0">
      <w:lvlJc w:val="left"/>
      <w:lvlText w:val="(%1)"/>
      <w:numFmt w:val="decimal"/>
      <w:start w:val="10"/>
    </w:lvl>
  </w:abstractNum>
  <w:abstractNum w:abstractNumId="57">
    <w:nsid w:val="3E6400E6"/>
    <w:multiLevelType w:val="hybridMultilevel"/>
    <w:lvl w:ilvl="0">
      <w:lvlJc w:val="left"/>
      <w:lvlText w:val="(%1)"/>
      <w:numFmt w:val="lowerRoman"/>
      <w:start w:val="1"/>
    </w:lvl>
  </w:abstractNum>
  <w:abstractNum w:abstractNumId="58">
    <w:nsid w:val="14217E23"/>
    <w:multiLevelType w:val="hybridMultilevel"/>
    <w:lvl w:ilvl="0">
      <w:lvlJc w:val="left"/>
      <w:lvlText w:val="(%1)"/>
      <w:numFmt w:val="lowerRoman"/>
      <w:start w:val="2"/>
    </w:lvl>
  </w:abstractNum>
  <w:abstractNum w:abstractNumId="59">
    <w:nsid w:val="710757D0"/>
    <w:multiLevelType w:val="hybridMultilevel"/>
    <w:lvl w:ilvl="0">
      <w:lvlJc w:val="left"/>
      <w:lvlText w:val="(%1)"/>
      <w:numFmt w:val="lowerRoman"/>
      <w:start w:val="3"/>
    </w:lvl>
  </w:abstractNum>
  <w:abstractNum w:abstractNumId="60">
    <w:nsid w:val="5015CD1A"/>
    <w:multiLevelType w:val="hybridMultilevel"/>
    <w:lvl w:ilvl="0">
      <w:lvlJc w:val="left"/>
      <w:lvlText w:val="(%1)"/>
      <w:numFmt w:val="lowerRoman"/>
      <w:start w:val="4"/>
    </w:lvl>
  </w:abstractNum>
  <w:abstractNum w:abstractNumId="61">
    <w:nsid w:val="424479DA"/>
    <w:multiLevelType w:val="hybridMultilevel"/>
    <w:lvl w:ilvl="0">
      <w:lvlJc w:val="left"/>
      <w:lvlText w:val="(%1)"/>
      <w:numFmt w:val="decimal"/>
      <w:start w:val="11"/>
    </w:lvl>
  </w:abstractNum>
  <w:abstractNum w:abstractNumId="62">
    <w:nsid w:val="1A9A9E69"/>
    <w:multiLevelType w:val="hybridMultilevel"/>
    <w:lvl w:ilvl="0">
      <w:lvlJc w:val="left"/>
      <w:lvlText w:val="(%1)"/>
      <w:numFmt w:val="lowerRoman"/>
      <w:start w:val="1"/>
    </w:lvl>
  </w:abstractNum>
  <w:abstractNum w:abstractNumId="63">
    <w:nsid w:val="475E256A"/>
    <w:multiLevelType w:val="hybridMultilevel"/>
    <w:lvl w:ilvl="0">
      <w:lvlJc w:val="left"/>
      <w:lvlText w:val="(%1)"/>
      <w:numFmt w:val="lowerRoman"/>
      <w:start w:val="2"/>
    </w:lvl>
  </w:abstractNum>
  <w:abstractNum w:abstractNumId="64">
    <w:nsid w:val="368DB37E"/>
    <w:multiLevelType w:val="hybridMultilevel"/>
    <w:lvl w:ilvl="0">
      <w:lvlJc w:val="left"/>
      <w:lvlText w:val="·"/>
      <w:numFmt w:val="bullet"/>
      <w:start w:val="1"/>
    </w:lvl>
    <w:lvl w:ilvl="1">
      <w:lvlJc w:val="left"/>
      <w:lvlText w:val="·"/>
      <w:numFmt w:val="bullet"/>
      <w:start w:val="1"/>
    </w:lvl>
    <w:lvl w:ilvl="2">
      <w:lvlJc w:val="left"/>
      <w:lvlText w:val="(%3)"/>
      <w:numFmt w:val="lowerRoman"/>
      <w:start w:val="3"/>
    </w:lvl>
  </w:abstractNum>
  <w:abstractNum w:abstractNumId="65">
    <w:nsid w:val="6A3B714C"/>
    <w:multiLevelType w:val="hybridMultilevel"/>
    <w:lvl w:ilvl="0">
      <w:lvlJc w:val="left"/>
      <w:lvlText w:val="(%1)"/>
      <w:numFmt w:val="lowerRoman"/>
      <w:start w:val="3"/>
    </w:lvl>
  </w:abstractNum>
  <w:abstractNum w:abstractNumId="66">
    <w:nsid w:val="327B517E"/>
    <w:multiLevelType w:val="hybridMultilevel"/>
    <w:lvl w:ilvl="0">
      <w:lvlJc w:val="left"/>
      <w:lvlText w:val="(%1)"/>
      <w:numFmt w:val="lowerRoman"/>
      <w:start w:val="3"/>
    </w:lvl>
  </w:abstractNum>
  <w:abstractNum w:abstractNumId="67">
    <w:nsid w:val="1F461B51"/>
    <w:multiLevelType w:val="hybridMultilevel"/>
    <w:lvl w:ilvl="0">
      <w:lvlJc w:val="left"/>
      <w:lvlText w:val="(%1)"/>
      <w:numFmt w:val="lowerRoman"/>
      <w:start w:val="4"/>
    </w:lvl>
  </w:abstractNum>
  <w:abstractNum w:abstractNumId="68">
    <w:nsid w:val="29BACF25"/>
    <w:multiLevelType w:val="hybridMultilevel"/>
    <w:lvl w:ilvl="0">
      <w:lvlJc w:val="left"/>
      <w:lvlText w:val="(%1)"/>
      <w:numFmt w:val="lowerRoman"/>
      <w:start w:val="1"/>
    </w:lvl>
  </w:abstractNum>
  <w:abstractNum w:abstractNumId="69">
    <w:nsid w:val="5D5BABB3"/>
    <w:multiLevelType w:val="hybridMultilevel"/>
    <w:lvl w:ilvl="0">
      <w:lvlJc w:val="left"/>
      <w:lvlText w:val="(%1)"/>
      <w:numFmt w:val="lowerRoman"/>
      <w:start w:val="5"/>
    </w:lvl>
  </w:abstractNum>
  <w:abstractNum w:abstractNumId="70">
    <w:nsid w:val="51BF6B48"/>
    <w:multiLevelType w:val="hybridMultilevel"/>
    <w:lvl w:ilvl="0">
      <w:lvlJc w:val="left"/>
      <w:lvlText w:val="(%1)"/>
      <w:numFmt w:val="decimal"/>
      <w:start w:val="12"/>
    </w:lvl>
  </w:abstractNum>
  <w:abstractNum w:abstractNumId="71">
    <w:nsid w:val="7E0F6384"/>
    <w:multiLevelType w:val="hybridMultilevel"/>
    <w:lvl w:ilvl="0">
      <w:lvlJc w:val="left"/>
      <w:lvlText w:val="(%1)"/>
      <w:numFmt w:val="lowerRoman"/>
      <w:start w:val="1"/>
    </w:lvl>
  </w:abstractNum>
  <w:abstractNum w:abstractNumId="72">
    <w:nsid w:val="2B4B8B53"/>
    <w:multiLevelType w:val="hybridMultilevel"/>
    <w:lvl w:ilvl="0">
      <w:lvlJc w:val="left"/>
      <w:lvlText w:val="I"/>
      <w:numFmt w:val="bullet"/>
      <w:start w:val="1"/>
    </w:lvl>
  </w:abstractNum>
  <w:abstractNum w:abstractNumId="73">
    <w:nsid w:val="72E3413A"/>
    <w:multiLevelType w:val="hybridMultilevel"/>
    <w:lvl w:ilvl="0">
      <w:lvlJc w:val="left"/>
      <w:lvlText w:val="(%1)"/>
      <w:numFmt w:val="decimal"/>
      <w:start w:val="1"/>
    </w:lvl>
  </w:abstractNum>
  <w:abstractNum w:abstractNumId="74">
    <w:nsid w:val="116AE494"/>
    <w:multiLevelType w:val="hybridMultilevel"/>
    <w:lvl w:ilvl="0">
      <w:lvlJc w:val="left"/>
      <w:lvlText w:val="(%1)"/>
      <w:numFmt w:val="decimal"/>
      <w:start w:val="1"/>
    </w:lvl>
  </w:abstractNum>
  <w:abstractNum w:abstractNumId="75">
    <w:nsid w:val="3494B2FB"/>
    <w:multiLevelType w:val="hybridMultilevel"/>
    <w:lvl w:ilvl="0">
      <w:lvlJc w:val="left"/>
      <w:lvlText w:val="(%1)"/>
      <w:numFmt w:val="decimal"/>
      <w:start w:val="1"/>
    </w:lvl>
  </w:abstractNum>
  <w:abstractNum w:abstractNumId="76">
    <w:nsid w:val="B13A31"/>
    <w:multiLevelType w:val="hybridMultilevel"/>
    <w:lvl w:ilvl="0">
      <w:lvlJc w:val="left"/>
      <w:lvlText w:val="(%1)"/>
      <w:numFmt w:val="decimal"/>
      <w:start w:val="1"/>
    </w:lvl>
  </w:abstractNum>
  <w:abstractNum w:abstractNumId="77">
    <w:nsid w:val="64429599"/>
    <w:multiLevelType w:val="hybridMultilevel"/>
    <w:lvl w:ilvl="0">
      <w:lvlJc w:val="left"/>
      <w:lvlText w:val="(%1)"/>
      <w:numFmt w:val="lowerRoman"/>
      <w:start w:val="2"/>
    </w:lvl>
  </w:abstractNum>
  <w:abstractNum w:abstractNumId="78">
    <w:nsid w:val="631F1690"/>
    <w:multiLevelType w:val="hybridMultilevel"/>
    <w:lvl w:ilvl="0">
      <w:lvlJc w:val="left"/>
      <w:lvlText w:val="(%1)"/>
      <w:numFmt w:val="decimal"/>
      <w:start w:val="1"/>
    </w:lvl>
  </w:abstractNum>
  <w:abstractNum w:abstractNumId="79">
    <w:nsid w:val="25973E32"/>
    <w:multiLevelType w:val="hybridMultilevel"/>
    <w:lvl w:ilvl="0">
      <w:lvlJc w:val="left"/>
      <w:lvlText w:val="·"/>
      <w:numFmt w:val="bullet"/>
      <w:start w:val="1"/>
    </w:lvl>
  </w:abstractNum>
  <w:abstractNum w:abstractNumId="80">
    <w:nsid w:val="EAD6F57"/>
    <w:multiLevelType w:val="hybridMultilevel"/>
    <w:lvl w:ilvl="0">
      <w:lvlJc w:val="left"/>
      <w:lvlText w:val="·"/>
      <w:numFmt w:val="bullet"/>
      <w:start w:val="1"/>
    </w:lvl>
  </w:abstractNum>
  <w:abstractNum w:abstractNumId="81">
    <w:nsid w:val="6EC9D844"/>
    <w:multiLevelType w:val="hybridMultilevel"/>
    <w:lvl w:ilvl="0">
      <w:lvlJc w:val="left"/>
      <w:lvlText w:val="·"/>
      <w:numFmt w:val="bullet"/>
      <w:start w:val="1"/>
    </w:lvl>
    <w:lvl w:ilvl="1">
      <w:lvlJc w:val="left"/>
      <w:lvlText w:val="(%2)"/>
      <w:numFmt w:val="lowerRoman"/>
      <w:start w:val="3"/>
    </w:lvl>
  </w:abstractNum>
  <w:abstractNum w:abstractNumId="82">
    <w:nsid w:val="5C49EAEE"/>
    <w:multiLevelType w:val="hybridMultilevel"/>
    <w:lvl w:ilvl="0">
      <w:lvlJc w:val="left"/>
      <w:lvlText w:val="·"/>
      <w:numFmt w:val="bullet"/>
      <w:start w:val="1"/>
    </w:lvl>
  </w:abstractNum>
  <w:abstractNum w:abstractNumId="83">
    <w:nsid w:val="64AF49B"/>
    <w:multiLevelType w:val="hybridMultilevel"/>
    <w:lvl w:ilvl="0">
      <w:lvlJc w:val="left"/>
      <w:lvlText w:val="(%1)"/>
      <w:numFmt w:val="decimal"/>
      <w:start w:val="1"/>
    </w:lvl>
  </w:abstractNum>
  <w:abstractNum w:abstractNumId="84">
    <w:nsid w:val="397C46BC"/>
    <w:multiLevelType w:val="hybridMultilevel"/>
    <w:lvl w:ilvl="0">
      <w:lvlJc w:val="left"/>
      <w:lvlText w:val="(%1)"/>
      <w:numFmt w:val="decimal"/>
      <w:start w:val="1"/>
    </w:lvl>
  </w:abstractNum>
  <w:abstractNum w:abstractNumId="85">
    <w:nsid w:val="7E448DE9"/>
    <w:multiLevelType w:val="hybridMultilevel"/>
    <w:lvl w:ilvl="0">
      <w:lvlJc w:val="left"/>
      <w:lvlText w:val="(%1)"/>
      <w:numFmt w:val="decimal"/>
      <w:start w:val="1"/>
    </w:lvl>
  </w:abstractNum>
  <w:abstractNum w:abstractNumId="86">
    <w:nsid w:val="5A9CC3E5"/>
    <w:multiLevelType w:val="hybridMultilevel"/>
    <w:lvl w:ilvl="0">
      <w:lvlJc w:val="left"/>
      <w:lvlText w:val="(%1)"/>
      <w:numFmt w:val="decimal"/>
      <w:start w:val="1"/>
    </w:lvl>
  </w:abstractNum>
  <w:abstractNum w:abstractNumId="87">
    <w:nsid w:val="1AFE3625"/>
    <w:multiLevelType w:val="hybridMultilevel"/>
    <w:lvl w:ilvl="0">
      <w:lvlJc w:val="left"/>
      <w:lvlText w:val="(%1)"/>
      <w:numFmt w:val="lowerRoman"/>
      <w:start w:val="4"/>
    </w:lvl>
  </w:abstractNum>
  <w:abstractNum w:abstractNumId="88">
    <w:nsid w:val="3CA88ECF"/>
    <w:multiLevelType w:val="hybridMultilevel"/>
    <w:lvl w:ilvl="0">
      <w:lvlJc w:val="left"/>
      <w:lvlText w:val="(%1)"/>
      <w:numFmt w:val="lowerRoman"/>
      <w:start w:val="2"/>
    </w:lvl>
  </w:abstractNum>
  <w:abstractNum w:abstractNumId="89">
    <w:nsid w:val="6EBE4208"/>
    <w:multiLevelType w:val="hybridMultilevel"/>
    <w:lvl w:ilvl="0">
      <w:lvlJc w:val="left"/>
      <w:lvlText w:val="(%1)"/>
      <w:numFmt w:val="lowerRoman"/>
      <w:start w:val="4"/>
    </w:lvl>
  </w:abstractNum>
  <w:abstractNum w:abstractNumId="90">
    <w:nsid w:val="C058DF5"/>
    <w:multiLevelType w:val="hybridMultilevel"/>
    <w:lvl w:ilvl="0">
      <w:lvlJc w:val="left"/>
      <w:lvlText w:val="(%1)"/>
      <w:numFmt w:val="lowerRoman"/>
      <w:start w:val="5"/>
    </w:lvl>
  </w:abstractNum>
  <w:abstractNum w:abstractNumId="91">
    <w:nsid w:val="CBE5BE9"/>
    <w:multiLevelType w:val="hybridMultilevel"/>
    <w:lvl w:ilvl="0">
      <w:lvlJc w:val="left"/>
      <w:lvlText w:val="(%1)"/>
      <w:numFmt w:val="decimal"/>
      <w:start w:val="1"/>
    </w:lvl>
  </w:abstractNum>
  <w:abstractNum w:abstractNumId="92">
    <w:nsid w:val="3102BBE2"/>
    <w:multiLevelType w:val="hybridMultilevel"/>
    <w:lvl w:ilvl="0">
      <w:lvlJc w:val="left"/>
      <w:lvlText w:val="(%1)"/>
      <w:numFmt w:val="lowerRoman"/>
      <w:start w:val="6"/>
    </w:lvl>
  </w:abstractNum>
  <w:abstractNum w:abstractNumId="93">
    <w:nsid w:val="26A02C5E"/>
    <w:multiLevelType w:val="hybridMultilevel"/>
    <w:lvl w:ilvl="0">
      <w:lvlJc w:val="left"/>
      <w:lvlText w:val="(%1)"/>
      <w:numFmt w:val="upperLetter"/>
      <w:start w:val="3"/>
    </w:lvl>
  </w:abstractNum>
  <w:abstractNum w:abstractNumId="94">
    <w:nsid w:val="541C8153"/>
    <w:multiLevelType w:val="hybridMultilevel"/>
    <w:lvl w:ilvl="0">
      <w:lvlJc w:val="left"/>
      <w:lvlText w:val="(%1)"/>
      <w:numFmt w:val="upperLetter"/>
      <w:start w:val="4"/>
    </w:lvl>
  </w:abstractNum>
  <w:abstractNum w:abstractNumId="95">
    <w:nsid w:val="67906F60"/>
    <w:multiLevelType w:val="hybridMultilevel"/>
    <w:lvl w:ilvl="0">
      <w:lvlJc w:val="left"/>
      <w:lvlText w:val="(%1)"/>
      <w:numFmt w:val="upperLetter"/>
      <w:start w:val="1"/>
    </w:lvl>
    <w:lvl w:ilvl="1">
      <w:lvlJc w:val="left"/>
      <w:lvlText w:val="(%2)"/>
      <w:numFmt w:val="decimal"/>
      <w:start w:val="1"/>
    </w:lvl>
  </w:abstractNum>
  <w:abstractNum w:abstractNumId="96">
    <w:nsid w:val="10DB9DAA"/>
    <w:multiLevelType w:val="hybridMultilevel"/>
    <w:lvl w:ilvl="0">
      <w:lvlJc w:val="left"/>
      <w:lvlText w:val="-"/>
      <w:numFmt w:val="bullet"/>
      <w:start w:val="1"/>
    </w:lvl>
  </w:abstractNum>
  <w:abstractNum w:abstractNumId="97">
    <w:nsid w:val="697D2D2"/>
    <w:multiLevelType w:val="hybridMultilevel"/>
    <w:lvl w:ilvl="0">
      <w:lvlJc w:val="left"/>
      <w:lvlText w:val="(%1)"/>
      <w:numFmt w:val="lowerRoman"/>
      <w:start w:val="1"/>
    </w:lvl>
  </w:abstractNum>
  <w:abstractNum w:abstractNumId="98">
    <w:nsid w:val="6D68AB2"/>
    <w:multiLevelType w:val="hybridMultilevel"/>
    <w:lvl w:ilvl="0">
      <w:lvlJc w:val="left"/>
      <w:lvlText w:val="-"/>
      <w:numFmt w:val="bullet"/>
      <w:start w:val="1"/>
    </w:lvl>
  </w:abstractNum>
  <w:abstractNum w:abstractNumId="99">
    <w:nsid w:val="3A966CD0"/>
    <w:multiLevelType w:val="hybridMultilevel"/>
    <w:lvl w:ilvl="0">
      <w:lvlJc w:val="left"/>
      <w:lvlText w:val="(%1)"/>
      <w:numFmt w:val="lowerRoman"/>
      <w:start w:val="2"/>
    </w:lvl>
  </w:abstractNum>
  <w:abstractNum w:abstractNumId="100">
    <w:nsid w:val="63F37E85"/>
    <w:multiLevelType w:val="hybridMultilevel"/>
    <w:lvl w:ilvl="0">
      <w:lvlJc w:val="left"/>
      <w:lvlText w:val="(%1)"/>
      <w:numFmt w:val="lowerRoman"/>
      <w:start w:val="3"/>
    </w:lvl>
  </w:abstractNum>
  <w:abstractNum w:abstractNumId="101">
    <w:nsid w:val="5895F5FA"/>
    <w:multiLevelType w:val="hybridMultilevel"/>
    <w:lvl w:ilvl="0">
      <w:lvlJc w:val="left"/>
      <w:lvlText w:val="(%1)"/>
      <w:numFmt w:val="lowerRoman"/>
      <w:start w:val="4"/>
    </w:lvl>
  </w:abstractNum>
  <w:abstractNum w:abstractNumId="102">
    <w:nsid w:val="38A5D054"/>
    <w:multiLevelType w:val="hybridMultilevel"/>
    <w:lvl w:ilvl="0">
      <w:lvlJc w:val="left"/>
      <w:lvlText w:val="(%1)"/>
      <w:numFmt w:val="lowerRoman"/>
      <w:start w:val="1"/>
    </w:lvl>
  </w:abstractNum>
  <w:abstractNum w:abstractNumId="103">
    <w:nsid w:val="F3F09D8"/>
    <w:multiLevelType w:val="hybridMultilevel"/>
    <w:lvl w:ilvl="0">
      <w:lvlJc w:val="left"/>
      <w:lvlText w:val="(%1)"/>
      <w:numFmt w:val="lowerRoman"/>
      <w:start w:val="2"/>
    </w:lvl>
  </w:abstractNum>
  <w:abstractNum w:abstractNumId="104">
    <w:nsid w:val="4B793735"/>
    <w:multiLevelType w:val="hybridMultilevel"/>
    <w:lvl w:ilvl="0">
      <w:lvlJc w:val="left"/>
      <w:lvlText w:val="(%1)"/>
      <w:numFmt w:val="lowerRoman"/>
      <w:start w:val="3"/>
    </w:lvl>
  </w:abstractNum>
  <w:abstractNum w:abstractNumId="105">
    <w:nsid w:val="4A10B4E8"/>
    <w:multiLevelType w:val="hybridMultilevel"/>
    <w:lvl w:ilvl="0">
      <w:lvlJc w:val="left"/>
      <w:lvlText w:val="(%1)"/>
      <w:numFmt w:val="lowerRoman"/>
      <w:start w:val="1"/>
    </w:lvl>
  </w:abstractNum>
  <w:abstractNum w:abstractNumId="106">
    <w:nsid w:val="43D3BCD4"/>
    <w:multiLevelType w:val="hybridMultilevel"/>
    <w:lvl w:ilvl="0">
      <w:lvlJc w:val="left"/>
      <w:lvlText w:val="(%1)"/>
      <w:numFmt w:val="lowerRoman"/>
      <w:start w:val="2"/>
    </w:lvl>
  </w:abstractNum>
  <w:abstractNum w:abstractNumId="107">
    <w:nsid w:val="4C2A7166"/>
    <w:multiLevelType w:val="hybridMultilevel"/>
    <w:lvl w:ilvl="0">
      <w:lvlJc w:val="left"/>
      <w:lvlText w:val="(%1)"/>
      <w:numFmt w:val="lowerRoman"/>
      <w:start w:val="1"/>
    </w:lvl>
  </w:abstractNum>
  <w:abstractNum w:abstractNumId="108">
    <w:nsid w:val="2E534A82"/>
    <w:multiLevelType w:val="hybridMultilevel"/>
    <w:lvl w:ilvl="0">
      <w:lvlJc w:val="left"/>
      <w:lvlText w:val="(%1)"/>
      <w:numFmt w:val="lowerRoman"/>
      <w:start w:val="2"/>
    </w:lvl>
  </w:abstractNum>
  <w:abstractNum w:abstractNumId="109">
    <w:nsid w:val="26F2D364"/>
    <w:multiLevelType w:val="hybridMultilevel"/>
    <w:lvl w:ilvl="0">
      <w:lvlJc w:val="left"/>
      <w:lvlText w:val="(%1)"/>
      <w:numFmt w:val="decimal"/>
      <w:start w:val="2"/>
    </w:lvl>
  </w:abstractNum>
  <w:abstractNum w:abstractNumId="110">
    <w:nsid w:val="71C1AF98"/>
    <w:multiLevelType w:val="hybridMultilevel"/>
    <w:lvl w:ilvl="0">
      <w:lvlJc w:val="left"/>
      <w:lvlText w:val="%1."/>
      <w:numFmt w:val="decimal"/>
      <w:start w:val="4"/>
    </w:lvl>
  </w:abstractNum>
  <w:abstractNum w:abstractNumId="111">
    <w:nsid w:val="3D00B9D9"/>
    <w:multiLevelType w:val="hybridMultilevel"/>
    <w:lvl w:ilvl="0">
      <w:lvlJc w:val="left"/>
      <w:lvlText w:val="(%1)"/>
      <w:numFmt w:val="decimal"/>
      <w:start w:val="3"/>
    </w:lvl>
  </w:abstractNum>
  <w:abstractNum w:abstractNumId="112">
    <w:nsid w:val="15BCABA8"/>
    <w:multiLevelType w:val="hybridMultilevel"/>
    <w:lvl w:ilvl="0">
      <w:lvlJc w:val="left"/>
      <w:lvlText w:val="(%1)"/>
      <w:numFmt w:val="decimal"/>
      <w:start w:val="1"/>
    </w:lvl>
  </w:abstractNum>
  <w:abstractNum w:abstractNumId="113">
    <w:nsid w:val="4E0B9A87"/>
    <w:multiLevelType w:val="hybridMultilevel"/>
    <w:lvl w:ilvl="0">
      <w:lvlJc w:val="left"/>
      <w:lvlText w:val="(%1)"/>
      <w:numFmt w:val="decimal"/>
      <w:start w:val="10"/>
    </w:lvl>
  </w:abstractNum>
  <w:abstractNum w:abstractNumId="114">
    <w:nsid w:val="434BAE75"/>
    <w:multiLevelType w:val="hybridMultilevel"/>
    <w:lvl w:ilvl="0">
      <w:lvlJc w:val="left"/>
      <w:lvlText w:val="(%1)"/>
      <w:numFmt w:val="upperLetter"/>
      <w:start w:val="3"/>
    </w:lvl>
  </w:abstractNum>
  <w:abstractNum w:abstractNumId="115">
    <w:nsid w:val="4F38F265"/>
    <w:multiLevelType w:val="hybridMultilevel"/>
    <w:lvl w:ilvl="0">
      <w:lvlJc w:val="left"/>
      <w:lvlText w:val="(%1)"/>
      <w:numFmt w:val="upperLetter"/>
      <w:start w:val="5"/>
    </w:lvl>
  </w:abstractNum>
  <w:abstractNum w:abstractNumId="116">
    <w:nsid w:val="4C502870"/>
    <w:multiLevelType w:val="hybridMultilevel"/>
    <w:lvl w:ilvl="0">
      <w:lvlJc w:val="left"/>
      <w:lvlText w:val="(%1)"/>
      <w:numFmt w:val="upperLetter"/>
      <w:start w:val="6"/>
    </w:lvl>
  </w:abstractNum>
  <w:abstractNum w:abstractNumId="117">
    <w:nsid w:val="1DE8725A"/>
    <w:multiLevelType w:val="hybridMultilevel"/>
    <w:lvl w:ilvl="0">
      <w:lvlJc w:val="left"/>
      <w:lvlText w:val="(%1)"/>
      <w:numFmt w:val="upperLetter"/>
      <w:start w:val="1"/>
    </w:lvl>
  </w:abstractNum>
  <w:abstractNum w:abstractNumId="118">
    <w:nsid w:val="6A37288A"/>
    <w:multiLevelType w:val="hybridMultilevel"/>
    <w:lvl w:ilvl="0">
      <w:lvlJc w:val="left"/>
      <w:lvlText w:val="(%1)"/>
      <w:numFmt w:val="upperLetter"/>
      <w:start w:val="2"/>
    </w:lvl>
  </w:abstractNum>
  <w:abstractNum w:abstractNumId="119">
    <w:nsid w:val="8F8B73F"/>
    <w:multiLevelType w:val="hybridMultilevel"/>
    <w:lvl w:ilvl="0">
      <w:lvlJc w:val="left"/>
      <w:lvlText w:val="(%1)"/>
      <w:numFmt w:val="upperLetter"/>
      <w:start w:val="3"/>
    </w:lvl>
  </w:abstractNum>
  <w:abstractNum w:abstractNumId="120">
    <w:nsid w:val="CA6B462"/>
    <w:multiLevelType w:val="hybridMultilevel"/>
    <w:lvl w:ilvl="0">
      <w:lvlJc w:val="left"/>
      <w:lvlText w:val="(%1)"/>
      <w:numFmt w:val="upperLetter"/>
      <w:start w:val="4"/>
    </w:lvl>
  </w:abstractNum>
  <w:abstractNum w:abstractNumId="121">
    <w:nsid w:val="763CB680"/>
    <w:multiLevelType w:val="hybridMultilevel"/>
    <w:lvl w:ilvl="0">
      <w:lvlJc w:val="left"/>
      <w:lvlText w:val="(%1)"/>
      <w:numFmt w:val="upperLetter"/>
      <w:start w:val="5"/>
    </w:lvl>
  </w:abstractNum>
  <w:abstractNum w:abstractNumId="122">
    <w:nsid w:val="15B71329"/>
    <w:multiLevelType w:val="hybridMultilevel"/>
    <w:lvl w:ilvl="0">
      <w:lvlJc w:val="left"/>
      <w:lvlText w:val="(%1)"/>
      <w:numFmt w:val="upperLetter"/>
      <w:start w:val="1"/>
    </w:lvl>
  </w:abstractNum>
  <w:abstractNum w:abstractNumId="123">
    <w:nsid w:val="3DA97044"/>
    <w:multiLevelType w:val="hybridMultilevel"/>
    <w:lvl w:ilvl="0">
      <w:lvlJc w:val="left"/>
      <w:lvlText w:val="(%1)"/>
      <w:numFmt w:val="decimal"/>
      <w:start w:val="1"/>
    </w:lvl>
  </w:abstractNum>
  <w:abstractNum w:abstractNumId="124">
    <w:nsid w:val="1CDCE2DE"/>
    <w:multiLevelType w:val="hybridMultilevel"/>
    <w:lvl w:ilvl="0">
      <w:lvlJc w:val="left"/>
      <w:lvlText w:val="(%1)"/>
      <w:numFmt w:val="upperLetter"/>
      <w:start w:val="2"/>
    </w:lvl>
    <w:lvl w:ilvl="1">
      <w:lvlJc w:val="left"/>
      <w:lvlText w:val="(%2)"/>
      <w:numFmt w:val="lowerRoman"/>
      <w:start w:val="1"/>
    </w:lvl>
  </w:abstractNum>
  <w:abstractNum w:abstractNumId="125">
    <w:nsid w:val="69D3947C"/>
    <w:multiLevelType w:val="hybridMultilevel"/>
    <w:lvl w:ilvl="0">
      <w:lvlJc w:val="left"/>
      <w:lvlText w:val="(%1)"/>
      <w:numFmt w:val="upperLetter"/>
      <w:start w:val="3"/>
    </w:lvl>
  </w:abstractNum>
  <w:abstractNum w:abstractNumId="126">
    <w:nsid w:val="2539DFA5"/>
    <w:multiLevelType w:val="hybridMultilevel"/>
    <w:lvl w:ilvl="0">
      <w:lvlJc w:val="left"/>
      <w:lvlText w:val="(%1)"/>
      <w:numFmt w:val="upperLetter"/>
      <w:start w:val="1"/>
    </w:lvl>
  </w:abstractNum>
  <w:abstractNum w:abstractNumId="127">
    <w:nsid w:val="2DB88089"/>
    <w:multiLevelType w:val="hybridMultilevel"/>
    <w:lvl w:ilvl="0">
      <w:lvlJc w:val="left"/>
      <w:lvlText w:val="(%1)"/>
      <w:numFmt w:val="upperLetter"/>
      <w:start w:val="1"/>
    </w:lvl>
  </w:abstractNum>
  <w:abstractNum w:abstractNumId="128">
    <w:nsid w:val="706B674E"/>
    <w:multiLevelType w:val="hybridMultilevel"/>
    <w:lvl w:ilvl="0">
      <w:lvlJc w:val="left"/>
      <w:lvlText w:val="(%1)"/>
      <w:numFmt w:val="upperLetter"/>
      <w:start w:val="2"/>
    </w:lvl>
  </w:abstractNum>
  <w:abstractNum w:abstractNumId="129">
    <w:nsid w:val="2C106A57"/>
    <w:multiLevelType w:val="hybridMultilevel"/>
    <w:lvl w:ilvl="0">
      <w:lvlJc w:val="left"/>
      <w:lvlText w:val="(%1)"/>
      <w:numFmt w:val="lowerRoman"/>
      <w:start w:val="1"/>
    </w:lvl>
  </w:abstractNum>
  <w:abstractNum w:abstractNumId="130">
    <w:nsid w:val="684EED59"/>
    <w:multiLevelType w:val="hybridMultilevel"/>
    <w:lvl w:ilvl="0">
      <w:lvlJc w:val="left"/>
      <w:lvlText w:val="(%1)"/>
      <w:numFmt w:val="lowerRoman"/>
      <w:start w:val="2"/>
    </w:lvl>
  </w:abstractNum>
  <w:abstractNum w:abstractNumId="131">
    <w:nsid w:val="545EE5D3"/>
    <w:multiLevelType w:val="hybridMultilevel"/>
    <w:lvl w:ilvl="0">
      <w:lvlJc w:val="left"/>
      <w:lvlText w:val="(%1)"/>
      <w:numFmt w:val="upperLetter"/>
      <w:start w:val="4"/>
    </w:lvl>
  </w:abstractNum>
  <w:abstractNum w:abstractNumId="132">
    <w:nsid w:val="4A66051"/>
    <w:multiLevelType w:val="hybridMultilevel"/>
    <w:lvl w:ilvl="0">
      <w:lvlJc w:val="left"/>
      <w:lvlText w:val="(%1)"/>
      <w:numFmt w:val="upperLetter"/>
      <w:start w:val="1"/>
    </w:lvl>
  </w:abstractNum>
  <w:abstractNum w:abstractNumId="133">
    <w:nsid w:val="20F4BDAD"/>
    <w:multiLevelType w:val="hybridMultilevel"/>
    <w:lvl w:ilvl="0">
      <w:lvlJc w:val="left"/>
      <w:lvlText w:val="(%1)"/>
      <w:numFmt w:val="upperLetter"/>
      <w:start w:val="3"/>
    </w:lvl>
  </w:abstractNum>
  <w:abstractNum w:abstractNumId="134">
    <w:nsid w:val="639DEFAC"/>
    <w:multiLevelType w:val="hybridMultilevel"/>
    <w:lvl w:ilvl="0">
      <w:lvlJc w:val="left"/>
      <w:lvlText w:val="%1."/>
      <w:numFmt w:val="decimal"/>
      <w:start w:val="4"/>
    </w:lvl>
  </w:abstractNum>
  <w:abstractNum w:abstractNumId="135">
    <w:nsid w:val="501F9786"/>
    <w:multiLevelType w:val="hybridMultilevel"/>
    <w:lvl w:ilvl="0">
      <w:lvlJc w:val="left"/>
      <w:lvlText w:val="(%1)"/>
      <w:numFmt w:val="upperLetter"/>
      <w:start w:val="5"/>
    </w:lvl>
  </w:abstractNum>
  <w:abstractNum w:abstractNumId="136">
    <w:nsid w:val="6B057295"/>
    <w:multiLevelType w:val="hybridMultilevel"/>
    <w:lvl w:ilvl="0">
      <w:lvlJc w:val="left"/>
      <w:lvlText w:val="(%1)"/>
      <w:numFmt w:val="upperLetter"/>
      <w:start w:val="6"/>
    </w:lvl>
  </w:abstractNum>
  <w:abstractNum w:abstractNumId="137">
    <w:nsid w:val="2771AC80"/>
    <w:multiLevelType w:val="hybridMultilevel"/>
    <w:lvl w:ilvl="0">
      <w:lvlJc w:val="left"/>
      <w:lvlText w:val="(%1)"/>
      <w:numFmt w:val="upperLetter"/>
      <w:start w:val="1"/>
    </w:lvl>
  </w:abstractNum>
  <w:abstractNum w:abstractNumId="138">
    <w:nsid w:val="1C4A08EC"/>
    <w:multiLevelType w:val="hybridMultilevel"/>
    <w:lvl w:ilvl="0">
      <w:lvlJc w:val="left"/>
      <w:lvlText w:val="(%1)"/>
      <w:numFmt w:val="upperLetter"/>
      <w:start w:val="1"/>
    </w:lvl>
  </w:abstractNum>
  <w:abstractNum w:abstractNumId="139">
    <w:nsid w:val="1958BD17"/>
    <w:multiLevelType w:val="hybridMultilevel"/>
    <w:lvl w:ilvl="0">
      <w:lvlJc w:val="left"/>
      <w:lvlText w:val="(%1)"/>
      <w:numFmt w:val="upperLetter"/>
      <w:start w:val="2"/>
    </w:lvl>
  </w:abstractNum>
  <w:abstractNum w:abstractNumId="140">
    <w:nsid w:val="4E647FE4"/>
    <w:multiLevelType w:val="hybridMultilevel"/>
    <w:lvl w:ilvl="0">
      <w:lvlJc w:val="left"/>
      <w:lvlText w:val="·"/>
      <w:numFmt w:val="bullet"/>
      <w:start w:val="1"/>
    </w:lvl>
  </w:abstractNum>
  <w:abstractNum w:abstractNumId="141">
    <w:nsid w:val="E0BB885"/>
    <w:multiLevelType w:val="hybridMultilevel"/>
    <w:lvl w:ilvl="0">
      <w:lvlJc w:val="left"/>
      <w:lvlText w:val="(%1)"/>
      <w:numFmt w:val="upperLetter"/>
      <w:start w:val="3"/>
    </w:lvl>
  </w:abstractNum>
  <w:abstractNum w:abstractNumId="142">
    <w:nsid w:val="565976F1"/>
    <w:multiLevelType w:val="hybridMultilevel"/>
    <w:lvl w:ilvl="0">
      <w:lvlJc w:val="left"/>
      <w:lvlText w:val="(%1)"/>
      <w:numFmt w:val="upperLetter"/>
      <w:start w:val="4"/>
    </w:lvl>
  </w:abstractNum>
  <w:abstractNum w:abstractNumId="143">
    <w:nsid w:val="64212B8C"/>
    <w:multiLevelType w:val="hybridMultilevel"/>
    <w:lvl w:ilvl="0">
      <w:lvlJc w:val="left"/>
      <w:lvlText w:val="(%1)"/>
      <w:numFmt w:val="upperLetter"/>
      <w:start w:val="1"/>
    </w:lvl>
  </w:abstractNum>
  <w:abstractNum w:abstractNumId="144">
    <w:nsid w:val="5C17530C"/>
    <w:multiLevelType w:val="hybridMultilevel"/>
    <w:lvl w:ilvl="0">
      <w:lvlJc w:val="left"/>
      <w:lvlText w:val="·"/>
      <w:numFmt w:val="bullet"/>
      <w:start w:val="1"/>
    </w:lvl>
  </w:abstractNum>
  <w:abstractNum w:abstractNumId="145">
    <w:nsid w:val="19A52566"/>
    <w:multiLevelType w:val="hybridMultilevel"/>
    <w:lvl w:ilvl="0">
      <w:lvlJc w:val="left"/>
      <w:lvlText w:val="(%1)"/>
      <w:numFmt w:val="upperLetter"/>
      <w:start w:val="2"/>
    </w:lvl>
  </w:abstractNum>
  <w:abstractNum w:abstractNumId="146">
    <w:nsid w:val="335A1DF1"/>
    <w:multiLevelType w:val="hybridMultilevel"/>
    <w:lvl w:ilvl="0">
      <w:lvlJc w:val="left"/>
      <w:lvlText w:val="(%1)"/>
      <w:numFmt w:val="decimal"/>
      <w:start w:val="1"/>
    </w:lvl>
  </w:abstractNum>
  <w:abstractNum w:abstractNumId="147">
    <w:nsid w:val="28677B7C"/>
    <w:multiLevelType w:val="hybridMultilevel"/>
    <w:lvl w:ilvl="0">
      <w:lvlJc w:val="left"/>
      <w:lvlText w:val="·"/>
      <w:numFmt w:val="bullet"/>
      <w:start w:val="1"/>
    </w:lvl>
  </w:abstractNum>
  <w:abstractNum w:abstractNumId="148">
    <w:nsid w:val="378D97C0"/>
    <w:multiLevelType w:val="hybridMultilevel"/>
    <w:lvl w:ilvl="0">
      <w:lvlJc w:val="left"/>
      <w:lvlText w:val="·"/>
      <w:numFmt w:val="bullet"/>
      <w:start w:val="1"/>
    </w:lvl>
  </w:abstractNum>
  <w:abstractNum w:abstractNumId="149">
    <w:nsid w:val="1D91467C"/>
    <w:multiLevelType w:val="hybridMultilevel"/>
    <w:lvl w:ilvl="0">
      <w:lvlJc w:val="left"/>
      <w:lvlText w:val="·"/>
      <w:numFmt w:val="bullet"/>
      <w:start w:val="1"/>
    </w:lvl>
  </w:abstractNum>
  <w:abstractNum w:abstractNumId="150">
    <w:nsid w:val="316032BB"/>
    <w:multiLevelType w:val="hybridMultilevel"/>
    <w:lvl w:ilvl="0">
      <w:lvlJc w:val="left"/>
      <w:lvlText w:val="(%1)"/>
      <w:numFmt w:val="decimal"/>
      <w:start w:val="2"/>
    </w:lvl>
  </w:abstractNum>
  <w:abstractNum w:abstractNumId="151">
    <w:nsid w:val="44344C22"/>
    <w:multiLevelType w:val="hybridMultilevel"/>
    <w:lvl w:ilvl="0">
      <w:lvlJc w:val="left"/>
      <w:lvlText w:val="(%1)"/>
      <w:numFmt w:val="upperLetter"/>
      <w:start w:val="3"/>
    </w:lvl>
  </w:abstractNum>
  <w:abstractNum w:abstractNumId="152">
    <w:nsid w:val="13CDFCFC"/>
    <w:multiLevelType w:val="hybridMultilevel"/>
    <w:lvl w:ilvl="0">
      <w:lvlJc w:val="left"/>
      <w:lvlText w:val="%1."/>
      <w:numFmt w:val="decimal"/>
      <w:start w:val="1"/>
    </w:lvl>
  </w:abstractNum>
  <w:abstractNum w:abstractNumId="153">
    <w:nsid w:val="471745E4"/>
    <w:multiLevelType w:val="hybridMultilevel"/>
    <w:lvl w:ilvl="0">
      <w:lvlJc w:val="left"/>
      <w:lvlText w:val="%1."/>
      <w:numFmt w:val="decimal"/>
      <w:start w:val="3"/>
    </w:lvl>
    <w:lvl w:ilvl="1">
      <w:lvlJc w:val="left"/>
      <w:lvlText w:val="(%2)"/>
      <w:numFmt w:val="lowerLetter"/>
      <w:start w:val="1"/>
    </w:lvl>
  </w:abstractNum>
  <w:abstractNum w:abstractNumId="154">
    <w:nsid w:val="1DDBC66"/>
    <w:multiLevelType w:val="hybridMultilevel"/>
    <w:lvl w:ilvl="0">
      <w:lvlJc w:val="left"/>
      <w:lvlText w:val="-"/>
      <w:numFmt w:val="bullet"/>
      <w:start w:val="1"/>
    </w:lvl>
  </w:abstractNum>
  <w:abstractNum w:abstractNumId="155">
    <w:nsid w:val="30AADFDA"/>
    <w:multiLevelType w:val="hybridMultilevel"/>
    <w:lvl w:ilvl="0">
      <w:lvlJc w:val="left"/>
      <w:lvlText w:val="-"/>
      <w:numFmt w:val="bullet"/>
      <w:start w:val="1"/>
    </w:lvl>
  </w:abstractNum>
  <w:abstractNum w:abstractNumId="156">
    <w:nsid w:val="30EADA61"/>
    <w:multiLevelType w:val="hybridMultilevel"/>
    <w:lvl w:ilvl="0">
      <w:lvlJc w:val="left"/>
      <w:lvlText w:val="(%1)"/>
      <w:numFmt w:val="lowerLetter"/>
      <w:start w:val="2"/>
    </w:lvl>
  </w:abstractNum>
  <w:abstractNum w:abstractNumId="157">
    <w:nsid w:val="27179C0B"/>
    <w:multiLevelType w:val="hybridMultilevel"/>
    <w:lvl w:ilvl="0">
      <w:lvlJc w:val="left"/>
      <w:lvlText w:val="%1"/>
      <w:numFmt w:val="lowerRoman"/>
      <w:start w:val="1"/>
    </w:lvl>
    <w:lvl w:ilvl="1">
      <w:lvlJc w:val="left"/>
      <w:lvlText w:val="(%2)"/>
      <w:numFmt w:val="lowerRoman"/>
      <w:start w:val="1"/>
    </w:lvl>
  </w:abstractNum>
  <w:abstractNum w:abstractNumId="158">
    <w:nsid w:val="5E636063"/>
    <w:multiLevelType w:val="hybridMultilevel"/>
    <w:lvl w:ilvl="0">
      <w:lvlJc w:val="left"/>
      <w:lvlText w:val="(%1)"/>
      <w:numFmt w:val="lowerRoman"/>
      <w:start w:val="7"/>
    </w:lvl>
    <w:lvl w:ilvl="1">
      <w:lvlJc w:val="left"/>
      <w:lvlText w:val="%2"/>
      <w:numFmt w:val="lowerRoman"/>
      <w:start w:val="1"/>
    </w:lvl>
  </w:abstractNum>
  <w:abstractNum w:abstractNumId="159">
    <w:nsid w:val="215641AF"/>
    <w:multiLevelType w:val="hybridMultilevel"/>
    <w:lvl w:ilvl="0">
      <w:lvlJc w:val="left"/>
      <w:lvlText w:val="(%1)"/>
      <w:numFmt w:val="lowerLetter"/>
      <w:start w:val="3"/>
    </w:lvl>
    <w:lvl w:ilvl="1">
      <w:lvlJc w:val="left"/>
      <w:lvlText w:val="-"/>
      <w:numFmt w:val="bullet"/>
      <w:start w:val="1"/>
    </w:lvl>
  </w:abstractNum>
  <w:abstractNum w:abstractNumId="160">
    <w:nsid w:val="53280662"/>
    <w:multiLevelType w:val="hybridMultilevel"/>
    <w:lvl w:ilvl="0">
      <w:lvlJc w:val="left"/>
      <w:lvlText w:val="(%1)"/>
      <w:numFmt w:val="lowerLetter"/>
      <w:start w:val="4"/>
    </w:lvl>
  </w:abstractNum>
  <w:abstractNum w:abstractNumId="161">
    <w:nsid w:val="46B24DBC"/>
    <w:multiLevelType w:val="hybridMultilevel"/>
    <w:lvl w:ilvl="0">
      <w:lvlJc w:val="left"/>
      <w:lvlText w:val="(%1)"/>
      <w:numFmt w:val="lowerLetter"/>
      <w:start w:val="5"/>
    </w:lvl>
  </w:abstractNum>
  <w:abstractNum w:abstractNumId="162">
    <w:nsid w:val="75B52783"/>
    <w:multiLevelType w:val="hybridMultilevel"/>
    <w:lvl w:ilvl="0">
      <w:lvlJc w:val="left"/>
      <w:lvlText w:val="(%1)"/>
      <w:numFmt w:val="lowerRoman"/>
      <w:start w:val="1"/>
    </w:lvl>
  </w:abstractNum>
  <w:abstractNum w:abstractNumId="163">
    <w:nsid w:val="57CE66B4"/>
    <w:multiLevelType w:val="hybridMultilevel"/>
    <w:lvl w:ilvl="0">
      <w:lvlJc w:val="left"/>
      <w:lvlText w:val="(%1)"/>
      <w:numFmt w:val="lowerRoman"/>
      <w:start w:val="1"/>
    </w:lvl>
  </w:abstractNum>
  <w:abstractNum w:abstractNumId="164">
    <w:nsid w:val="67A70B69"/>
    <w:multiLevelType w:val="hybridMultilevel"/>
    <w:lvl w:ilvl="0">
      <w:lvlJc w:val="left"/>
      <w:lvlText w:val="(%1)"/>
      <w:numFmt w:val="lowerRoman"/>
      <w:start w:val="3"/>
    </w:lvl>
  </w:abstractNum>
  <w:abstractNum w:abstractNumId="165">
    <w:nsid w:val="5953172F"/>
    <w:multiLevelType w:val="hybridMultilevel"/>
    <w:lvl w:ilvl="0">
      <w:lvlJc w:val="left"/>
      <w:lvlText w:val="%1"/>
      <w:numFmt w:val="lowerLetter"/>
      <w:start w:val="1"/>
    </w:lvl>
    <w:lvl w:ilvl="1">
      <w:lvlJc w:val="left"/>
      <w:lvlText w:val="(%2)"/>
      <w:numFmt w:val="lowerRoman"/>
      <w:start w:val="1"/>
    </w:lvl>
  </w:abstractNum>
  <w:abstractNum w:abstractNumId="166">
    <w:nsid w:val="27EDFE3A"/>
    <w:multiLevelType w:val="hybridMultilevel"/>
    <w:lvl w:ilvl="0">
      <w:lvlJc w:val="left"/>
      <w:lvlText w:val="(%1)"/>
      <w:numFmt w:val="lowerLetter"/>
      <w:start w:val="6"/>
    </w:lvl>
    <w:lvl w:ilvl="1">
      <w:lvlJc w:val="left"/>
      <w:lvlText w:val="%2"/>
      <w:numFmt w:val="lowerRoman"/>
      <w:start w:val="1"/>
    </w:lvl>
  </w:abstractNum>
  <w:abstractNum w:abstractNumId="167">
    <w:nsid w:val="52AC7DFF"/>
    <w:multiLevelType w:val="hybridMultilevel"/>
    <w:lvl w:ilvl="0">
      <w:lvlJc w:val="left"/>
      <w:lvlText w:val="(%1)"/>
      <w:numFmt w:val="lowerRoman"/>
      <w:start w:val="1"/>
    </w:lvl>
    <w:lvl w:ilvl="1">
      <w:lvlJc w:val="left"/>
      <w:lvlText w:val="-"/>
      <w:numFmt w:val="bullet"/>
      <w:start w:val="1"/>
    </w:lvl>
  </w:abstractNum>
  <w:abstractNum w:abstractNumId="168">
    <w:nsid w:val="C4C3AF"/>
    <w:multiLevelType w:val="hybridMultilevel"/>
    <w:lvl w:ilvl="0">
      <w:lvlJc w:val="left"/>
      <w:lvlText w:val="(%1)"/>
      <w:numFmt w:val="lowerRoman"/>
      <w:start w:val="2"/>
    </w:lvl>
  </w:abstractNum>
  <w:abstractNum w:abstractNumId="169">
    <w:nsid w:val="44380727"/>
    <w:multiLevelType w:val="hybridMultilevel"/>
    <w:lvl w:ilvl="0">
      <w:lvlJc w:val="left"/>
      <w:lvlText w:val="(%1)"/>
      <w:numFmt w:val="lowerRoman"/>
      <w:start w:val="3"/>
    </w:lvl>
  </w:abstractNum>
  <w:abstractNum w:abstractNumId="170">
    <w:nsid w:val="6C053B16"/>
    <w:multiLevelType w:val="hybridMultilevel"/>
    <w:lvl w:ilvl="0">
      <w:lvlJc w:val="left"/>
      <w:lvlText w:val="(%1)"/>
      <w:numFmt w:val="lowerLetter"/>
      <w:start w:val="7"/>
    </w:lvl>
  </w:abstractNum>
  <w:abstractNum w:abstractNumId="171">
    <w:nsid w:val="4F294393"/>
    <w:multiLevelType w:val="hybridMultilevel"/>
    <w:lvl w:ilvl="0">
      <w:lvlJc w:val="left"/>
      <w:lvlText w:val="(%1)"/>
      <w:numFmt w:val="lowerLetter"/>
      <w:start w:val="8"/>
    </w:lvl>
  </w:abstractNum>
  <w:abstractNum w:abstractNumId="172">
    <w:nsid w:val="5243BFAC"/>
    <w:multiLevelType w:val="hybridMultilevel"/>
    <w:lvl w:ilvl="0">
      <w:lvlJc w:val="left"/>
      <w:lvlText w:val="(%1)"/>
      <w:numFmt w:val="lowerRoman"/>
      <w:start w:val="1"/>
    </w:lvl>
  </w:abstractNum>
  <w:abstractNum w:abstractNumId="173">
    <w:nsid w:val="425EB207"/>
    <w:multiLevelType w:val="hybridMultilevel"/>
    <w:lvl w:ilvl="0">
      <w:lvlJc w:val="left"/>
      <w:lvlText w:val="%1"/>
      <w:numFmt w:val="lowerLetter"/>
      <w:start w:val="1"/>
    </w:lvl>
    <w:lvl w:ilvl="1">
      <w:lvlJc w:val="left"/>
      <w:lvlText w:val="(%2)"/>
      <w:numFmt w:val="lowerRoman"/>
      <w:start w:val="2"/>
    </w:lvl>
  </w:abstractNum>
  <w:abstractNum w:abstractNumId="174">
    <w:nsid w:val="334A6F1F"/>
    <w:multiLevelType w:val="hybridMultilevel"/>
    <w:lvl w:ilvl="0">
      <w:lvlJc w:val="left"/>
      <w:lvlText w:val="(%1)"/>
      <w:numFmt w:val="lowerLetter"/>
      <w:start w:val="10"/>
    </w:lvl>
    <w:lvl w:ilvl="1">
      <w:lvlJc w:val="left"/>
      <w:lvlText w:val="%2"/>
      <w:numFmt w:val="lowerRoman"/>
      <w:start w:val="1"/>
    </w:lvl>
  </w:abstractNum>
  <w:abstractNum w:abstractNumId="175">
    <w:nsid w:val="2E5B12B8"/>
    <w:multiLevelType w:val="hybridMultilevel"/>
    <w:lvl w:ilvl="0">
      <w:lvlJc w:val="left"/>
      <w:lvlText w:val="(%1)"/>
      <w:numFmt w:val="lowerLetter"/>
      <w:start w:val="11"/>
    </w:lvl>
  </w:abstractNum>
  <w:abstractNum w:abstractNumId="176">
    <w:nsid w:val="5C03D76D"/>
    <w:multiLevelType w:val="hybridMultilevel"/>
    <w:lvl w:ilvl="0">
      <w:lvlJc w:val="left"/>
      <w:lvlText w:val="(%1)"/>
      <w:numFmt w:val="lowerLetter"/>
      <w:start w:val="12"/>
    </w:lvl>
    <w:lvl w:ilvl="1">
      <w:lvlJc w:val="left"/>
      <w:lvlText w:val="(%2)"/>
      <w:numFmt w:val="lowerLetter"/>
      <w:start w:val="13"/>
    </w:lvl>
  </w:abstractNum>
  <w:abstractNum w:abstractNumId="177">
    <w:nsid w:val="66A48D11"/>
    <w:multiLevelType w:val="hybridMultilevel"/>
    <w:lvl w:ilvl="0">
      <w:lvlJc w:val="left"/>
      <w:lvlText w:val="(%1)"/>
      <w:numFmt w:val="lowerLetter"/>
      <w:start w:val="14"/>
    </w:lvl>
  </w:abstractNum>
  <w:abstractNum w:abstractNumId="178">
    <w:nsid w:val="56C28E34"/>
    <w:multiLevelType w:val="hybridMultilevel"/>
    <w:lvl w:ilvl="0">
      <w:lvlJc w:val="left"/>
      <w:lvlText w:val="(%1)"/>
      <w:numFmt w:val="lowerLetter"/>
      <w:start w:val="15"/>
    </w:lvl>
  </w:abstractNum>
  <w:abstractNum w:abstractNumId="179">
    <w:nsid w:val="13916F2D"/>
    <w:multiLevelType w:val="hybridMultilevel"/>
    <w:lvl w:ilvl="0">
      <w:lvlJc w:val="left"/>
      <w:lvlText w:val="(%1)"/>
      <w:numFmt w:val="lowerLetter"/>
      <w:start w:val="19"/>
    </w:lvl>
  </w:abstractNum>
  <w:abstractNum w:abstractNumId="180">
    <w:nsid w:val="435D38D"/>
    <w:multiLevelType w:val="hybridMultilevel"/>
    <w:lvl w:ilvl="0">
      <w:lvlJc w:val="left"/>
      <w:lvlText w:val="(%1)"/>
      <w:numFmt w:val="lowerLetter"/>
      <w:start w:val="22"/>
    </w:lvl>
    <w:lvl w:ilvl="1">
      <w:lvlJc w:val="left"/>
      <w:lvlText w:val="(%2)"/>
      <w:numFmt w:val="lowerRoman"/>
      <w:start w:val="1"/>
    </w:lvl>
  </w:abstractNum>
  <w:abstractNum w:abstractNumId="181">
    <w:nsid w:val="822C0EF"/>
    <w:multiLevelType w:val="hybridMultilevel"/>
    <w:lvl w:ilvl="0">
      <w:lvlJc w:val="left"/>
      <w:lvlText w:val="(%1)"/>
      <w:numFmt w:val="lowerRoman"/>
      <w:start w:val="10"/>
    </w:lvl>
  </w:abstractNum>
  <w:abstractNum w:abstractNumId="182">
    <w:nsid w:val="57C5BB4F"/>
    <w:multiLevelType w:val="hybridMultilevel"/>
    <w:lvl w:ilvl="0">
      <w:lvlJc w:val="left"/>
      <w:lvlText w:val="(%1)"/>
      <w:numFmt w:val="lowerRoman"/>
      <w:start w:val="1"/>
    </w:lvl>
  </w:abstractNum>
  <w:abstractNum w:abstractNumId="183">
    <w:nsid w:val="1803D089"/>
    <w:multiLevelType w:val="hybridMultilevel"/>
    <w:lvl w:ilvl="0">
      <w:lvlJc w:val="left"/>
      <w:lvlText w:val="%1"/>
      <w:numFmt w:val="lowerLetter"/>
      <w:start w:val="1"/>
    </w:lvl>
    <w:lvl w:ilvl="1">
      <w:lvlJc w:val="left"/>
      <w:lvlText w:val="(%2)"/>
      <w:numFmt w:val="lowerLetter"/>
      <w:start w:val="61"/>
    </w:lvl>
  </w:abstractNum>
  <w:abstractNum w:abstractNumId="184">
    <w:nsid w:val="4F3A06D4"/>
    <w:multiLevelType w:val="hybridMultilevel"/>
    <w:lvl w:ilvl="0">
      <w:lvlJc w:val="left"/>
      <w:lvlText w:val="(%1)"/>
      <w:numFmt w:val="lowerLetter"/>
      <w:start w:val="25"/>
    </w:lvl>
    <w:lvl w:ilvl="1">
      <w:lvlJc w:val="left"/>
      <w:lvlText w:val="%2"/>
      <w:numFmt w:val="lowerLetter"/>
      <w:start w:val="1"/>
    </w:lvl>
  </w:abstractNum>
  <w:abstractNum w:abstractNumId="185">
    <w:nsid w:val="59A377B6"/>
    <w:multiLevelType w:val="hybridMultilevel"/>
    <w:lvl w:ilvl="0">
      <w:lvlJc w:val="left"/>
      <w:lvlText w:val="(%1)"/>
      <w:numFmt w:val="lowerLetter"/>
      <w:start w:val="27"/>
    </w:lvl>
  </w:abstractNum>
  <w:abstractNum w:abstractNumId="186">
    <w:nsid w:val="48AEB063"/>
    <w:multiLevelType w:val="hybridMultilevel"/>
    <w:lvl w:ilvl="0">
      <w:lvlJc w:val="left"/>
      <w:lvlText w:val="-"/>
      <w:numFmt w:val="bullet"/>
      <w:start w:val="1"/>
    </w:lvl>
  </w:abstractNum>
  <w:abstractNum w:abstractNumId="187">
    <w:nsid w:val="24E135"/>
    <w:multiLevelType w:val="hybridMultilevel"/>
    <w:lvl w:ilvl="0">
      <w:lvlJc w:val="left"/>
      <w:lvlText w:val="-"/>
      <w:numFmt w:val="bullet"/>
      <w:start w:val="1"/>
    </w:lvl>
  </w:abstractNum>
  <w:abstractNum w:abstractNumId="188">
    <w:nsid w:val="BB13C1"/>
    <w:multiLevelType w:val="hybridMultilevel"/>
    <w:lvl w:ilvl="0">
      <w:lvlJc w:val="left"/>
      <w:lvlText w:val="%1."/>
      <w:numFmt w:val="decimal"/>
      <w:start w:val="4"/>
    </w:lvl>
    <w:lvl w:ilvl="1">
      <w:lvlJc w:val="left"/>
      <w:lvlText w:val="(%2)"/>
      <w:numFmt w:val="lowerLetter"/>
      <w:start w:val="1"/>
    </w:lvl>
  </w:abstractNum>
  <w:abstractNum w:abstractNumId="189">
    <w:nsid w:val="271210C7"/>
    <w:multiLevelType w:val="hybridMultilevel"/>
    <w:lvl w:ilvl="0">
      <w:lvlJc w:val="left"/>
      <w:lvlText w:val="(%1)"/>
      <w:numFmt w:val="lowerLetter"/>
      <w:start w:val="2"/>
    </w:lvl>
  </w:abstractNum>
  <w:abstractNum w:abstractNumId="190">
    <w:nsid w:val="217B22E4"/>
    <w:multiLevelType w:val="hybridMultilevel"/>
    <w:lvl w:ilvl="0">
      <w:lvlJc w:val="left"/>
      <w:lvlText w:val="%1."/>
      <w:numFmt w:val="decimal"/>
      <w:start w:val="5"/>
    </w:lvl>
    <w:lvl w:ilvl="1">
      <w:lvlJc w:val="left"/>
      <w:lvlText w:val="(%2)"/>
      <w:numFmt w:val="lowerLetter"/>
      <w:start w:val="1"/>
    </w:lvl>
  </w:abstractNum>
  <w:abstractNum w:abstractNumId="191">
    <w:nsid w:val="53E31A24"/>
    <w:multiLevelType w:val="hybridMultilevel"/>
    <w:lvl w:ilvl="0">
      <w:lvlJc w:val="left"/>
      <w:lvlText w:val="(%1)"/>
      <w:numFmt w:val="lowerLetter"/>
      <w:start w:val="2"/>
    </w:lvl>
    <w:lvl w:ilvl="1">
      <w:lvlJc w:val="left"/>
      <w:lvlText w:val="-"/>
      <w:numFmt w:val="bullet"/>
      <w:start w:val="1"/>
    </w:lvl>
  </w:abstractNum>
  <w:abstractNum w:abstractNumId="192">
    <w:nsid w:val="6DC45E83"/>
    <w:multiLevelType w:val="hybridMultilevel"/>
    <w:lvl w:ilvl="0">
      <w:lvlJc w:val="left"/>
      <w:lvlText w:val="(%1)"/>
      <w:numFmt w:val="lowerLetter"/>
      <w:start w:val="2"/>
    </w:lvl>
    <w:lvl w:ilvl="1">
      <w:lvlJc w:val="left"/>
      <w:lvlText w:val="-"/>
      <w:numFmt w:val="bullet"/>
      <w:start w:val="1"/>
    </w:lvl>
  </w:abstractNum>
  <w:abstractNum w:abstractNumId="193">
    <w:nsid w:val="17304A67"/>
    <w:multiLevelType w:val="hybridMultilevel"/>
    <w:lvl w:ilvl="0">
      <w:lvlJc w:val="left"/>
      <w:lvlText w:val="(%1)"/>
      <w:numFmt w:val="lowerLetter"/>
      <w:start w:val="4"/>
    </w:lvl>
  </w:abstractNum>
  <w:abstractNum w:abstractNumId="194">
    <w:nsid w:val="2BB180D8"/>
    <w:multiLevelType w:val="hybridMultilevel"/>
    <w:lvl w:ilvl="0">
      <w:lvlJc w:val="left"/>
      <w:lvlText w:val="(%1)"/>
      <w:numFmt w:val="lowerLetter"/>
      <w:start w:val="6"/>
    </w:lvl>
  </w:abstractNum>
  <w:abstractNum w:abstractNumId="195">
    <w:nsid w:val="556B69ED"/>
    <w:multiLevelType w:val="hybridMultilevel"/>
    <w:lvl w:ilvl="0">
      <w:lvlJc w:val="left"/>
      <w:lvlText w:val="(%1)"/>
      <w:numFmt w:val="lowerLetter"/>
      <w:start w:val="12"/>
    </w:lvl>
  </w:abstractNum>
  <w:abstractNum w:abstractNumId="196">
    <w:nsid w:val="70836196"/>
    <w:multiLevelType w:val="hybridMultilevel"/>
    <w:lvl w:ilvl="0">
      <w:lvlJc w:val="left"/>
      <w:lvlText w:val="%1."/>
      <w:numFmt w:val="decimal"/>
      <w:start w:val="6"/>
    </w:lvl>
    <w:lvl w:ilvl="1">
      <w:lvlJc w:val="left"/>
      <w:lvlText w:val="(%2)"/>
      <w:numFmt w:val="lowerLetter"/>
      <w:start w:val="1"/>
    </w:lvl>
  </w:abstractNum>
  <w:abstractNum w:abstractNumId="197">
    <w:nsid w:val="539F7F12"/>
    <w:multiLevelType w:val="hybridMultilevel"/>
    <w:lvl w:ilvl="0">
      <w:lvlJc w:val="left"/>
      <w:lvlText w:val="(%1)"/>
      <w:numFmt w:val="lowerLetter"/>
      <w:start w:val="2"/>
    </w:lvl>
  </w:abstractNum>
  <w:abstractNum w:abstractNumId="198">
    <w:nsid w:val="2817E7EC"/>
    <w:multiLevelType w:val="hybridMultilevel"/>
    <w:lvl w:ilvl="0">
      <w:lvlJc w:val="left"/>
      <w:lvlText w:val="(%1)"/>
      <w:numFmt w:val="lowerLetter"/>
      <w:start w:val="3"/>
    </w:lvl>
  </w:abstractNum>
  <w:abstractNum w:abstractNumId="199">
    <w:nsid w:val="71482545"/>
    <w:multiLevelType w:val="hybridMultilevel"/>
    <w:lvl w:ilvl="0">
      <w:lvlJc w:val="left"/>
      <w:lvlText w:val="(%1)"/>
      <w:numFmt w:val="lowerLetter"/>
      <w:start w:val="4"/>
    </w:lvl>
  </w:abstractNum>
  <w:abstractNum w:abstractNumId="200">
    <w:nsid w:val="17D78639"/>
    <w:multiLevelType w:val="hybridMultilevel"/>
    <w:lvl w:ilvl="0">
      <w:lvlJc w:val="left"/>
      <w:lvlText w:val="(*)"/>
      <w:numFmt w:val="bullet"/>
      <w:start w:val="1"/>
    </w:lvl>
  </w:abstractNum>
  <w:abstractNum w:abstractNumId="201">
    <w:nsid w:val="141D2302"/>
    <w:multiLevelType w:val="hybridMultilevel"/>
    <w:lvl w:ilvl="0">
      <w:lvlJc w:val="left"/>
      <w:lvlText w:val="(%1)"/>
      <w:numFmt w:val="lowerLetter"/>
      <w:start w:val="5"/>
    </w:lvl>
  </w:abstractNum>
  <w:abstractNum w:abstractNumId="202">
    <w:nsid w:val="407168D8"/>
    <w:multiLevelType w:val="hybridMultilevel"/>
    <w:lvl w:ilvl="0">
      <w:lvlJc w:val="left"/>
      <w:lvlText w:val="(%1)"/>
      <w:numFmt w:val="lowerLetter"/>
      <w:start w:val="7"/>
    </w:lvl>
  </w:abstractNum>
  <w:abstractNum w:abstractNumId="203">
    <w:nsid w:val="6A1B45E5"/>
    <w:multiLevelType w:val="hybridMultilevel"/>
    <w:lvl w:ilvl="0">
      <w:lvlJc w:val="left"/>
      <w:lvlText w:val="%1."/>
      <w:numFmt w:val="decimal"/>
      <w:start w:val="7"/>
    </w:lvl>
    <w:lvl w:ilvl="1">
      <w:lvlJc w:val="left"/>
      <w:lvlText w:val="(%2)"/>
      <w:numFmt w:val="lowerLetter"/>
      <w:start w:val="1"/>
    </w:lvl>
  </w:abstractNum>
  <w:abstractNum w:abstractNumId="204">
    <w:nsid w:val="567BD50A"/>
    <w:multiLevelType w:val="hybridMultilevel"/>
    <w:lvl w:ilvl="0">
      <w:lvlJc w:val="left"/>
      <w:lvlText w:val="(%1)"/>
      <w:numFmt w:val="lowerLetter"/>
      <w:start w:val="2"/>
    </w:lvl>
  </w:abstractNum>
  <w:abstractNum w:abstractNumId="205">
    <w:nsid w:val="73BBD7F8"/>
    <w:multiLevelType w:val="hybridMultilevel"/>
    <w:lvl w:ilvl="0">
      <w:lvlJc w:val="left"/>
      <w:lvlText w:val="%1"/>
      <w:numFmt w:val="decimal"/>
      <w:start w:val="1"/>
    </w:lvl>
    <w:lvl w:ilvl="1">
      <w:lvlJc w:val="left"/>
      <w:lvlText w:val="(%2)"/>
      <w:numFmt w:val="lowerLetter"/>
      <w:start w:val="3"/>
    </w:lvl>
  </w:abstractNum>
  <w:abstractNum w:abstractNumId="206">
    <w:nsid w:val="1876589D"/>
    <w:multiLevelType w:val="hybridMultilevel"/>
    <w:lvl w:ilvl="0">
      <w:lvlJc w:val="left"/>
      <w:lvlText w:val="%1."/>
      <w:numFmt w:val="decimal"/>
      <w:start w:val="8"/>
    </w:lvl>
    <w:lvl w:ilvl="1">
      <w:lvlJc w:val="left"/>
      <w:lvlText w:val="(%2)"/>
      <w:numFmt w:val="lowerLetter"/>
      <w:start w:val="1"/>
    </w:lvl>
  </w:abstractNum>
  <w:abstractNum w:abstractNumId="207">
    <w:nsid w:val="327FAC77"/>
    <w:multiLevelType w:val="hybridMultilevel"/>
    <w:lvl w:ilvl="0">
      <w:lvlJc w:val="left"/>
      <w:lvlText w:val="%1."/>
      <w:numFmt w:val="decimal"/>
      <w:start w:val="9"/>
    </w:lvl>
    <w:lvl w:ilvl="1">
      <w:lvlJc w:val="left"/>
      <w:lvlText w:val="(%2)"/>
      <w:numFmt w:val="lowerLetter"/>
      <w:start w:val="1"/>
    </w:lvl>
  </w:abstractNum>
  <w:abstractNum w:abstractNumId="208">
    <w:nsid w:val="5A606509"/>
    <w:multiLevelType w:val="hybridMultilevel"/>
    <w:lvl w:ilvl="0">
      <w:lvlJc w:val="left"/>
      <w:lvlText w:val="(%1)"/>
      <w:numFmt w:val="lowerLetter"/>
      <w:start w:val="2"/>
    </w:lvl>
  </w:abstractNum>
  <w:abstractNum w:abstractNumId="209">
    <w:nsid w:val="6F38E6D1"/>
    <w:multiLevelType w:val="hybridMultilevel"/>
    <w:lvl w:ilvl="0">
      <w:lvlJc w:val="left"/>
      <w:lvlText w:val="%1."/>
      <w:numFmt w:val="decimal"/>
      <w:start w:val="10"/>
    </w:lvl>
    <w:lvl w:ilvl="1">
      <w:lvlJc w:val="left"/>
      <w:lvlText w:val="(%2)"/>
      <w:numFmt w:val="lowerLetter"/>
      <w:start w:val="1"/>
    </w:lvl>
  </w:abstractNum>
  <w:abstractNum w:abstractNumId="210">
    <w:nsid w:val="46111BA5"/>
    <w:multiLevelType w:val="hybridMultilevel"/>
    <w:lvl w:ilvl="0">
      <w:lvlJc w:val="left"/>
      <w:lvlText w:val="(%1)"/>
      <w:numFmt w:val="lowerLetter"/>
      <w:start w:val="2"/>
    </w:lvl>
  </w:abstractNum>
  <w:abstractNum w:abstractNumId="211">
    <w:nsid w:val="5E963896"/>
    <w:multiLevelType w:val="hybridMultilevel"/>
    <w:lvl w:ilvl="0">
      <w:lvlJc w:val="left"/>
      <w:lvlText w:val="(%1)"/>
      <w:numFmt w:val="lowerRoman"/>
      <w:start w:val="1"/>
    </w:lvl>
  </w:abstractNum>
  <w:abstractNum w:abstractNumId="212">
    <w:nsid w:val="775BA7C1"/>
    <w:multiLevelType w:val="hybridMultilevel"/>
    <w:lvl w:ilvl="0">
      <w:lvlJc w:val="left"/>
      <w:lvlText w:val="(%1)"/>
      <w:numFmt w:val="lowerRoman"/>
      <w:start w:val="3"/>
    </w:lvl>
  </w:abstractNum>
  <w:abstractNum w:abstractNumId="213">
    <w:nsid w:val="1DD6D6F4"/>
    <w:multiLevelType w:val="hybridMultilevel"/>
    <w:lvl w:ilvl="0">
      <w:lvlJc w:val="left"/>
      <w:lvlText w:val="(%1)"/>
      <w:numFmt w:val="lowerLetter"/>
      <w:start w:val="3"/>
    </w:lvl>
  </w:abstractNum>
  <w:abstractNum w:abstractNumId="214">
    <w:nsid w:val="769A091F"/>
    <w:multiLevelType w:val="hybridMultilevel"/>
    <w:lvl w:ilvl="0">
      <w:lvlJc w:val="left"/>
      <w:lvlText w:val="(%1)"/>
      <w:numFmt w:val="lowerRoman"/>
      <w:start w:val="1"/>
    </w:lvl>
  </w:abstractNum>
  <w:abstractNum w:abstractNumId="215">
    <w:nsid w:val="4695AE95"/>
    <w:multiLevelType w:val="hybridMultilevel"/>
    <w:lvl w:ilvl="0">
      <w:lvlJc w:val="left"/>
      <w:lvlText w:val="%1."/>
      <w:numFmt w:val="decimal"/>
      <w:start w:val="12"/>
    </w:lvl>
    <w:lvl w:ilvl="1">
      <w:lvlJc w:val="left"/>
      <w:lvlText w:val="(%2)"/>
      <w:numFmt w:val="lowerLetter"/>
      <w:start w:val="1"/>
    </w:lvl>
  </w:abstractNum>
  <w:abstractNum w:abstractNumId="216">
    <w:nsid w:val="777A4EAA"/>
    <w:multiLevelType w:val="hybridMultilevel"/>
    <w:lvl w:ilvl="0">
      <w:lvlJc w:val="left"/>
      <w:lvlText w:val="(%1)"/>
      <w:numFmt w:val="lowerLetter"/>
      <w:start w:val="2"/>
    </w:lvl>
  </w:abstractNum>
  <w:abstractNum w:abstractNumId="217">
    <w:nsid w:val="3F48B982"/>
    <w:multiLevelType w:val="hybridMultilevel"/>
    <w:lvl w:ilvl="0">
      <w:lvlJc w:val="left"/>
      <w:lvlText w:val="(%1)"/>
      <w:numFmt w:val="lowerLetter"/>
      <w:start w:val="3"/>
    </w:lvl>
  </w:abstractNum>
  <w:abstractNum w:abstractNumId="218">
    <w:nsid w:val="46BA8FCA"/>
    <w:multiLevelType w:val="hybridMultilevel"/>
    <w:lvl w:ilvl="0">
      <w:lvlJc w:val="left"/>
      <w:lvlText w:val="%1."/>
      <w:numFmt w:val="decimal"/>
      <w:start w:val="13"/>
    </w:lvl>
    <w:lvl w:ilvl="1">
      <w:lvlJc w:val="left"/>
      <w:lvlText w:val="(%2)"/>
      <w:numFmt w:val="lowerLetter"/>
      <w:start w:val="1"/>
    </w:lvl>
  </w:abstractNum>
  <w:abstractNum w:abstractNumId="219">
    <w:nsid w:val="7835626C"/>
    <w:multiLevelType w:val="hybridMultilevel"/>
    <w:lvl w:ilvl="0">
      <w:lvlJc w:val="left"/>
      <w:lvlText w:val="(%1)"/>
      <w:numFmt w:val="lowerRoman"/>
      <w:start w:val="1"/>
    </w:lvl>
  </w:abstractNum>
  <w:abstractNum w:abstractNumId="220">
    <w:nsid w:val="665ACA49"/>
    <w:multiLevelType w:val="hybridMultilevel"/>
    <w:lvl w:ilvl="0">
      <w:lvlJc w:val="left"/>
      <w:lvlText w:val="(*)"/>
      <w:numFmt w:val="bullet"/>
      <w:start w:val="1"/>
    </w:lvl>
  </w:abstractNum>
  <w:abstractNum w:abstractNumId="221">
    <w:nsid w:val="6835B2AE"/>
    <w:multiLevelType w:val="hybridMultilevel"/>
    <w:lvl w:ilvl="0">
      <w:lvlJc w:val="left"/>
      <w:lvlText w:val="%1"/>
      <w:numFmt w:val="lowerLetter"/>
      <w:start w:val="1"/>
    </w:lvl>
    <w:lvl w:ilvl="1">
      <w:lvlJc w:val="left"/>
      <w:lvlText w:val="(%2)"/>
      <w:numFmt w:val="lowerLetter"/>
      <w:start w:val="35"/>
    </w:lvl>
  </w:abstractNum>
  <w:abstractNum w:abstractNumId="222">
    <w:nsid w:val="4C187C90"/>
    <w:multiLevelType w:val="hybridMultilevel"/>
    <w:lvl w:ilvl="0">
      <w:lvlJc w:val="left"/>
      <w:lvlText w:val="(%1)"/>
      <w:numFmt w:val="lowerLetter"/>
      <w:start w:val="2"/>
    </w:lvl>
    <w:lvl w:ilvl="1">
      <w:lvlJc w:val="left"/>
      <w:lvlText w:val="%2"/>
      <w:numFmt w:val="lowerLetter"/>
      <w:start w:val="1"/>
    </w:lvl>
  </w:abstractNum>
  <w:abstractNum w:abstractNumId="223">
    <w:nsid w:val="541F28CD"/>
    <w:multiLevelType w:val="hybridMultilevel"/>
    <w:lvl w:ilvl="0">
      <w:lvlJc w:val="left"/>
      <w:lvlText w:val="(%1)"/>
      <w:numFmt w:val="lowerLetter"/>
      <w:start w:val="3"/>
    </w:lvl>
  </w:abstractNum>
  <w:abstractNum w:abstractNumId="224">
    <w:nsid w:val="7F65FD16"/>
    <w:multiLevelType w:val="hybridMultilevel"/>
    <w:lvl w:ilvl="0">
      <w:lvlJc w:val="left"/>
      <w:lvlText w:val="(%1)"/>
      <w:numFmt w:val="lowerLetter"/>
      <w:start w:val="4"/>
    </w:lvl>
  </w:abstractNum>
  <w:abstractNum w:abstractNumId="225">
    <w:nsid w:val="77C9FD68"/>
    <w:multiLevelType w:val="hybridMultilevel"/>
    <w:lvl w:ilvl="0">
      <w:lvlJc w:val="left"/>
      <w:lvlText w:val="%1."/>
      <w:numFmt w:val="decimal"/>
      <w:start w:val="14"/>
    </w:lvl>
    <w:lvl w:ilvl="1">
      <w:lvlJc w:val="left"/>
      <w:lvlText w:val="(%2)"/>
      <w:numFmt w:val="lowerLetter"/>
      <w:start w:val="1"/>
    </w:lvl>
  </w:abstractNum>
  <w:abstractNum w:abstractNumId="226">
    <w:nsid w:val="298A92BA"/>
    <w:multiLevelType w:val="hybridMultilevel"/>
    <w:lvl w:ilvl="0">
      <w:lvlJc w:val="left"/>
      <w:lvlText w:val="(%1)"/>
      <w:numFmt w:val="lowerLetter"/>
      <w:start w:val="2"/>
    </w:lvl>
  </w:abstractNum>
  <w:abstractNum w:abstractNumId="227">
    <w:nsid w:val="6FE95EAC"/>
    <w:multiLevelType w:val="hybridMultilevel"/>
    <w:lvl w:ilvl="0">
      <w:lvlJc w:val="left"/>
      <w:lvlText w:val="(%1)"/>
      <w:numFmt w:val="lowerRoman"/>
      <w:start w:val="1"/>
    </w:lvl>
  </w:abstractNum>
  <w:abstractNum w:abstractNumId="228">
    <w:nsid w:val="4B697C7A"/>
    <w:multiLevelType w:val="hybridMultilevel"/>
    <w:lvl w:ilvl="0">
      <w:lvlJc w:val="left"/>
      <w:lvlText w:val="(*)"/>
      <w:numFmt w:val="bullet"/>
      <w:start w:val="1"/>
    </w:lvl>
  </w:abstractNum>
  <w:abstractNum w:abstractNumId="229">
    <w:nsid w:val="51A27AA6"/>
    <w:multiLevelType w:val="hybridMultilevel"/>
    <w:lvl w:ilvl="0">
      <w:lvlJc w:val="left"/>
      <w:lvlText w:val="(%1)"/>
      <w:numFmt w:val="lowerRoman"/>
      <w:start w:val="2"/>
    </w:lvl>
  </w:abstractNum>
  <w:abstractNum w:abstractNumId="230">
    <w:nsid w:val="613183F2"/>
    <w:multiLevelType w:val="hybridMultilevel"/>
    <w:lvl w:ilvl="0">
      <w:lvlJc w:val="left"/>
      <w:lvlText w:val="(%1)"/>
      <w:numFmt w:val="lowerLetter"/>
      <w:start w:val="2"/>
    </w:lvl>
  </w:abstractNum>
  <w:abstractNum w:abstractNumId="231">
    <w:nsid w:val="634102B4"/>
    <w:multiLevelType w:val="hybridMultilevel"/>
    <w:lvl w:ilvl="0">
      <w:lvlJc w:val="left"/>
      <w:lvlText w:val="%1."/>
      <w:numFmt w:val="decimal"/>
      <w:start w:val="16"/>
    </w:lvl>
    <w:lvl w:ilvl="1">
      <w:lvlJc w:val="left"/>
      <w:lvlText w:val="(%2)"/>
      <w:numFmt w:val="lowerLetter"/>
      <w:start w:val="1"/>
    </w:lvl>
  </w:abstractNum>
  <w:abstractNum w:abstractNumId="232">
    <w:nsid w:val="65BF9DA8"/>
    <w:multiLevelType w:val="hybridMultilevel"/>
    <w:lvl w:ilvl="0">
      <w:lvlJc w:val="left"/>
      <w:lvlText w:val="(%1)"/>
      <w:numFmt w:val="lowerLetter"/>
      <w:start w:val="4"/>
    </w:lvl>
  </w:abstractNum>
  <w:abstractNum w:abstractNumId="233">
    <w:nsid w:val="21A2ECCA"/>
    <w:multiLevelType w:val="hybridMultilevel"/>
    <w:lvl w:ilvl="0">
      <w:lvlJc w:val="left"/>
      <w:lvlText w:val="(%1)"/>
      <w:numFmt w:val="lowerLetter"/>
      <w:start w:val="5"/>
    </w:lvl>
  </w:abstractNum>
  <w:abstractNum w:abstractNumId="234">
    <w:nsid w:val="4D5C4899"/>
    <w:multiLevelType w:val="hybridMultilevel"/>
    <w:lvl w:ilvl="0">
      <w:lvlJc w:val="left"/>
      <w:lvlText w:val="%1"/>
      <w:numFmt w:val="decimal"/>
      <w:start w:val="1"/>
    </w:lvl>
    <w:lvl w:ilvl="1">
      <w:lvlJc w:val="left"/>
      <w:lvlText w:val="(%2)"/>
      <w:numFmt w:val="lowerLetter"/>
      <w:start w:val="6"/>
    </w:lvl>
  </w:abstractNum>
  <w:abstractNum w:abstractNumId="235">
    <w:nsid w:val="3C3B72B2"/>
    <w:multiLevelType w:val="hybridMultilevel"/>
    <w:lvl w:ilvl="0">
      <w:lvlJc w:val="left"/>
      <w:lvlText w:val="%1."/>
      <w:numFmt w:val="decimal"/>
      <w:start w:val="17"/>
    </w:lvl>
    <w:lvl w:ilvl="1">
      <w:lvlJc w:val="left"/>
      <w:lvlText w:val="(%2)"/>
      <w:numFmt w:val="lowerLetter"/>
      <w:start w:val="1"/>
    </w:lvl>
  </w:abstractNum>
  <w:abstractNum w:abstractNumId="236">
    <w:nsid w:val="155EC4C2"/>
    <w:multiLevelType w:val="hybridMultilevel"/>
    <w:lvl w:ilvl="0">
      <w:lvlJc w:val="left"/>
      <w:lvlText w:val="(%1)"/>
      <w:numFmt w:val="lowerLetter"/>
      <w:start w:val="2"/>
    </w:lvl>
  </w:abstractNum>
  <w:abstractNum w:abstractNumId="237">
    <w:nsid w:val="65D2A137"/>
    <w:multiLevelType w:val="hybridMultilevel"/>
    <w:lvl w:ilvl="0">
      <w:lvlJc w:val="left"/>
      <w:lvlText w:val="(%1)"/>
      <w:numFmt w:val="lowerLetter"/>
      <w:start w:val="3"/>
    </w:lvl>
  </w:abstractNum>
  <w:abstractNum w:abstractNumId="238">
    <w:nsid w:val="6EBB1F2A"/>
    <w:multiLevelType w:val="hybridMultilevel"/>
    <w:lvl w:ilvl="0">
      <w:lvlJc w:val="left"/>
      <w:lvlText w:val="%1"/>
      <w:numFmt w:val="decimal"/>
      <w:start w:val="1"/>
    </w:lvl>
    <w:lvl w:ilvl="1">
      <w:lvlJc w:val="left"/>
      <w:lvlText w:val="(%2)"/>
      <w:numFmt w:val="lowerLetter"/>
      <w:start w:val="4"/>
    </w:lvl>
  </w:abstractNum>
  <w:abstractNum w:abstractNumId="239">
    <w:nsid w:val="6FBF29CB"/>
    <w:multiLevelType w:val="hybridMultilevel"/>
    <w:lvl w:ilvl="0">
      <w:lvlJc w:val="left"/>
      <w:lvlText w:val="%1."/>
      <w:numFmt w:val="decimal"/>
      <w:start w:val="18"/>
    </w:lvl>
    <w:lvl w:ilvl="1">
      <w:lvlJc w:val="left"/>
      <w:lvlText w:val="(%2)"/>
      <w:numFmt w:val="lowerLetter"/>
      <w:start w:val="1"/>
    </w:lvl>
  </w:abstractNum>
  <w:abstractNum w:abstractNumId="240">
    <w:nsid w:val="550B8808"/>
    <w:multiLevelType w:val="hybridMultilevel"/>
    <w:lvl w:ilvl="0">
      <w:lvlJc w:val="left"/>
      <w:lvlText w:val="(*)"/>
      <w:numFmt w:val="bullet"/>
      <w:start w:val="1"/>
    </w:lvl>
  </w:abstractNum>
  <w:abstractNum w:abstractNumId="241">
    <w:nsid w:val="34CC3ACF"/>
    <w:multiLevelType w:val="hybridMultilevel"/>
    <w:lvl w:ilvl="0">
      <w:lvlJc w:val="left"/>
      <w:lvlText w:val="(%1)"/>
      <w:numFmt w:val="lowerLetter"/>
      <w:start w:val="2"/>
    </w:lvl>
  </w:abstractNum>
  <w:abstractNum w:abstractNumId="242">
    <w:nsid w:val="4E556261"/>
    <w:multiLevelType w:val="hybridMultilevel"/>
    <w:lvl w:ilvl="0">
      <w:lvlJc w:val="left"/>
      <w:lvlText w:val="(%1)"/>
      <w:numFmt w:val="lowerLetter"/>
      <w:start w:val="2"/>
    </w:lvl>
  </w:abstractNum>
  <w:abstractNum w:abstractNumId="243">
    <w:nsid w:val="4C672FC9"/>
    <w:multiLevelType w:val="hybridMultilevel"/>
    <w:lvl w:ilvl="0">
      <w:lvlJc w:val="left"/>
      <w:lvlText w:val="(%1)"/>
      <w:numFmt w:val="lowerLetter"/>
      <w:start w:val="3"/>
    </w:lvl>
  </w:abstractNum>
  <w:abstractNum w:abstractNumId="244">
    <w:nsid w:val="52A311C3"/>
    <w:multiLevelType w:val="hybridMultilevel"/>
    <w:lvl w:ilvl="0">
      <w:lvlJc w:val="left"/>
      <w:lvlText w:val="%1."/>
      <w:numFmt w:val="decimal"/>
      <w:start w:val="21"/>
    </w:lvl>
  </w:abstractNum>
  <w:abstractNum w:abstractNumId="245">
    <w:nsid w:val="44EF6B80"/>
    <w:multiLevelType w:val="hybridMultilevel"/>
    <w:lvl w:ilvl="0">
      <w:lvlJc w:val="left"/>
      <w:lvlText w:val="(*)"/>
      <w:numFmt w:val="bullet"/>
      <w:start w:val="1"/>
    </w:lvl>
  </w:abstractNum>
  <w:abstractNum w:abstractNumId="246">
    <w:nsid w:val="12FCDE5E"/>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247">
    <w:nsid w:val="4A1D606E"/>
    <w:multiLevelType w:val="hybridMultilevel"/>
    <w:lvl w:ilvl="0">
      <w:lvlJc w:val="left"/>
      <w:lvlText w:val="%1."/>
      <w:numFmt w:val="decimal"/>
      <w:start w:val="23"/>
    </w:lvl>
    <w:lvl w:ilvl="1">
      <w:lvlJc w:val="left"/>
      <w:lvlText w:val="(**)"/>
      <w:numFmt w:val="bullet"/>
      <w:start w:val="1"/>
    </w:lvl>
    <w:lvl w:ilvl="2">
      <w:lvlJc w:val="left"/>
      <w:lvlText w:val="%3"/>
      <w:numFmt w:val="lowerRoman"/>
      <w:start w:val="1"/>
    </w:lvl>
  </w:abstractNum>
  <w:abstractNum w:abstractNumId="248">
    <w:nsid w:val="4382503"/>
    <w:multiLevelType w:val="hybridMultilevel"/>
    <w:lvl w:ilvl="0">
      <w:lvlJc w:val="left"/>
      <w:lvlText w:val="%1."/>
      <w:numFmt w:val="decimal"/>
      <w:start w:val="25"/>
    </w:lvl>
  </w:abstractNum>
  <w:abstractNum w:abstractNumId="249">
    <w:nsid w:val="59B76E28"/>
    <w:multiLevelType w:val="hybridMultilevel"/>
    <w:lvl w:ilvl="0">
      <w:lvlJc w:val="left"/>
      <w:lvlText w:val="%1."/>
      <w:numFmt w:val="decimal"/>
      <w:start w:val="26"/>
    </w:lvl>
  </w:abstractNum>
  <w:abstractNum w:abstractNumId="250">
    <w:nsid w:val="4252C2DA"/>
    <w:multiLevelType w:val="hybridMultilevel"/>
    <w:lvl w:ilvl="0">
      <w:lvlJc w:val="left"/>
      <w:lvlText w:val="(%1)"/>
      <w:numFmt w:val="lowerRoman"/>
      <w:start w:val="1"/>
    </w:lvl>
  </w:abstractNum>
  <w:abstractNum w:abstractNumId="251">
    <w:nsid w:val="6A92EF4C"/>
    <w:multiLevelType w:val="hybridMultilevel"/>
    <w:lvl w:ilvl="0">
      <w:lvlJc w:val="left"/>
      <w:lvlText w:val="(%1)"/>
      <w:numFmt w:val="lowerRoman"/>
      <w:start w:val="2"/>
    </w:lvl>
  </w:abstractNum>
  <w:abstractNum w:abstractNumId="252">
    <w:nsid w:val="41ED20D7"/>
    <w:multiLevelType w:val="hybridMultilevel"/>
    <w:lvl w:ilvl="0">
      <w:lvlJc w:val="left"/>
      <w:lvlText w:val="(*)"/>
      <w:numFmt w:val="bullet"/>
      <w:start w:val="1"/>
    </w:lvl>
  </w:abstractNum>
  <w:abstractNum w:abstractNumId="253">
    <w:nsid w:val="E6B3F6A"/>
    <w:multiLevelType w:val="hybridMultilevel"/>
    <w:lvl w:ilvl="0">
      <w:lvlJc w:val="left"/>
      <w:lvlText w:val="(**)"/>
      <w:numFmt w:val="bullet"/>
      <w:start w:val="1"/>
    </w:lvl>
  </w:abstractNum>
  <w:abstractNum w:abstractNumId="254">
    <w:nsid w:val="3EB21819"/>
    <w:multiLevelType w:val="hybridMultilevel"/>
    <w:lvl w:ilvl="0">
      <w:lvlJc w:val="left"/>
      <w:lvlText w:val="(***)"/>
      <w:numFmt w:val="bullet"/>
      <w:start w:val="1"/>
    </w:lvl>
  </w:abstractNum>
  <w:abstractNum w:abstractNumId="255">
    <w:nsid w:val="41531DED"/>
    <w:multiLevelType w:val="hybridMultilevel"/>
    <w:lvl w:ilvl="0">
      <w:lvlJc w:val="left"/>
      <w:lvlText w:val="%1."/>
      <w:numFmt w:val="decimal"/>
      <w:start w:val="27"/>
    </w:lvl>
    <w:lvl w:ilvl="1">
      <w:lvlJc w:val="left"/>
      <w:lvlText w:val="(%2)"/>
      <w:numFmt w:val="lowerLetter"/>
      <w:start w:val="1"/>
    </w:lvl>
  </w:abstractNum>
  <w:abstractNum w:abstractNumId="256">
    <w:nsid w:val="6353CD2"/>
    <w:multiLevelType w:val="hybridMultilevel"/>
    <w:lvl w:ilvl="0">
      <w:lvlJc w:val="left"/>
      <w:lvlText w:val="(%1)"/>
      <w:numFmt w:val="lowerLetter"/>
      <w:start w:val="3"/>
    </w:lvl>
  </w:abstractNum>
  <w:abstractNum w:abstractNumId="257">
    <w:nsid w:val="683CAAD3"/>
    <w:multiLevelType w:val="hybridMultilevel"/>
    <w:lvl w:ilvl="0">
      <w:lvlJc w:val="left"/>
      <w:lvlText w:val="(%1)"/>
      <w:numFmt w:val="lowerLetter"/>
      <w:start w:val="5"/>
    </w:lvl>
  </w:abstractNum>
  <w:abstractNum w:abstractNumId="258">
    <w:nsid w:val="313C7C99"/>
    <w:multiLevelType w:val="hybridMultilevel"/>
    <w:lvl w:ilvl="0">
      <w:lvlJc w:val="left"/>
      <w:lvlText w:val="(%1)"/>
      <w:numFmt w:val="lowerLetter"/>
      <w:start w:val="6"/>
    </w:lvl>
  </w:abstractNum>
  <w:abstractNum w:abstractNumId="259">
    <w:nsid w:val="519EB94C"/>
    <w:multiLevelType w:val="hybridMultilevel"/>
    <w:lvl w:ilvl="0">
      <w:lvlJc w:val="left"/>
      <w:lvlText w:val="%1."/>
      <w:numFmt w:val="decimal"/>
      <w:start w:val="28"/>
    </w:lvl>
  </w:abstractNum>
  <w:abstractNum w:abstractNumId="260">
    <w:nsid w:val="39DF2579"/>
    <w:multiLevelType w:val="hybridMultilevel"/>
    <w:lvl w:ilvl="0">
      <w:lvlJc w:val="left"/>
      <w:lvlText w:val="%1."/>
      <w:numFmt w:val="decimal"/>
      <w:start w:val="29"/>
    </w:lvl>
    <w:lvl w:ilvl="1">
      <w:lvlJc w:val="left"/>
      <w:lvlText w:val="(%2)"/>
      <w:numFmt w:val="lowerLetter"/>
      <w:start w:val="1"/>
    </w:lvl>
    <w:lvl w:ilvl="2">
      <w:lvlJc w:val="left"/>
      <w:lvlText w:val="(%3)"/>
      <w:numFmt w:val="lowerRoman"/>
      <w:start w:val="1"/>
    </w:lvl>
  </w:abstractNum>
  <w:abstractNum w:abstractNumId="261">
    <w:nsid w:val="126E008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262">
    <w:nsid w:val="34DFBC00"/>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263">
    <w:nsid w:val="1F9EC322"/>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264">
    <w:nsid w:val="3410ED56"/>
    <w:multiLevelType w:val="hybridMultilevel"/>
    <w:lvl w:ilvl="0">
      <w:lvlJc w:val="left"/>
      <w:lvlText w:val="(%1)"/>
      <w:numFmt w:val="lowerLetter"/>
      <w:start w:val="3"/>
    </w:lvl>
  </w:abstractNum>
  <w:abstractNum w:abstractNumId="265">
    <w:nsid w:val="23C049A"/>
    <w:multiLevelType w:val="hybridMultilevel"/>
    <w:lvl w:ilvl="0">
      <w:lvlJc w:val="left"/>
      <w:lvlText w:val="(%1)"/>
      <w:numFmt w:val="lowerLetter"/>
      <w:start w:val="1"/>
    </w:lvl>
  </w:abstractNum>
  <w:abstractNum w:abstractNumId="266">
    <w:nsid w:val="5BDA35D4"/>
    <w:multiLevelType w:val="hybridMultilevel"/>
    <w:lvl w:ilvl="0">
      <w:lvlJc w:val="left"/>
      <w:lvlText w:val="(%1)"/>
      <w:numFmt w:val="lowerRoman"/>
      <w:start w:val="1"/>
    </w:lvl>
  </w:abstractNum>
  <w:abstractNum w:abstractNumId="267">
    <w:nsid w:val="496FB218"/>
    <w:multiLevelType w:val="hybridMultilevel"/>
    <w:lvl w:ilvl="0">
      <w:lvlJc w:val="left"/>
      <w:lvlText w:val="(%1)"/>
      <w:numFmt w:val="lowerRoman"/>
      <w:start w:val="2"/>
    </w:lvl>
  </w:abstractNum>
  <w:abstractNum w:abstractNumId="268">
    <w:nsid w:val="680EA5D1"/>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269">
    <w:nsid w:val="4A9554FE"/>
    <w:multiLevelType w:val="hybridMultilevel"/>
    <w:lvl w:ilvl="0">
      <w:lvlJc w:val="left"/>
      <w:lvlText w:val="(%1)"/>
      <w:numFmt w:val="lowerLetter"/>
      <w:start w:val="3"/>
    </w:lvl>
    <w:lvl w:ilvl="1">
      <w:lvlJc w:val="left"/>
      <w:lvlText w:val="%2"/>
      <w:numFmt w:val="lowerLetter"/>
      <w:start w:val="1"/>
    </w:lvl>
    <w:lvl w:ilvl="2">
      <w:lvlJc w:val="left"/>
      <w:lvlText w:val="-"/>
      <w:numFmt w:val="bullet"/>
      <w:start w:val="1"/>
    </w:lvl>
  </w:abstractNum>
  <w:abstractNum w:abstractNumId="270">
    <w:nsid w:val="392EDBE4"/>
    <w:multiLevelType w:val="hybridMultilevel"/>
    <w:lvl w:ilvl="0">
      <w:lvlJc w:val="left"/>
      <w:lvlText w:val="(%1)"/>
      <w:numFmt w:val="lowerLetter"/>
      <w:start w:val="4"/>
    </w:lvl>
  </w:abstractNum>
  <w:abstractNum w:abstractNumId="271">
    <w:nsid w:val="3D1A2DD9"/>
    <w:multiLevelType w:val="hybridMultilevel"/>
    <w:lvl w:ilvl="0">
      <w:lvlJc w:val="left"/>
      <w:lvlText w:val="(*)"/>
      <w:numFmt w:val="bullet"/>
      <w:start w:val="1"/>
    </w:lvl>
  </w:abstractNum>
  <w:abstractNum w:abstractNumId="272">
    <w:nsid w:val="7F618FCD"/>
    <w:multiLevelType w:val="hybridMultilevel"/>
    <w:lvl w:ilvl="0">
      <w:lvlJc w:val="left"/>
      <w:lvlText w:val="(%1)"/>
      <w:numFmt w:val="lowerLetter"/>
      <w:start w:val="5"/>
    </w:lvl>
  </w:abstractNum>
  <w:abstractNum w:abstractNumId="273">
    <w:nsid w:val="7843E45"/>
    <w:multiLevelType w:val="hybridMultilevel"/>
    <w:lvl w:ilvl="0">
      <w:lvlJc w:val="left"/>
      <w:lvlText w:val="(%1)"/>
      <w:numFmt w:val="lowerLetter"/>
      <w:start w:val="1"/>
    </w:lvl>
  </w:abstractNum>
  <w:abstractNum w:abstractNumId="274">
    <w:nsid w:val="9815DA3"/>
    <w:multiLevelType w:val="hybridMultilevel"/>
    <w:lvl w:ilvl="0">
      <w:lvlJc w:val="left"/>
      <w:lvlText w:val="(%1)"/>
      <w:numFmt w:val="lowerLetter"/>
      <w:start w:val="2"/>
    </w:lvl>
  </w:abstractNum>
  <w:abstractNum w:abstractNumId="275">
    <w:nsid w:val="5204A191"/>
    <w:multiLevelType w:val="hybridMultilevel"/>
    <w:lvl w:ilvl="0">
      <w:lvlJc w:val="left"/>
      <w:lvlText w:val="(%1)"/>
      <w:numFmt w:val="lowerRoman"/>
      <w:start w:val="1"/>
    </w:lvl>
  </w:abstractNum>
  <w:abstractNum w:abstractNumId="276">
    <w:nsid w:val="4C73A9C6"/>
    <w:multiLevelType w:val="hybridMultilevel"/>
    <w:lvl w:ilvl="0">
      <w:lvlJc w:val="left"/>
      <w:lvlText w:val="(%1)"/>
      <w:numFmt w:val="lowerRoman"/>
      <w:start w:val="2"/>
    </w:lvl>
  </w:abstractNum>
  <w:abstractNum w:abstractNumId="277">
    <w:nsid w:val="1C7E3C01"/>
    <w:multiLevelType w:val="hybridMultilevel"/>
    <w:lvl w:ilvl="0">
      <w:lvlJc w:val="left"/>
      <w:lvlText w:val="(%1)"/>
      <w:numFmt w:val="lowerLetter"/>
      <w:start w:val="1"/>
    </w:lvl>
  </w:abstractNum>
  <w:abstractNum w:abstractNumId="278">
    <w:nsid w:val="1C2201FF"/>
    <w:multiLevelType w:val="hybridMultilevel"/>
    <w:lvl w:ilvl="0">
      <w:lvlJc w:val="left"/>
      <w:lvlText w:val="(%1)"/>
      <w:numFmt w:val="lowerLetter"/>
      <w:start w:val="2"/>
    </w:lvl>
    <w:lvl w:ilvl="1">
      <w:lvlJc w:val="left"/>
      <w:lvlText w:val="-"/>
      <w:numFmt w:val="bullet"/>
      <w:start w:val="1"/>
    </w:lvl>
  </w:abstractNum>
  <w:abstractNum w:abstractNumId="279">
    <w:nsid w:val="50ABCEC9"/>
    <w:multiLevelType w:val="hybridMultilevel"/>
    <w:lvl w:ilvl="0">
      <w:lvlJc w:val="left"/>
      <w:lvlText w:val="-"/>
      <w:numFmt w:val="bullet"/>
      <w:start w:val="1"/>
    </w:lvl>
  </w:abstractNum>
  <w:abstractNum w:abstractNumId="280">
    <w:nsid w:val="7635AA2A"/>
    <w:multiLevelType w:val="hybridMultilevel"/>
    <w:lvl w:ilvl="0">
      <w:lvlJc w:val="left"/>
      <w:lvlText w:val="(%1)"/>
      <w:numFmt w:val="lowerLetter"/>
      <w:start w:val="1"/>
    </w:lvl>
  </w:abstractNum>
  <w:abstractNum w:abstractNumId="281">
    <w:nsid w:val="5E74C4D9"/>
    <w:multiLevelType w:val="hybridMultilevel"/>
    <w:lvl w:ilvl="0">
      <w:lvlJc w:val="left"/>
      <w:lvlText w:val="(%1)"/>
      <w:numFmt w:val="lowerRoman"/>
      <w:start w:val="1"/>
    </w:lvl>
  </w:abstractNum>
  <w:abstractNum w:abstractNumId="282">
    <w:nsid w:val="3B3EBE15"/>
    <w:multiLevelType w:val="hybridMultilevel"/>
    <w:lvl w:ilvl="0">
      <w:lvlJc w:val="left"/>
      <w:lvlText w:val="(%1)"/>
      <w:numFmt w:val="lowerLetter"/>
      <w:start w:val="2"/>
    </w:lvl>
  </w:abstractNum>
  <w:abstractNum w:abstractNumId="283">
    <w:nsid w:val="3822CB01"/>
    <w:multiLevelType w:val="hybridMultilevel"/>
    <w:lvl w:ilvl="0">
      <w:lvlJc w:val="left"/>
      <w:lvlText w:val="8"/>
      <w:numFmt w:val="bullet"/>
      <w:start w:val="1"/>
    </w:lvl>
  </w:abstractNum>
  <w:abstractNum w:abstractNumId="284">
    <w:nsid w:val="6CE00443"/>
    <w:multiLevelType w:val="hybridMultilevel"/>
    <w:lvl w:ilvl="0">
      <w:lvlJc w:val="left"/>
      <w:lvlText w:val="8"/>
      <w:numFmt w:val="bullet"/>
      <w:start w:val="1"/>
    </w:lvl>
  </w:abstractNum>
  <w:abstractNum w:abstractNumId="285">
    <w:nsid w:val="79F0D62F"/>
    <w:multiLevelType w:val="hybridMultilevel"/>
    <w:lvl w:ilvl="0">
      <w:lvlJc w:val="left"/>
      <w:lvlText w:val="%1."/>
      <w:numFmt w:val="decimal"/>
      <w:start w:val="1"/>
    </w:lvl>
  </w:abstractNum>
  <w:abstractNum w:abstractNumId="286">
    <w:nsid w:val="7975E8EE"/>
    <w:multiLevelType w:val="hybridMultilevel"/>
    <w:lvl w:ilvl="0">
      <w:lvlJc w:val="left"/>
      <w:lvlText w:val="%1)"/>
      <w:numFmt w:val="lowerLetter"/>
      <w:start w:val="1"/>
    </w:lvl>
  </w:abstractNum>
  <w:abstractNum w:abstractNumId="287">
    <w:nsid w:val="73154115"/>
    <w:multiLevelType w:val="hybridMultilevel"/>
    <w:lvl w:ilvl="0">
      <w:lvlJc w:val="left"/>
      <w:lvlText w:val="%1."/>
      <w:numFmt w:val="decimal"/>
      <w:start w:val="5"/>
    </w:lvl>
  </w:abstractNum>
  <w:abstractNum w:abstractNumId="288">
    <w:nsid w:val="622D8102"/>
    <w:multiLevelType w:val="hybridMultilevel"/>
    <w:lvl w:ilvl="0">
      <w:lvlJc w:val="left"/>
      <w:lvlText w:val="%1)"/>
      <w:numFmt w:val="lowerLetter"/>
      <w:start w:val="1"/>
    </w:lvl>
  </w:abstractNum>
  <w:abstractNum w:abstractNumId="289">
    <w:nsid w:val="2AB26587"/>
    <w:multiLevelType w:val="hybridMultilevel"/>
    <w:lvl w:ilvl="0">
      <w:lvlJc w:val="left"/>
      <w:lvlText w:val="%1."/>
      <w:numFmt w:val="decimal"/>
      <w:start w:val="1"/>
    </w:lvl>
  </w:abstractNum>
  <w:abstractNum w:abstractNumId="290">
    <w:nsid w:val="44B3FA61"/>
    <w:multiLevelType w:val="hybridMultilevel"/>
    <w:lvl w:ilvl="0">
      <w:lvlJc w:val="left"/>
      <w:lvlText w:val="%1)"/>
      <w:numFmt w:val="lowerLetter"/>
      <w:start w:val="1"/>
    </w:lvl>
  </w:abstractNum>
  <w:abstractNum w:abstractNumId="291">
    <w:nsid w:val="1C0CA67C"/>
    <w:multiLevelType w:val="hybridMultilevel"/>
    <w:lvl w:ilvl="0">
      <w:lvlJc w:val="left"/>
      <w:lvlText w:val="%1."/>
      <w:numFmt w:val="decimal"/>
      <w:start w:val="5"/>
    </w:lvl>
  </w:abstractNum>
  <w:abstractNum w:abstractNumId="292">
    <w:nsid w:val="3D206613"/>
    <w:multiLevelType w:val="hybridMultilevel"/>
    <w:lvl w:ilvl="0">
      <w:lvlJc w:val="left"/>
      <w:lvlText w:val="%1)"/>
      <w:numFmt w:val="lowerLetter"/>
      <w:start w:val="1"/>
    </w:lvl>
  </w:abstractNum>
  <w:abstractNum w:abstractNumId="293">
    <w:nsid w:val="7993B662"/>
    <w:multiLevelType w:val="hybridMultilevel"/>
    <w:lvl w:ilvl="0">
      <w:lvlJc w:val="left"/>
      <w:lvlText w:val="%1."/>
      <w:numFmt w:val="decimal"/>
      <w:start w:val="1"/>
    </w:lvl>
  </w:abstractNum>
  <w:abstractNum w:abstractNumId="294">
    <w:nsid w:val="3BAB699E"/>
    <w:multiLevelType w:val="hybridMultilevel"/>
    <w:lvl w:ilvl="0">
      <w:lvlJc w:val="left"/>
      <w:lvlText w:val="(%1)"/>
      <w:numFmt w:val="upperLetter"/>
      <w:start w:val="1"/>
    </w:lvl>
  </w:abstractNum>
  <w:abstractNum w:abstractNumId="295">
    <w:nsid w:val="71315369"/>
    <w:multiLevelType w:val="hybridMultilevel"/>
    <w:lvl w:ilvl="0">
      <w:lvlJc w:val="left"/>
      <w:lvlText w:val="%1."/>
      <w:numFmt w:val="decimal"/>
      <w:start w:val="1"/>
    </w:lvl>
  </w:abstractNum>
  <w:abstractNum w:abstractNumId="296">
    <w:nsid w:val="7BCFBAFC"/>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2019-12-10T14:56:10Z</dcterms:created>
  <dcterms:modified xsi:type="dcterms:W3CDTF">2019-12-10T14:56:10Z</dcterms:modified>
</cp:coreProperties>
</file>