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August 2020</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360"/>
        <w:spacing w:after="0" w:line="207" w:lineRule="exact"/>
        <w:tabs>
          <w:tab w:leader="none" w:pos="59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2823210</wp:posOffset>
            </wp:positionV>
            <wp:extent cx="7132320" cy="1988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13232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August 3,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hereby notify you as a Material Event that the company Fitch Ratings published Credicorp Ltd.’s foreign currency long-term IDR of ‘BBB+’ rating and negative outlook.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Form 6-K regarding the rating of Fitch Ratings has been disclosed in Peru in conformity with Peruvian law (Article 28 of the Capital Markets Law, approved by Supreme Decree 093-2002-EF, and by the Regulation of the Disclosure of Material Facts and Reserved Information approved by Resolution 005-2014-SMV/01 of the Peruvian Capital Markets Superintendency). The ratings of Fitch Ratings do not necessarily represent the opinion of Credicorp Ltd. nor should they be seen as a recommendation to buy shares or any other securities of Credicorp Ltd. Credicorp Ltd. accepts no liability for the completeness, timeliness, accuracy or selection of such information.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240"/>
          </w:cols>
          <w:pgMar w:left="320" w:top="1440" w:right="33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Authorized Representative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3, 2020</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348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2020-08-05T05:26:51Z</dcterms:created>
  <dcterms:modified xsi:type="dcterms:W3CDTF">2020-08-05T05:26:51Z</dcterms:modified>
</cp:coreProperties>
</file>