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Form 40-F</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4320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43200" cy="334645"/>
                    </a:xfrm>
                    <a:prstGeom prst="rect">
                      <a:avLst/>
                    </a:prstGeom>
                    <a:noFill/>
                  </pic:spPr>
                </pic:pic>
              </a:graphicData>
            </a:graphic>
          </wp:anchor>
        </w:drawing>
        <w:t>May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notify you as a Material Event that on May 13, 2025, S&amp;P Global Ratings released an update of Credicorp Ltd.’s (Credicorp) credit rating report dated July 4, 2024, affirming Credicorp’s credit rating at ‘BBB-’ and maintaining its stable outlook. The new report only represents an update of figures as of December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Form 6-K regarding the rating of S&amp;P Global Ratings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 The ratings of S&amp;P Global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Milagros Cigüeñas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23914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Milagros Cigüeñas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147320</wp:posOffset>
            </wp:positionV>
            <wp:extent cx="7132320" cy="7827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827010"/>
                    </a:xfrm>
                    <a:prstGeom prst="rect">
                      <a:avLst/>
                    </a:prstGeom>
                    <a:noFill/>
                  </pic:spPr>
                </pic:pic>
              </a:graphicData>
            </a:graphic>
          </wp:anchor>
        </w:drawing>
      </w:r>
    </w:p>
    <w:p>
      <w:pPr>
        <w:sectPr>
          <w:pgSz w:w="11900" w:h="16838" w:orient="portrait"/>
          <w:cols w:equalWidth="0" w:num="1">
            <w:col w:w="10120"/>
          </w:cols>
          <w:pgMar w:left="1440" w:top="252"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52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85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60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86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18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818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60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86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903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7903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60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86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86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886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61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7861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86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78867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2025-05-14T05:13:19Z</dcterms:created>
  <dcterms:modified xsi:type="dcterms:W3CDTF">2025-05-14T05:13:19Z</dcterms:modified>
</cp:coreProperties>
</file>