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156845</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165"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Report of Foreign Private Issuer</w:t>
      </w:r>
    </w:p>
    <w:p>
      <w:pPr>
        <w:jc w:val="center"/>
        <w:ind w:right="40"/>
        <w:spacing w:after="0" w:line="238" w:lineRule="auto"/>
        <w:rPr>
          <w:sz w:val="20"/>
          <w:szCs w:val="20"/>
          <w:color w:val="auto"/>
        </w:rPr>
      </w:pPr>
      <w:r>
        <w:rPr>
          <w:rFonts w:ascii="Arial" w:cs="Arial" w:eastAsia="Arial" w:hAnsi="Arial"/>
          <w:sz w:val="22"/>
          <w:szCs w:val="22"/>
          <w:color w:val="auto"/>
        </w:rPr>
        <w:t>Pursuant to Rule 13a-16 or 15d-16 of the</w:t>
      </w:r>
    </w:p>
    <w:p>
      <w:pPr>
        <w:jc w:val="center"/>
        <w:ind w:right="40"/>
        <w:spacing w:after="0"/>
        <w:rPr>
          <w:sz w:val="20"/>
          <w:szCs w:val="20"/>
          <w:color w:val="auto"/>
        </w:rPr>
      </w:pPr>
      <w:r>
        <w:rPr>
          <w:rFonts w:ascii="Arial" w:cs="Arial" w:eastAsia="Arial" w:hAnsi="Arial"/>
          <w:sz w:val="22"/>
          <w:szCs w:val="22"/>
          <w:color w:val="auto"/>
        </w:rPr>
        <w:t>Securities Exchange Act of 1934</w:t>
      </w:r>
    </w:p>
    <w:p>
      <w:pPr>
        <w:spacing w:after="0" w:line="11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 the month of November,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309245</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CREDICORP LTD.</w:t>
      </w:r>
    </w:p>
    <w:p>
      <w:pPr>
        <w:spacing w:after="0" w:line="4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Clarendon House</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Church Street</w:t>
      </w:r>
    </w:p>
    <w:p>
      <w:pPr>
        <w:jc w:val="center"/>
        <w:ind w:right="40"/>
        <w:spacing w:after="0"/>
        <w:rPr>
          <w:sz w:val="20"/>
          <w:szCs w:val="20"/>
          <w:color w:val="auto"/>
        </w:rPr>
      </w:pPr>
      <w:r>
        <w:rPr>
          <w:rFonts w:ascii="Arial" w:cs="Arial" w:eastAsia="Arial" w:hAnsi="Arial"/>
          <w:sz w:val="22"/>
          <w:szCs w:val="22"/>
          <w:b w:val="1"/>
          <w:bCs w:val="1"/>
          <w:color w:val="auto"/>
        </w:rPr>
        <w:t>Hamilton HM 11 Bermuda</w:t>
      </w: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00"/>
        <w:spacing w:after="0"/>
        <w:rPr>
          <w:sz w:val="20"/>
          <w:szCs w:val="20"/>
          <w:color w:val="auto"/>
        </w:rPr>
      </w:pPr>
      <w:r>
        <w:rPr>
          <w:rFonts w:ascii="Arial" w:cs="Arial" w:eastAsia="Arial" w:hAnsi="Arial"/>
          <w:sz w:val="21"/>
          <w:szCs w:val="21"/>
          <w:color w:val="auto"/>
        </w:rPr>
        <w:t>Indicate by check mark whether the registrant files or will file annual reports under cover Form 20-F or Form 40-F.</w:t>
      </w:r>
    </w:p>
    <w:p>
      <w:pPr>
        <w:spacing w:after="0" w:line="218" w:lineRule="exact"/>
        <w:rPr>
          <w:sz w:val="24"/>
          <w:szCs w:val="24"/>
          <w:color w:val="auto"/>
        </w:rPr>
      </w:pPr>
    </w:p>
    <w:p>
      <w:pPr>
        <w:ind w:left="3740"/>
        <w:spacing w:after="0"/>
        <w:rPr>
          <w:sz w:val="20"/>
          <w:szCs w:val="20"/>
          <w:color w:val="auto"/>
        </w:rPr>
      </w:pPr>
      <w:r>
        <w:rPr>
          <w:rFonts w:ascii="Arial" w:cs="Arial" w:eastAsia="Arial" w:hAnsi="Arial"/>
          <w:sz w:val="22"/>
          <w:szCs w:val="22"/>
          <w:color w:val="auto"/>
        </w:rPr>
        <w:t>Form 20-F ___X___ Form 40-F _______</w:t>
      </w:r>
    </w:p>
    <w:p>
      <w:pPr>
        <w:spacing w:after="0" w:line="206" w:lineRule="exact"/>
        <w:rPr>
          <w:sz w:val="24"/>
          <w:szCs w:val="24"/>
          <w:color w:val="auto"/>
        </w:rPr>
      </w:pPr>
    </w:p>
    <w:p>
      <w:pPr>
        <w:ind w:left="1020" w:hanging="1022"/>
        <w:spacing w:after="0" w:line="328" w:lineRule="auto"/>
        <w:rPr>
          <w:sz w:val="20"/>
          <w:szCs w:val="20"/>
          <w:color w:val="auto"/>
        </w:rPr>
      </w:pPr>
      <w:r>
        <w:rPr>
          <w:rFonts w:ascii="Arial" w:cs="Arial" w:eastAsia="Arial" w:hAnsi="Arial"/>
          <w:sz w:val="19"/>
          <w:szCs w:val="19"/>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05" w:lineRule="exact"/>
        <w:rPr>
          <w:sz w:val="24"/>
          <w:szCs w:val="24"/>
          <w:color w:val="auto"/>
        </w:rPr>
      </w:pPr>
    </w:p>
    <w:p>
      <w:pPr>
        <w:ind w:left="4320"/>
        <w:spacing w:after="0"/>
        <w:rPr>
          <w:sz w:val="20"/>
          <w:szCs w:val="20"/>
          <w:color w:val="auto"/>
        </w:rPr>
      </w:pPr>
      <w:r>
        <w:rPr>
          <w:rFonts w:ascii="Arial" w:cs="Arial" w:eastAsia="Arial" w:hAnsi="Arial"/>
          <w:sz w:val="22"/>
          <w:szCs w:val="22"/>
          <w:color w:val="auto"/>
        </w:rPr>
        <w:t>Yes _______ No ___X____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-110490</wp:posOffset>
            </wp:positionH>
            <wp:positionV relativeFrom="paragraph">
              <wp:posOffset>142240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20" w:top="517" w:right="359" w:bottom="1440" w:gutter="0" w:footer="0" w:header="0"/>
        </w:sectPr>
      </w:pPr>
    </w:p>
    <w:bookmarkStart w:id="1" w:name="page2"/>
    <w:bookmarkEnd w:id="1"/>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information please contact: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Jose N. Hung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(511) 313-2123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jhung@bcp.com.pe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Alfredo Montero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1475740</wp:posOffset>
            </wp:positionH>
            <wp:positionV relativeFrom="paragraph">
              <wp:posOffset>-965835</wp:posOffset>
            </wp:positionV>
            <wp:extent cx="2143760" cy="565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3760" cy="5657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Phone: (305) 448-0971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amontero@bcpmiami.com</w:t>
      </w:r>
    </w:p>
    <w:p>
      <w:pPr>
        <w:spacing w:after="0" w:line="222" w:lineRule="exact"/>
        <w:rPr>
          <w:sz w:val="20"/>
          <w:szCs w:val="20"/>
          <w:color w:val="auto"/>
        </w:rPr>
      </w:pPr>
    </w:p>
    <w:p>
      <w:pPr>
        <w:sectPr>
          <w:pgSz w:w="11900" w:h="16853" w:orient="portrait"/>
          <w:cols w:equalWidth="0" w:num="2">
            <w:col w:w="5000" w:space="720"/>
            <w:col w:w="5700"/>
          </w:cols>
          <w:pgMar w:left="240" w:top="1440" w:right="239" w:bottom="0" w:gutter="0" w:footer="0" w:header="0"/>
        </w:sectPr>
      </w:pPr>
    </w:p>
    <w:p>
      <w:pPr>
        <w:spacing w:after="0" w:line="19"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CREDICORP LTD. ANNOUNCES FINANCIAL RESULTS</w:t>
      </w:r>
    </w:p>
    <w:p>
      <w:pPr>
        <w:spacing w:after="0" w:line="38"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FOR THE QUARTER ENDED SEPTEMBER 30, 2004</w:t>
      </w:r>
    </w:p>
    <w:p>
      <w:pPr>
        <w:sectPr>
          <w:pgSz w:w="11900" w:h="16853" w:orient="portrait"/>
          <w:cols w:equalWidth="0" w:num="1">
            <w:col w:w="11420"/>
          </w:cols>
          <w:pgMar w:left="240" w:top="1440" w:right="239" w:bottom="0" w:gutter="0" w:footer="0" w:header="0"/>
          <w:type w:val="continuous"/>
        </w:sectPr>
      </w:pPr>
    </w:p>
    <w:p>
      <w:pPr>
        <w:spacing w:after="0" w:line="2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Credicorp (NYSE:BAP; LSE:BAPC1) reported a consolidated net income for the nine month period ended in September 30, 2004 of US$95.9 million, or US$1.20 per share, 68.9% above net income of US$56.8 million, or US$0.71 per share, in the same nine month period of 2003. In the quarter ended September 30, 2004 Credicorp had net income of US$32.9 million, or US$0.41 per share, similar to net profit in the preceding second quarter, but 26.8% above net income in third quarter 2003 of US$26.0 million, or US$0.33 per share.</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Cumulative results through September 2004 improve with respect to the same period of 2003, mainly due to decreased loan loss provisions and to lower merger costs, which mainly offset declining net interest income.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Third quarter 2004 results are higher than profits in the same year-ago quarter mainly because of higher non-financial income and lower loan loss provisions</w:t>
      </w:r>
    </w:p>
    <w:p>
      <w:pPr>
        <w:spacing w:after="0" w:line="24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Provisions for loan losses decreased from US$23.8 million to US$9.8 million, comparing the third quarters of 2003 and 2004, respectively, due to improved loan portfolio quality. Loan quality improvement is noted through a lower past-due loan ratio, that decreased from 7.6% at September 2003, to 4.8% at the end of September 2004, and by the improved coverage of bad loans by provisions which increased from 113.7% to 130.8%, respectively.</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 note an increase in Premiums and health fees, Claims and health cost expenses, and of non-interest expenses, due to prior period transactions of Novasalud EPS, registered in this quarter upon completion of its merger with PPS. This unit has been stabilized and its operating results are positive, with cumulative net gains of approximately US$1.0 million.</w:t>
      </w:r>
    </w:p>
    <w:p>
      <w:pPr>
        <w:spacing w:after="0" w:line="19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Reported under the Merger costs concept, we have US$17.5 million in the nine month period of 2003 for the merger of Banco Santander Central Hispano-Peru (“BSCH-Peru”), compared to US$3.7 million as of September 2004, related with the Solución Financiera de Crédito merger.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Sale of Banco Tequendama</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October 26, 2004, Credicorp announced its agreement to sell its equity stake in Banco Tequendama. The acquiring company is a financial holding based in the Netherlands which has agreed on a price of US$32.0 million, pending the authorization from Colombian banking authorities.</w:t>
      </w:r>
    </w:p>
    <w:p>
      <w:pPr>
        <w:spacing w:after="0" w:line="13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I. CREDICORP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CREDICORP LTD.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RESULTS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U.S.$ millions, except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80" w:type="dxa"/>
            <w:vAlign w:val="bottom"/>
          </w:tcPr>
          <w:p>
            <w:pPr>
              <w:spacing w:after="0"/>
              <w:rPr>
                <w:sz w:val="19"/>
                <w:szCs w:val="19"/>
                <w:color w:val="auto"/>
              </w:rPr>
            </w:pPr>
          </w:p>
        </w:tc>
        <w:tc>
          <w:tcPr>
            <w:tcW w:w="2940" w:type="dxa"/>
            <w:vAlign w:val="bottom"/>
            <w:gridSpan w:val="2"/>
          </w:tcPr>
          <w:p>
            <w:pPr>
              <w:jc w:val="right"/>
              <w:ind w:right="72"/>
              <w:spacing w:after="0"/>
              <w:rPr>
                <w:sz w:val="20"/>
                <w:szCs w:val="20"/>
                <w:color w:val="auto"/>
              </w:rPr>
            </w:pPr>
            <w:r>
              <w:rPr>
                <w:rFonts w:ascii="Arial" w:cs="Arial" w:eastAsia="Arial" w:hAnsi="Arial"/>
                <w:sz w:val="18"/>
                <w:szCs w:val="18"/>
                <w:color w:val="auto"/>
              </w:rPr>
              <w:t>Three months ended</w:t>
            </w:r>
          </w:p>
        </w:tc>
        <w:tc>
          <w:tcPr>
            <w:tcW w:w="1360" w:type="dxa"/>
            <w:vAlign w:val="bottom"/>
          </w:tcPr>
          <w:p>
            <w:pPr>
              <w:spacing w:after="0"/>
              <w:rPr>
                <w:sz w:val="19"/>
                <w:szCs w:val="19"/>
                <w:color w:val="auto"/>
              </w:rPr>
            </w:pPr>
          </w:p>
        </w:tc>
        <w:tc>
          <w:tcPr>
            <w:tcW w:w="2540" w:type="dxa"/>
            <w:vAlign w:val="bottom"/>
            <w:gridSpan w:val="2"/>
          </w:tcPr>
          <w:p>
            <w:pPr>
              <w:jc w:val="right"/>
              <w:ind w:right="592"/>
              <w:spacing w:after="0"/>
              <w:rPr>
                <w:sz w:val="20"/>
                <w:szCs w:val="20"/>
                <w:color w:val="auto"/>
              </w:rPr>
            </w:pPr>
            <w:r>
              <w:rPr>
                <w:rFonts w:ascii="Arial" w:cs="Arial" w:eastAsia="Arial" w:hAnsi="Arial"/>
                <w:sz w:val="18"/>
                <w:szCs w:val="18"/>
                <w:color w:val="auto"/>
              </w:rPr>
              <w:t>Nine months ended</w:t>
            </w:r>
          </w:p>
        </w:tc>
      </w:tr>
      <w:tr>
        <w:trPr>
          <w:trHeight w:val="110"/>
        </w:trPr>
        <w:tc>
          <w:tcPr>
            <w:tcW w:w="458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r>
      <w:tr>
        <w:trPr>
          <w:trHeight w:val="316"/>
        </w:trPr>
        <w:tc>
          <w:tcPr>
            <w:tcW w:w="4580" w:type="dxa"/>
            <w:vAlign w:val="bottom"/>
          </w:tcPr>
          <w:p>
            <w:pPr>
              <w:spacing w:after="0"/>
              <w:rPr>
                <w:sz w:val="24"/>
                <w:szCs w:val="24"/>
                <w:color w:val="auto"/>
              </w:rPr>
            </w:pPr>
          </w:p>
        </w:tc>
        <w:tc>
          <w:tcPr>
            <w:tcW w:w="1580" w:type="dxa"/>
            <w:vAlign w:val="bottom"/>
          </w:tcPr>
          <w:p>
            <w:pPr>
              <w:jc w:val="right"/>
              <w:ind w:right="492"/>
              <w:spacing w:after="0"/>
              <w:rPr>
                <w:sz w:val="20"/>
                <w:szCs w:val="20"/>
                <w:color w:val="auto"/>
              </w:rPr>
            </w:pPr>
            <w:r>
              <w:rPr>
                <w:rFonts w:ascii="Arial" w:cs="Arial" w:eastAsia="Arial" w:hAnsi="Arial"/>
                <w:sz w:val="18"/>
                <w:szCs w:val="18"/>
                <w:color w:val="auto"/>
              </w:rPr>
              <w:t>30.09.03</w:t>
            </w:r>
          </w:p>
        </w:tc>
        <w:tc>
          <w:tcPr>
            <w:tcW w:w="1360" w:type="dxa"/>
            <w:vAlign w:val="bottom"/>
          </w:tcPr>
          <w:p>
            <w:pPr>
              <w:jc w:val="right"/>
              <w:ind w:right="472"/>
              <w:spacing w:after="0"/>
              <w:rPr>
                <w:sz w:val="20"/>
                <w:szCs w:val="20"/>
                <w:color w:val="auto"/>
              </w:rPr>
            </w:pPr>
            <w:r>
              <w:rPr>
                <w:rFonts w:ascii="Arial" w:cs="Arial" w:eastAsia="Arial" w:hAnsi="Arial"/>
                <w:sz w:val="18"/>
                <w:szCs w:val="18"/>
                <w:color w:val="auto"/>
              </w:rPr>
              <w:t>30.06.04</w:t>
            </w:r>
          </w:p>
        </w:tc>
        <w:tc>
          <w:tcPr>
            <w:tcW w:w="1360" w:type="dxa"/>
            <w:vAlign w:val="bottom"/>
          </w:tcPr>
          <w:p>
            <w:pPr>
              <w:jc w:val="right"/>
              <w:ind w:right="472"/>
              <w:spacing w:after="0"/>
              <w:rPr>
                <w:sz w:val="20"/>
                <w:szCs w:val="20"/>
                <w:color w:val="auto"/>
              </w:rPr>
            </w:pPr>
            <w:r>
              <w:rPr>
                <w:rFonts w:ascii="Arial" w:cs="Arial" w:eastAsia="Arial" w:hAnsi="Arial"/>
                <w:sz w:val="18"/>
                <w:szCs w:val="18"/>
                <w:color w:val="auto"/>
              </w:rPr>
              <w:t>30.09.04</w:t>
            </w:r>
          </w:p>
        </w:tc>
        <w:tc>
          <w:tcPr>
            <w:tcW w:w="1360" w:type="dxa"/>
            <w:vAlign w:val="bottom"/>
          </w:tcPr>
          <w:p>
            <w:pPr>
              <w:jc w:val="right"/>
              <w:ind w:right="472"/>
              <w:spacing w:after="0"/>
              <w:rPr>
                <w:sz w:val="20"/>
                <w:szCs w:val="20"/>
                <w:color w:val="auto"/>
              </w:rPr>
            </w:pPr>
            <w:r>
              <w:rPr>
                <w:rFonts w:ascii="Arial" w:cs="Arial" w:eastAsia="Arial" w:hAnsi="Arial"/>
                <w:sz w:val="18"/>
                <w:szCs w:val="18"/>
                <w:color w:val="auto"/>
              </w:rPr>
              <w:t>30.09.03</w:t>
            </w:r>
          </w:p>
        </w:tc>
        <w:tc>
          <w:tcPr>
            <w:tcW w:w="1180" w:type="dxa"/>
            <w:vAlign w:val="bottom"/>
          </w:tcPr>
          <w:p>
            <w:pPr>
              <w:jc w:val="right"/>
              <w:ind w:right="292"/>
              <w:spacing w:after="0"/>
              <w:rPr>
                <w:sz w:val="20"/>
                <w:szCs w:val="20"/>
                <w:color w:val="auto"/>
              </w:rPr>
            </w:pPr>
            <w:r>
              <w:rPr>
                <w:rFonts w:ascii="Arial" w:cs="Arial" w:eastAsia="Arial" w:hAnsi="Arial"/>
                <w:sz w:val="18"/>
                <w:szCs w:val="18"/>
                <w:color w:val="auto"/>
              </w:rPr>
              <w:t>30.09.04</w:t>
            </w:r>
          </w:p>
        </w:tc>
      </w:tr>
      <w:tr>
        <w:trPr>
          <w:trHeight w:val="110"/>
        </w:trPr>
        <w:tc>
          <w:tcPr>
            <w:tcW w:w="458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r>
      <w:tr>
        <w:trPr>
          <w:trHeight w:val="309"/>
        </w:trPr>
        <w:tc>
          <w:tcPr>
            <w:tcW w:w="4580" w:type="dxa"/>
            <w:vAlign w:val="bottom"/>
          </w:tcPr>
          <w:p>
            <w:pPr>
              <w:spacing w:after="0"/>
              <w:rPr>
                <w:sz w:val="20"/>
                <w:szCs w:val="20"/>
                <w:color w:val="auto"/>
              </w:rPr>
            </w:pPr>
            <w:r>
              <w:rPr>
                <w:rFonts w:ascii="Arial" w:cs="Arial" w:eastAsia="Arial" w:hAnsi="Arial"/>
                <w:sz w:val="18"/>
                <w:szCs w:val="18"/>
                <w:color w:val="auto"/>
              </w:rPr>
              <w:t>Net interest income (1)</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95.5</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92.6</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94.2</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286.9</w:t>
            </w:r>
          </w:p>
        </w:tc>
        <w:tc>
          <w:tcPr>
            <w:tcW w:w="1180" w:type="dxa"/>
            <w:vAlign w:val="bottom"/>
          </w:tcPr>
          <w:p>
            <w:pPr>
              <w:jc w:val="right"/>
              <w:spacing w:after="0"/>
              <w:rPr>
                <w:sz w:val="20"/>
                <w:szCs w:val="20"/>
                <w:color w:val="auto"/>
              </w:rPr>
            </w:pPr>
            <w:r>
              <w:rPr>
                <w:rFonts w:ascii="Arial" w:cs="Arial" w:eastAsia="Arial" w:hAnsi="Arial"/>
                <w:sz w:val="18"/>
                <w:szCs w:val="18"/>
                <w:color w:val="auto"/>
              </w:rPr>
              <w:t>276.7</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Provisions for possible loan losses, net</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23.8</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7.2</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9.8</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77.8</w:t>
            </w:r>
          </w:p>
        </w:tc>
        <w:tc>
          <w:tcPr>
            <w:tcW w:w="118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Other income (1)</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99.8</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96.8</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133.3</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308.4</w:t>
            </w:r>
          </w:p>
        </w:tc>
        <w:tc>
          <w:tcPr>
            <w:tcW w:w="1180" w:type="dxa"/>
            <w:vAlign w:val="bottom"/>
          </w:tcPr>
          <w:p>
            <w:pPr>
              <w:jc w:val="right"/>
              <w:spacing w:after="0"/>
              <w:rPr>
                <w:sz w:val="20"/>
                <w:szCs w:val="20"/>
                <w:color w:val="auto"/>
              </w:rPr>
            </w:pPr>
            <w:r>
              <w:rPr>
                <w:rFonts w:ascii="Arial" w:cs="Arial" w:eastAsia="Arial" w:hAnsi="Arial"/>
                <w:sz w:val="18"/>
                <w:szCs w:val="18"/>
                <w:color w:val="auto"/>
              </w:rPr>
              <w:t>338.9</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Claims on insurance activities</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24.7</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27.1</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48.6</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76.3</w:t>
            </w:r>
          </w:p>
        </w:tc>
        <w:tc>
          <w:tcPr>
            <w:tcW w:w="1180" w:type="dxa"/>
            <w:vAlign w:val="bottom"/>
          </w:tcPr>
          <w:p>
            <w:pPr>
              <w:jc w:val="right"/>
              <w:spacing w:after="0"/>
              <w:rPr>
                <w:sz w:val="20"/>
                <w:szCs w:val="20"/>
                <w:color w:val="auto"/>
              </w:rPr>
            </w:pPr>
            <w:r>
              <w:rPr>
                <w:rFonts w:ascii="Arial" w:cs="Arial" w:eastAsia="Arial" w:hAnsi="Arial"/>
                <w:sz w:val="18"/>
                <w:szCs w:val="18"/>
                <w:color w:val="auto"/>
              </w:rPr>
              <w:t>104.4</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Other expenses</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102.7</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106.3</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122.4</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324.1</w:t>
            </w:r>
          </w:p>
        </w:tc>
        <w:tc>
          <w:tcPr>
            <w:tcW w:w="1180" w:type="dxa"/>
            <w:vAlign w:val="bottom"/>
          </w:tcPr>
          <w:p>
            <w:pPr>
              <w:jc w:val="right"/>
              <w:spacing w:after="0"/>
              <w:rPr>
                <w:sz w:val="20"/>
                <w:szCs w:val="20"/>
                <w:color w:val="auto"/>
              </w:rPr>
            </w:pPr>
            <w:r>
              <w:rPr>
                <w:rFonts w:ascii="Arial" w:cs="Arial" w:eastAsia="Arial" w:hAnsi="Arial"/>
                <w:sz w:val="18"/>
                <w:szCs w:val="18"/>
                <w:color w:val="auto"/>
              </w:rPr>
              <w:t>336.9</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Merger costs</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1.4</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0.5</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17.5</w:t>
            </w: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Translation result</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0.4</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0.8</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(0.2)</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(3.8)</w:t>
            </w:r>
          </w:p>
        </w:tc>
        <w:tc>
          <w:tcPr>
            <w:tcW w:w="11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Income before income tax and</w:t>
            </w:r>
          </w:p>
        </w:tc>
        <w:tc>
          <w:tcPr>
            <w:tcW w:w="1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minority interest</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44.5</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48.2</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45.9</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95.8</w:t>
            </w:r>
          </w:p>
        </w:tc>
        <w:tc>
          <w:tcPr>
            <w:tcW w:w="1180" w:type="dxa"/>
            <w:vAlign w:val="bottom"/>
          </w:tcPr>
          <w:p>
            <w:pPr>
              <w:jc w:val="right"/>
              <w:spacing w:after="0"/>
              <w:rPr>
                <w:sz w:val="20"/>
                <w:szCs w:val="20"/>
                <w:color w:val="auto"/>
              </w:rPr>
            </w:pPr>
            <w:r>
              <w:rPr>
                <w:rFonts w:ascii="Arial" w:cs="Arial" w:eastAsia="Arial" w:hAnsi="Arial"/>
                <w:sz w:val="18"/>
                <w:szCs w:val="18"/>
                <w:color w:val="auto"/>
              </w:rPr>
              <w:t>138.6</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Income Tax</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(13.3)</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(12.7)</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(10.8)</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(29.9)</w:t>
            </w:r>
          </w:p>
        </w:tc>
        <w:tc>
          <w:tcPr>
            <w:tcW w:w="1180" w:type="dxa"/>
            <w:vAlign w:val="bottom"/>
          </w:tcPr>
          <w:p>
            <w:pPr>
              <w:jc w:val="right"/>
              <w:spacing w:after="0"/>
              <w:rPr>
                <w:sz w:val="20"/>
                <w:szCs w:val="20"/>
                <w:color w:val="auto"/>
              </w:rPr>
            </w:pPr>
            <w:r>
              <w:rPr>
                <w:rFonts w:ascii="Arial" w:cs="Arial" w:eastAsia="Arial" w:hAnsi="Arial"/>
                <w:sz w:val="18"/>
                <w:szCs w:val="18"/>
                <w:color w:val="auto"/>
              </w:rPr>
              <w:t>(35.1)</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Minority Interest</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(5.2)</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(2.7)</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(2.1)</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(9.2)</w:t>
            </w:r>
          </w:p>
        </w:tc>
        <w:tc>
          <w:tcPr>
            <w:tcW w:w="11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4580" w:type="dxa"/>
            <w:vAlign w:val="bottom"/>
          </w:tcPr>
          <w:p>
            <w:pPr>
              <w:ind w:left="1880"/>
              <w:spacing w:after="0"/>
              <w:rPr>
                <w:sz w:val="20"/>
                <w:szCs w:val="20"/>
                <w:color w:val="auto"/>
              </w:rPr>
            </w:pPr>
            <w:r>
              <w:rPr>
                <w:rFonts w:ascii="Arial" w:cs="Arial" w:eastAsia="Arial" w:hAnsi="Arial"/>
                <w:sz w:val="18"/>
                <w:szCs w:val="18"/>
                <w:color w:val="auto"/>
              </w:rPr>
              <w:t>Net Income</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26.0</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32.9</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32.9</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56.8</w:t>
            </w:r>
          </w:p>
        </w:tc>
        <w:tc>
          <w:tcPr>
            <w:tcW w:w="1180" w:type="dxa"/>
            <w:vAlign w:val="bottom"/>
          </w:tcPr>
          <w:p>
            <w:pPr>
              <w:jc w:val="right"/>
              <w:spacing w:after="0"/>
              <w:rPr>
                <w:sz w:val="20"/>
                <w:szCs w:val="20"/>
                <w:color w:val="auto"/>
              </w:rPr>
            </w:pPr>
            <w:r>
              <w:rPr>
                <w:rFonts w:ascii="Arial" w:cs="Arial" w:eastAsia="Arial" w:hAnsi="Arial"/>
                <w:sz w:val="18"/>
                <w:szCs w:val="18"/>
                <w:color w:val="auto"/>
              </w:rPr>
              <w:t>95.9</w:t>
            </w:r>
          </w:p>
        </w:tc>
      </w:t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Net Income per share (2)</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0.33</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0.41</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0.41</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0.71</w:t>
            </w:r>
          </w:p>
        </w:tc>
        <w:tc>
          <w:tcPr>
            <w:tcW w:w="1180" w:type="dxa"/>
            <w:vAlign w:val="bottom"/>
          </w:tcPr>
          <w:p>
            <w:pPr>
              <w:jc w:val="right"/>
              <w:spacing w:after="0"/>
              <w:rPr>
                <w:sz w:val="20"/>
                <w:szCs w:val="20"/>
                <w:color w:val="auto"/>
              </w:rPr>
            </w:pPr>
            <w:r>
              <w:rPr>
                <w:rFonts w:ascii="Arial" w:cs="Arial" w:eastAsia="Arial" w:hAnsi="Arial"/>
                <w:sz w:val="18"/>
                <w:szCs w:val="18"/>
                <w:color w:val="auto"/>
              </w:rPr>
              <w:t>1.20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0"/>
          <w:szCs w:val="20"/>
          <w:color w:val="auto"/>
        </w:rPr>
      </w:pPr>
    </w:p>
    <w:p>
      <w:pPr>
        <w:ind w:left="580" w:right="4960" w:hanging="572"/>
        <w:spacing w:after="0" w:line="254"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Note: for comparison purposes, US$4.9Mn in 3Q03 and US$18.4Mn in 9m03 were reclassified from other income into interest income.</w:t>
      </w: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Based on 79.8 million net outstanding shares in all periods.</w:t>
      </w:r>
    </w:p>
    <w:p>
      <w:pPr>
        <w:spacing w:after="0" w:line="9" w:lineRule="exact"/>
        <w:rPr>
          <w:rFonts w:ascii="Arial" w:cs="Arial" w:eastAsia="Arial" w:hAnsi="Arial"/>
          <w:sz w:val="18"/>
          <w:szCs w:val="18"/>
          <w:color w:val="auto"/>
        </w:rPr>
      </w:pPr>
    </w:p>
    <w:p>
      <w:pPr>
        <w:ind w:left="580" w:right="4400"/>
        <w:spacing w:after="0" w:line="323" w:lineRule="auto"/>
        <w:rPr>
          <w:rFonts w:ascii="Arial" w:cs="Arial" w:eastAsia="Arial" w:hAnsi="Arial"/>
          <w:sz w:val="18"/>
          <w:szCs w:val="18"/>
          <w:color w:val="auto"/>
        </w:rPr>
      </w:pPr>
      <w:r>
        <w:rPr>
          <w:rFonts w:ascii="Arial" w:cs="Arial" w:eastAsia="Arial" w:hAnsi="Arial"/>
          <w:sz w:val="16"/>
          <w:szCs w:val="16"/>
          <w:color w:val="auto"/>
        </w:rPr>
        <w:t>The total number of shares is 94.4 million, however, as 14.6 million are held by affiliates as treasury shares, the net consolidated outstanding shares are 79.8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Net Income from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Credicorp’s principal subsidiaries contributed to consolidated net income as follows:</w:t>
      </w:r>
    </w:p>
    <w:p>
      <w:pPr>
        <w:sectPr>
          <w:pgSz w:w="11900" w:h="16853" w:orient="portrait"/>
          <w:cols w:equalWidth="0" w:num="1">
            <w:col w:w="11420"/>
          </w:cols>
          <w:pgMar w:left="240" w:top="1440" w:right="2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3580" w:type="dxa"/>
            <w:vAlign w:val="bottom"/>
          </w:tcPr>
          <w:p>
            <w:pPr>
              <w:spacing w:after="0"/>
              <w:rPr>
                <w:sz w:val="20"/>
                <w:szCs w:val="20"/>
                <w:color w:val="auto"/>
              </w:rPr>
            </w:pPr>
            <w:r>
              <w:rPr>
                <w:rFonts w:ascii="Arial" w:cs="Arial" w:eastAsia="Arial" w:hAnsi="Arial"/>
                <w:sz w:val="18"/>
                <w:szCs w:val="18"/>
                <w:color w:val="auto"/>
              </w:rPr>
              <w:t>(US$Mn)</w:t>
            </w:r>
          </w:p>
        </w:tc>
        <w:tc>
          <w:tcPr>
            <w:tcW w:w="2760" w:type="dxa"/>
            <w:vAlign w:val="bottom"/>
          </w:tcPr>
          <w:p>
            <w:pPr>
              <w:jc w:val="right"/>
              <w:ind w:right="292"/>
              <w:spacing w:after="0"/>
              <w:rPr>
                <w:sz w:val="20"/>
                <w:szCs w:val="20"/>
                <w:color w:val="auto"/>
              </w:rPr>
            </w:pPr>
            <w:r>
              <w:rPr>
                <w:rFonts w:ascii="Arial" w:cs="Arial" w:eastAsia="Arial" w:hAnsi="Arial"/>
                <w:sz w:val="18"/>
                <w:szCs w:val="18"/>
                <w:color w:val="auto"/>
              </w:rPr>
              <w:t>3Q03</w:t>
            </w:r>
          </w:p>
        </w:tc>
        <w:tc>
          <w:tcPr>
            <w:tcW w:w="1360" w:type="dxa"/>
            <w:vAlign w:val="bottom"/>
          </w:tcPr>
          <w:p>
            <w:pPr>
              <w:jc w:val="right"/>
              <w:ind w:right="292"/>
              <w:spacing w:after="0"/>
              <w:rPr>
                <w:sz w:val="20"/>
                <w:szCs w:val="20"/>
                <w:color w:val="auto"/>
              </w:rPr>
            </w:pPr>
            <w:r>
              <w:rPr>
                <w:rFonts w:ascii="Arial" w:cs="Arial" w:eastAsia="Arial" w:hAnsi="Arial"/>
                <w:sz w:val="18"/>
                <w:szCs w:val="18"/>
                <w:color w:val="auto"/>
              </w:rPr>
              <w:t>2Q04</w:t>
            </w:r>
          </w:p>
        </w:tc>
        <w:tc>
          <w:tcPr>
            <w:tcW w:w="1360" w:type="dxa"/>
            <w:vAlign w:val="bottom"/>
          </w:tcPr>
          <w:p>
            <w:pPr>
              <w:jc w:val="right"/>
              <w:ind w:right="272"/>
              <w:spacing w:after="0"/>
              <w:rPr>
                <w:sz w:val="20"/>
                <w:szCs w:val="20"/>
                <w:color w:val="auto"/>
              </w:rPr>
            </w:pPr>
            <w:r>
              <w:rPr>
                <w:rFonts w:ascii="Arial" w:cs="Arial" w:eastAsia="Arial" w:hAnsi="Arial"/>
                <w:sz w:val="18"/>
                <w:szCs w:val="18"/>
                <w:color w:val="auto"/>
              </w:rPr>
              <w:t>3Q04</w:t>
            </w:r>
          </w:p>
        </w:tc>
        <w:tc>
          <w:tcPr>
            <w:tcW w:w="1360" w:type="dxa"/>
            <w:vAlign w:val="bottom"/>
          </w:tcPr>
          <w:p>
            <w:pPr>
              <w:jc w:val="right"/>
              <w:ind w:right="272"/>
              <w:spacing w:after="0"/>
              <w:rPr>
                <w:sz w:val="20"/>
                <w:szCs w:val="20"/>
                <w:color w:val="auto"/>
              </w:rPr>
            </w:pPr>
            <w:r>
              <w:rPr>
                <w:rFonts w:ascii="Arial" w:cs="Arial" w:eastAsia="Arial" w:hAnsi="Arial"/>
                <w:sz w:val="18"/>
                <w:szCs w:val="18"/>
                <w:color w:val="auto"/>
              </w:rPr>
              <w:t>9m03</w:t>
            </w:r>
          </w:p>
        </w:tc>
        <w:tc>
          <w:tcPr>
            <w:tcW w:w="1000" w:type="dxa"/>
            <w:vAlign w:val="bottom"/>
          </w:tcPr>
          <w:p>
            <w:pPr>
              <w:jc w:val="right"/>
              <w:spacing w:after="0"/>
              <w:rPr>
                <w:sz w:val="20"/>
                <w:szCs w:val="20"/>
                <w:color w:val="auto"/>
              </w:rPr>
            </w:pPr>
            <w:r>
              <w:rPr>
                <w:rFonts w:ascii="Arial" w:cs="Arial" w:eastAsia="Arial" w:hAnsi="Arial"/>
                <w:sz w:val="18"/>
                <w:szCs w:val="18"/>
                <w:color w:val="auto"/>
              </w:rPr>
              <w:t>9m04</w:t>
            </w:r>
          </w:p>
        </w:tc>
      </w:tr>
      <w:tr>
        <w:trPr>
          <w:trHeight w:val="110"/>
        </w:trPr>
        <w:tc>
          <w:tcPr>
            <w:tcW w:w="3580" w:type="dxa"/>
            <w:vAlign w:val="bottom"/>
            <w:tcBorders>
              <w:bottom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r>
      <w:tr>
        <w:trPr>
          <w:trHeight w:val="309"/>
        </w:trPr>
        <w:tc>
          <w:tcPr>
            <w:tcW w:w="3580" w:type="dxa"/>
            <w:vAlign w:val="bottom"/>
          </w:tcPr>
          <w:p>
            <w:pPr>
              <w:spacing w:after="0"/>
              <w:rPr>
                <w:sz w:val="20"/>
                <w:szCs w:val="20"/>
                <w:color w:val="auto"/>
              </w:rPr>
            </w:pPr>
            <w:r>
              <w:rPr>
                <w:rFonts w:ascii="Arial" w:cs="Arial" w:eastAsia="Arial" w:hAnsi="Arial"/>
                <w:sz w:val="18"/>
                <w:szCs w:val="18"/>
                <w:color w:val="auto"/>
              </w:rPr>
              <w:t>Banco de Crédito BCP(1)</w:t>
            </w:r>
          </w:p>
        </w:tc>
        <w:tc>
          <w:tcPr>
            <w:tcW w:w="2760" w:type="dxa"/>
            <w:vAlign w:val="bottom"/>
          </w:tcPr>
          <w:p>
            <w:pPr>
              <w:jc w:val="right"/>
              <w:ind w:right="292"/>
              <w:spacing w:after="0"/>
              <w:rPr>
                <w:sz w:val="20"/>
                <w:szCs w:val="20"/>
                <w:color w:val="auto"/>
              </w:rPr>
            </w:pPr>
            <w:r>
              <w:rPr>
                <w:rFonts w:ascii="Arial" w:cs="Arial" w:eastAsia="Arial" w:hAnsi="Arial"/>
                <w:sz w:val="18"/>
                <w:szCs w:val="18"/>
                <w:color w:val="auto"/>
              </w:rPr>
              <w:t>US$28.7</w:t>
            </w:r>
          </w:p>
        </w:tc>
        <w:tc>
          <w:tcPr>
            <w:tcW w:w="1360" w:type="dxa"/>
            <w:vAlign w:val="bottom"/>
          </w:tcPr>
          <w:p>
            <w:pPr>
              <w:jc w:val="right"/>
              <w:ind w:right="292"/>
              <w:spacing w:after="0"/>
              <w:rPr>
                <w:sz w:val="20"/>
                <w:szCs w:val="20"/>
                <w:color w:val="auto"/>
              </w:rPr>
            </w:pPr>
            <w:r>
              <w:rPr>
                <w:rFonts w:ascii="Arial" w:cs="Arial" w:eastAsia="Arial" w:hAnsi="Arial"/>
                <w:sz w:val="18"/>
                <w:szCs w:val="18"/>
                <w:color w:val="auto"/>
              </w:rPr>
              <w:t>US$27.4</w:t>
            </w:r>
          </w:p>
        </w:tc>
        <w:tc>
          <w:tcPr>
            <w:tcW w:w="1360" w:type="dxa"/>
            <w:vAlign w:val="bottom"/>
          </w:tcPr>
          <w:p>
            <w:pPr>
              <w:jc w:val="right"/>
              <w:ind w:right="272"/>
              <w:spacing w:after="0"/>
              <w:rPr>
                <w:sz w:val="20"/>
                <w:szCs w:val="20"/>
                <w:color w:val="auto"/>
              </w:rPr>
            </w:pPr>
            <w:r>
              <w:rPr>
                <w:rFonts w:ascii="Arial" w:cs="Arial" w:eastAsia="Arial" w:hAnsi="Arial"/>
                <w:sz w:val="18"/>
                <w:szCs w:val="18"/>
                <w:color w:val="auto"/>
              </w:rPr>
              <w:t>US$32.0</w:t>
            </w:r>
          </w:p>
        </w:tc>
        <w:tc>
          <w:tcPr>
            <w:tcW w:w="1360" w:type="dxa"/>
            <w:vAlign w:val="bottom"/>
          </w:tcPr>
          <w:p>
            <w:pPr>
              <w:jc w:val="right"/>
              <w:ind w:right="272"/>
              <w:spacing w:after="0"/>
              <w:rPr>
                <w:sz w:val="20"/>
                <w:szCs w:val="20"/>
                <w:color w:val="auto"/>
              </w:rPr>
            </w:pPr>
            <w:r>
              <w:rPr>
                <w:rFonts w:ascii="Arial" w:cs="Arial" w:eastAsia="Arial" w:hAnsi="Arial"/>
                <w:sz w:val="18"/>
                <w:szCs w:val="18"/>
                <w:color w:val="auto"/>
              </w:rPr>
              <w:t>US$63.8</w:t>
            </w:r>
          </w:p>
        </w:tc>
        <w:tc>
          <w:tcPr>
            <w:tcW w:w="1000" w:type="dxa"/>
            <w:vAlign w:val="bottom"/>
          </w:tcPr>
          <w:p>
            <w:pPr>
              <w:jc w:val="right"/>
              <w:spacing w:after="0"/>
              <w:rPr>
                <w:sz w:val="20"/>
                <w:szCs w:val="20"/>
                <w:color w:val="auto"/>
              </w:rPr>
            </w:pPr>
            <w:r>
              <w:rPr>
                <w:rFonts w:ascii="Arial" w:cs="Arial" w:eastAsia="Arial" w:hAnsi="Arial"/>
                <w:sz w:val="18"/>
                <w:szCs w:val="18"/>
                <w:color w:val="auto"/>
              </w:rPr>
              <w:t>US$85.3</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Atlantic</w:t>
            </w:r>
          </w:p>
        </w:tc>
        <w:tc>
          <w:tcPr>
            <w:tcW w:w="2760" w:type="dxa"/>
            <w:vAlign w:val="bottom"/>
          </w:tcPr>
          <w:p>
            <w:pPr>
              <w:jc w:val="right"/>
              <w:ind w:right="292"/>
              <w:spacing w:after="0"/>
              <w:rPr>
                <w:sz w:val="20"/>
                <w:szCs w:val="20"/>
                <w:color w:val="auto"/>
              </w:rPr>
            </w:pPr>
            <w:r>
              <w:rPr>
                <w:rFonts w:ascii="Arial" w:cs="Arial" w:eastAsia="Arial" w:hAnsi="Arial"/>
                <w:sz w:val="18"/>
                <w:szCs w:val="18"/>
                <w:color w:val="auto"/>
              </w:rPr>
              <w:t>2.5</w:t>
            </w:r>
          </w:p>
        </w:tc>
        <w:tc>
          <w:tcPr>
            <w:tcW w:w="1360" w:type="dxa"/>
            <w:vAlign w:val="bottom"/>
          </w:tcPr>
          <w:p>
            <w:pPr>
              <w:jc w:val="right"/>
              <w:ind w:right="292"/>
              <w:spacing w:after="0"/>
              <w:rPr>
                <w:sz w:val="20"/>
                <w:szCs w:val="20"/>
                <w:color w:val="auto"/>
              </w:rPr>
            </w:pPr>
            <w:r>
              <w:rPr>
                <w:rFonts w:ascii="Arial" w:cs="Arial" w:eastAsia="Arial" w:hAnsi="Arial"/>
                <w:sz w:val="18"/>
                <w:szCs w:val="18"/>
                <w:color w:val="auto"/>
              </w:rPr>
              <w:t>3.6</w:t>
            </w:r>
          </w:p>
        </w:tc>
        <w:tc>
          <w:tcPr>
            <w:tcW w:w="1360" w:type="dxa"/>
            <w:vAlign w:val="bottom"/>
          </w:tcPr>
          <w:p>
            <w:pPr>
              <w:jc w:val="right"/>
              <w:ind w:right="272"/>
              <w:spacing w:after="0"/>
              <w:rPr>
                <w:sz w:val="20"/>
                <w:szCs w:val="20"/>
                <w:color w:val="auto"/>
              </w:rPr>
            </w:pPr>
            <w:r>
              <w:rPr>
                <w:rFonts w:ascii="Arial" w:cs="Arial" w:eastAsia="Arial" w:hAnsi="Arial"/>
                <w:sz w:val="18"/>
                <w:szCs w:val="18"/>
                <w:color w:val="auto"/>
              </w:rPr>
              <w:t>2.8</w:t>
            </w:r>
          </w:p>
        </w:tc>
        <w:tc>
          <w:tcPr>
            <w:tcW w:w="1360" w:type="dxa"/>
            <w:vAlign w:val="bottom"/>
          </w:tcPr>
          <w:p>
            <w:pPr>
              <w:jc w:val="right"/>
              <w:ind w:right="272"/>
              <w:spacing w:after="0"/>
              <w:rPr>
                <w:sz w:val="20"/>
                <w:szCs w:val="20"/>
                <w:color w:val="auto"/>
              </w:rPr>
            </w:pPr>
            <w:r>
              <w:rPr>
                <w:rFonts w:ascii="Arial" w:cs="Arial" w:eastAsia="Arial" w:hAnsi="Arial"/>
                <w:sz w:val="18"/>
                <w:szCs w:val="18"/>
                <w:color w:val="auto"/>
              </w:rPr>
              <w:t>4.7</w:t>
            </w:r>
          </w:p>
        </w:tc>
        <w:tc>
          <w:tcPr>
            <w:tcW w:w="10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PPS</w:t>
            </w:r>
          </w:p>
        </w:tc>
        <w:tc>
          <w:tcPr>
            <w:tcW w:w="2760" w:type="dxa"/>
            <w:vAlign w:val="bottom"/>
          </w:tcPr>
          <w:p>
            <w:pPr>
              <w:jc w:val="right"/>
              <w:ind w:right="292"/>
              <w:spacing w:after="0"/>
              <w:rPr>
                <w:sz w:val="20"/>
                <w:szCs w:val="20"/>
                <w:color w:val="auto"/>
              </w:rPr>
            </w:pPr>
            <w:r>
              <w:rPr>
                <w:rFonts w:ascii="Arial" w:cs="Arial" w:eastAsia="Arial" w:hAnsi="Arial"/>
                <w:sz w:val="18"/>
                <w:szCs w:val="18"/>
                <w:color w:val="auto"/>
              </w:rPr>
              <w:t>0.1</w:t>
            </w:r>
          </w:p>
        </w:tc>
        <w:tc>
          <w:tcPr>
            <w:tcW w:w="1360" w:type="dxa"/>
            <w:vAlign w:val="bottom"/>
          </w:tcPr>
          <w:p>
            <w:pPr>
              <w:jc w:val="right"/>
              <w:ind w:right="292"/>
              <w:spacing w:after="0"/>
              <w:rPr>
                <w:sz w:val="20"/>
                <w:szCs w:val="20"/>
                <w:color w:val="auto"/>
              </w:rPr>
            </w:pPr>
            <w:r>
              <w:rPr>
                <w:rFonts w:ascii="Arial" w:cs="Arial" w:eastAsia="Arial" w:hAnsi="Arial"/>
                <w:sz w:val="18"/>
                <w:szCs w:val="18"/>
                <w:color w:val="auto"/>
              </w:rPr>
              <w:t>1.9</w:t>
            </w:r>
          </w:p>
        </w:tc>
        <w:tc>
          <w:tcPr>
            <w:tcW w:w="1360" w:type="dxa"/>
            <w:vAlign w:val="bottom"/>
          </w:tcPr>
          <w:p>
            <w:pPr>
              <w:jc w:val="right"/>
              <w:ind w:right="272"/>
              <w:spacing w:after="0"/>
              <w:rPr>
                <w:sz w:val="20"/>
                <w:szCs w:val="20"/>
                <w:color w:val="auto"/>
              </w:rPr>
            </w:pPr>
            <w:r>
              <w:rPr>
                <w:rFonts w:ascii="Arial" w:cs="Arial" w:eastAsia="Arial" w:hAnsi="Arial"/>
                <w:sz w:val="18"/>
                <w:szCs w:val="18"/>
                <w:color w:val="auto"/>
              </w:rPr>
              <w:t>3.0</w:t>
            </w:r>
          </w:p>
        </w:tc>
        <w:tc>
          <w:tcPr>
            <w:tcW w:w="1360" w:type="dxa"/>
            <w:vAlign w:val="bottom"/>
          </w:tcPr>
          <w:p>
            <w:pPr>
              <w:jc w:val="right"/>
              <w:ind w:right="272"/>
              <w:spacing w:after="0"/>
              <w:rPr>
                <w:sz w:val="20"/>
                <w:szCs w:val="20"/>
                <w:color w:val="auto"/>
              </w:rPr>
            </w:pPr>
            <w:r>
              <w:rPr>
                <w:rFonts w:ascii="Arial" w:cs="Arial" w:eastAsia="Arial" w:hAnsi="Arial"/>
                <w:sz w:val="18"/>
                <w:szCs w:val="18"/>
                <w:color w:val="auto"/>
              </w:rPr>
              <w:t>6.9</w:t>
            </w: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Banco Tequendama</w:t>
            </w:r>
          </w:p>
        </w:tc>
        <w:tc>
          <w:tcPr>
            <w:tcW w:w="2760" w:type="dxa"/>
            <w:vAlign w:val="bottom"/>
          </w:tcPr>
          <w:p>
            <w:pPr>
              <w:jc w:val="right"/>
              <w:ind w:right="292"/>
              <w:spacing w:after="0"/>
              <w:rPr>
                <w:sz w:val="20"/>
                <w:szCs w:val="20"/>
                <w:color w:val="auto"/>
              </w:rPr>
            </w:pPr>
            <w:r>
              <w:rPr>
                <w:rFonts w:ascii="Arial" w:cs="Arial" w:eastAsia="Arial" w:hAnsi="Arial"/>
                <w:sz w:val="18"/>
                <w:szCs w:val="18"/>
                <w:color w:val="auto"/>
              </w:rPr>
              <w:t>-0.2</w:t>
            </w:r>
          </w:p>
        </w:tc>
        <w:tc>
          <w:tcPr>
            <w:tcW w:w="1360" w:type="dxa"/>
            <w:vAlign w:val="bottom"/>
          </w:tcPr>
          <w:p>
            <w:pPr>
              <w:jc w:val="right"/>
              <w:ind w:right="292"/>
              <w:spacing w:after="0"/>
              <w:rPr>
                <w:sz w:val="20"/>
                <w:szCs w:val="20"/>
                <w:color w:val="auto"/>
              </w:rPr>
            </w:pPr>
            <w:r>
              <w:rPr>
                <w:rFonts w:ascii="Arial" w:cs="Arial" w:eastAsia="Arial" w:hAnsi="Arial"/>
                <w:sz w:val="18"/>
                <w:szCs w:val="18"/>
                <w:color w:val="auto"/>
              </w:rPr>
              <w:t>0.4</w:t>
            </w:r>
          </w:p>
        </w:tc>
        <w:tc>
          <w:tcPr>
            <w:tcW w:w="1360" w:type="dxa"/>
            <w:vAlign w:val="bottom"/>
          </w:tcPr>
          <w:p>
            <w:pPr>
              <w:jc w:val="right"/>
              <w:ind w:right="272"/>
              <w:spacing w:after="0"/>
              <w:rPr>
                <w:sz w:val="20"/>
                <w:szCs w:val="20"/>
                <w:color w:val="auto"/>
              </w:rPr>
            </w:pPr>
            <w:r>
              <w:rPr>
                <w:rFonts w:ascii="Arial" w:cs="Arial" w:eastAsia="Arial" w:hAnsi="Arial"/>
                <w:sz w:val="18"/>
                <w:szCs w:val="18"/>
                <w:color w:val="auto"/>
              </w:rPr>
              <w:t>0.9</w:t>
            </w:r>
          </w:p>
        </w:tc>
        <w:tc>
          <w:tcPr>
            <w:tcW w:w="1360" w:type="dxa"/>
            <w:vAlign w:val="bottom"/>
          </w:tcPr>
          <w:p>
            <w:pPr>
              <w:jc w:val="right"/>
              <w:ind w:right="272"/>
              <w:spacing w:after="0"/>
              <w:rPr>
                <w:sz w:val="20"/>
                <w:szCs w:val="20"/>
                <w:color w:val="auto"/>
              </w:rPr>
            </w:pPr>
            <w:r>
              <w:rPr>
                <w:rFonts w:ascii="Arial" w:cs="Arial" w:eastAsia="Arial" w:hAnsi="Arial"/>
                <w:sz w:val="18"/>
                <w:szCs w:val="18"/>
                <w:color w:val="auto"/>
              </w:rPr>
              <w:t>-0.4</w:t>
            </w: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Credicorp and others (2)</w:t>
            </w:r>
          </w:p>
        </w:tc>
        <w:tc>
          <w:tcPr>
            <w:tcW w:w="2760" w:type="dxa"/>
            <w:vAlign w:val="bottom"/>
          </w:tcPr>
          <w:p>
            <w:pPr>
              <w:jc w:val="right"/>
              <w:ind w:right="292"/>
              <w:spacing w:after="0"/>
              <w:rPr>
                <w:sz w:val="20"/>
                <w:szCs w:val="20"/>
                <w:color w:val="auto"/>
              </w:rPr>
            </w:pPr>
            <w:r>
              <w:rPr>
                <w:rFonts w:ascii="Arial" w:cs="Arial" w:eastAsia="Arial" w:hAnsi="Arial"/>
                <w:sz w:val="18"/>
                <w:szCs w:val="18"/>
                <w:color w:val="auto"/>
              </w:rPr>
              <w:t>-5.1</w:t>
            </w:r>
          </w:p>
        </w:tc>
        <w:tc>
          <w:tcPr>
            <w:tcW w:w="1360" w:type="dxa"/>
            <w:vAlign w:val="bottom"/>
          </w:tcPr>
          <w:p>
            <w:pPr>
              <w:jc w:val="right"/>
              <w:ind w:right="292"/>
              <w:spacing w:after="0"/>
              <w:rPr>
                <w:sz w:val="20"/>
                <w:szCs w:val="20"/>
                <w:color w:val="auto"/>
              </w:rPr>
            </w:pPr>
            <w:r>
              <w:rPr>
                <w:rFonts w:ascii="Arial" w:cs="Arial" w:eastAsia="Arial" w:hAnsi="Arial"/>
                <w:sz w:val="18"/>
                <w:szCs w:val="18"/>
                <w:color w:val="auto"/>
              </w:rPr>
              <w:t>-0.4</w:t>
            </w:r>
          </w:p>
        </w:tc>
        <w:tc>
          <w:tcPr>
            <w:tcW w:w="1360" w:type="dxa"/>
            <w:vAlign w:val="bottom"/>
          </w:tcPr>
          <w:p>
            <w:pPr>
              <w:jc w:val="right"/>
              <w:ind w:right="272"/>
              <w:spacing w:after="0"/>
              <w:rPr>
                <w:sz w:val="20"/>
                <w:szCs w:val="20"/>
                <w:color w:val="auto"/>
              </w:rPr>
            </w:pPr>
            <w:r>
              <w:rPr>
                <w:rFonts w:ascii="Arial" w:cs="Arial" w:eastAsia="Arial" w:hAnsi="Arial"/>
                <w:sz w:val="18"/>
                <w:szCs w:val="18"/>
                <w:color w:val="auto"/>
              </w:rPr>
              <w:t>-5.8</w:t>
            </w:r>
          </w:p>
        </w:tc>
        <w:tc>
          <w:tcPr>
            <w:tcW w:w="1360" w:type="dxa"/>
            <w:vAlign w:val="bottom"/>
          </w:tcPr>
          <w:p>
            <w:pPr>
              <w:jc w:val="right"/>
              <w:ind w:right="272"/>
              <w:spacing w:after="0"/>
              <w:rPr>
                <w:sz w:val="20"/>
                <w:szCs w:val="20"/>
                <w:color w:val="auto"/>
              </w:rPr>
            </w:pPr>
            <w:r>
              <w:rPr>
                <w:rFonts w:ascii="Arial" w:cs="Arial" w:eastAsia="Arial" w:hAnsi="Arial"/>
                <w:sz w:val="18"/>
                <w:szCs w:val="18"/>
                <w:color w:val="auto"/>
              </w:rPr>
              <w:t>-18.2</w:t>
            </w:r>
          </w:p>
        </w:tc>
        <w:tc>
          <w:tcPr>
            <w:tcW w:w="10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2"/>
        </w:trPr>
        <w:tc>
          <w:tcPr>
            <w:tcW w:w="3580" w:type="dxa"/>
            <w:vAlign w:val="bottom"/>
          </w:tcPr>
          <w:p>
            <w:pPr>
              <w:spacing w:after="0"/>
              <w:rPr>
                <w:sz w:val="20"/>
                <w:szCs w:val="20"/>
                <w:color w:val="auto"/>
              </w:rPr>
            </w:pPr>
            <w:r>
              <w:rPr>
                <w:rFonts w:ascii="Arial" w:cs="Arial" w:eastAsia="Arial" w:hAnsi="Arial"/>
                <w:sz w:val="18"/>
                <w:szCs w:val="18"/>
                <w:color w:val="auto"/>
              </w:rPr>
              <w:t>Net Income</w:t>
            </w:r>
          </w:p>
        </w:tc>
        <w:tc>
          <w:tcPr>
            <w:tcW w:w="2760" w:type="dxa"/>
            <w:vAlign w:val="bottom"/>
          </w:tcPr>
          <w:p>
            <w:pPr>
              <w:jc w:val="right"/>
              <w:ind w:right="292"/>
              <w:spacing w:after="0"/>
              <w:rPr>
                <w:sz w:val="20"/>
                <w:szCs w:val="20"/>
                <w:color w:val="auto"/>
              </w:rPr>
            </w:pPr>
            <w:r>
              <w:rPr>
                <w:rFonts w:ascii="Arial" w:cs="Arial" w:eastAsia="Arial" w:hAnsi="Arial"/>
                <w:sz w:val="18"/>
                <w:szCs w:val="18"/>
                <w:color w:val="auto"/>
              </w:rPr>
              <w:t>US$26.0</w:t>
            </w:r>
          </w:p>
        </w:tc>
        <w:tc>
          <w:tcPr>
            <w:tcW w:w="1360" w:type="dxa"/>
            <w:vAlign w:val="bottom"/>
          </w:tcPr>
          <w:p>
            <w:pPr>
              <w:jc w:val="right"/>
              <w:ind w:right="292"/>
              <w:spacing w:after="0"/>
              <w:rPr>
                <w:sz w:val="20"/>
                <w:szCs w:val="20"/>
                <w:color w:val="auto"/>
              </w:rPr>
            </w:pPr>
            <w:r>
              <w:rPr>
                <w:rFonts w:ascii="Arial" w:cs="Arial" w:eastAsia="Arial" w:hAnsi="Arial"/>
                <w:sz w:val="18"/>
                <w:szCs w:val="18"/>
                <w:color w:val="auto"/>
              </w:rPr>
              <w:t>US$32.9</w:t>
            </w:r>
          </w:p>
        </w:tc>
        <w:tc>
          <w:tcPr>
            <w:tcW w:w="1360" w:type="dxa"/>
            <w:vAlign w:val="bottom"/>
          </w:tcPr>
          <w:p>
            <w:pPr>
              <w:jc w:val="right"/>
              <w:ind w:right="272"/>
              <w:spacing w:after="0"/>
              <w:rPr>
                <w:sz w:val="20"/>
                <w:szCs w:val="20"/>
                <w:color w:val="auto"/>
              </w:rPr>
            </w:pPr>
            <w:r>
              <w:rPr>
                <w:rFonts w:ascii="Arial" w:cs="Arial" w:eastAsia="Arial" w:hAnsi="Arial"/>
                <w:sz w:val="18"/>
                <w:szCs w:val="18"/>
                <w:color w:val="auto"/>
              </w:rPr>
              <w:t>US$32.9</w:t>
            </w:r>
          </w:p>
        </w:tc>
        <w:tc>
          <w:tcPr>
            <w:tcW w:w="1360" w:type="dxa"/>
            <w:vAlign w:val="bottom"/>
          </w:tcPr>
          <w:p>
            <w:pPr>
              <w:jc w:val="right"/>
              <w:ind w:right="272"/>
              <w:spacing w:after="0"/>
              <w:rPr>
                <w:sz w:val="20"/>
                <w:szCs w:val="20"/>
                <w:color w:val="auto"/>
              </w:rPr>
            </w:pPr>
            <w:r>
              <w:rPr>
                <w:rFonts w:ascii="Arial" w:cs="Arial" w:eastAsia="Arial" w:hAnsi="Arial"/>
                <w:sz w:val="18"/>
                <w:szCs w:val="18"/>
                <w:color w:val="auto"/>
              </w:rPr>
              <w:t>US$56.8</w:t>
            </w:r>
          </w:p>
        </w:tc>
        <w:tc>
          <w:tcPr>
            <w:tcW w:w="1000" w:type="dxa"/>
            <w:vAlign w:val="bottom"/>
          </w:tcPr>
          <w:p>
            <w:pPr>
              <w:jc w:val="right"/>
              <w:spacing w:after="0"/>
              <w:rPr>
                <w:sz w:val="20"/>
                <w:szCs w:val="20"/>
                <w:color w:val="auto"/>
              </w:rPr>
            </w:pPr>
            <w:r>
              <w:rPr>
                <w:rFonts w:ascii="Arial" w:cs="Arial" w:eastAsia="Arial" w:hAnsi="Arial"/>
                <w:sz w:val="18"/>
                <w:szCs w:val="18"/>
                <w:color w:val="auto"/>
              </w:rPr>
              <w:t>US$95.9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Banco de Crédito de Bolivia.</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Inversiones Crédito, Credicorp Securities and others.</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third quarter of 2004, the Credicorp and others concept contributed a loss of US$5.8 million, which includes a US$3.5 million provision for substandard loans transferred from Banco Tequendama, and a US$1.0 million charge for investments and contingencies reserves. The US$5.1 million loss contribution in the third quarter of 2003 included a US$2.0 million charge for investments and contingencies reserves and a US$2.0 million provision for substandard loans transferred from Banco Tequendama.</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Banco de Crédito BCP contributed US$32.0 million to Credicorp’s net income in third quarter 2004, above its results according to Peruvian accounting principles reported in Section II, which amounted to US$20.9 million. The difference is mainly due to the loss on inflation exposure in local books while a lower translation loss was registered by Credicorp. Credicorp’s Dollar-based accounting shows a US$0.8 million translation loss, compared to a US$16.0 million loss in BCP’s local records, which resulted from inflation adjustment losses and losses on foreign currency positions caused by the Nuevo Sol appreciation against the Dollar. Additionally, Credicorp registered a minority interest elimination amounting to approximately US$1.3 million.</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contribution of Atlantic Security Holding Corporation of US$2.8 million in the current quarter is equal to net income shown in its books (see Section III). Cumulative through September 2004, Atlantic received US$5.8 million in dividends from Credicorp, with its net income reaching US$15.1 million, compared to a contribution of US$9.3 million. In the year-ago third quarter no dividend was received from Credicorp and there was no difference between the contributed net income and profits in Atlantic’s books.</w:t>
      </w:r>
    </w:p>
    <w:p>
      <w:pPr>
        <w:spacing w:after="0" w:line="19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third quarter 2004, Credicorp received a US$3.0 million profit contribution from Pacífico Peruano Suiza, lower than the consolidated net income of US$3.8 million in its local Peruvian GAAP books (See Section IV), mainly because Credicorp’s records register minority interest deductions.</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Banco Tequendama contributed net income of US$0.9 million in the third quarter of 2004, compared to a US$0.2 million loss in the prior year quarter. These contributed amounts do not include provision expense incurred by Credicorp as mentioned above.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I.1 INTEREST INCOME AND OTHER INCOME</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Note: For comparison purposes, in periods prior to 2004, certain financial revenue items registered by insurance subsidiaries have been retroactively reclassified from the Other non-financial income concept into the Interest Income concept, with no effect on either net income nor total revenue.</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interest income in the third quarter of 2004 was US$94.2 million, lower than US$95.5 million earned in the same period of 2003, mostly due to a decrease in interest margins, partly offset with slightly higher interest earning assets.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interest margin (net interest income over average interest earning assets), on an annualized basis, was 5.23% during the third quarter of 2004, lower than 5.61% in the year-ago quarter, and also decreased from 5.31% in the preceding second quarter of 2004. During the current quarter both loan rates and funding costs increased slightly, within a continuing overall excess of liquid funds.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volume of interest earning assets, as an average of quarter-end balances, reached US$7,199 million in this quarter, increasing 5.7% compared to US$6,809 million in the third quarter of 2003.</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Non-interest income was US$133.3 million in the third quarter of 2004, 33.5% higher than US$99.8 million in the same period of 2003. This significant increase is explained by Novasalud EPS transactions made from March 2004 through September 2004, registered in the current quarter as its merger with Pacífico Salud process finished. Due to this effect Premiums and health fees reached US$64.4 million in this quarter, 90.2% over third quarter 2003. Likewise, Claims and health costs grew to US$48.6 million, 96.7% higher compared to the 2003 quarter.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Non-interest income components and Claims and health costs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ind w:left="5060"/>
              <w:spacing w:after="0"/>
              <w:rPr>
                <w:sz w:val="20"/>
                <w:szCs w:val="20"/>
                <w:color w:val="auto"/>
              </w:rPr>
            </w:pPr>
            <w:r>
              <w:rPr>
                <w:rFonts w:ascii="Arial" w:cs="Arial" w:eastAsia="Arial" w:hAnsi="Arial"/>
                <w:sz w:val="18"/>
                <w:szCs w:val="18"/>
                <w:color w:val="auto"/>
              </w:rPr>
              <w:t>3Q03</w:t>
            </w:r>
          </w:p>
        </w:tc>
        <w:tc>
          <w:tcPr>
            <w:tcW w:w="640" w:type="dxa"/>
            <w:vAlign w:val="bottom"/>
          </w:tcPr>
          <w:p>
            <w:pPr>
              <w:spacing w:after="0"/>
              <w:rPr>
                <w:sz w:val="18"/>
                <w:szCs w:val="18"/>
                <w:color w:val="auto"/>
              </w:rPr>
            </w:pPr>
          </w:p>
        </w:tc>
        <w:tc>
          <w:tcPr>
            <w:tcW w:w="1360" w:type="dxa"/>
            <w:vAlign w:val="bottom"/>
          </w:tcPr>
          <w:p>
            <w:pPr>
              <w:jc w:val="right"/>
              <w:ind w:right="652"/>
              <w:spacing w:after="0"/>
              <w:rPr>
                <w:sz w:val="20"/>
                <w:szCs w:val="20"/>
                <w:color w:val="auto"/>
              </w:rPr>
            </w:pPr>
            <w:r>
              <w:rPr>
                <w:rFonts w:ascii="Arial" w:cs="Arial" w:eastAsia="Arial" w:hAnsi="Arial"/>
                <w:sz w:val="18"/>
                <w:szCs w:val="18"/>
                <w:color w:val="auto"/>
              </w:rPr>
              <w:t>2Q04</w:t>
            </w:r>
          </w:p>
        </w:tc>
        <w:tc>
          <w:tcPr>
            <w:tcW w:w="1300" w:type="dxa"/>
            <w:vAlign w:val="bottom"/>
          </w:tcPr>
          <w:p>
            <w:pPr>
              <w:jc w:val="right"/>
              <w:ind w:right="592"/>
              <w:spacing w:after="0"/>
              <w:rPr>
                <w:sz w:val="20"/>
                <w:szCs w:val="20"/>
                <w:color w:val="auto"/>
              </w:rPr>
            </w:pPr>
            <w:r>
              <w:rPr>
                <w:rFonts w:ascii="Arial" w:cs="Arial" w:eastAsia="Arial" w:hAnsi="Arial"/>
                <w:sz w:val="18"/>
                <w:szCs w:val="18"/>
                <w:color w:val="auto"/>
              </w:rPr>
              <w:t>3Q04</w:t>
            </w:r>
          </w:p>
        </w:tc>
        <w:tc>
          <w:tcPr>
            <w:tcW w:w="1360" w:type="dxa"/>
            <w:vAlign w:val="bottom"/>
          </w:tcPr>
          <w:p>
            <w:pPr>
              <w:jc w:val="right"/>
              <w:ind w:right="472"/>
              <w:spacing w:after="0"/>
              <w:rPr>
                <w:sz w:val="20"/>
                <w:szCs w:val="20"/>
                <w:color w:val="auto"/>
              </w:rPr>
            </w:pPr>
            <w:r>
              <w:rPr>
                <w:rFonts w:ascii="Arial" w:cs="Arial" w:eastAsia="Arial" w:hAnsi="Arial"/>
                <w:sz w:val="18"/>
                <w:szCs w:val="18"/>
                <w:color w:val="auto"/>
              </w:rPr>
              <w:t>3Q04 vs.</w:t>
            </w:r>
          </w:p>
        </w:tc>
        <w:tc>
          <w:tcPr>
            <w:tcW w:w="1200" w:type="dxa"/>
            <w:vAlign w:val="bottom"/>
          </w:tcPr>
          <w:p>
            <w:pPr>
              <w:jc w:val="right"/>
              <w:ind w:right="292"/>
              <w:spacing w:after="0"/>
              <w:rPr>
                <w:sz w:val="20"/>
                <w:szCs w:val="20"/>
                <w:color w:val="auto"/>
              </w:rPr>
            </w:pPr>
            <w:r>
              <w:rPr>
                <w:rFonts w:ascii="Arial" w:cs="Arial" w:eastAsia="Arial" w:hAnsi="Arial"/>
                <w:sz w:val="18"/>
                <w:szCs w:val="18"/>
                <w:color w:val="auto"/>
              </w:rPr>
              <w:t>3Q04 vs.</w:t>
            </w:r>
          </w:p>
        </w:tc>
      </w:tr>
      <w:tr>
        <w:trPr>
          <w:trHeight w:val="222"/>
        </w:trPr>
        <w:tc>
          <w:tcPr>
            <w:tcW w:w="5560" w:type="dxa"/>
            <w:vAlign w:val="bottom"/>
          </w:tcPr>
          <w:p>
            <w:pPr>
              <w:spacing w:after="0"/>
              <w:rPr>
                <w:sz w:val="20"/>
                <w:szCs w:val="20"/>
                <w:color w:val="auto"/>
              </w:rPr>
            </w:pPr>
            <w:r>
              <w:rPr>
                <w:rFonts w:ascii="Arial" w:cs="Arial" w:eastAsia="Arial" w:hAnsi="Arial"/>
                <w:sz w:val="18"/>
                <w:szCs w:val="18"/>
                <w:color w:val="auto"/>
              </w:rPr>
              <w:t>(In US$Mn)</w:t>
            </w:r>
          </w:p>
        </w:tc>
        <w:tc>
          <w:tcPr>
            <w:tcW w:w="6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60" w:type="dxa"/>
            <w:vAlign w:val="bottom"/>
          </w:tcPr>
          <w:p>
            <w:pPr>
              <w:jc w:val="right"/>
              <w:ind w:right="592"/>
              <w:spacing w:after="0"/>
              <w:rPr>
                <w:sz w:val="20"/>
                <w:szCs w:val="20"/>
                <w:color w:val="auto"/>
              </w:rPr>
            </w:pPr>
            <w:r>
              <w:rPr>
                <w:rFonts w:ascii="Arial" w:cs="Arial" w:eastAsia="Arial" w:hAnsi="Arial"/>
                <w:sz w:val="18"/>
                <w:szCs w:val="18"/>
                <w:color w:val="auto"/>
              </w:rPr>
              <w:t>2Q04</w:t>
            </w:r>
          </w:p>
        </w:tc>
        <w:tc>
          <w:tcPr>
            <w:tcW w:w="1200" w:type="dxa"/>
            <w:vAlign w:val="bottom"/>
          </w:tcPr>
          <w:p>
            <w:pPr>
              <w:jc w:val="right"/>
              <w:ind w:right="412"/>
              <w:spacing w:after="0"/>
              <w:rPr>
                <w:sz w:val="20"/>
                <w:szCs w:val="20"/>
                <w:color w:val="auto"/>
              </w:rPr>
            </w:pPr>
            <w:r>
              <w:rPr>
                <w:rFonts w:ascii="Arial" w:cs="Arial" w:eastAsia="Arial" w:hAnsi="Arial"/>
                <w:sz w:val="18"/>
                <w:szCs w:val="18"/>
                <w:color w:val="auto"/>
              </w:rPr>
              <w:t>3Q03</w:t>
            </w:r>
          </w:p>
        </w:tc>
      </w:tr>
      <w:tr>
        <w:trPr>
          <w:trHeight w:val="110"/>
        </w:trPr>
        <w:tc>
          <w:tcPr>
            <w:tcW w:w="55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r>
      <w:tr>
        <w:trPr>
          <w:trHeight w:val="309"/>
        </w:trPr>
        <w:tc>
          <w:tcPr>
            <w:tcW w:w="5560" w:type="dxa"/>
            <w:vAlign w:val="bottom"/>
          </w:tcPr>
          <w:p>
            <w:pPr>
              <w:spacing w:after="0"/>
              <w:rPr>
                <w:sz w:val="20"/>
                <w:szCs w:val="20"/>
                <w:color w:val="auto"/>
              </w:rPr>
            </w:pPr>
            <w:r>
              <w:rPr>
                <w:rFonts w:ascii="Arial" w:cs="Arial" w:eastAsia="Arial" w:hAnsi="Arial"/>
                <w:sz w:val="18"/>
                <w:szCs w:val="18"/>
                <w:color w:val="auto"/>
              </w:rPr>
              <w:t>Commissions for banking services</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48.9</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49.4</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52.0</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5.3%</w:t>
            </w: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Net premiums and health fees</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33.8</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33.1</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64.4</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94.7%</w:t>
            </w:r>
          </w:p>
        </w:tc>
        <w:tc>
          <w:tcPr>
            <w:tcW w:w="1200" w:type="dxa"/>
            <w:vAlign w:val="bottom"/>
          </w:tcPr>
          <w:p>
            <w:pPr>
              <w:jc w:val="right"/>
              <w:spacing w:after="0"/>
              <w:rPr>
                <w:sz w:val="20"/>
                <w:szCs w:val="20"/>
                <w:color w:val="auto"/>
              </w:rPr>
            </w:pPr>
            <w:r>
              <w:rPr>
                <w:rFonts w:ascii="Arial" w:cs="Arial" w:eastAsia="Arial" w:hAnsi="Arial"/>
                <w:sz w:val="18"/>
                <w:szCs w:val="18"/>
                <w:color w:val="auto"/>
              </w:rPr>
              <w:t>90.2%</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Gains from sale of securities</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-2.6</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-3.4</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3.7</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N/A</w:t>
            </w:r>
          </w:p>
        </w:tc>
        <w:tc>
          <w:tcPr>
            <w:tcW w:w="12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Gains from foreign exchange</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5.4</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5.1</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6.6</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28.5%</w:t>
            </w:r>
          </w:p>
        </w:tc>
        <w:tc>
          <w:tcPr>
            <w:tcW w:w="120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Other non-interest income</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14.3</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12.7</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6.7</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-47.5%</w:t>
            </w:r>
          </w:p>
        </w:tc>
        <w:tc>
          <w:tcPr>
            <w:tcW w:w="1200" w:type="dxa"/>
            <w:vAlign w:val="bottom"/>
          </w:tcPr>
          <w:p>
            <w:pPr>
              <w:jc w:val="right"/>
              <w:spacing w:after="0"/>
              <w:rPr>
                <w:sz w:val="20"/>
                <w:szCs w:val="20"/>
                <w:color w:val="auto"/>
              </w:rPr>
            </w:pPr>
            <w:r>
              <w:rPr>
                <w:rFonts w:ascii="Arial" w:cs="Arial" w:eastAsia="Arial" w:hAnsi="Arial"/>
                <w:sz w:val="18"/>
                <w:szCs w:val="18"/>
                <w:color w:val="auto"/>
              </w:rPr>
              <w:t>-53.4%</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Total Non-Interest Income</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99.8</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96.8</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133.3</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37.7%</w:t>
            </w:r>
          </w:p>
        </w:tc>
        <w:tc>
          <w:tcPr>
            <w:tcW w:w="120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22"/>
        </w:trPr>
        <w:tc>
          <w:tcPr>
            <w:tcW w:w="5560" w:type="dxa"/>
            <w:vAlign w:val="bottom"/>
          </w:tcPr>
          <w:p>
            <w:pPr>
              <w:spacing w:after="0"/>
              <w:rPr>
                <w:sz w:val="20"/>
                <w:szCs w:val="20"/>
                <w:color w:val="auto"/>
              </w:rPr>
            </w:pPr>
            <w:r>
              <w:rPr>
                <w:rFonts w:ascii="Arial" w:cs="Arial" w:eastAsia="Arial" w:hAnsi="Arial"/>
                <w:sz w:val="18"/>
                <w:szCs w:val="18"/>
                <w:color w:val="auto"/>
              </w:rPr>
              <w:t>Claims and health costs</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24.7</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27.1</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48.6</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79.3%</w:t>
            </w:r>
          </w:p>
        </w:tc>
        <w:tc>
          <w:tcPr>
            <w:tcW w:w="1200" w:type="dxa"/>
            <w:vAlign w:val="bottom"/>
          </w:tcPr>
          <w:p>
            <w:pPr>
              <w:jc w:val="right"/>
              <w:spacing w:after="0"/>
              <w:rPr>
                <w:sz w:val="20"/>
                <w:szCs w:val="20"/>
                <w:color w:val="auto"/>
              </w:rPr>
            </w:pPr>
            <w:r>
              <w:rPr>
                <w:rFonts w:ascii="Arial" w:cs="Arial" w:eastAsia="Arial" w:hAnsi="Arial"/>
                <w:sz w:val="18"/>
                <w:szCs w:val="18"/>
                <w:color w:val="auto"/>
              </w:rPr>
              <w:t>96.7%</w:t>
            </w:r>
          </w:p>
        </w:tc>
      </w:tr>
      <w:tr>
        <w:trPr>
          <w:trHeight w:val="110"/>
        </w:trPr>
        <w:tc>
          <w:tcPr>
            <w:tcW w:w="55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I.2 OTHER NON-INTEREST EXPENSES</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Other non-interest expenses amounted to US$123.0 million in third quarter 2004, 19.8% over expenses in the same period of the previous year mainly due to the increase of the Other expenses, caption due to higher provisions for investments and foreclosed assets, mainly in Credicorp and BCP. Additionally, as mentioned above, prior period expenses by Novasalud affected other operating cost concepts. Credicorp’s other expense components had the following variations: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3"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5500" w:type="dxa"/>
            <w:vAlign w:val="bottom"/>
          </w:tcPr>
          <w:p>
            <w:pPr>
              <w:ind w:left="5060"/>
              <w:spacing w:after="0"/>
              <w:rPr>
                <w:sz w:val="20"/>
                <w:szCs w:val="20"/>
                <w:color w:val="auto"/>
              </w:rPr>
            </w:pPr>
            <w:r>
              <w:rPr>
                <w:rFonts w:ascii="Arial" w:cs="Arial" w:eastAsia="Arial" w:hAnsi="Arial"/>
                <w:sz w:val="18"/>
                <w:szCs w:val="18"/>
                <w:color w:val="auto"/>
                <w:w w:val="95"/>
              </w:rPr>
              <w:t>3Q03</w:t>
            </w:r>
          </w:p>
        </w:tc>
        <w:tc>
          <w:tcPr>
            <w:tcW w:w="700" w:type="dxa"/>
            <w:vAlign w:val="bottom"/>
          </w:tcPr>
          <w:p>
            <w:pPr>
              <w:spacing w:after="0"/>
              <w:rPr>
                <w:sz w:val="18"/>
                <w:szCs w:val="18"/>
                <w:color w:val="auto"/>
              </w:rPr>
            </w:pPr>
          </w:p>
        </w:tc>
        <w:tc>
          <w:tcPr>
            <w:tcW w:w="1360" w:type="dxa"/>
            <w:vAlign w:val="bottom"/>
          </w:tcPr>
          <w:p>
            <w:pPr>
              <w:jc w:val="right"/>
              <w:ind w:right="652"/>
              <w:spacing w:after="0"/>
              <w:rPr>
                <w:sz w:val="20"/>
                <w:szCs w:val="20"/>
                <w:color w:val="auto"/>
              </w:rPr>
            </w:pPr>
            <w:r>
              <w:rPr>
                <w:rFonts w:ascii="Arial" w:cs="Arial" w:eastAsia="Arial" w:hAnsi="Arial"/>
                <w:sz w:val="18"/>
                <w:szCs w:val="18"/>
                <w:color w:val="auto"/>
              </w:rPr>
              <w:t>2Q04</w:t>
            </w:r>
          </w:p>
        </w:tc>
        <w:tc>
          <w:tcPr>
            <w:tcW w:w="1300" w:type="dxa"/>
            <w:vAlign w:val="bottom"/>
          </w:tcPr>
          <w:p>
            <w:pPr>
              <w:jc w:val="right"/>
              <w:ind w:right="592"/>
              <w:spacing w:after="0"/>
              <w:rPr>
                <w:sz w:val="20"/>
                <w:szCs w:val="20"/>
                <w:color w:val="auto"/>
              </w:rPr>
            </w:pPr>
            <w:r>
              <w:rPr>
                <w:rFonts w:ascii="Arial" w:cs="Arial" w:eastAsia="Arial" w:hAnsi="Arial"/>
                <w:sz w:val="18"/>
                <w:szCs w:val="18"/>
                <w:color w:val="auto"/>
              </w:rPr>
              <w:t>3Q04</w:t>
            </w:r>
          </w:p>
        </w:tc>
        <w:tc>
          <w:tcPr>
            <w:tcW w:w="1360" w:type="dxa"/>
            <w:vAlign w:val="bottom"/>
          </w:tcPr>
          <w:p>
            <w:pPr>
              <w:jc w:val="right"/>
              <w:ind w:right="472"/>
              <w:spacing w:after="0"/>
              <w:rPr>
                <w:sz w:val="20"/>
                <w:szCs w:val="20"/>
                <w:color w:val="auto"/>
              </w:rPr>
            </w:pPr>
            <w:r>
              <w:rPr>
                <w:rFonts w:ascii="Arial" w:cs="Arial" w:eastAsia="Arial" w:hAnsi="Arial"/>
                <w:sz w:val="18"/>
                <w:szCs w:val="18"/>
                <w:color w:val="auto"/>
              </w:rPr>
              <w:t>3Q04 vs.</w:t>
            </w:r>
          </w:p>
        </w:tc>
        <w:tc>
          <w:tcPr>
            <w:tcW w:w="1200" w:type="dxa"/>
            <w:vAlign w:val="bottom"/>
          </w:tcPr>
          <w:p>
            <w:pPr>
              <w:jc w:val="right"/>
              <w:ind w:right="292"/>
              <w:spacing w:after="0"/>
              <w:rPr>
                <w:sz w:val="20"/>
                <w:szCs w:val="20"/>
                <w:color w:val="auto"/>
              </w:rPr>
            </w:pPr>
            <w:r>
              <w:rPr>
                <w:rFonts w:ascii="Arial" w:cs="Arial" w:eastAsia="Arial" w:hAnsi="Arial"/>
                <w:sz w:val="18"/>
                <w:szCs w:val="18"/>
                <w:color w:val="auto"/>
              </w:rPr>
              <w:t>3Q04 vs.</w:t>
            </w: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 change and US$Mn)</w:t>
            </w:r>
          </w:p>
        </w:tc>
        <w:tc>
          <w:tcPr>
            <w:tcW w:w="7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60" w:type="dxa"/>
            <w:vAlign w:val="bottom"/>
          </w:tcPr>
          <w:p>
            <w:pPr>
              <w:jc w:val="right"/>
              <w:ind w:right="592"/>
              <w:spacing w:after="0"/>
              <w:rPr>
                <w:sz w:val="20"/>
                <w:szCs w:val="20"/>
                <w:color w:val="auto"/>
              </w:rPr>
            </w:pPr>
            <w:r>
              <w:rPr>
                <w:rFonts w:ascii="Arial" w:cs="Arial" w:eastAsia="Arial" w:hAnsi="Arial"/>
                <w:sz w:val="18"/>
                <w:szCs w:val="18"/>
                <w:color w:val="auto"/>
              </w:rPr>
              <w:t>2Q04</w:t>
            </w:r>
          </w:p>
        </w:tc>
        <w:tc>
          <w:tcPr>
            <w:tcW w:w="1200" w:type="dxa"/>
            <w:vAlign w:val="bottom"/>
          </w:tcPr>
          <w:p>
            <w:pPr>
              <w:jc w:val="right"/>
              <w:ind w:right="412"/>
              <w:spacing w:after="0"/>
              <w:rPr>
                <w:sz w:val="20"/>
                <w:szCs w:val="20"/>
                <w:color w:val="auto"/>
              </w:rPr>
            </w:pPr>
            <w:r>
              <w:rPr>
                <w:rFonts w:ascii="Arial" w:cs="Arial" w:eastAsia="Arial" w:hAnsi="Arial"/>
                <w:sz w:val="18"/>
                <w:szCs w:val="18"/>
                <w:color w:val="auto"/>
              </w:rPr>
              <w:t>3Q03</w:t>
            </w:r>
          </w:p>
        </w:tc>
      </w:tr>
      <w:tr>
        <w:trPr>
          <w:trHeight w:val="110"/>
        </w:trPr>
        <w:tc>
          <w:tcPr>
            <w:tcW w:w="55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r>
      <w:tr>
        <w:trPr>
          <w:trHeight w:val="309"/>
        </w:trPr>
        <w:tc>
          <w:tcPr>
            <w:tcW w:w="550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44.8</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46.9</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50.0</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6.7%</w:t>
            </w:r>
          </w:p>
        </w:tc>
        <w:tc>
          <w:tcPr>
            <w:tcW w:w="12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General, administrative, and taxes</w:t>
            </w: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34.5</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34.9</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37.2</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6.6%</w:t>
            </w:r>
          </w:p>
        </w:tc>
        <w:tc>
          <w:tcPr>
            <w:tcW w:w="12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12.0</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11.0</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12.3</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11.5%</w:t>
            </w: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Other</w:t>
            </w: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11.3</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13.5</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22.9</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70.0%</w:t>
            </w:r>
          </w:p>
        </w:tc>
        <w:tc>
          <w:tcPr>
            <w:tcW w:w="1200" w:type="dxa"/>
            <w:vAlign w:val="bottom"/>
          </w:tcPr>
          <w:p>
            <w:pPr>
              <w:jc w:val="right"/>
              <w:spacing w:after="0"/>
              <w:rPr>
                <w:sz w:val="20"/>
                <w:szCs w:val="20"/>
                <w:color w:val="auto"/>
              </w:rPr>
            </w:pPr>
            <w:r>
              <w:rPr>
                <w:rFonts w:ascii="Arial" w:cs="Arial" w:eastAsia="Arial" w:hAnsi="Arial"/>
                <w:sz w:val="18"/>
                <w:szCs w:val="18"/>
                <w:color w:val="auto"/>
              </w:rPr>
              <w:t>103.0%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Merger costs</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1.4</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0.5</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-60.9%</w:t>
            </w:r>
          </w:p>
        </w:tc>
        <w:tc>
          <w:tcPr>
            <w:tcW w:w="12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Total Other Expenses</w:t>
            </w:r>
          </w:p>
        </w:tc>
        <w:tc>
          <w:tcPr>
            <w:tcW w:w="700" w:type="dxa"/>
            <w:vAlign w:val="bottom"/>
          </w:tcPr>
          <w:p>
            <w:pPr>
              <w:jc w:val="right"/>
              <w:ind w:right="152"/>
              <w:spacing w:after="0"/>
              <w:rPr>
                <w:sz w:val="20"/>
                <w:szCs w:val="20"/>
                <w:color w:val="auto"/>
              </w:rPr>
            </w:pPr>
            <w:r>
              <w:rPr>
                <w:rFonts w:ascii="Arial" w:cs="Arial" w:eastAsia="Arial" w:hAnsi="Arial"/>
                <w:sz w:val="18"/>
                <w:szCs w:val="18"/>
                <w:color w:val="auto"/>
                <w:w w:val="97"/>
              </w:rPr>
              <w:t>102.7</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107.6</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123.0</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14.2%</w:t>
            </w:r>
          </w:p>
        </w:tc>
        <w:tc>
          <w:tcPr>
            <w:tcW w:w="120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110"/>
        </w:trPr>
        <w:tc>
          <w:tcPr>
            <w:tcW w:w="55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r>
    </w:tbl>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efficiency ratio, “adjusted” operating expenses (see Section II.4)) as a percentage of total income, without extraordinary concepts, increase to 48.6% in the third quarter of 2004 having been 46.4% in the same period last year. “Adjusted” operating expenses as a percentage of average total assets increased to 5.1% from 4.4%, in the same quarters.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I.3 ASSETS AND LIABILITIES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 For comparison purposes, in balance sheets reported for dates prior to September 30, 2004, bonds and other obligations and subordinated debt, previously reported within Deposits and obligations and Other liabilities, are now shown under the Bonds and subordinated debt caption, without affecting total liabilities (see Table No.1).</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Credicorp’s totals assets reached US$8.8 billion at September 30, 2004, increasing 2.9% since the end of June 2004, and are 6.9% higher than the balance at September 2003, mainly due to increased investments.</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loan portfolio as of September 30, 2004 reached US$4.5 billion, growing 1.3% compared to the balance in September 2003, but decreased during the current quarter from US$4.6 billion in June 2004, mainly due to seasonal effects.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Loan quality indicators are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217170</wp:posOffset>
            </wp:positionV>
            <wp:extent cx="50685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1720" w:type="dxa"/>
        <w:tblCellMar>
          <w:top w:w="0" w:type="dxa"/>
          <w:left w:w="0" w:type="dxa"/>
          <w:bottom w:w="0" w:type="dxa"/>
          <w:right w:w="0" w:type="dxa"/>
        </w:tblCellMar>
      </w:tblPr>
      <w:tr>
        <w:trPr>
          <w:trHeight w:val="222"/>
        </w:trPr>
        <w:tc>
          <w:tcPr>
            <w:tcW w:w="2840" w:type="dxa"/>
            <w:vAlign w:val="bottom"/>
          </w:tcPr>
          <w:p>
            <w:pPr>
              <w:spacing w:after="0"/>
              <w:rPr>
                <w:sz w:val="20"/>
                <w:szCs w:val="20"/>
                <w:color w:val="auto"/>
              </w:rPr>
            </w:pPr>
            <w:r>
              <w:rPr>
                <w:rFonts w:ascii="Arial" w:cs="Arial" w:eastAsia="Arial" w:hAnsi="Arial"/>
                <w:sz w:val="18"/>
                <w:szCs w:val="18"/>
                <w:color w:val="auto"/>
              </w:rPr>
              <w:t>(In US$Mn)</w:t>
            </w:r>
          </w:p>
        </w:tc>
        <w:tc>
          <w:tcPr>
            <w:tcW w:w="2440" w:type="dxa"/>
            <w:vAlign w:val="bottom"/>
          </w:tcPr>
          <w:p>
            <w:pPr>
              <w:jc w:val="right"/>
              <w:ind w:right="392"/>
              <w:spacing w:after="0"/>
              <w:rPr>
                <w:sz w:val="20"/>
                <w:szCs w:val="20"/>
                <w:color w:val="auto"/>
              </w:rPr>
            </w:pPr>
            <w:r>
              <w:rPr>
                <w:rFonts w:ascii="Arial" w:cs="Arial" w:eastAsia="Arial" w:hAnsi="Arial"/>
                <w:sz w:val="18"/>
                <w:szCs w:val="18"/>
                <w:color w:val="auto"/>
              </w:rPr>
              <w:t>30.09.03</w:t>
            </w:r>
          </w:p>
        </w:tc>
        <w:tc>
          <w:tcPr>
            <w:tcW w:w="1600" w:type="dxa"/>
            <w:vAlign w:val="bottom"/>
          </w:tcPr>
          <w:p>
            <w:pPr>
              <w:jc w:val="right"/>
              <w:ind w:right="392"/>
              <w:spacing w:after="0"/>
              <w:rPr>
                <w:sz w:val="20"/>
                <w:szCs w:val="20"/>
                <w:color w:val="auto"/>
              </w:rPr>
            </w:pPr>
            <w:r>
              <w:rPr>
                <w:rFonts w:ascii="Arial" w:cs="Arial" w:eastAsia="Arial" w:hAnsi="Arial"/>
                <w:sz w:val="18"/>
                <w:szCs w:val="18"/>
                <w:color w:val="auto"/>
              </w:rPr>
              <w:t>30.06.04</w:t>
            </w:r>
          </w:p>
        </w:tc>
        <w:tc>
          <w:tcPr>
            <w:tcW w:w="1100" w:type="dxa"/>
            <w:vAlign w:val="bottom"/>
          </w:tcPr>
          <w:p>
            <w:pPr>
              <w:jc w:val="right"/>
              <w:spacing w:after="0"/>
              <w:rPr>
                <w:sz w:val="20"/>
                <w:szCs w:val="20"/>
                <w:color w:val="auto"/>
              </w:rPr>
            </w:pPr>
            <w:r>
              <w:rPr>
                <w:rFonts w:ascii="Arial" w:cs="Arial" w:eastAsia="Arial" w:hAnsi="Arial"/>
                <w:sz w:val="18"/>
                <w:szCs w:val="18"/>
                <w:color w:val="auto"/>
              </w:rPr>
              <w:t>30.09.04</w:t>
            </w:r>
          </w:p>
        </w:tc>
      </w:tr>
      <w:tr>
        <w:trPr>
          <w:trHeight w:val="110"/>
        </w:trPr>
        <w:tc>
          <w:tcPr>
            <w:tcW w:w="284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r>
      <w:tr>
        <w:trPr>
          <w:trHeight w:val="309"/>
        </w:trPr>
        <w:tc>
          <w:tcPr>
            <w:tcW w:w="2840" w:type="dxa"/>
            <w:vAlign w:val="bottom"/>
          </w:tcPr>
          <w:p>
            <w:pPr>
              <w:spacing w:after="0"/>
              <w:rPr>
                <w:sz w:val="20"/>
                <w:szCs w:val="20"/>
                <w:color w:val="auto"/>
              </w:rPr>
            </w:pPr>
            <w:r>
              <w:rPr>
                <w:rFonts w:ascii="Arial" w:cs="Arial" w:eastAsia="Arial" w:hAnsi="Arial"/>
                <w:sz w:val="18"/>
                <w:szCs w:val="18"/>
                <w:color w:val="auto"/>
              </w:rPr>
              <w:t>Total loans</w:t>
            </w:r>
          </w:p>
        </w:tc>
        <w:tc>
          <w:tcPr>
            <w:tcW w:w="2440" w:type="dxa"/>
            <w:vAlign w:val="bottom"/>
          </w:tcPr>
          <w:p>
            <w:pPr>
              <w:jc w:val="right"/>
              <w:ind w:right="392"/>
              <w:spacing w:after="0"/>
              <w:rPr>
                <w:sz w:val="20"/>
                <w:szCs w:val="20"/>
                <w:color w:val="auto"/>
              </w:rPr>
            </w:pPr>
            <w:r>
              <w:rPr>
                <w:rFonts w:ascii="Arial" w:cs="Arial" w:eastAsia="Arial" w:hAnsi="Arial"/>
                <w:sz w:val="18"/>
                <w:szCs w:val="18"/>
                <w:color w:val="auto"/>
              </w:rPr>
              <w:t>4,472.0</w:t>
            </w:r>
          </w:p>
        </w:tc>
        <w:tc>
          <w:tcPr>
            <w:tcW w:w="1600" w:type="dxa"/>
            <w:vAlign w:val="bottom"/>
          </w:tcPr>
          <w:p>
            <w:pPr>
              <w:jc w:val="right"/>
              <w:ind w:right="392"/>
              <w:spacing w:after="0"/>
              <w:rPr>
                <w:sz w:val="20"/>
                <w:szCs w:val="20"/>
                <w:color w:val="auto"/>
              </w:rPr>
            </w:pPr>
            <w:r>
              <w:rPr>
                <w:rFonts w:ascii="Arial" w:cs="Arial" w:eastAsia="Arial" w:hAnsi="Arial"/>
                <w:sz w:val="18"/>
                <w:szCs w:val="18"/>
                <w:color w:val="auto"/>
              </w:rPr>
              <w:t>4,601.8</w:t>
            </w:r>
          </w:p>
        </w:tc>
        <w:tc>
          <w:tcPr>
            <w:tcW w:w="1100" w:type="dxa"/>
            <w:vAlign w:val="bottom"/>
          </w:tcPr>
          <w:p>
            <w:pPr>
              <w:jc w:val="right"/>
              <w:spacing w:after="0"/>
              <w:rPr>
                <w:sz w:val="20"/>
                <w:szCs w:val="20"/>
                <w:color w:val="auto"/>
              </w:rPr>
            </w:pPr>
            <w:r>
              <w:rPr>
                <w:rFonts w:ascii="Arial" w:cs="Arial" w:eastAsia="Arial" w:hAnsi="Arial"/>
                <w:sz w:val="18"/>
                <w:szCs w:val="18"/>
                <w:color w:val="auto"/>
              </w:rPr>
              <w:t>4,531.6</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Past due loans</w:t>
            </w:r>
          </w:p>
        </w:tc>
        <w:tc>
          <w:tcPr>
            <w:tcW w:w="2440" w:type="dxa"/>
            <w:vAlign w:val="bottom"/>
          </w:tcPr>
          <w:p>
            <w:pPr>
              <w:jc w:val="right"/>
              <w:ind w:right="392"/>
              <w:spacing w:after="0"/>
              <w:rPr>
                <w:sz w:val="20"/>
                <w:szCs w:val="20"/>
                <w:color w:val="auto"/>
              </w:rPr>
            </w:pPr>
            <w:r>
              <w:rPr>
                <w:rFonts w:ascii="Arial" w:cs="Arial" w:eastAsia="Arial" w:hAnsi="Arial"/>
                <w:sz w:val="18"/>
                <w:szCs w:val="18"/>
                <w:color w:val="auto"/>
              </w:rPr>
              <w:t>341.0</w:t>
            </w:r>
          </w:p>
        </w:tc>
        <w:tc>
          <w:tcPr>
            <w:tcW w:w="1600" w:type="dxa"/>
            <w:vAlign w:val="bottom"/>
          </w:tcPr>
          <w:p>
            <w:pPr>
              <w:jc w:val="right"/>
              <w:ind w:right="392"/>
              <w:spacing w:after="0"/>
              <w:rPr>
                <w:sz w:val="20"/>
                <w:szCs w:val="20"/>
                <w:color w:val="auto"/>
              </w:rPr>
            </w:pPr>
            <w:r>
              <w:rPr>
                <w:rFonts w:ascii="Arial" w:cs="Arial" w:eastAsia="Arial" w:hAnsi="Arial"/>
                <w:sz w:val="18"/>
                <w:szCs w:val="18"/>
                <w:color w:val="auto"/>
              </w:rPr>
              <w:t>222.5</w:t>
            </w:r>
          </w:p>
        </w:tc>
        <w:tc>
          <w:tcPr>
            <w:tcW w:w="1100" w:type="dxa"/>
            <w:vAlign w:val="bottom"/>
          </w:tcPr>
          <w:p>
            <w:pPr>
              <w:jc w:val="right"/>
              <w:spacing w:after="0"/>
              <w:rPr>
                <w:sz w:val="20"/>
                <w:szCs w:val="20"/>
                <w:color w:val="auto"/>
              </w:rPr>
            </w:pPr>
            <w:r>
              <w:rPr>
                <w:rFonts w:ascii="Arial" w:cs="Arial" w:eastAsia="Arial" w:hAnsi="Arial"/>
                <w:sz w:val="18"/>
                <w:szCs w:val="18"/>
                <w:color w:val="auto"/>
              </w:rPr>
              <w:t>215.0</w:t>
            </w:r>
          </w:p>
        </w:tc>
      </w:tr>
      <w:tr>
        <w:trPr>
          <w:trHeight w:val="222"/>
        </w:trPr>
        <w:tc>
          <w:tcPr>
            <w:tcW w:w="2840" w:type="dxa"/>
            <w:vAlign w:val="bottom"/>
          </w:tcPr>
          <w:p>
            <w:pPr>
              <w:spacing w:after="0"/>
              <w:rPr>
                <w:sz w:val="20"/>
                <w:szCs w:val="20"/>
                <w:color w:val="auto"/>
              </w:rPr>
            </w:pPr>
            <w:r>
              <w:rPr>
                <w:rFonts w:ascii="Arial" w:cs="Arial" w:eastAsia="Arial" w:hAnsi="Arial"/>
                <w:sz w:val="18"/>
                <w:szCs w:val="18"/>
                <w:color w:val="auto"/>
              </w:rPr>
              <w:t>Loan loss reserves</w:t>
            </w:r>
          </w:p>
        </w:tc>
        <w:tc>
          <w:tcPr>
            <w:tcW w:w="2440" w:type="dxa"/>
            <w:vAlign w:val="bottom"/>
          </w:tcPr>
          <w:p>
            <w:pPr>
              <w:jc w:val="right"/>
              <w:ind w:right="392"/>
              <w:spacing w:after="0"/>
              <w:rPr>
                <w:sz w:val="20"/>
                <w:szCs w:val="20"/>
                <w:color w:val="auto"/>
              </w:rPr>
            </w:pPr>
            <w:r>
              <w:rPr>
                <w:rFonts w:ascii="Arial" w:cs="Arial" w:eastAsia="Arial" w:hAnsi="Arial"/>
                <w:sz w:val="18"/>
                <w:szCs w:val="18"/>
                <w:color w:val="auto"/>
              </w:rPr>
              <w:t>387.8</w:t>
            </w:r>
          </w:p>
        </w:tc>
        <w:tc>
          <w:tcPr>
            <w:tcW w:w="1600" w:type="dxa"/>
            <w:vAlign w:val="bottom"/>
          </w:tcPr>
          <w:p>
            <w:pPr>
              <w:jc w:val="right"/>
              <w:ind w:right="392"/>
              <w:spacing w:after="0"/>
              <w:rPr>
                <w:sz w:val="20"/>
                <w:szCs w:val="20"/>
                <w:color w:val="auto"/>
              </w:rPr>
            </w:pPr>
            <w:r>
              <w:rPr>
                <w:rFonts w:ascii="Arial" w:cs="Arial" w:eastAsia="Arial" w:hAnsi="Arial"/>
                <w:sz w:val="18"/>
                <w:szCs w:val="18"/>
                <w:color w:val="auto"/>
              </w:rPr>
              <w:t>293.3</w:t>
            </w:r>
          </w:p>
        </w:tc>
        <w:tc>
          <w:tcPr>
            <w:tcW w:w="1100" w:type="dxa"/>
            <w:vAlign w:val="bottom"/>
          </w:tcPr>
          <w:p>
            <w:pPr>
              <w:jc w:val="right"/>
              <w:spacing w:after="0"/>
              <w:rPr>
                <w:sz w:val="20"/>
                <w:szCs w:val="20"/>
                <w:color w:val="auto"/>
              </w:rPr>
            </w:pPr>
            <w:r>
              <w:rPr>
                <w:rFonts w:ascii="Arial" w:cs="Arial" w:eastAsia="Arial" w:hAnsi="Arial"/>
                <w:sz w:val="18"/>
                <w:szCs w:val="18"/>
                <w:color w:val="auto"/>
              </w:rPr>
              <w:t>281.2</w:t>
            </w:r>
          </w:p>
        </w:tc>
      </w:tr>
      <w:tr>
        <w:trPr>
          <w:trHeight w:val="426"/>
        </w:trPr>
        <w:tc>
          <w:tcPr>
            <w:tcW w:w="2840" w:type="dxa"/>
            <w:vAlign w:val="bottom"/>
          </w:tcPr>
          <w:p>
            <w:pPr>
              <w:spacing w:after="0"/>
              <w:rPr>
                <w:sz w:val="20"/>
                <w:szCs w:val="20"/>
                <w:color w:val="auto"/>
              </w:rPr>
            </w:pPr>
            <w:r>
              <w:rPr>
                <w:rFonts w:ascii="Arial" w:cs="Arial" w:eastAsia="Arial" w:hAnsi="Arial"/>
                <w:sz w:val="18"/>
                <w:szCs w:val="18"/>
                <w:color w:val="auto"/>
              </w:rPr>
              <w:t>Past due / Total loans</w:t>
            </w:r>
          </w:p>
        </w:tc>
        <w:tc>
          <w:tcPr>
            <w:tcW w:w="2440" w:type="dxa"/>
            <w:vAlign w:val="bottom"/>
          </w:tcPr>
          <w:p>
            <w:pPr>
              <w:jc w:val="right"/>
              <w:ind w:right="392"/>
              <w:spacing w:after="0"/>
              <w:rPr>
                <w:sz w:val="20"/>
                <w:szCs w:val="20"/>
                <w:color w:val="auto"/>
              </w:rPr>
            </w:pPr>
            <w:r>
              <w:rPr>
                <w:rFonts w:ascii="Arial" w:cs="Arial" w:eastAsia="Arial" w:hAnsi="Arial"/>
                <w:sz w:val="18"/>
                <w:szCs w:val="18"/>
                <w:color w:val="auto"/>
              </w:rPr>
              <w:t>7.6%</w:t>
            </w:r>
          </w:p>
        </w:tc>
        <w:tc>
          <w:tcPr>
            <w:tcW w:w="1600" w:type="dxa"/>
            <w:vAlign w:val="bottom"/>
          </w:tcPr>
          <w:p>
            <w:pPr>
              <w:jc w:val="right"/>
              <w:ind w:right="392"/>
              <w:spacing w:after="0"/>
              <w:rPr>
                <w:sz w:val="20"/>
                <w:szCs w:val="20"/>
                <w:color w:val="auto"/>
              </w:rPr>
            </w:pPr>
            <w:r>
              <w:rPr>
                <w:rFonts w:ascii="Arial" w:cs="Arial" w:eastAsia="Arial" w:hAnsi="Arial"/>
                <w:sz w:val="18"/>
                <w:szCs w:val="18"/>
                <w:color w:val="auto"/>
              </w:rPr>
              <w:t>4.8%</w:t>
            </w: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2"/>
        </w:trPr>
        <w:tc>
          <w:tcPr>
            <w:tcW w:w="2840" w:type="dxa"/>
            <w:vAlign w:val="bottom"/>
          </w:tcPr>
          <w:p>
            <w:pPr>
              <w:spacing w:after="0"/>
              <w:rPr>
                <w:sz w:val="20"/>
                <w:szCs w:val="20"/>
                <w:color w:val="auto"/>
              </w:rPr>
            </w:pPr>
            <w:r>
              <w:rPr>
                <w:rFonts w:ascii="Arial" w:cs="Arial" w:eastAsia="Arial" w:hAnsi="Arial"/>
                <w:sz w:val="18"/>
                <w:szCs w:val="18"/>
                <w:color w:val="auto"/>
              </w:rPr>
              <w:t>Reserves / Past due</w:t>
            </w:r>
          </w:p>
        </w:tc>
        <w:tc>
          <w:tcPr>
            <w:tcW w:w="2440" w:type="dxa"/>
            <w:vAlign w:val="bottom"/>
          </w:tcPr>
          <w:p>
            <w:pPr>
              <w:jc w:val="right"/>
              <w:ind w:right="392"/>
              <w:spacing w:after="0"/>
              <w:rPr>
                <w:sz w:val="20"/>
                <w:szCs w:val="20"/>
                <w:color w:val="auto"/>
              </w:rPr>
            </w:pPr>
            <w:r>
              <w:rPr>
                <w:rFonts w:ascii="Arial" w:cs="Arial" w:eastAsia="Arial" w:hAnsi="Arial"/>
                <w:sz w:val="18"/>
                <w:szCs w:val="18"/>
                <w:color w:val="auto"/>
              </w:rPr>
              <w:t>113.7%</w:t>
            </w:r>
          </w:p>
        </w:tc>
        <w:tc>
          <w:tcPr>
            <w:tcW w:w="1600" w:type="dxa"/>
            <w:vAlign w:val="bottom"/>
          </w:tcPr>
          <w:p>
            <w:pPr>
              <w:jc w:val="right"/>
              <w:ind w:right="392"/>
              <w:spacing w:after="0"/>
              <w:rPr>
                <w:sz w:val="20"/>
                <w:szCs w:val="20"/>
                <w:color w:val="auto"/>
              </w:rPr>
            </w:pPr>
            <w:r>
              <w:rPr>
                <w:rFonts w:ascii="Arial" w:cs="Arial" w:eastAsia="Arial" w:hAnsi="Arial"/>
                <w:sz w:val="18"/>
                <w:szCs w:val="18"/>
                <w:color w:val="auto"/>
              </w:rPr>
              <w:t>131.8%</w:t>
            </w:r>
          </w:p>
        </w:tc>
        <w:tc>
          <w:tcPr>
            <w:tcW w:w="1100" w:type="dxa"/>
            <w:vAlign w:val="bottom"/>
          </w:tcPr>
          <w:p>
            <w:pPr>
              <w:jc w:val="right"/>
              <w:spacing w:after="0"/>
              <w:rPr>
                <w:sz w:val="20"/>
                <w:szCs w:val="20"/>
                <w:color w:val="auto"/>
              </w:rPr>
            </w:pPr>
            <w:r>
              <w:rPr>
                <w:rFonts w:ascii="Arial" w:cs="Arial" w:eastAsia="Arial" w:hAnsi="Arial"/>
                <w:sz w:val="18"/>
                <w:szCs w:val="18"/>
                <w:color w:val="auto"/>
              </w:rPr>
              <w:t>130.8%</w:t>
            </w:r>
          </w:p>
        </w:tc>
      </w:tr>
      <w:tr>
        <w:trPr>
          <w:trHeight w:val="110"/>
        </w:trPr>
        <w:tc>
          <w:tcPr>
            <w:tcW w:w="284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r>
    </w:tbl>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balance of past due loans decreased from US$222.5 million to US$215.0 million during the current quarter partly due to charge-offs amounting to US$23.3 million.</w:t>
      </w:r>
    </w:p>
    <w:p>
      <w:pPr>
        <w:spacing w:after="0" w:line="18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Deposits and other obligations reached US$6.2 billion at September 30, 2004, increasing 3.4% over US$6.0 billion of last June 2004, and are 5.3% higher than the September 2003 balance. Due to banks and correspondents declined 6.7% closing at US$349.1 million, but are 24.9% higher than the balance at September 2003.</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Credicorp’s net equity amounted to slightly over US$1.0 billion at September 30, 2004, increasing 6.5% over equity at June 2004, due to earnings generated during the quarter and to higher valuation of investments that increased equity reserves for un-realized earnings.</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Third party funds under management, amounting to US$1.7 billion at the end of September 2004, remained almost unchanged during the current quarter, but are still 5.4% higher than funds at September 2003.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I.4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Below are brief comments on some of the subsidiaries not discussed in the following sections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Banco de Crédito de Bolivia ("BCB"), Bolivia</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Bolivian economic activity continued showing signs of a moderate recovery. GDP grew 3.3% in second quarter 2004, after growing 3.8% in the first quarter, which was higher than 2.5% in fourth quarter 2003. Higher growth is mainly due to increased exports of minerals, oil and gas, and agricultural products. Cumulative through July 2004, exports grew 37%, higher than the 20% growth in total 2003, generating a trade surplus compared to a deficit in 2003. It is expected that GDP will grow approximately 3.5% in 2004, with continued development of exports, while domestic demand and consumption remain stagnant.</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current quarter inflation reversed a positive trend followed in prior periods. In third quarter 2004 inflation was 0.9%, lower than 1.2% in the preceding quarter. Cumulative inflation in the first nine month period of 2004 was 2.6%, higher than 2.3% in the same year-ago period. Nevertheless, devaluation continued at a slower pace with a 0.8% exchange rate increase in the current quarter and 2.0% in the first nine month period of 2004, reaching 8.00 Bolivianos per Dollar at September 30, 2004.</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deposits in the banking system grew to US$2,440 million at September 2004, after declining to US$2,360 in July 2004 due to the application of the financial transactions tax. Deposits still remain below balances of US$2,639 million at December 2003.</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 volume in the banking system declined slightly during the current quarter to US$2,412 million as of September 2004, and are 5.7% lower than loans of US$2,558 million at December 2003. The past due loan ratio was 16.9% in September 2004, similar to 16.7% in December 2003. The coverage of past-due loans with provisions increased to 76.5% during this quarter, improving over coverage of 74.0% in December 2003.</w:t>
      </w:r>
    </w:p>
    <w:p>
      <w:pPr>
        <w:sectPr>
          <w:pgSz w:w="11900" w:h="16838" w:orient="portrait"/>
          <w:cols w:equalWidth="0" w:num="1">
            <w:col w:w="11420"/>
          </w:cols>
          <w:pgMar w:left="240" w:top="185" w:right="239" w:bottom="0" w:gutter="0" w:footer="0" w:header="0"/>
        </w:sectPr>
      </w:pPr>
    </w:p>
    <w:bookmarkStart w:id="4" w:name="page5"/>
    <w:bookmarkEnd w:id="4"/>
    <w:p>
      <w:pPr>
        <w:jc w:val="both"/>
        <w:spacing w:after="0" w:line="259" w:lineRule="auto"/>
        <w:rPr>
          <w:sz w:val="20"/>
          <w:szCs w:val="20"/>
          <w:color w:val="auto"/>
        </w:rPr>
      </w:pPr>
      <w:r>
        <w:rPr>
          <w:rFonts w:ascii="Arial" w:cs="Arial" w:eastAsia="Arial" w:hAnsi="Arial"/>
          <w:sz w:val="18"/>
          <w:szCs w:val="18"/>
          <w:color w:val="auto"/>
        </w:rPr>
        <w:t>BCB’s market share in deposits at September 2004 was 12.6%, increasing sligthly from 12.5% at the end of December 2003. In terms of loans, BCB had a 12.5% market share, above 12.2% it had last December. In this way, BCB remained in the fourth position in terms of loans, of twelve banks in the system, but declined from fourth to fifth in terms of deposits.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September 30, 2004, BCB had total loans of US$301.9 million which compares to the US$309.9 million at December 2003. Loan quality continued to improve. At the end of the third quarter 2004, BCB’s past due loans reached US$42.9 million, or 14.2% of total loans, lower than 20.7% at December 2003. Coverage of past due loans with loan loss provisions was 83.3% as of September 2004, increasing from 76.7% in December 2003. Net equity at the Bolivian subsidiary amounted to US$57.5 million as of September 2004.</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nine month period of 2004, loan loss provisions resulted in a US$0.7 million expense charge, compared to US$7.5 million charged against results during the same period in 2003. In BCB’s own records, through September 2004 cumulative net income was US$2.6 million, compared to US$0.6 million in the same year-ago period.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Banco Tequendama, Colombia</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Colombian economic activity continued a noteworthy recovery during third quarter 2004, led by investment and exports to the United States, Ecuador and Venezuela, and reaching nine consecutive growth quarters. GDP grew 4.3% in the first half of 2004, while, through August, industrial production increased 5.5% and Commerce by 6.0%. Expected GDP growth for total 2004 has been raised to slightly over 4%. In full-year 2003 GDP grew 3.6% and 1.7% in 2002.</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Colombian Peso exchange rate strengthened during third quarter 2004, as factors like the increase of international interest rates, that caused volatility in the second quarter, diminished. The exchange rate was Col$2,608.30 per US$1 at the end of September 2004, declining compared to Col$2,694.09 at June 2004. This appreciation continued in the weeks following the end of third quarter 2004.</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third quarter 2004 price inflation maintained a slight declining trend, reaching 5.97% in the twelve months prior to September 2004, dropping withing the target range of 5 to 6% por total 2004. In third quarter 2004 prices increased 0.3%, lower than 0.4% in the same year-ago period. In first half 2004 inflation reached 4.6%, higher than expected mostly due to increases in oil, energy and food prices. In spite of the effect of higher petroleum prices, for the rest of 2004 inflation is expected to remain within the target range aided by the appreciating exchange rate, fiscal controls and by higher economic activity.</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Banking system statistics show that loans increased 23.2%, from US$15.8 billion at December 2003, to US$19.4 billion at the close of August 2004, with the past-due ratio improving from 9.7% in December 2003, to 7.5% in August 2004. The coverage ratio of loan provisions over bad loans also improved, from 70.1% at December 2003 to 78.3% in August 2004. Total deposits in the banking entities were US$23.9 billion at the end of August 2004, increasing 16.5% from US$20.5 billion at December 2003, continuing their recovery.</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Banco Tequendama’s loan market share, as of August 2004, was 1.48%, slightly over 1.44% obtained in December 2003. At the same dates, deposit market share was 0.94% and 0.90%, respectively.</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September 30, 2004, Banco Tequendama’s loans were US$285.2 million, increasing 22.8% from US$232.1 million in December 2003, and 24.0% compared to US$229.9 million as of September 2003. At the end of September 2004, deposits totaled US$232.9 million, 24.2% higher than US$187.5 million in December 2003, and 45.1% over US$160.5 million at the year-ago quarter. At September 30, 2004, the bank’s net equity amounted to US$31.4 million according to Credicorp’s accounting records.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past due loan ratio was 1.9% in September 2004, higher than 1.1% at the end of December 2003 and 1.2% at September 2003, while coverage with provisions was 144.3%, compared to 238.2% and 191.0%,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I.5 PERUVIAN ECONOMIC SITUATION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Economic Activity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Third quarter 2004 showed an increased growth trend in Peruvian GDP, after a slowdown in the preceding quarter. The better than expected GDP performance is noted across most sectors, with higher activity in non-primary manufacturing, mainly textiles, and in mining, thanks to high international demand for exports which raised their prices.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GDP grew 3.8% in July and 6.0% last August, reaching in the first eight months of 2004 a cumulative growth of 4.4%, higher than 4.2% in the same year-ago period. Official estimates expect growth continuing through year-end, with total 2004 GDP growth at 4.3%.</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Cumulative through August 2004 shows growth in all GDP sectors except Agriculture. Highest performance is noted in metals mining, which grows 6.6%, although with a declining trend due to lower gold production that is partly offset with higher copper output; fishing, which grew 23.8%, in spite of an anchovie seasonal ban; non-primary manufacturing, up by 6.0%; and, the construction sector, that grew 4.9%. On the other hand, production continued poor on the agricultural sector, which declined 2.0% through August, due to lack of rainfall.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Public Finance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second quarter 2004, the Public Sector budget had a surplus of 1.0% (of GDP), following a 0.9% surplus in first quarter 2004. Given that the total 2004 target is to run a deficit of 1.5%, a substantial increase in public expenditure can be expected in second half 2004, which will have a short-run positive effect on GDP growth.</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positive result in first-half 2004 was mainly due to increased Central Government tax revenue that reached 13.3% of GDP (12.9% in total 2003) and to lower public investment expenditures of 1.1% (1.9% in total 2003).</w:t>
      </w:r>
    </w:p>
    <w:p>
      <w:pPr>
        <w:spacing w:after="0" w:line="18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Cumulative through August 2004, tax collections increased 12.6%, in nominal terms, noting a 21% increase of Income Tax revenue from corporations and the 17% growth in case of the value-added tax (IGV), which increased mainly due to administrative measures and improved business conditions. Non-financial expenses increased 4.2% (nominal), while capital expenses declined by 12.7%.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Prices and Devaluation</w:t>
      </w:r>
    </w:p>
    <w:p>
      <w:pPr>
        <w:sectPr>
          <w:pgSz w:w="11900" w:h="16838" w:orient="portrait"/>
          <w:cols w:equalWidth="0" w:num="1">
            <w:col w:w="11420"/>
          </w:cols>
          <w:pgMar w:left="240" w:top="131" w:right="239" w:bottom="161" w:gutter="0" w:footer="0" w:header="0"/>
        </w:sectPr>
      </w:pPr>
    </w:p>
    <w:bookmarkStart w:id="5" w:name="page6"/>
    <w:bookmarkEnd w:id="5"/>
    <w:p>
      <w:pPr>
        <w:jc w:val="both"/>
        <w:spacing w:after="0" w:line="298" w:lineRule="auto"/>
        <w:rPr>
          <w:sz w:val="20"/>
          <w:szCs w:val="20"/>
          <w:color w:val="auto"/>
        </w:rPr>
      </w:pPr>
      <w:r>
        <w:rPr>
          <w:rFonts w:ascii="Arial" w:cs="Arial" w:eastAsia="Arial" w:hAnsi="Arial"/>
          <w:sz w:val="16"/>
          <w:szCs w:val="16"/>
          <w:color w:val="auto"/>
        </w:rPr>
        <w:t>In the third quarter of 2004, the consumer price index in Peru increased only 0.2%, lower than the 0.9% and 2.1% increases in the preceding two quarters. Inflation was 3.2% in the nine month period of 2004, and 4.0% in the twelve month period through September 2004. Inflation remained subdued in spite of higher fuel and energy prices, due to increased import costs, which were partly offset by lower food and services prices, which benefitted from a lower exchange rate. Inflation is expected not to exceed the top of the range of 1.5% to 3.5%, targetted by the Central Bank for total 2004.</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wholesale price index increased 0.1% in the current quarter, and 4.9% in the first nine month period of 2004, compared to 0.5% and 1.0% in the same periods in 2003. Wholesale prices increased 6.0% in the twelve months through September 2004. In the third quarter, the decline in the exchange rate helped lower the cost of imported intermediate goods.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average bank market Nuevos Soles exchange rate in Peru was S/.3.342 at September 30, 2004, decreasing 3.7% from S/.3.471 at the end of June 2004, and is also lower by 3.5% compared to year-end 2003. To avoid the streghtening of the currency, in the third quarter, the Central Bank increased the purchase of foreign exchange in the currency market, acquiring US$610 million, to reach US$1,440 million in the first nine months of 2004, compared to US$1,050 million purchased during total 2003.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Reserves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International reserves of the Central Bank continued to increase during third quarter 2004, due in part to the above mentioned foreign currency purchases. Reserves reached US$11,187 million at September 30, 2004 from US$10,855 million at June 30, 2004, and also compared to US$10,194 million at December 31, 2003.</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Trade Balance had a US$1.2 billion cumulative surplus through August 2004, increasing compared to a US$341 million surplus in the same eight month period of 2003. The improvement continues the positive trend noted since 2002, when the surplus reached US$306 million and in 2003 when the surplus grew to US$731 million. Cumulative through August 2004, exports grew 36% versus a 15% increase in imports. Exports, which reached US$7,792 million as of August 2004, grow on increased volume and prices, especially of copper, and non-traditional textiles, agricultural and fishing exports. Imports through August 2004 amounted to US$6,225 million, increasing mainly due to higher imports of raw materials and durable goods, while consumer goods remained almost unchanged.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Financial System</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second consecutive quarter commercial bank’s loan and deposit volumes slightly increased, based on U. S. Dollar figures translated at historical exchange rates to avoid the negative effect of the strenghtening of the Nuevo Sol. Deposits at September 30, 2004 in the fourteen commercial banks in the system reached US$14.3 billion, according to the Asociación de Bancos del Peru (ASBANC), increasing 2.8%, in Dollar terms, compared to the balance at June 30, 2004, and by 4.5% compared to the year-ago balance at September 30, 2003.</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2004, total loans in the banking system were US$10.5 billion, remaining similar to loans at June 30, 2004, but are 1.5% over September 30, 2003 loan balances. In the current quarter, local currency loans (23.5% of total loans) grew 6.9% to reach US$2.5 billion, while foreign currency loans decreased 2.0% to US$8.0 billion.</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of September 30, 2004, the Peruvian bank's past due ratio was 4.6%, improving from the 5.1% rate in June 30, 2004 and from 7.7% in September 30, 2003. Commercial banks’ past due loans decreased 9.7% since last June to US$485 million, and are lower by 38.9% compared to bad loans at September 30, 2003. At September 30, 2004, loan loss provisions were US$756 million, decreasing 5.3% during this quarter. The system-wide past due loan coverage ratio was 155.7% at September 30, 2004, higher than the 148.5% coverage at June 30, 2004, and is also higher than the ratio of 124.6% at September 30, 2003.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Interest rates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third quarter 2004 commercial banks’ loans and deposits interest rates had a slight increase. Local currency average loan rates (TAMN) were 25.1% in third quarter 2004, increasing from 24.6% in the second quarter of 2004, while deposits rates (TIPMN) remained at 2.4%. In the third quarter 2003, TAMN was 21.5% and TIPMN was 3.0%. During the third quarter 2004 foreign currency loan rates (TAMEX) remained at 8.9%, while deposit rates (TIPMEX) increased from 1.0% to 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Private Pension Funds and Mutual Funds</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After high growth rates in prior quarters, managed assets in private pension funds and mutual funds suffered declines due to volatility of prices and valuations in capital markets and to the increase in interest rates.</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private pension fund assets reached US$7.3 billion as of September 30, 2004, increasing 8.5% during the current quarter, and are 28% higher than funds at September 2003, with a return of 7.8% in real terms in the twelve month period.</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Total mutual funds amounted to US$1.8 billion at the end of the third quarter 2004, decreasing 5.2% in the quarter, and by 9.1% from the balance at September 2003, with a return of 0.9% in the quarter and of 2.8% during the year since September 2003 (in Dollar terms).</w:t>
      </w:r>
    </w:p>
    <w:p>
      <w:pPr>
        <w:sectPr>
          <w:pgSz w:w="11900" w:h="16838" w:orient="portrait"/>
          <w:cols w:equalWidth="0" w:num="1">
            <w:col w:w="11420"/>
          </w:cols>
          <w:pgMar w:left="240" w:top="131" w:right="239" w:bottom="1440" w:gutter="0" w:footer="0" w:header="0"/>
        </w:sectPr>
      </w:pPr>
    </w:p>
    <w:bookmarkStart w:id="6" w:name="page7"/>
    <w:bookmarkEnd w:id="6"/>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 BANCO DE CREDITO DEL PERU AND SUBSIDIARIES (“BCP”)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II.1 NET INCOME</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Consolidated net income in the nine month period ended in September 30, 2004 reached S/.220.8 million (US$66.1 million), compared to net income of S/.232.1 million (US$69.4 million) in the same period of 2003, meaning S/.0.18 and S/.0.19 per share, respectively. Net income in the third quarter 2004 was S/.69.9 million (US$20.9 million), decreasing compared with net income of S/.112.6 million (US$30.7 million) in the same quarter in 2003.</w:t>
      </w:r>
    </w:p>
    <w:p>
      <w:pPr>
        <w:spacing w:after="0" w:line="16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Net income, cumulative through September and in third quarter 2004, decline compared to net profit in the same periods in 2003 mainly due to lower financial income and higher losses on inflation adjustment, which are partly offset with lower loan loss provisions and lower operating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Lower net interest income is due to decreased net interest margin and to decreased loan volume.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on losses on inflation adjustment, to S/.106.0 million (US$31.7 million) as of September 2004, is due to the negative effects of a higher wholesale price inflation and of the strenghtening of the Nuevo Sol exchange rate. Through September 2004, we had a 4.9% inflation, compared to 1.0% in the same 2003 period, while the exchange rate declined 3.5% compared to 0.9%, respectively.</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BANCO DE CREDITO DEL PERU AND SUBSIDIARIES</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SUMMARY OF RESULTS (1)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constant S/. and U.S.$ millions, except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940" w:type="dxa"/>
            <w:vAlign w:val="bottom"/>
            <w:gridSpan w:val="2"/>
          </w:tcPr>
          <w:p>
            <w:pPr>
              <w:jc w:val="right"/>
              <w:ind w:right="252"/>
              <w:spacing w:after="0"/>
              <w:rPr>
                <w:sz w:val="20"/>
                <w:szCs w:val="20"/>
                <w:color w:val="auto"/>
              </w:rPr>
            </w:pPr>
            <w:r>
              <w:rPr>
                <w:rFonts w:ascii="Arial" w:cs="Arial" w:eastAsia="Arial" w:hAnsi="Arial"/>
                <w:sz w:val="18"/>
                <w:szCs w:val="18"/>
                <w:color w:val="auto"/>
                <w:w w:val="95"/>
              </w:rPr>
              <w:t>Three months ended</w:t>
            </w:r>
          </w:p>
        </w:tc>
        <w:tc>
          <w:tcPr>
            <w:tcW w:w="1000" w:type="dxa"/>
            <w:vAlign w:val="bottom"/>
          </w:tcPr>
          <w:p>
            <w:pPr>
              <w:spacing w:after="0"/>
              <w:rPr>
                <w:sz w:val="19"/>
                <w:szCs w:val="19"/>
                <w:color w:val="auto"/>
              </w:rPr>
            </w:pPr>
          </w:p>
        </w:tc>
        <w:tc>
          <w:tcPr>
            <w:tcW w:w="2860" w:type="dxa"/>
            <w:vAlign w:val="bottom"/>
            <w:gridSpan w:val="3"/>
          </w:tcPr>
          <w:p>
            <w:pPr>
              <w:jc w:val="right"/>
              <w:ind w:right="712"/>
              <w:spacing w:after="0"/>
              <w:rPr>
                <w:sz w:val="20"/>
                <w:szCs w:val="20"/>
                <w:color w:val="auto"/>
              </w:rPr>
            </w:pPr>
            <w:r>
              <w:rPr>
                <w:rFonts w:ascii="Arial" w:cs="Arial" w:eastAsia="Arial" w:hAnsi="Arial"/>
                <w:sz w:val="18"/>
                <w:szCs w:val="18"/>
                <w:color w:val="auto"/>
              </w:rPr>
              <w:t>Nine months ended</w:t>
            </w:r>
          </w:p>
        </w:tc>
      </w:tr>
      <w:tr>
        <w:trPr>
          <w:trHeight w:val="110"/>
        </w:trPr>
        <w:tc>
          <w:tcPr>
            <w:tcW w:w="456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r>
      <w:tr>
        <w:trPr>
          <w:trHeight w:val="316"/>
        </w:trPr>
        <w:tc>
          <w:tcPr>
            <w:tcW w:w="4560" w:type="dxa"/>
            <w:vAlign w:val="bottom"/>
          </w:tcPr>
          <w:p>
            <w:pPr>
              <w:spacing w:after="0"/>
              <w:rPr>
                <w:sz w:val="24"/>
                <w:szCs w:val="24"/>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30.09.03</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w w:val="96"/>
              </w:rPr>
              <w:t>30.06.04</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w w:val="96"/>
              </w:rPr>
              <w:t>30.09.04</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w w:val="99"/>
              </w:rPr>
              <w:t>30.09.04</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w w:val="96"/>
              </w:rPr>
              <w:t>30.09.03</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w w:val="96"/>
              </w:rPr>
              <w:t>30.09.04</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w w:val="99"/>
              </w:rPr>
              <w:t>30.09.04</w:t>
            </w:r>
          </w:p>
        </w:tc>
      </w:tr>
      <w:tr>
        <w:trPr>
          <w:trHeight w:val="110"/>
        </w:trPr>
        <w:tc>
          <w:tcPr>
            <w:tcW w:w="45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r>
      <w:tr>
        <w:trPr>
          <w:trHeight w:val="309"/>
        </w:trPr>
        <w:tc>
          <w:tcPr>
            <w:tcW w:w="4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US$</w:t>
            </w: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US$</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Net interest income</w:t>
            </w:r>
          </w:p>
        </w:tc>
        <w:tc>
          <w:tcPr>
            <w:tcW w:w="1060" w:type="dxa"/>
            <w:vAlign w:val="bottom"/>
          </w:tcPr>
          <w:p>
            <w:pPr>
              <w:jc w:val="right"/>
              <w:spacing w:after="0"/>
              <w:rPr>
                <w:sz w:val="20"/>
                <w:szCs w:val="20"/>
                <w:color w:val="auto"/>
              </w:rPr>
            </w:pPr>
            <w:r>
              <w:rPr>
                <w:rFonts w:ascii="Arial" w:cs="Arial" w:eastAsia="Arial" w:hAnsi="Arial"/>
                <w:sz w:val="18"/>
                <w:szCs w:val="18"/>
                <w:color w:val="auto"/>
              </w:rPr>
              <w:t>310.6</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263.6</w:t>
            </w:r>
          </w:p>
        </w:tc>
        <w:tc>
          <w:tcPr>
            <w:tcW w:w="960" w:type="dxa"/>
            <w:vAlign w:val="bottom"/>
          </w:tcPr>
          <w:p>
            <w:pPr>
              <w:jc w:val="right"/>
              <w:spacing w:after="0"/>
              <w:rPr>
                <w:sz w:val="20"/>
                <w:szCs w:val="20"/>
                <w:color w:val="auto"/>
              </w:rPr>
            </w:pPr>
            <w:r>
              <w:rPr>
                <w:rFonts w:ascii="Arial" w:cs="Arial" w:eastAsia="Arial" w:hAnsi="Arial"/>
                <w:sz w:val="18"/>
                <w:szCs w:val="18"/>
                <w:color w:val="auto"/>
              </w:rPr>
              <w:t>260.6</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$78.0</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913.5</w:t>
            </w:r>
          </w:p>
        </w:tc>
        <w:tc>
          <w:tcPr>
            <w:tcW w:w="980" w:type="dxa"/>
            <w:vAlign w:val="bottom"/>
          </w:tcPr>
          <w:p>
            <w:pPr>
              <w:jc w:val="right"/>
              <w:spacing w:after="0"/>
              <w:rPr>
                <w:sz w:val="20"/>
                <w:szCs w:val="20"/>
                <w:color w:val="auto"/>
              </w:rPr>
            </w:pPr>
            <w:r>
              <w:rPr>
                <w:rFonts w:ascii="Arial" w:cs="Arial" w:eastAsia="Arial" w:hAnsi="Arial"/>
                <w:sz w:val="18"/>
                <w:szCs w:val="18"/>
                <w:color w:val="auto"/>
              </w:rPr>
              <w:t>791.9</w:t>
            </w:r>
          </w:p>
        </w:tc>
        <w:tc>
          <w:tcPr>
            <w:tcW w:w="900" w:type="dxa"/>
            <w:vAlign w:val="bottom"/>
          </w:tcPr>
          <w:p>
            <w:pPr>
              <w:jc w:val="right"/>
              <w:spacing w:after="0"/>
              <w:rPr>
                <w:sz w:val="20"/>
                <w:szCs w:val="20"/>
                <w:color w:val="auto"/>
              </w:rPr>
            </w:pPr>
            <w:r>
              <w:rPr>
                <w:rFonts w:ascii="Arial" w:cs="Arial" w:eastAsia="Arial" w:hAnsi="Arial"/>
                <w:sz w:val="18"/>
                <w:szCs w:val="18"/>
                <w:color w:val="auto"/>
              </w:rPr>
              <w:t>$236.9</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Provisions for loan losses, net</w:t>
            </w:r>
          </w:p>
        </w:tc>
        <w:tc>
          <w:tcPr>
            <w:tcW w:w="1060" w:type="dxa"/>
            <w:vAlign w:val="bottom"/>
          </w:tcPr>
          <w:p>
            <w:pPr>
              <w:jc w:val="right"/>
              <w:spacing w:after="0"/>
              <w:rPr>
                <w:sz w:val="20"/>
                <w:szCs w:val="20"/>
                <w:color w:val="auto"/>
              </w:rPr>
            </w:pPr>
            <w:r>
              <w:rPr>
                <w:rFonts w:ascii="Arial" w:cs="Arial" w:eastAsia="Arial" w:hAnsi="Arial"/>
                <w:sz w:val="18"/>
                <w:szCs w:val="18"/>
                <w:color w:val="auto"/>
              </w:rPr>
              <w:t>83.6</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20.6</w:t>
            </w:r>
          </w:p>
        </w:tc>
        <w:tc>
          <w:tcPr>
            <w:tcW w:w="960" w:type="dxa"/>
            <w:vAlign w:val="bottom"/>
          </w:tcPr>
          <w:p>
            <w:pPr>
              <w:jc w:val="right"/>
              <w:spacing w:after="0"/>
              <w:rPr>
                <w:sz w:val="20"/>
                <w:szCs w:val="20"/>
                <w:color w:val="auto"/>
              </w:rPr>
            </w:pPr>
            <w:r>
              <w:rPr>
                <w:rFonts w:ascii="Arial" w:cs="Arial" w:eastAsia="Arial" w:hAnsi="Arial"/>
                <w:sz w:val="18"/>
                <w:szCs w:val="18"/>
                <w:color w:val="auto"/>
              </w:rPr>
              <w:t>12.3</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277.0</w:t>
            </w:r>
          </w:p>
        </w:tc>
        <w:tc>
          <w:tcPr>
            <w:tcW w:w="980" w:type="dxa"/>
            <w:vAlign w:val="bottom"/>
          </w:tcPr>
          <w:p>
            <w:pPr>
              <w:jc w:val="right"/>
              <w:spacing w:after="0"/>
              <w:rPr>
                <w:sz w:val="20"/>
                <w:szCs w:val="20"/>
                <w:color w:val="auto"/>
              </w:rPr>
            </w:pPr>
            <w:r>
              <w:rPr>
                <w:rFonts w:ascii="Arial" w:cs="Arial" w:eastAsia="Arial" w:hAnsi="Arial"/>
                <w:sz w:val="18"/>
                <w:szCs w:val="18"/>
                <w:color w:val="auto"/>
              </w:rPr>
              <w:t>81.0</w:t>
            </w:r>
          </w:p>
        </w:tc>
        <w:tc>
          <w:tcPr>
            <w:tcW w:w="90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Other income</w:t>
            </w:r>
          </w:p>
        </w:tc>
        <w:tc>
          <w:tcPr>
            <w:tcW w:w="1060" w:type="dxa"/>
            <w:vAlign w:val="bottom"/>
          </w:tcPr>
          <w:p>
            <w:pPr>
              <w:jc w:val="right"/>
              <w:spacing w:after="0"/>
              <w:rPr>
                <w:sz w:val="20"/>
                <w:szCs w:val="20"/>
                <w:color w:val="auto"/>
              </w:rPr>
            </w:pPr>
            <w:r>
              <w:rPr>
                <w:rFonts w:ascii="Arial" w:cs="Arial" w:eastAsia="Arial" w:hAnsi="Arial"/>
                <w:sz w:val="18"/>
                <w:szCs w:val="18"/>
                <w:color w:val="auto"/>
              </w:rPr>
              <w:t>238.3</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205.8</w:t>
            </w:r>
          </w:p>
        </w:tc>
        <w:tc>
          <w:tcPr>
            <w:tcW w:w="960" w:type="dxa"/>
            <w:vAlign w:val="bottom"/>
          </w:tcPr>
          <w:p>
            <w:pPr>
              <w:jc w:val="right"/>
              <w:spacing w:after="0"/>
              <w:rPr>
                <w:sz w:val="20"/>
                <w:szCs w:val="20"/>
                <w:color w:val="auto"/>
              </w:rPr>
            </w:pPr>
            <w:r>
              <w:rPr>
                <w:rFonts w:ascii="Arial" w:cs="Arial" w:eastAsia="Arial" w:hAnsi="Arial"/>
                <w:sz w:val="18"/>
                <w:szCs w:val="18"/>
                <w:color w:val="auto"/>
              </w:rPr>
              <w:t>215.0</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$64.3</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726.5</w:t>
            </w:r>
          </w:p>
        </w:tc>
        <w:tc>
          <w:tcPr>
            <w:tcW w:w="980" w:type="dxa"/>
            <w:vAlign w:val="bottom"/>
          </w:tcPr>
          <w:p>
            <w:pPr>
              <w:jc w:val="right"/>
              <w:spacing w:after="0"/>
              <w:rPr>
                <w:sz w:val="20"/>
                <w:szCs w:val="20"/>
                <w:color w:val="auto"/>
              </w:rPr>
            </w:pPr>
            <w:r>
              <w:rPr>
                <w:rFonts w:ascii="Arial" w:cs="Arial" w:eastAsia="Arial" w:hAnsi="Arial"/>
                <w:sz w:val="18"/>
                <w:szCs w:val="18"/>
                <w:color w:val="auto"/>
              </w:rPr>
              <w:t>647.7</w:t>
            </w:r>
          </w:p>
        </w:tc>
        <w:tc>
          <w:tcPr>
            <w:tcW w:w="900" w:type="dxa"/>
            <w:vAlign w:val="bottom"/>
          </w:tcPr>
          <w:p>
            <w:pPr>
              <w:jc w:val="right"/>
              <w:spacing w:after="0"/>
              <w:rPr>
                <w:sz w:val="20"/>
                <w:szCs w:val="20"/>
                <w:color w:val="auto"/>
              </w:rPr>
            </w:pPr>
            <w:r>
              <w:rPr>
                <w:rFonts w:ascii="Arial" w:cs="Arial" w:eastAsia="Arial" w:hAnsi="Arial"/>
                <w:sz w:val="18"/>
                <w:szCs w:val="18"/>
                <w:color w:val="auto"/>
              </w:rPr>
              <w:t>$193.8</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Other expenses</w:t>
            </w:r>
          </w:p>
        </w:tc>
        <w:tc>
          <w:tcPr>
            <w:tcW w:w="1060" w:type="dxa"/>
            <w:vAlign w:val="bottom"/>
          </w:tcPr>
          <w:p>
            <w:pPr>
              <w:jc w:val="right"/>
              <w:spacing w:after="0"/>
              <w:rPr>
                <w:sz w:val="20"/>
                <w:szCs w:val="20"/>
                <w:color w:val="auto"/>
              </w:rPr>
            </w:pPr>
            <w:r>
              <w:rPr>
                <w:rFonts w:ascii="Arial" w:cs="Arial" w:eastAsia="Arial" w:hAnsi="Arial"/>
                <w:sz w:val="18"/>
                <w:szCs w:val="18"/>
                <w:color w:val="auto"/>
              </w:rPr>
              <w:t>310.5</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307.3</w:t>
            </w:r>
          </w:p>
        </w:tc>
        <w:tc>
          <w:tcPr>
            <w:tcW w:w="960" w:type="dxa"/>
            <w:vAlign w:val="bottom"/>
          </w:tcPr>
          <w:p>
            <w:pPr>
              <w:jc w:val="right"/>
              <w:spacing w:after="0"/>
              <w:rPr>
                <w:sz w:val="20"/>
                <w:szCs w:val="20"/>
                <w:color w:val="auto"/>
              </w:rPr>
            </w:pPr>
            <w:r>
              <w:rPr>
                <w:rFonts w:ascii="Arial" w:cs="Arial" w:eastAsia="Arial" w:hAnsi="Arial"/>
                <w:sz w:val="18"/>
                <w:szCs w:val="18"/>
                <w:color w:val="auto"/>
              </w:rPr>
              <w:t>304.3</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$91.1</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956.7</w:t>
            </w:r>
          </w:p>
        </w:tc>
        <w:tc>
          <w:tcPr>
            <w:tcW w:w="980" w:type="dxa"/>
            <w:vAlign w:val="bottom"/>
          </w:tcPr>
          <w:p>
            <w:pPr>
              <w:jc w:val="right"/>
              <w:spacing w:after="0"/>
              <w:rPr>
                <w:sz w:val="20"/>
                <w:szCs w:val="20"/>
                <w:color w:val="auto"/>
              </w:rPr>
            </w:pPr>
            <w:r>
              <w:rPr>
                <w:rFonts w:ascii="Arial" w:cs="Arial" w:eastAsia="Arial" w:hAnsi="Arial"/>
                <w:sz w:val="18"/>
                <w:szCs w:val="18"/>
                <w:color w:val="auto"/>
              </w:rPr>
              <w:t>918.9</w:t>
            </w:r>
          </w:p>
        </w:tc>
        <w:tc>
          <w:tcPr>
            <w:tcW w:w="900" w:type="dxa"/>
            <w:vAlign w:val="bottom"/>
          </w:tcPr>
          <w:p>
            <w:pPr>
              <w:jc w:val="right"/>
              <w:spacing w:after="0"/>
              <w:rPr>
                <w:sz w:val="20"/>
                <w:szCs w:val="20"/>
                <w:color w:val="auto"/>
              </w:rPr>
            </w:pPr>
            <w:r>
              <w:rPr>
                <w:rFonts w:ascii="Arial" w:cs="Arial" w:eastAsia="Arial" w:hAnsi="Arial"/>
                <w:sz w:val="18"/>
                <w:szCs w:val="18"/>
                <w:color w:val="auto"/>
              </w:rPr>
              <w:t>$275.0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Merger costs</w:t>
            </w:r>
          </w:p>
        </w:tc>
        <w:tc>
          <w:tcPr>
            <w:tcW w:w="1060" w:type="dxa"/>
            <w:vAlign w:val="bottom"/>
          </w:tcPr>
          <w:p>
            <w:pPr>
              <w:jc w:val="right"/>
              <w:spacing w:after="0"/>
              <w:rPr>
                <w:sz w:val="20"/>
                <w:szCs w:val="20"/>
                <w:color w:val="auto"/>
              </w:rPr>
            </w:pPr>
            <w:r>
              <w:rPr>
                <w:rFonts w:ascii="Arial" w:cs="Arial" w:eastAsia="Arial" w:hAnsi="Arial"/>
                <w:sz w:val="18"/>
                <w:szCs w:val="18"/>
                <w:color w:val="auto"/>
              </w:rPr>
              <w:t>0.0</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64.3</w:t>
            </w:r>
          </w:p>
        </w:tc>
        <w:tc>
          <w:tcPr>
            <w:tcW w:w="980" w:type="dxa"/>
            <w:vAlign w:val="bottom"/>
          </w:tcPr>
          <w:p>
            <w:pPr>
              <w:jc w:val="right"/>
              <w:spacing w:after="0"/>
              <w:rPr>
                <w:sz w:val="20"/>
                <w:szCs w:val="20"/>
                <w:color w:val="auto"/>
              </w:rPr>
            </w:pPr>
            <w:r>
              <w:rPr>
                <w:rFonts w:ascii="Arial" w:cs="Arial" w:eastAsia="Arial" w:hAnsi="Arial"/>
                <w:sz w:val="18"/>
                <w:szCs w:val="18"/>
                <w:color w:val="auto"/>
              </w:rPr>
              <w:t>13.2</w:t>
            </w: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Result from exposure to inflation</w:t>
            </w:r>
          </w:p>
        </w:tc>
        <w:tc>
          <w:tcPr>
            <w:tcW w:w="1060" w:type="dxa"/>
            <w:vAlign w:val="bottom"/>
          </w:tcPr>
          <w:p>
            <w:pPr>
              <w:jc w:val="right"/>
              <w:spacing w:after="0"/>
              <w:rPr>
                <w:sz w:val="20"/>
                <w:szCs w:val="20"/>
                <w:color w:val="auto"/>
              </w:rPr>
            </w:pPr>
            <w:r>
              <w:rPr>
                <w:rFonts w:ascii="Arial" w:cs="Arial" w:eastAsia="Arial" w:hAnsi="Arial"/>
                <w:sz w:val="18"/>
                <w:szCs w:val="18"/>
                <w:color w:val="auto"/>
              </w:rPr>
              <w:t>0.7</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(16.8)</w:t>
            </w:r>
          </w:p>
        </w:tc>
        <w:tc>
          <w:tcPr>
            <w:tcW w:w="960" w:type="dxa"/>
            <w:vAlign w:val="bottom"/>
          </w:tcPr>
          <w:p>
            <w:pPr>
              <w:jc w:val="right"/>
              <w:spacing w:after="0"/>
              <w:rPr>
                <w:sz w:val="20"/>
                <w:szCs w:val="20"/>
                <w:color w:val="auto"/>
              </w:rPr>
            </w:pPr>
            <w:r>
              <w:rPr>
                <w:rFonts w:ascii="Arial" w:cs="Arial" w:eastAsia="Arial" w:hAnsi="Arial"/>
                <w:sz w:val="18"/>
                <w:szCs w:val="18"/>
                <w:color w:val="auto"/>
              </w:rPr>
              <w:t>(53.6)</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($16.0)</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(21.8)</w:t>
            </w:r>
          </w:p>
        </w:tc>
        <w:tc>
          <w:tcPr>
            <w:tcW w:w="980" w:type="dxa"/>
            <w:vAlign w:val="bottom"/>
          </w:tcPr>
          <w:p>
            <w:pPr>
              <w:jc w:val="right"/>
              <w:spacing w:after="0"/>
              <w:rPr>
                <w:sz w:val="20"/>
                <w:szCs w:val="20"/>
                <w:color w:val="auto"/>
              </w:rPr>
            </w:pPr>
            <w:r>
              <w:rPr>
                <w:rFonts w:ascii="Arial" w:cs="Arial" w:eastAsia="Arial" w:hAnsi="Arial"/>
                <w:sz w:val="18"/>
                <w:szCs w:val="18"/>
                <w:color w:val="auto"/>
              </w:rPr>
              <w:t>(106.0)</w:t>
            </w:r>
          </w:p>
        </w:tc>
        <w:tc>
          <w:tcPr>
            <w:tcW w:w="90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426"/>
        </w:trPr>
        <w:tc>
          <w:tcPr>
            <w:tcW w:w="4560" w:type="dxa"/>
            <w:vAlign w:val="bottom"/>
          </w:tcPr>
          <w:p>
            <w:pPr>
              <w:spacing w:after="0"/>
              <w:rPr>
                <w:sz w:val="20"/>
                <w:szCs w:val="20"/>
                <w:color w:val="auto"/>
              </w:rPr>
            </w:pPr>
            <w:r>
              <w:rPr>
                <w:rFonts w:ascii="Arial" w:cs="Arial" w:eastAsia="Arial" w:hAnsi="Arial"/>
                <w:sz w:val="18"/>
                <w:szCs w:val="18"/>
                <w:color w:val="auto"/>
              </w:rPr>
              <w:t>Income before income tax</w:t>
            </w:r>
          </w:p>
        </w:tc>
        <w:tc>
          <w:tcPr>
            <w:tcW w:w="1060" w:type="dxa"/>
            <w:vAlign w:val="bottom"/>
          </w:tcPr>
          <w:p>
            <w:pPr>
              <w:jc w:val="right"/>
              <w:spacing w:after="0"/>
              <w:rPr>
                <w:sz w:val="20"/>
                <w:szCs w:val="20"/>
                <w:color w:val="auto"/>
              </w:rPr>
            </w:pPr>
            <w:r>
              <w:rPr>
                <w:rFonts w:ascii="Arial" w:cs="Arial" w:eastAsia="Arial" w:hAnsi="Arial"/>
                <w:sz w:val="18"/>
                <w:szCs w:val="18"/>
                <w:color w:val="auto"/>
              </w:rPr>
              <w:t>155.5</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119.8</w:t>
            </w:r>
          </w:p>
        </w:tc>
        <w:tc>
          <w:tcPr>
            <w:tcW w:w="960" w:type="dxa"/>
            <w:vAlign w:val="bottom"/>
          </w:tcPr>
          <w:p>
            <w:pPr>
              <w:jc w:val="right"/>
              <w:spacing w:after="0"/>
              <w:rPr>
                <w:sz w:val="20"/>
                <w:szCs w:val="20"/>
                <w:color w:val="auto"/>
              </w:rPr>
            </w:pPr>
            <w:r>
              <w:rPr>
                <w:rFonts w:ascii="Arial" w:cs="Arial" w:eastAsia="Arial" w:hAnsi="Arial"/>
                <w:sz w:val="18"/>
                <w:szCs w:val="18"/>
                <w:color w:val="auto"/>
              </w:rPr>
              <w:t>103.5</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$31.0</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320.1</w:t>
            </w:r>
          </w:p>
        </w:tc>
        <w:tc>
          <w:tcPr>
            <w:tcW w:w="980" w:type="dxa"/>
            <w:vAlign w:val="bottom"/>
          </w:tcPr>
          <w:p>
            <w:pPr>
              <w:jc w:val="right"/>
              <w:spacing w:after="0"/>
              <w:rPr>
                <w:sz w:val="20"/>
                <w:szCs w:val="20"/>
                <w:color w:val="auto"/>
              </w:rPr>
            </w:pPr>
            <w:r>
              <w:rPr>
                <w:rFonts w:ascii="Arial" w:cs="Arial" w:eastAsia="Arial" w:hAnsi="Arial"/>
                <w:sz w:val="18"/>
                <w:szCs w:val="18"/>
                <w:color w:val="auto"/>
              </w:rPr>
              <w:t>320.4</w:t>
            </w:r>
          </w:p>
        </w:tc>
        <w:tc>
          <w:tcPr>
            <w:tcW w:w="900" w:type="dxa"/>
            <w:vAlign w:val="bottom"/>
          </w:tcPr>
          <w:p>
            <w:pPr>
              <w:jc w:val="right"/>
              <w:spacing w:after="0"/>
              <w:rPr>
                <w:sz w:val="20"/>
                <w:szCs w:val="20"/>
                <w:color w:val="auto"/>
              </w:rPr>
            </w:pPr>
            <w:r>
              <w:rPr>
                <w:rFonts w:ascii="Arial" w:cs="Arial" w:eastAsia="Arial" w:hAnsi="Arial"/>
                <w:sz w:val="18"/>
                <w:szCs w:val="18"/>
                <w:color w:val="auto"/>
              </w:rPr>
              <w:t>$95.9</w:t>
            </w: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Income Tax</w:t>
            </w:r>
          </w:p>
        </w:tc>
        <w:tc>
          <w:tcPr>
            <w:tcW w:w="1060" w:type="dxa"/>
            <w:vAlign w:val="bottom"/>
          </w:tcPr>
          <w:p>
            <w:pPr>
              <w:jc w:val="right"/>
              <w:spacing w:after="0"/>
              <w:rPr>
                <w:sz w:val="20"/>
                <w:szCs w:val="20"/>
                <w:color w:val="auto"/>
              </w:rPr>
            </w:pPr>
            <w:r>
              <w:rPr>
                <w:rFonts w:ascii="Arial" w:cs="Arial" w:eastAsia="Arial" w:hAnsi="Arial"/>
                <w:sz w:val="18"/>
                <w:szCs w:val="18"/>
                <w:color w:val="auto"/>
              </w:rPr>
              <w:t>42.9</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37.4</w:t>
            </w:r>
          </w:p>
        </w:tc>
        <w:tc>
          <w:tcPr>
            <w:tcW w:w="960" w:type="dxa"/>
            <w:vAlign w:val="bottom"/>
          </w:tcPr>
          <w:p>
            <w:pPr>
              <w:jc w:val="right"/>
              <w:spacing w:after="0"/>
              <w:rPr>
                <w:sz w:val="20"/>
                <w:szCs w:val="20"/>
                <w:color w:val="auto"/>
              </w:rPr>
            </w:pPr>
            <w:r>
              <w:rPr>
                <w:rFonts w:ascii="Arial" w:cs="Arial" w:eastAsia="Arial" w:hAnsi="Arial"/>
                <w:sz w:val="18"/>
                <w:szCs w:val="18"/>
                <w:color w:val="auto"/>
              </w:rPr>
              <w:t>33.6</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88.1</w:t>
            </w:r>
          </w:p>
        </w:tc>
        <w:tc>
          <w:tcPr>
            <w:tcW w:w="980" w:type="dxa"/>
            <w:vAlign w:val="bottom"/>
          </w:tcPr>
          <w:p>
            <w:pPr>
              <w:jc w:val="right"/>
              <w:spacing w:after="0"/>
              <w:rPr>
                <w:sz w:val="20"/>
                <w:szCs w:val="20"/>
                <w:color w:val="auto"/>
              </w:rPr>
            </w:pPr>
            <w:r>
              <w:rPr>
                <w:rFonts w:ascii="Arial" w:cs="Arial" w:eastAsia="Arial" w:hAnsi="Arial"/>
                <w:sz w:val="18"/>
                <w:szCs w:val="18"/>
                <w:color w:val="auto"/>
              </w:rPr>
              <w:t>99.6</w:t>
            </w:r>
          </w:p>
        </w:tc>
        <w:tc>
          <w:tcPr>
            <w:tcW w:w="90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426"/>
        </w:trPr>
        <w:tc>
          <w:tcPr>
            <w:tcW w:w="4560" w:type="dxa"/>
            <w:vAlign w:val="bottom"/>
          </w:tcPr>
          <w:p>
            <w:pPr>
              <w:spacing w:after="0"/>
              <w:rPr>
                <w:sz w:val="20"/>
                <w:szCs w:val="20"/>
                <w:color w:val="auto"/>
              </w:rPr>
            </w:pPr>
            <w:r>
              <w:rPr>
                <w:rFonts w:ascii="Arial" w:cs="Arial" w:eastAsia="Arial" w:hAnsi="Arial"/>
                <w:sz w:val="18"/>
                <w:szCs w:val="18"/>
                <w:color w:val="auto"/>
              </w:rPr>
              <w:t>Net Income</w:t>
            </w:r>
          </w:p>
        </w:tc>
        <w:tc>
          <w:tcPr>
            <w:tcW w:w="1060" w:type="dxa"/>
            <w:vAlign w:val="bottom"/>
          </w:tcPr>
          <w:p>
            <w:pPr>
              <w:jc w:val="right"/>
              <w:spacing w:after="0"/>
              <w:rPr>
                <w:sz w:val="20"/>
                <w:szCs w:val="20"/>
                <w:color w:val="auto"/>
              </w:rPr>
            </w:pPr>
            <w:r>
              <w:rPr>
                <w:rFonts w:ascii="Arial" w:cs="Arial" w:eastAsia="Arial" w:hAnsi="Arial"/>
                <w:sz w:val="18"/>
                <w:szCs w:val="18"/>
                <w:color w:val="auto"/>
              </w:rPr>
              <w:t>112.6</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82.5</w:t>
            </w:r>
          </w:p>
        </w:tc>
        <w:tc>
          <w:tcPr>
            <w:tcW w:w="960" w:type="dxa"/>
            <w:vAlign w:val="bottom"/>
          </w:tcPr>
          <w:p>
            <w:pPr>
              <w:jc w:val="right"/>
              <w:spacing w:after="0"/>
              <w:rPr>
                <w:sz w:val="20"/>
                <w:szCs w:val="20"/>
                <w:color w:val="auto"/>
              </w:rPr>
            </w:pPr>
            <w:r>
              <w:rPr>
                <w:rFonts w:ascii="Arial" w:cs="Arial" w:eastAsia="Arial" w:hAnsi="Arial"/>
                <w:sz w:val="18"/>
                <w:szCs w:val="18"/>
                <w:color w:val="auto"/>
              </w:rPr>
              <w:t>69.9</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$20.9</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232.1</w:t>
            </w:r>
          </w:p>
        </w:tc>
        <w:tc>
          <w:tcPr>
            <w:tcW w:w="980" w:type="dxa"/>
            <w:vAlign w:val="bottom"/>
          </w:tcPr>
          <w:p>
            <w:pPr>
              <w:jc w:val="right"/>
              <w:spacing w:after="0"/>
              <w:rPr>
                <w:sz w:val="20"/>
                <w:szCs w:val="20"/>
                <w:color w:val="auto"/>
              </w:rPr>
            </w:pPr>
            <w:r>
              <w:rPr>
                <w:rFonts w:ascii="Arial" w:cs="Arial" w:eastAsia="Arial" w:hAnsi="Arial"/>
                <w:sz w:val="18"/>
                <w:szCs w:val="18"/>
                <w:color w:val="auto"/>
              </w:rPr>
              <w:t>220.8</w:t>
            </w:r>
          </w:p>
        </w:tc>
        <w:tc>
          <w:tcPr>
            <w:tcW w:w="900" w:type="dxa"/>
            <w:vAlign w:val="bottom"/>
          </w:tcPr>
          <w:p>
            <w:pPr>
              <w:jc w:val="right"/>
              <w:spacing w:after="0"/>
              <w:rPr>
                <w:sz w:val="20"/>
                <w:szCs w:val="20"/>
                <w:color w:val="auto"/>
              </w:rPr>
            </w:pPr>
            <w:r>
              <w:rPr>
                <w:rFonts w:ascii="Arial" w:cs="Arial" w:eastAsia="Arial" w:hAnsi="Arial"/>
                <w:sz w:val="18"/>
                <w:szCs w:val="18"/>
                <w:color w:val="auto"/>
              </w:rPr>
              <w:t>$66.1</w:t>
            </w: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Net Income per share (2)</w:t>
            </w:r>
          </w:p>
        </w:tc>
        <w:tc>
          <w:tcPr>
            <w:tcW w:w="1060" w:type="dxa"/>
            <w:vAlign w:val="bottom"/>
          </w:tcPr>
          <w:p>
            <w:pPr>
              <w:jc w:val="right"/>
              <w:spacing w:after="0"/>
              <w:rPr>
                <w:sz w:val="20"/>
                <w:szCs w:val="20"/>
                <w:color w:val="auto"/>
              </w:rPr>
            </w:pPr>
            <w:r>
              <w:rPr>
                <w:rFonts w:ascii="Arial" w:cs="Arial" w:eastAsia="Arial" w:hAnsi="Arial"/>
                <w:sz w:val="18"/>
                <w:szCs w:val="18"/>
                <w:color w:val="auto"/>
              </w:rPr>
              <w:t>0.09</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0.07</w:t>
            </w:r>
          </w:p>
        </w:tc>
        <w:tc>
          <w:tcPr>
            <w:tcW w:w="960" w:type="dxa"/>
            <w:vAlign w:val="bottom"/>
          </w:tcPr>
          <w:p>
            <w:pPr>
              <w:jc w:val="right"/>
              <w:spacing w:after="0"/>
              <w:rPr>
                <w:sz w:val="20"/>
                <w:szCs w:val="20"/>
                <w:color w:val="auto"/>
              </w:rPr>
            </w:pPr>
            <w:r>
              <w:rPr>
                <w:rFonts w:ascii="Arial" w:cs="Arial" w:eastAsia="Arial" w:hAnsi="Arial"/>
                <w:sz w:val="18"/>
                <w:szCs w:val="18"/>
                <w:color w:val="auto"/>
              </w:rPr>
              <w:t>0.06</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$0.02</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0.19</w:t>
            </w:r>
          </w:p>
        </w:tc>
        <w:tc>
          <w:tcPr>
            <w:tcW w:w="980" w:type="dxa"/>
            <w:vAlign w:val="bottom"/>
          </w:tcPr>
          <w:p>
            <w:pPr>
              <w:jc w:val="right"/>
              <w:spacing w:after="0"/>
              <w:rPr>
                <w:sz w:val="20"/>
                <w:szCs w:val="20"/>
                <w:color w:val="auto"/>
              </w:rPr>
            </w:pPr>
            <w:r>
              <w:rPr>
                <w:rFonts w:ascii="Arial" w:cs="Arial" w:eastAsia="Arial" w:hAnsi="Arial"/>
                <w:sz w:val="18"/>
                <w:szCs w:val="18"/>
                <w:color w:val="auto"/>
              </w:rPr>
              <w:t>0.18</w:t>
            </w:r>
          </w:p>
        </w:tc>
        <w:tc>
          <w:tcPr>
            <w:tcW w:w="900" w:type="dxa"/>
            <w:vAlign w:val="bottom"/>
          </w:tcPr>
          <w:p>
            <w:pPr>
              <w:jc w:val="right"/>
              <w:spacing w:after="0"/>
              <w:rPr>
                <w:sz w:val="20"/>
                <w:szCs w:val="20"/>
                <w:color w:val="auto"/>
              </w:rPr>
            </w:pPr>
            <w:r>
              <w:rPr>
                <w:rFonts w:ascii="Arial" w:cs="Arial" w:eastAsia="Arial" w:hAnsi="Arial"/>
                <w:sz w:val="18"/>
                <w:szCs w:val="18"/>
                <w:color w:val="auto"/>
              </w:rPr>
              <w:t>$0.05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580" w:right="4760" w:hanging="572"/>
        <w:spacing w:after="0" w:line="286"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Financial statements prepared according to Peruvian GAAP. The financial information is in constant soles as of September 30, 2004. Figures in US$ have been translated</w:t>
      </w:r>
    </w:p>
    <w:p>
      <w:pPr>
        <w:ind w:left="580"/>
        <w:spacing w:after="0"/>
        <w:rPr>
          <w:rFonts w:ascii="Arial" w:cs="Arial" w:eastAsia="Arial" w:hAnsi="Arial"/>
          <w:sz w:val="16"/>
          <w:szCs w:val="16"/>
          <w:color w:val="auto"/>
        </w:rPr>
      </w:pPr>
      <w:r>
        <w:rPr>
          <w:rFonts w:ascii="Arial" w:cs="Arial" w:eastAsia="Arial" w:hAnsi="Arial"/>
          <w:sz w:val="18"/>
          <w:szCs w:val="18"/>
          <w:color w:val="auto"/>
        </w:rPr>
        <w:t>at the exchange rate of S/.3.342 to the dollar.</w:t>
      </w:r>
    </w:p>
    <w:p>
      <w:pPr>
        <w:spacing w:after="0" w:line="9" w:lineRule="exact"/>
        <w:rPr>
          <w:rFonts w:ascii="Arial" w:cs="Arial" w:eastAsia="Arial" w:hAnsi="Arial"/>
          <w:sz w:val="16"/>
          <w:szCs w:val="16"/>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1,226 million outstanding shares in all periods.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II.2 NET INTEREST INCOME</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Interest income, net of interest payments, in the third quarter of 2004 reached S/.260.6 million (US$77.8 million), lower compared to S/.310.6 million (US$92.9 million) net interest income in the same period of last year, but it remained similar to net interest income in the preceding second quarter of 2004. Decreased net interest income is mostly due to continuous fall in average interest earning assets, together with lower net interest margins.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Average interest earning assets reached S/.20,614 million (US$6,168 million) during third quarter 2004, a decline of 5.2% comparing with the third quarter of last year, while they are 0.6% lower than average assets in second quarter 2004. In the current quarter BCP continued its persistent excess liquidity environment in both local and foreign currencies.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third quarter of 2004, the net interest margin was 5.06%, slightly under 5.08% in the preceding second quarter, but declines from 5.71% during the third quarter of 2003. During the current quarter the margin declined, with mostly stable local currency loan and deposit rates, while foreign currency loan and deposit rates increased approximately one hundred basis points.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II.3 NON-INTEREST INCOME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Non-interest income, which include fee revenue and other non-interest items, in the third quarter of 2004 amounted to S/.215.0 million (US$64.3 million), lower than S/.238.3 million (US$71.3 million) earned during the same period of 2003, mostly due to decreased Other income caption, mainly due to declining recoveries of charged-off accounts and income from services to third parties.</w:t>
      </w:r>
    </w:p>
    <w:p>
      <w:pPr>
        <w:spacing w:after="0" w:line="19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the third quarter of 2004, fees from banking services amounted to S/.163.2 million (US$48.8 million), 6.7% lower than in the same period of 2003, due to lower revenue in various concepts related to declining accounts’ transaction volume due to the tax on financial transactions. In the quarter, fees on the most important banking services had the following growth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197485</wp:posOffset>
            </wp:positionV>
            <wp:extent cx="50685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222"/>
        </w:trPr>
        <w:tc>
          <w:tcPr>
            <w:tcW w:w="2620" w:type="dxa"/>
            <w:vAlign w:val="bottom"/>
          </w:tcPr>
          <w:p>
            <w:pPr>
              <w:spacing w:after="0"/>
              <w:rPr>
                <w:sz w:val="20"/>
                <w:szCs w:val="20"/>
                <w:color w:val="auto"/>
              </w:rPr>
            </w:pPr>
            <w:r>
              <w:rPr>
                <w:rFonts w:ascii="Arial" w:cs="Arial" w:eastAsia="Arial" w:hAnsi="Arial"/>
                <w:sz w:val="18"/>
                <w:szCs w:val="18"/>
                <w:color w:val="auto"/>
              </w:rPr>
              <w:t>(In constant S/. Mn.)</w:t>
            </w:r>
          </w:p>
        </w:tc>
        <w:tc>
          <w:tcPr>
            <w:tcW w:w="2460" w:type="dxa"/>
            <w:vAlign w:val="bottom"/>
          </w:tcPr>
          <w:p>
            <w:pPr>
              <w:jc w:val="right"/>
              <w:ind w:right="812"/>
              <w:spacing w:after="0"/>
              <w:rPr>
                <w:sz w:val="20"/>
                <w:szCs w:val="20"/>
                <w:color w:val="auto"/>
              </w:rPr>
            </w:pPr>
            <w:r>
              <w:rPr>
                <w:rFonts w:ascii="Arial" w:cs="Arial" w:eastAsia="Arial" w:hAnsi="Arial"/>
                <w:sz w:val="18"/>
                <w:szCs w:val="18"/>
                <w:color w:val="auto"/>
              </w:rPr>
              <w:t>3Q03</w:t>
            </w:r>
          </w:p>
        </w:tc>
        <w:tc>
          <w:tcPr>
            <w:tcW w:w="1580" w:type="dxa"/>
            <w:vAlign w:val="bottom"/>
          </w:tcPr>
          <w:p>
            <w:pPr>
              <w:jc w:val="right"/>
              <w:ind w:right="812"/>
              <w:spacing w:after="0"/>
              <w:rPr>
                <w:sz w:val="20"/>
                <w:szCs w:val="20"/>
                <w:color w:val="auto"/>
              </w:rPr>
            </w:pPr>
            <w:r>
              <w:rPr>
                <w:rFonts w:ascii="Arial" w:cs="Arial" w:eastAsia="Arial" w:hAnsi="Arial"/>
                <w:sz w:val="18"/>
                <w:szCs w:val="18"/>
                <w:color w:val="auto"/>
              </w:rPr>
              <w:t>3Q04</w:t>
            </w:r>
          </w:p>
        </w:tc>
        <w:tc>
          <w:tcPr>
            <w:tcW w:w="1320" w:type="dxa"/>
            <w:vAlign w:val="bottom"/>
          </w:tcPr>
          <w:p>
            <w:pPr>
              <w:jc w:val="right"/>
              <w:ind w:right="432"/>
              <w:spacing w:after="0"/>
              <w:rPr>
                <w:sz w:val="20"/>
                <w:szCs w:val="20"/>
                <w:color w:val="auto"/>
              </w:rPr>
            </w:pPr>
            <w:r>
              <w:rPr>
                <w:rFonts w:ascii="Arial" w:cs="Arial" w:eastAsia="Arial" w:hAnsi="Arial"/>
                <w:sz w:val="18"/>
                <w:szCs w:val="18"/>
                <w:color w:val="auto"/>
              </w:rPr>
              <w:t>Growth</w:t>
            </w:r>
          </w:p>
        </w:tc>
      </w:tr>
      <w:tr>
        <w:trPr>
          <w:trHeight w:val="110"/>
        </w:trPr>
        <w:tc>
          <w:tcPr>
            <w:tcW w:w="2620" w:type="dxa"/>
            <w:vAlign w:val="bottom"/>
            <w:tcBorders>
              <w:bottom w:val="single" w:sz="8" w:color="auto"/>
            </w:tcBorders>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r>
      <w:tr>
        <w:trPr>
          <w:trHeight w:val="309"/>
        </w:trPr>
        <w:tc>
          <w:tcPr>
            <w:tcW w:w="2620" w:type="dxa"/>
            <w:vAlign w:val="bottom"/>
          </w:tcPr>
          <w:p>
            <w:pPr>
              <w:spacing w:after="0"/>
              <w:rPr>
                <w:sz w:val="20"/>
                <w:szCs w:val="20"/>
                <w:color w:val="auto"/>
              </w:rPr>
            </w:pPr>
            <w:r>
              <w:rPr>
                <w:rFonts w:ascii="Arial" w:cs="Arial" w:eastAsia="Arial" w:hAnsi="Arial"/>
                <w:sz w:val="18"/>
                <w:szCs w:val="18"/>
                <w:color w:val="auto"/>
              </w:rPr>
              <w:t>Savings accounts</w:t>
            </w:r>
          </w:p>
        </w:tc>
        <w:tc>
          <w:tcPr>
            <w:tcW w:w="2460" w:type="dxa"/>
            <w:vAlign w:val="bottom"/>
          </w:tcPr>
          <w:p>
            <w:pPr>
              <w:jc w:val="right"/>
              <w:ind w:right="192"/>
              <w:spacing w:after="0"/>
              <w:rPr>
                <w:sz w:val="20"/>
                <w:szCs w:val="20"/>
                <w:color w:val="auto"/>
              </w:rPr>
            </w:pPr>
            <w:r>
              <w:rPr>
                <w:rFonts w:ascii="Arial" w:cs="Arial" w:eastAsia="Arial" w:hAnsi="Arial"/>
                <w:sz w:val="18"/>
                <w:szCs w:val="18"/>
                <w:color w:val="auto"/>
              </w:rPr>
              <w:t>22.9</w:t>
            </w:r>
          </w:p>
        </w:tc>
        <w:tc>
          <w:tcPr>
            <w:tcW w:w="1580" w:type="dxa"/>
            <w:vAlign w:val="bottom"/>
          </w:tcPr>
          <w:p>
            <w:pPr>
              <w:jc w:val="right"/>
              <w:ind w:right="172"/>
              <w:spacing w:after="0"/>
              <w:rPr>
                <w:sz w:val="20"/>
                <w:szCs w:val="20"/>
                <w:color w:val="auto"/>
              </w:rPr>
            </w:pPr>
            <w:r>
              <w:rPr>
                <w:rFonts w:ascii="Arial" w:cs="Arial" w:eastAsia="Arial" w:hAnsi="Arial"/>
                <w:sz w:val="18"/>
                <w:szCs w:val="18"/>
                <w:color w:val="auto"/>
              </w:rPr>
              <w:t>19.7</w:t>
            </w:r>
          </w:p>
        </w:tc>
        <w:tc>
          <w:tcPr>
            <w:tcW w:w="13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Demand deposits</w:t>
            </w:r>
          </w:p>
        </w:tc>
        <w:tc>
          <w:tcPr>
            <w:tcW w:w="2460" w:type="dxa"/>
            <w:vAlign w:val="bottom"/>
          </w:tcPr>
          <w:p>
            <w:pPr>
              <w:jc w:val="right"/>
              <w:ind w:right="192"/>
              <w:spacing w:after="0"/>
              <w:rPr>
                <w:sz w:val="20"/>
                <w:szCs w:val="20"/>
                <w:color w:val="auto"/>
              </w:rPr>
            </w:pPr>
            <w:r>
              <w:rPr>
                <w:rFonts w:ascii="Arial" w:cs="Arial" w:eastAsia="Arial" w:hAnsi="Arial"/>
                <w:sz w:val="18"/>
                <w:szCs w:val="18"/>
                <w:color w:val="auto"/>
              </w:rPr>
              <w:t>21.7</w:t>
            </w:r>
          </w:p>
        </w:tc>
        <w:tc>
          <w:tcPr>
            <w:tcW w:w="1580" w:type="dxa"/>
            <w:vAlign w:val="bottom"/>
          </w:tcPr>
          <w:p>
            <w:pPr>
              <w:jc w:val="right"/>
              <w:ind w:right="172"/>
              <w:spacing w:after="0"/>
              <w:rPr>
                <w:sz w:val="20"/>
                <w:szCs w:val="20"/>
                <w:color w:val="auto"/>
              </w:rPr>
            </w:pPr>
            <w:r>
              <w:rPr>
                <w:rFonts w:ascii="Arial" w:cs="Arial" w:eastAsia="Arial" w:hAnsi="Arial"/>
                <w:sz w:val="18"/>
                <w:szCs w:val="18"/>
                <w:color w:val="auto"/>
              </w:rPr>
              <w:t>22.1</w:t>
            </w:r>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2"/>
        </w:trPr>
        <w:tc>
          <w:tcPr>
            <w:tcW w:w="2620" w:type="dxa"/>
            <w:vAlign w:val="bottom"/>
          </w:tcPr>
          <w:p>
            <w:pPr>
              <w:spacing w:after="0"/>
              <w:rPr>
                <w:sz w:val="20"/>
                <w:szCs w:val="20"/>
                <w:color w:val="auto"/>
              </w:rPr>
            </w:pPr>
            <w:r>
              <w:rPr>
                <w:rFonts w:ascii="Arial" w:cs="Arial" w:eastAsia="Arial" w:hAnsi="Arial"/>
                <w:sz w:val="18"/>
                <w:szCs w:val="18"/>
                <w:color w:val="auto"/>
              </w:rPr>
              <w:t>Credit cards</w:t>
            </w:r>
          </w:p>
        </w:tc>
        <w:tc>
          <w:tcPr>
            <w:tcW w:w="2460" w:type="dxa"/>
            <w:vAlign w:val="bottom"/>
          </w:tcPr>
          <w:p>
            <w:pPr>
              <w:jc w:val="right"/>
              <w:ind w:right="192"/>
              <w:spacing w:after="0"/>
              <w:rPr>
                <w:sz w:val="20"/>
                <w:szCs w:val="20"/>
                <w:color w:val="auto"/>
              </w:rPr>
            </w:pPr>
            <w:r>
              <w:rPr>
                <w:rFonts w:ascii="Arial" w:cs="Arial" w:eastAsia="Arial" w:hAnsi="Arial"/>
                <w:sz w:val="18"/>
                <w:szCs w:val="18"/>
                <w:color w:val="auto"/>
              </w:rPr>
              <w:t>21.6</w:t>
            </w:r>
          </w:p>
        </w:tc>
        <w:tc>
          <w:tcPr>
            <w:tcW w:w="1580" w:type="dxa"/>
            <w:vAlign w:val="bottom"/>
          </w:tcPr>
          <w:p>
            <w:pPr>
              <w:jc w:val="right"/>
              <w:ind w:right="172"/>
              <w:spacing w:after="0"/>
              <w:rPr>
                <w:sz w:val="20"/>
                <w:szCs w:val="20"/>
                <w:color w:val="auto"/>
              </w:rPr>
            </w:pPr>
            <w:r>
              <w:rPr>
                <w:rFonts w:ascii="Arial" w:cs="Arial" w:eastAsia="Arial" w:hAnsi="Arial"/>
                <w:sz w:val="18"/>
                <w:szCs w:val="18"/>
                <w:color w:val="auto"/>
              </w:rPr>
              <w:t>20.5</w:t>
            </w:r>
          </w:p>
        </w:tc>
        <w:tc>
          <w:tcPr>
            <w:tcW w:w="1320" w:type="dxa"/>
            <w:vAlign w:val="bottom"/>
          </w:tcPr>
          <w:p>
            <w:pPr>
              <w:jc w:val="right"/>
              <w:spacing w:after="0"/>
              <w:rPr>
                <w:sz w:val="20"/>
                <w:szCs w:val="20"/>
                <w:color w:val="auto"/>
              </w:rPr>
            </w:pPr>
            <w:r>
              <w:rPr>
                <w:rFonts w:ascii="Arial" w:cs="Arial" w:eastAsia="Arial" w:hAnsi="Arial"/>
                <w:sz w:val="18"/>
                <w:szCs w:val="18"/>
                <w:color w:val="auto"/>
              </w:rPr>
              <w:t>-5.1%</w:t>
            </w:r>
          </w:p>
        </w:tc>
      </w:tr>
    </w:tbl>
    <w:p>
      <w:pPr>
        <w:sectPr>
          <w:pgSz w:w="11900" w:h="16841" w:orient="portrait"/>
          <w:cols w:equalWidth="0" w:num="1">
            <w:col w:w="11420"/>
          </w:cols>
          <w:pgMar w:left="240" w:top="131" w:right="239" w:bottom="0" w:gutter="0" w:footer="0" w:header="0"/>
        </w:sectPr>
      </w:pPr>
    </w:p>
    <w:bookmarkStart w:id="7" w:name="page8"/>
    <w:bookmarkEnd w:id="7"/>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Fund transfer services</w:t>
            </w:r>
          </w:p>
        </w:tc>
        <w:tc>
          <w:tcPr>
            <w:tcW w:w="2180" w:type="dxa"/>
            <w:vAlign w:val="bottom"/>
          </w:tcPr>
          <w:p>
            <w:pPr>
              <w:jc w:val="right"/>
              <w:ind w:right="512"/>
              <w:spacing w:after="0"/>
              <w:rPr>
                <w:sz w:val="20"/>
                <w:szCs w:val="20"/>
                <w:color w:val="auto"/>
              </w:rPr>
            </w:pPr>
            <w:r>
              <w:rPr>
                <w:rFonts w:ascii="Arial" w:cs="Arial" w:eastAsia="Arial" w:hAnsi="Arial"/>
                <w:sz w:val="18"/>
                <w:szCs w:val="18"/>
                <w:color w:val="auto"/>
              </w:rPr>
              <w:t>14.7</w:t>
            </w:r>
          </w:p>
        </w:tc>
        <w:tc>
          <w:tcPr>
            <w:tcW w:w="1520" w:type="dxa"/>
            <w:vAlign w:val="bottom"/>
          </w:tcPr>
          <w:p>
            <w:pPr>
              <w:jc w:val="right"/>
              <w:ind w:right="432"/>
              <w:spacing w:after="0"/>
              <w:rPr>
                <w:sz w:val="20"/>
                <w:szCs w:val="20"/>
                <w:color w:val="auto"/>
              </w:rPr>
            </w:pPr>
            <w:r>
              <w:rPr>
                <w:rFonts w:ascii="Arial" w:cs="Arial" w:eastAsia="Arial" w:hAnsi="Arial"/>
                <w:sz w:val="18"/>
                <w:szCs w:val="18"/>
                <w:color w:val="auto"/>
              </w:rPr>
              <w:t>14.9</w:t>
            </w: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Collections fees</w:t>
            </w:r>
          </w:p>
        </w:tc>
        <w:tc>
          <w:tcPr>
            <w:tcW w:w="2180" w:type="dxa"/>
            <w:vAlign w:val="bottom"/>
          </w:tcPr>
          <w:p>
            <w:pPr>
              <w:jc w:val="right"/>
              <w:ind w:right="512"/>
              <w:spacing w:after="0"/>
              <w:rPr>
                <w:sz w:val="20"/>
                <w:szCs w:val="20"/>
                <w:color w:val="auto"/>
              </w:rPr>
            </w:pPr>
            <w:r>
              <w:rPr>
                <w:rFonts w:ascii="Arial" w:cs="Arial" w:eastAsia="Arial" w:hAnsi="Arial"/>
                <w:sz w:val="18"/>
                <w:szCs w:val="18"/>
                <w:color w:val="auto"/>
              </w:rPr>
              <w:t>13.1</w:t>
            </w:r>
          </w:p>
        </w:tc>
        <w:tc>
          <w:tcPr>
            <w:tcW w:w="1520" w:type="dxa"/>
            <w:vAlign w:val="bottom"/>
          </w:tcPr>
          <w:p>
            <w:pPr>
              <w:jc w:val="right"/>
              <w:ind w:right="432"/>
              <w:spacing w:after="0"/>
              <w:rPr>
                <w:sz w:val="20"/>
                <w:szCs w:val="20"/>
                <w:color w:val="auto"/>
              </w:rPr>
            </w:pPr>
            <w:r>
              <w:rPr>
                <w:rFonts w:ascii="Arial" w:cs="Arial" w:eastAsia="Arial" w:hAnsi="Arial"/>
                <w:sz w:val="18"/>
                <w:szCs w:val="18"/>
                <w:color w:val="auto"/>
              </w:rPr>
              <w:t>12.5</w:t>
            </w: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Billings and payments</w:t>
            </w:r>
          </w:p>
        </w:tc>
        <w:tc>
          <w:tcPr>
            <w:tcW w:w="2180" w:type="dxa"/>
            <w:vAlign w:val="bottom"/>
          </w:tcPr>
          <w:p>
            <w:pPr>
              <w:jc w:val="right"/>
              <w:ind w:right="512"/>
              <w:spacing w:after="0"/>
              <w:rPr>
                <w:sz w:val="20"/>
                <w:szCs w:val="20"/>
                <w:color w:val="auto"/>
              </w:rPr>
            </w:pPr>
            <w:r>
              <w:rPr>
                <w:rFonts w:ascii="Arial" w:cs="Arial" w:eastAsia="Arial" w:hAnsi="Arial"/>
                <w:sz w:val="18"/>
                <w:szCs w:val="18"/>
                <w:color w:val="auto"/>
              </w:rPr>
              <w:t>14.3</w:t>
            </w:r>
          </w:p>
        </w:tc>
        <w:tc>
          <w:tcPr>
            <w:tcW w:w="1520" w:type="dxa"/>
            <w:vAlign w:val="bottom"/>
          </w:tcPr>
          <w:p>
            <w:pPr>
              <w:jc w:val="right"/>
              <w:ind w:right="432"/>
              <w:spacing w:after="0"/>
              <w:rPr>
                <w:sz w:val="20"/>
                <w:szCs w:val="20"/>
                <w:color w:val="auto"/>
              </w:rPr>
            </w:pPr>
            <w:r>
              <w:rPr>
                <w:rFonts w:ascii="Arial" w:cs="Arial" w:eastAsia="Arial" w:hAnsi="Arial"/>
                <w:sz w:val="18"/>
                <w:szCs w:val="18"/>
                <w:color w:val="auto"/>
              </w:rPr>
              <w:t>13.1</w:t>
            </w:r>
          </w:p>
        </w:tc>
        <w:tc>
          <w:tcPr>
            <w:tcW w:w="10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Contingent and foreign trade</w:t>
            </w:r>
          </w:p>
        </w:tc>
        <w:tc>
          <w:tcPr>
            <w:tcW w:w="2180" w:type="dxa"/>
            <w:vAlign w:val="bottom"/>
          </w:tcPr>
          <w:p>
            <w:pPr>
              <w:jc w:val="right"/>
              <w:ind w:right="512"/>
              <w:spacing w:after="0"/>
              <w:rPr>
                <w:sz w:val="20"/>
                <w:szCs w:val="20"/>
                <w:color w:val="auto"/>
              </w:rPr>
            </w:pPr>
            <w:r>
              <w:rPr>
                <w:rFonts w:ascii="Arial" w:cs="Arial" w:eastAsia="Arial" w:hAnsi="Arial"/>
                <w:sz w:val="18"/>
                <w:szCs w:val="18"/>
                <w:color w:val="auto"/>
              </w:rPr>
              <w:t>7.9</w:t>
            </w:r>
          </w:p>
        </w:tc>
        <w:tc>
          <w:tcPr>
            <w:tcW w:w="1520" w:type="dxa"/>
            <w:vAlign w:val="bottom"/>
          </w:tcPr>
          <w:p>
            <w:pPr>
              <w:jc w:val="right"/>
              <w:ind w:right="432"/>
              <w:spacing w:after="0"/>
              <w:rPr>
                <w:sz w:val="20"/>
                <w:szCs w:val="20"/>
                <w:color w:val="auto"/>
              </w:rPr>
            </w:pPr>
            <w:r>
              <w:rPr>
                <w:rFonts w:ascii="Arial" w:cs="Arial" w:eastAsia="Arial" w:hAnsi="Arial"/>
                <w:sz w:val="18"/>
                <w:szCs w:val="18"/>
                <w:color w:val="auto"/>
              </w:rPr>
              <w:t>8.6</w:t>
            </w:r>
          </w:p>
        </w:tc>
        <w:tc>
          <w:tcPr>
            <w:tcW w:w="10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Contingent credits</w:t>
            </w:r>
          </w:p>
        </w:tc>
        <w:tc>
          <w:tcPr>
            <w:tcW w:w="2180" w:type="dxa"/>
            <w:vAlign w:val="bottom"/>
          </w:tcPr>
          <w:p>
            <w:pPr>
              <w:jc w:val="right"/>
              <w:ind w:right="512"/>
              <w:spacing w:after="0"/>
              <w:rPr>
                <w:sz w:val="20"/>
                <w:szCs w:val="20"/>
                <w:color w:val="auto"/>
              </w:rPr>
            </w:pPr>
            <w:r>
              <w:rPr>
                <w:rFonts w:ascii="Arial" w:cs="Arial" w:eastAsia="Arial" w:hAnsi="Arial"/>
                <w:sz w:val="18"/>
                <w:szCs w:val="18"/>
                <w:color w:val="auto"/>
              </w:rPr>
              <w:t>6.8</w:t>
            </w:r>
          </w:p>
        </w:tc>
        <w:tc>
          <w:tcPr>
            <w:tcW w:w="1520" w:type="dxa"/>
            <w:vAlign w:val="bottom"/>
          </w:tcPr>
          <w:p>
            <w:pPr>
              <w:jc w:val="right"/>
              <w:ind w:right="432"/>
              <w:spacing w:after="0"/>
              <w:rPr>
                <w:sz w:val="20"/>
                <w:szCs w:val="20"/>
                <w:color w:val="auto"/>
              </w:rPr>
            </w:pPr>
            <w:r>
              <w:rPr>
                <w:rFonts w:ascii="Arial" w:cs="Arial" w:eastAsia="Arial" w:hAnsi="Arial"/>
                <w:sz w:val="18"/>
                <w:szCs w:val="18"/>
                <w:color w:val="auto"/>
              </w:rPr>
              <w:t>6.9</w:t>
            </w: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Debit cards</w:t>
            </w:r>
          </w:p>
        </w:tc>
        <w:tc>
          <w:tcPr>
            <w:tcW w:w="2180" w:type="dxa"/>
            <w:vAlign w:val="bottom"/>
          </w:tcPr>
          <w:p>
            <w:pPr>
              <w:jc w:val="right"/>
              <w:ind w:right="512"/>
              <w:spacing w:after="0"/>
              <w:rPr>
                <w:sz w:val="20"/>
                <w:szCs w:val="20"/>
                <w:color w:val="auto"/>
              </w:rPr>
            </w:pPr>
            <w:r>
              <w:rPr>
                <w:rFonts w:ascii="Arial" w:cs="Arial" w:eastAsia="Arial" w:hAnsi="Arial"/>
                <w:sz w:val="18"/>
                <w:szCs w:val="18"/>
                <w:color w:val="auto"/>
              </w:rPr>
              <w:t>9.6</w:t>
            </w:r>
          </w:p>
        </w:tc>
        <w:tc>
          <w:tcPr>
            <w:tcW w:w="1520" w:type="dxa"/>
            <w:vAlign w:val="bottom"/>
          </w:tcPr>
          <w:p>
            <w:pPr>
              <w:jc w:val="right"/>
              <w:ind w:right="432"/>
              <w:spacing w:after="0"/>
              <w:rPr>
                <w:sz w:val="20"/>
                <w:szCs w:val="20"/>
                <w:color w:val="auto"/>
              </w:rPr>
            </w:pPr>
            <w:r>
              <w:rPr>
                <w:rFonts w:ascii="Arial" w:cs="Arial" w:eastAsia="Arial" w:hAnsi="Arial"/>
                <w:sz w:val="18"/>
                <w:szCs w:val="18"/>
                <w:color w:val="auto"/>
              </w:rPr>
              <w:t>5.6</w:t>
            </w:r>
          </w:p>
        </w:tc>
        <w:tc>
          <w:tcPr>
            <w:tcW w:w="1060" w:type="dxa"/>
            <w:vAlign w:val="bottom"/>
          </w:tcPr>
          <w:p>
            <w:pPr>
              <w:jc w:val="right"/>
              <w:spacing w:after="0"/>
              <w:rPr>
                <w:sz w:val="20"/>
                <w:szCs w:val="20"/>
                <w:color w:val="auto"/>
              </w:rPr>
            </w:pPr>
            <w:r>
              <w:rPr>
                <w:rFonts w:ascii="Arial" w:cs="Arial" w:eastAsia="Arial" w:hAnsi="Arial"/>
                <w:sz w:val="18"/>
                <w:szCs w:val="18"/>
                <w:color w:val="auto"/>
              </w:rPr>
              <w:t>-41.7%</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Corporate Finance</w:t>
            </w:r>
          </w:p>
        </w:tc>
        <w:tc>
          <w:tcPr>
            <w:tcW w:w="2180" w:type="dxa"/>
            <w:vAlign w:val="bottom"/>
          </w:tcPr>
          <w:p>
            <w:pPr>
              <w:jc w:val="right"/>
              <w:ind w:right="512"/>
              <w:spacing w:after="0"/>
              <w:rPr>
                <w:sz w:val="20"/>
                <w:szCs w:val="20"/>
                <w:color w:val="auto"/>
              </w:rPr>
            </w:pPr>
            <w:r>
              <w:rPr>
                <w:rFonts w:ascii="Arial" w:cs="Arial" w:eastAsia="Arial" w:hAnsi="Arial"/>
                <w:sz w:val="18"/>
                <w:szCs w:val="18"/>
                <w:color w:val="auto"/>
              </w:rPr>
              <w:t>7.6</w:t>
            </w:r>
          </w:p>
        </w:tc>
        <w:tc>
          <w:tcPr>
            <w:tcW w:w="1520" w:type="dxa"/>
            <w:vAlign w:val="bottom"/>
          </w:tcPr>
          <w:p>
            <w:pPr>
              <w:jc w:val="right"/>
              <w:ind w:right="432"/>
              <w:spacing w:after="0"/>
              <w:rPr>
                <w:sz w:val="20"/>
                <w:szCs w:val="20"/>
                <w:color w:val="auto"/>
              </w:rPr>
            </w:pPr>
            <w:r>
              <w:rPr>
                <w:rFonts w:ascii="Arial" w:cs="Arial" w:eastAsia="Arial" w:hAnsi="Arial"/>
                <w:sz w:val="18"/>
                <w:szCs w:val="18"/>
                <w:color w:val="auto"/>
              </w:rPr>
              <w:t>10.3</w:t>
            </w:r>
          </w:p>
        </w:tc>
        <w:tc>
          <w:tcPr>
            <w:tcW w:w="106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Brokerage</w:t>
            </w:r>
          </w:p>
        </w:tc>
        <w:tc>
          <w:tcPr>
            <w:tcW w:w="2180" w:type="dxa"/>
            <w:vAlign w:val="bottom"/>
          </w:tcPr>
          <w:p>
            <w:pPr>
              <w:jc w:val="right"/>
              <w:ind w:right="512"/>
              <w:spacing w:after="0"/>
              <w:rPr>
                <w:sz w:val="20"/>
                <w:szCs w:val="20"/>
                <w:color w:val="auto"/>
              </w:rPr>
            </w:pPr>
            <w:r>
              <w:rPr>
                <w:rFonts w:ascii="Arial" w:cs="Arial" w:eastAsia="Arial" w:hAnsi="Arial"/>
                <w:sz w:val="18"/>
                <w:szCs w:val="18"/>
                <w:color w:val="auto"/>
              </w:rPr>
              <w:t>10.1</w:t>
            </w:r>
          </w:p>
        </w:tc>
        <w:tc>
          <w:tcPr>
            <w:tcW w:w="1520" w:type="dxa"/>
            <w:vAlign w:val="bottom"/>
          </w:tcPr>
          <w:p>
            <w:pPr>
              <w:jc w:val="right"/>
              <w:ind w:right="432"/>
              <w:spacing w:after="0"/>
              <w:rPr>
                <w:sz w:val="20"/>
                <w:szCs w:val="20"/>
                <w:color w:val="auto"/>
              </w:rPr>
            </w:pPr>
            <w:r>
              <w:rPr>
                <w:rFonts w:ascii="Arial" w:cs="Arial" w:eastAsia="Arial" w:hAnsi="Arial"/>
                <w:sz w:val="18"/>
                <w:szCs w:val="18"/>
                <w:color w:val="auto"/>
              </w:rPr>
              <w:t>12.1</w:t>
            </w:r>
          </w:p>
        </w:tc>
        <w:tc>
          <w:tcPr>
            <w:tcW w:w="106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Commercial loans</w:t>
            </w:r>
          </w:p>
        </w:tc>
        <w:tc>
          <w:tcPr>
            <w:tcW w:w="2180" w:type="dxa"/>
            <w:vAlign w:val="bottom"/>
          </w:tcPr>
          <w:p>
            <w:pPr>
              <w:jc w:val="right"/>
              <w:ind w:right="512"/>
              <w:spacing w:after="0"/>
              <w:rPr>
                <w:sz w:val="20"/>
                <w:szCs w:val="20"/>
                <w:color w:val="auto"/>
              </w:rPr>
            </w:pPr>
            <w:r>
              <w:rPr>
                <w:rFonts w:ascii="Arial" w:cs="Arial" w:eastAsia="Arial" w:hAnsi="Arial"/>
                <w:sz w:val="18"/>
                <w:szCs w:val="18"/>
                <w:color w:val="auto"/>
              </w:rPr>
              <w:t>5.4</w:t>
            </w:r>
          </w:p>
        </w:tc>
        <w:tc>
          <w:tcPr>
            <w:tcW w:w="1520" w:type="dxa"/>
            <w:vAlign w:val="bottom"/>
          </w:tcPr>
          <w:p>
            <w:pPr>
              <w:jc w:val="right"/>
              <w:ind w:right="432"/>
              <w:spacing w:after="0"/>
              <w:rPr>
                <w:sz w:val="20"/>
                <w:szCs w:val="20"/>
                <w:color w:val="auto"/>
              </w:rPr>
            </w:pPr>
            <w:r>
              <w:rPr>
                <w:rFonts w:ascii="Arial" w:cs="Arial" w:eastAsia="Arial" w:hAnsi="Arial"/>
                <w:sz w:val="18"/>
                <w:szCs w:val="18"/>
                <w:color w:val="auto"/>
              </w:rPr>
              <w:t>3.8</w:t>
            </w:r>
          </w:p>
        </w:tc>
        <w:tc>
          <w:tcPr>
            <w:tcW w:w="106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Insurance</w:t>
            </w:r>
          </w:p>
        </w:tc>
        <w:tc>
          <w:tcPr>
            <w:tcW w:w="2180" w:type="dxa"/>
            <w:vAlign w:val="bottom"/>
          </w:tcPr>
          <w:p>
            <w:pPr>
              <w:jc w:val="right"/>
              <w:ind w:right="512"/>
              <w:spacing w:after="0"/>
              <w:rPr>
                <w:sz w:val="20"/>
                <w:szCs w:val="20"/>
                <w:color w:val="auto"/>
              </w:rPr>
            </w:pPr>
            <w:r>
              <w:rPr>
                <w:rFonts w:ascii="Arial" w:cs="Arial" w:eastAsia="Arial" w:hAnsi="Arial"/>
                <w:sz w:val="18"/>
                <w:szCs w:val="18"/>
                <w:color w:val="auto"/>
              </w:rPr>
              <w:t>5.9</w:t>
            </w:r>
          </w:p>
        </w:tc>
        <w:tc>
          <w:tcPr>
            <w:tcW w:w="1520" w:type="dxa"/>
            <w:vAlign w:val="bottom"/>
          </w:tcPr>
          <w:p>
            <w:pPr>
              <w:jc w:val="right"/>
              <w:ind w:right="432"/>
              <w:spacing w:after="0"/>
              <w:rPr>
                <w:sz w:val="20"/>
                <w:szCs w:val="20"/>
                <w:color w:val="auto"/>
              </w:rPr>
            </w:pPr>
            <w:r>
              <w:rPr>
                <w:rFonts w:ascii="Arial" w:cs="Arial" w:eastAsia="Arial" w:hAnsi="Arial"/>
                <w:sz w:val="18"/>
                <w:szCs w:val="18"/>
                <w:color w:val="auto"/>
              </w:rPr>
              <w:t>4.0</w:t>
            </w:r>
          </w:p>
        </w:tc>
        <w:tc>
          <w:tcPr>
            <w:tcW w:w="106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Mortgage loans</w:t>
            </w:r>
          </w:p>
        </w:tc>
        <w:tc>
          <w:tcPr>
            <w:tcW w:w="2180" w:type="dxa"/>
            <w:vAlign w:val="bottom"/>
          </w:tcPr>
          <w:p>
            <w:pPr>
              <w:jc w:val="right"/>
              <w:ind w:right="512"/>
              <w:spacing w:after="0"/>
              <w:rPr>
                <w:sz w:val="20"/>
                <w:szCs w:val="20"/>
                <w:color w:val="auto"/>
              </w:rPr>
            </w:pPr>
            <w:r>
              <w:rPr>
                <w:rFonts w:ascii="Arial" w:cs="Arial" w:eastAsia="Arial" w:hAnsi="Arial"/>
                <w:sz w:val="18"/>
                <w:szCs w:val="18"/>
                <w:color w:val="auto"/>
              </w:rPr>
              <w:t>2.0</w:t>
            </w:r>
          </w:p>
        </w:tc>
        <w:tc>
          <w:tcPr>
            <w:tcW w:w="1520" w:type="dxa"/>
            <w:vAlign w:val="bottom"/>
          </w:tcPr>
          <w:p>
            <w:pPr>
              <w:jc w:val="right"/>
              <w:ind w:right="432"/>
              <w:spacing w:after="0"/>
              <w:rPr>
                <w:sz w:val="20"/>
                <w:szCs w:val="20"/>
                <w:color w:val="auto"/>
              </w:rPr>
            </w:pPr>
            <w:r>
              <w:rPr>
                <w:rFonts w:ascii="Arial" w:cs="Arial" w:eastAsia="Arial" w:hAnsi="Arial"/>
                <w:sz w:val="18"/>
                <w:szCs w:val="18"/>
                <w:color w:val="auto"/>
              </w:rPr>
              <w:t>1.6</w:t>
            </w:r>
          </w:p>
        </w:tc>
        <w:tc>
          <w:tcPr>
            <w:tcW w:w="106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Channels and services</w:t>
            </w:r>
          </w:p>
        </w:tc>
        <w:tc>
          <w:tcPr>
            <w:tcW w:w="2180" w:type="dxa"/>
            <w:vAlign w:val="bottom"/>
          </w:tcPr>
          <w:p>
            <w:pPr>
              <w:jc w:val="right"/>
              <w:ind w:right="512"/>
              <w:spacing w:after="0"/>
              <w:rPr>
                <w:sz w:val="20"/>
                <w:szCs w:val="20"/>
                <w:color w:val="auto"/>
              </w:rPr>
            </w:pPr>
            <w:r>
              <w:rPr>
                <w:rFonts w:ascii="Arial" w:cs="Arial" w:eastAsia="Arial" w:hAnsi="Arial"/>
                <w:sz w:val="18"/>
                <w:szCs w:val="18"/>
                <w:color w:val="auto"/>
              </w:rPr>
              <w:t>2.0</w:t>
            </w:r>
          </w:p>
        </w:tc>
        <w:tc>
          <w:tcPr>
            <w:tcW w:w="1520" w:type="dxa"/>
            <w:vAlign w:val="bottom"/>
          </w:tcPr>
          <w:p>
            <w:pPr>
              <w:jc w:val="right"/>
              <w:ind w:right="432"/>
              <w:spacing w:after="0"/>
              <w:rPr>
                <w:sz w:val="20"/>
                <w:szCs w:val="20"/>
                <w:color w:val="auto"/>
              </w:rPr>
            </w:pPr>
            <w:r>
              <w:rPr>
                <w:rFonts w:ascii="Arial" w:cs="Arial" w:eastAsia="Arial" w:hAnsi="Arial"/>
                <w:sz w:val="18"/>
                <w:szCs w:val="18"/>
                <w:color w:val="auto"/>
              </w:rPr>
              <w:t>1.7</w:t>
            </w:r>
          </w:p>
        </w:tc>
        <w:tc>
          <w:tcPr>
            <w:tcW w:w="106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Master account</w:t>
            </w:r>
          </w:p>
        </w:tc>
        <w:tc>
          <w:tcPr>
            <w:tcW w:w="2180" w:type="dxa"/>
            <w:vAlign w:val="bottom"/>
          </w:tcPr>
          <w:p>
            <w:pPr>
              <w:jc w:val="right"/>
              <w:ind w:right="512"/>
              <w:spacing w:after="0"/>
              <w:rPr>
                <w:sz w:val="20"/>
                <w:szCs w:val="20"/>
                <w:color w:val="auto"/>
              </w:rPr>
            </w:pPr>
            <w:r>
              <w:rPr>
                <w:rFonts w:ascii="Arial" w:cs="Arial" w:eastAsia="Arial" w:hAnsi="Arial"/>
                <w:sz w:val="18"/>
                <w:szCs w:val="18"/>
                <w:color w:val="auto"/>
              </w:rPr>
              <w:t>2.2</w:t>
            </w:r>
          </w:p>
        </w:tc>
        <w:tc>
          <w:tcPr>
            <w:tcW w:w="1520" w:type="dxa"/>
            <w:vAlign w:val="bottom"/>
          </w:tcPr>
          <w:p>
            <w:pPr>
              <w:jc w:val="right"/>
              <w:ind w:right="432"/>
              <w:spacing w:after="0"/>
              <w:rPr>
                <w:sz w:val="20"/>
                <w:szCs w:val="20"/>
                <w:color w:val="auto"/>
              </w:rPr>
            </w:pPr>
            <w:r>
              <w:rPr>
                <w:rFonts w:ascii="Arial" w:cs="Arial" w:eastAsia="Arial" w:hAnsi="Arial"/>
                <w:sz w:val="18"/>
                <w:szCs w:val="18"/>
                <w:color w:val="auto"/>
              </w:rPr>
              <w:t>1.5</w:t>
            </w:r>
          </w:p>
        </w:tc>
        <w:tc>
          <w:tcPr>
            <w:tcW w:w="1060" w:type="dxa"/>
            <w:vAlign w:val="bottom"/>
          </w:tcPr>
          <w:p>
            <w:pPr>
              <w:jc w:val="right"/>
              <w:spacing w:after="0"/>
              <w:rPr>
                <w:sz w:val="20"/>
                <w:szCs w:val="20"/>
                <w:color w:val="auto"/>
              </w:rPr>
            </w:pPr>
            <w:r>
              <w:rPr>
                <w:rFonts w:ascii="Arial" w:cs="Arial" w:eastAsia="Arial" w:hAnsi="Arial"/>
                <w:sz w:val="18"/>
                <w:szCs w:val="18"/>
                <w:color w:val="auto"/>
              </w:rPr>
              <w:t>-31.8%</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Personal loans</w:t>
            </w:r>
          </w:p>
        </w:tc>
        <w:tc>
          <w:tcPr>
            <w:tcW w:w="2180" w:type="dxa"/>
            <w:vAlign w:val="bottom"/>
          </w:tcPr>
          <w:p>
            <w:pPr>
              <w:jc w:val="right"/>
              <w:ind w:right="512"/>
              <w:spacing w:after="0"/>
              <w:rPr>
                <w:sz w:val="20"/>
                <w:szCs w:val="20"/>
                <w:color w:val="auto"/>
              </w:rPr>
            </w:pPr>
            <w:r>
              <w:rPr>
                <w:rFonts w:ascii="Arial" w:cs="Arial" w:eastAsia="Arial" w:hAnsi="Arial"/>
                <w:sz w:val="18"/>
                <w:szCs w:val="18"/>
                <w:color w:val="auto"/>
              </w:rPr>
              <w:t>0.9</w:t>
            </w:r>
          </w:p>
        </w:tc>
        <w:tc>
          <w:tcPr>
            <w:tcW w:w="1520" w:type="dxa"/>
            <w:vAlign w:val="bottom"/>
          </w:tcPr>
          <w:p>
            <w:pPr>
              <w:jc w:val="right"/>
              <w:ind w:right="432"/>
              <w:spacing w:after="0"/>
              <w:rPr>
                <w:sz w:val="20"/>
                <w:szCs w:val="20"/>
                <w:color w:val="auto"/>
              </w:rPr>
            </w:pPr>
            <w:r>
              <w:rPr>
                <w:rFonts w:ascii="Arial" w:cs="Arial" w:eastAsia="Arial" w:hAnsi="Arial"/>
                <w:sz w:val="18"/>
                <w:szCs w:val="18"/>
                <w:color w:val="auto"/>
              </w:rPr>
              <w:t>0.9</w:t>
            </w:r>
          </w:p>
        </w:tc>
        <w:tc>
          <w:tcPr>
            <w:tcW w:w="106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Micro-business credit</w:t>
            </w:r>
          </w:p>
        </w:tc>
        <w:tc>
          <w:tcPr>
            <w:tcW w:w="2180" w:type="dxa"/>
            <w:vAlign w:val="bottom"/>
          </w:tcPr>
          <w:p>
            <w:pPr>
              <w:jc w:val="right"/>
              <w:ind w:right="512"/>
              <w:spacing w:after="0"/>
              <w:rPr>
                <w:sz w:val="20"/>
                <w:szCs w:val="20"/>
                <w:color w:val="auto"/>
              </w:rPr>
            </w:pPr>
            <w:r>
              <w:rPr>
                <w:rFonts w:ascii="Arial" w:cs="Arial" w:eastAsia="Arial" w:hAnsi="Arial"/>
                <w:sz w:val="18"/>
                <w:szCs w:val="18"/>
                <w:color w:val="auto"/>
              </w:rPr>
              <w:t>0.4</w:t>
            </w:r>
          </w:p>
        </w:tc>
        <w:tc>
          <w:tcPr>
            <w:tcW w:w="1520" w:type="dxa"/>
            <w:vAlign w:val="bottom"/>
          </w:tcPr>
          <w:p>
            <w:pPr>
              <w:jc w:val="right"/>
              <w:ind w:right="432"/>
              <w:spacing w:after="0"/>
              <w:rPr>
                <w:sz w:val="20"/>
                <w:szCs w:val="20"/>
                <w:color w:val="auto"/>
              </w:rPr>
            </w:pPr>
            <w:r>
              <w:rPr>
                <w:rFonts w:ascii="Arial" w:cs="Arial" w:eastAsia="Arial" w:hAnsi="Arial"/>
                <w:sz w:val="18"/>
                <w:szCs w:val="18"/>
                <w:color w:val="auto"/>
              </w:rPr>
              <w:t>1.8</w:t>
            </w:r>
          </w:p>
        </w:tc>
        <w:tc>
          <w:tcPr>
            <w:tcW w:w="1060" w:type="dxa"/>
            <w:vAlign w:val="bottom"/>
          </w:tcPr>
          <w:p>
            <w:pPr>
              <w:jc w:val="right"/>
              <w:spacing w:after="0"/>
              <w:rPr>
                <w:sz w:val="20"/>
                <w:szCs w:val="20"/>
                <w:color w:val="auto"/>
              </w:rPr>
            </w:pPr>
            <w:r>
              <w:rPr>
                <w:rFonts w:ascii="Arial" w:cs="Arial" w:eastAsia="Arial" w:hAnsi="Arial"/>
                <w:sz w:val="18"/>
                <w:szCs w:val="18"/>
                <w:color w:val="auto"/>
              </w:rPr>
              <w:t>350.0%</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Other</w:t>
            </w:r>
          </w:p>
        </w:tc>
        <w:tc>
          <w:tcPr>
            <w:tcW w:w="2180" w:type="dxa"/>
            <w:vAlign w:val="bottom"/>
          </w:tcPr>
          <w:p>
            <w:pPr>
              <w:jc w:val="right"/>
              <w:ind w:right="512"/>
              <w:spacing w:after="0"/>
              <w:rPr>
                <w:sz w:val="20"/>
                <w:szCs w:val="20"/>
                <w:color w:val="auto"/>
              </w:rPr>
            </w:pPr>
            <w:r>
              <w:rPr>
                <w:rFonts w:ascii="Arial" w:cs="Arial" w:eastAsia="Arial" w:hAnsi="Arial"/>
                <w:sz w:val="18"/>
                <w:szCs w:val="18"/>
                <w:color w:val="auto"/>
              </w:rPr>
              <w:t>5.8</w:t>
            </w:r>
          </w:p>
        </w:tc>
        <w:tc>
          <w:tcPr>
            <w:tcW w:w="1520" w:type="dxa"/>
            <w:vAlign w:val="bottom"/>
          </w:tcPr>
          <w:p>
            <w:pPr>
              <w:jc w:val="right"/>
              <w:ind w:right="432"/>
              <w:spacing w:after="0"/>
              <w:rPr>
                <w:sz w:val="20"/>
                <w:szCs w:val="20"/>
                <w:color w:val="auto"/>
              </w:rPr>
            </w:pPr>
            <w:r>
              <w:rPr>
                <w:rFonts w:ascii="Arial" w:cs="Arial" w:eastAsia="Arial" w:hAnsi="Arial"/>
                <w:sz w:val="18"/>
                <w:szCs w:val="18"/>
                <w:color w:val="auto"/>
              </w:rPr>
              <w:t>1.6</w:t>
            </w:r>
          </w:p>
        </w:tc>
        <w:tc>
          <w:tcPr>
            <w:tcW w:w="1060" w:type="dxa"/>
            <w:vAlign w:val="bottom"/>
          </w:tcPr>
          <w:p>
            <w:pPr>
              <w:jc w:val="right"/>
              <w:spacing w:after="0"/>
              <w:rPr>
                <w:sz w:val="20"/>
                <w:szCs w:val="20"/>
                <w:color w:val="auto"/>
              </w:rPr>
            </w:pPr>
            <w:r>
              <w:rPr>
                <w:rFonts w:ascii="Arial" w:cs="Arial" w:eastAsia="Arial" w:hAnsi="Arial"/>
                <w:sz w:val="18"/>
                <w:szCs w:val="18"/>
                <w:color w:val="auto"/>
              </w:rPr>
              <w:t>-72.4%</w:t>
            </w:r>
          </w:p>
        </w:tc>
      </w:tr>
      <w:tr>
        <w:trPr>
          <w:trHeight w:val="222"/>
        </w:trPr>
        <w:tc>
          <w:tcPr>
            <w:tcW w:w="3220" w:type="dxa"/>
            <w:vAlign w:val="bottom"/>
          </w:tcPr>
          <w:p>
            <w:pPr>
              <w:spacing w:after="0"/>
              <w:rPr>
                <w:sz w:val="20"/>
                <w:szCs w:val="20"/>
                <w:color w:val="auto"/>
              </w:rPr>
            </w:pPr>
            <w:r>
              <w:rPr>
                <w:rFonts w:ascii="Arial" w:cs="Arial" w:eastAsia="Arial" w:hAnsi="Arial"/>
                <w:sz w:val="18"/>
                <w:szCs w:val="18"/>
                <w:color w:val="auto"/>
              </w:rPr>
              <w:t>Total</w:t>
            </w:r>
          </w:p>
        </w:tc>
        <w:tc>
          <w:tcPr>
            <w:tcW w:w="2180" w:type="dxa"/>
            <w:vAlign w:val="bottom"/>
          </w:tcPr>
          <w:p>
            <w:pPr>
              <w:jc w:val="right"/>
              <w:ind w:right="512"/>
              <w:spacing w:after="0"/>
              <w:rPr>
                <w:sz w:val="20"/>
                <w:szCs w:val="20"/>
                <w:color w:val="auto"/>
              </w:rPr>
            </w:pPr>
            <w:r>
              <w:rPr>
                <w:rFonts w:ascii="Arial" w:cs="Arial" w:eastAsia="Arial" w:hAnsi="Arial"/>
                <w:sz w:val="18"/>
                <w:szCs w:val="18"/>
                <w:color w:val="auto"/>
              </w:rPr>
              <w:t>174.9</w:t>
            </w:r>
          </w:p>
        </w:tc>
        <w:tc>
          <w:tcPr>
            <w:tcW w:w="1520" w:type="dxa"/>
            <w:vAlign w:val="bottom"/>
          </w:tcPr>
          <w:p>
            <w:pPr>
              <w:jc w:val="right"/>
              <w:ind w:right="432"/>
              <w:spacing w:after="0"/>
              <w:rPr>
                <w:sz w:val="20"/>
                <w:szCs w:val="20"/>
                <w:color w:val="auto"/>
              </w:rPr>
            </w:pPr>
            <w:r>
              <w:rPr>
                <w:rFonts w:ascii="Arial" w:cs="Arial" w:eastAsia="Arial" w:hAnsi="Arial"/>
                <w:sz w:val="18"/>
                <w:szCs w:val="18"/>
                <w:color w:val="auto"/>
              </w:rPr>
              <w:t>163.2</w:t>
            </w:r>
          </w:p>
        </w:tc>
        <w:tc>
          <w:tcPr>
            <w:tcW w:w="106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69850</wp:posOffset>
            </wp:positionV>
            <wp:extent cx="50685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20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Note: line items in this table aggregate concepts that</w:t>
      </w:r>
    </w:p>
    <w:p>
      <w:pPr>
        <w:spacing w:after="0" w:line="1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are different from tables reported in prior year periods.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third quarter of 2004, securities transactions resulted in a gain of S/.5.6 million (US$1.7 million), compared to losses in the year-ago quarter of S/.5.7 million (US$1.7 million). The general index of the Lima Stock Exchange increased 13.6% in the third quarter of 2004, compared to a 8.5% increase in the same year-ago period.</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Gains from foreign exchange operations, which are the result of the foreign exchange buy-sell margin, were S/.21.6 million (US$6.5 million) in the third quarter of 2004, 11.6% higher than revenue in the same quarter of 2003, and 17.5% higher than revenue in second quarter 2004, mainly due to increased margins due to volatility in the foreign exchange market caused by the falling exchange rate.</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Other Income caption, that mainly registers reversals of prior year expenses and provisions and recoveries of certain operating costs, decreased from S/.49.7 million (US$14.9 million) in the third quarter of 2003 to S/.24.7 million (US$10.1 million) in the current period, mainly due to lower recoveries of charged-off accounts.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II.4 OTHER NON-INTEREST EXPENSES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Non-interest expenses during the third quarter of 2004 were S/.306.2 million (US$91.6 million), 1.4% under those of the same period in 2003, mainly because of decreased personnel and general and administrative costs.</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 determine operating efficiency, operating expenses are “adjusted” excluding certain non-recurrent items and that do not contribute to the performance of the business. Third quarter 2004 “adjusted” operating expenses are determined by excluding: (i) provisions for assets received in lieu of loan repayment (S/.25.0 million); (ii) non-recurring expenses related to the systems’ restructuring costs (S/.2.8 million); (iii) employee profit sharing expenses and bonuses (S/.11.8 million); and, (iv) merger costs related to Solución Financiera (S/.1.8 million).</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“Adjusted” operating expenses reached S/.264.7 million (US$79.2 million) in the third quarter of 2004, decreasing 0.7% compared to the year-ago period.</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this quarter, approximately 42% of non-interest expenses were attributable to employee salaries and other expenses related to personnel. This concept decreased 6.0% to S/.127.8 million (US$38.2 million) when compared to the third quarter of 2003. At the end of September 2004 the number of employees stood at 7,667, increasing from 7,567 employees as of June 2004, but is similar to 7,644 at September 2003, mainly due to additional teller positions at Banco de Crédito de Bolivia.</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which represented 31% of non-interest expenses, reached S/.95.7 million (US$28.6 million) in the third quarter of 2004, decreasing 7.1% when compared to expenses in the year-ago period. Lower expenses are mainly due to decreased third party fees and supplies expenses. In this quarter, the most significant general and administrative expenses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197485</wp:posOffset>
            </wp:positionV>
            <wp:extent cx="50685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222"/>
        </w:trPr>
        <w:tc>
          <w:tcPr>
            <w:tcW w:w="3160" w:type="dxa"/>
            <w:vAlign w:val="bottom"/>
          </w:tcPr>
          <w:p>
            <w:pPr>
              <w:spacing w:after="0"/>
              <w:rPr>
                <w:sz w:val="20"/>
                <w:szCs w:val="20"/>
                <w:color w:val="auto"/>
              </w:rPr>
            </w:pPr>
            <w:r>
              <w:rPr>
                <w:rFonts w:ascii="Arial" w:cs="Arial" w:eastAsia="Arial" w:hAnsi="Arial"/>
                <w:sz w:val="18"/>
                <w:szCs w:val="18"/>
                <w:color w:val="auto"/>
              </w:rPr>
              <w:t>(In constant S/. Mn.)</w:t>
            </w:r>
          </w:p>
        </w:tc>
        <w:tc>
          <w:tcPr>
            <w:tcW w:w="1920" w:type="dxa"/>
            <w:vAlign w:val="bottom"/>
          </w:tcPr>
          <w:p>
            <w:pPr>
              <w:jc w:val="right"/>
              <w:ind w:right="812"/>
              <w:spacing w:after="0"/>
              <w:rPr>
                <w:sz w:val="20"/>
                <w:szCs w:val="20"/>
                <w:color w:val="auto"/>
              </w:rPr>
            </w:pPr>
            <w:r>
              <w:rPr>
                <w:rFonts w:ascii="Arial" w:cs="Arial" w:eastAsia="Arial" w:hAnsi="Arial"/>
                <w:sz w:val="18"/>
                <w:szCs w:val="18"/>
                <w:color w:val="auto"/>
              </w:rPr>
              <w:t>3Q03</w:t>
            </w:r>
          </w:p>
        </w:tc>
        <w:tc>
          <w:tcPr>
            <w:tcW w:w="1580" w:type="dxa"/>
            <w:vAlign w:val="bottom"/>
          </w:tcPr>
          <w:p>
            <w:pPr>
              <w:jc w:val="right"/>
              <w:ind w:right="812"/>
              <w:spacing w:after="0"/>
              <w:rPr>
                <w:sz w:val="20"/>
                <w:szCs w:val="20"/>
                <w:color w:val="auto"/>
              </w:rPr>
            </w:pPr>
            <w:r>
              <w:rPr>
                <w:rFonts w:ascii="Arial" w:cs="Arial" w:eastAsia="Arial" w:hAnsi="Arial"/>
                <w:sz w:val="18"/>
                <w:szCs w:val="18"/>
                <w:color w:val="auto"/>
              </w:rPr>
              <w:t>3Q04</w:t>
            </w:r>
          </w:p>
        </w:tc>
        <w:tc>
          <w:tcPr>
            <w:tcW w:w="1320" w:type="dxa"/>
            <w:vAlign w:val="bottom"/>
          </w:tcPr>
          <w:p>
            <w:pPr>
              <w:jc w:val="right"/>
              <w:ind w:right="452"/>
              <w:spacing w:after="0"/>
              <w:rPr>
                <w:sz w:val="20"/>
                <w:szCs w:val="20"/>
                <w:color w:val="auto"/>
              </w:rPr>
            </w:pPr>
            <w:r>
              <w:rPr>
                <w:rFonts w:ascii="Arial" w:cs="Arial" w:eastAsia="Arial" w:hAnsi="Arial"/>
                <w:sz w:val="18"/>
                <w:szCs w:val="18"/>
                <w:color w:val="auto"/>
              </w:rPr>
              <w:t>Chnge.</w:t>
            </w:r>
          </w:p>
        </w:tc>
      </w:tr>
      <w:tr>
        <w:trPr>
          <w:trHeight w:val="110"/>
        </w:trPr>
        <w:tc>
          <w:tcPr>
            <w:tcW w:w="316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r>
      <w:tr>
        <w:trPr>
          <w:trHeight w:val="309"/>
        </w:trPr>
        <w:tc>
          <w:tcPr>
            <w:tcW w:w="3160" w:type="dxa"/>
            <w:vAlign w:val="bottom"/>
          </w:tcPr>
          <w:p>
            <w:pPr>
              <w:spacing w:after="0"/>
              <w:rPr>
                <w:sz w:val="20"/>
                <w:szCs w:val="20"/>
                <w:color w:val="auto"/>
              </w:rPr>
            </w:pPr>
            <w:r>
              <w:rPr>
                <w:rFonts w:ascii="Arial" w:cs="Arial" w:eastAsia="Arial" w:hAnsi="Arial"/>
                <w:sz w:val="18"/>
                <w:szCs w:val="18"/>
                <w:color w:val="auto"/>
              </w:rPr>
              <w:t>Office supplies and operating costs</w:t>
            </w:r>
          </w:p>
        </w:tc>
        <w:tc>
          <w:tcPr>
            <w:tcW w:w="1920" w:type="dxa"/>
            <w:vAlign w:val="bottom"/>
          </w:tcPr>
          <w:p>
            <w:pPr>
              <w:jc w:val="right"/>
              <w:ind w:right="192"/>
              <w:spacing w:after="0"/>
              <w:rPr>
                <w:sz w:val="20"/>
                <w:szCs w:val="20"/>
                <w:color w:val="auto"/>
              </w:rPr>
            </w:pPr>
            <w:r>
              <w:rPr>
                <w:rFonts w:ascii="Arial" w:cs="Arial" w:eastAsia="Arial" w:hAnsi="Arial"/>
                <w:sz w:val="18"/>
                <w:szCs w:val="18"/>
                <w:color w:val="auto"/>
              </w:rPr>
              <w:t>13.5</w:t>
            </w:r>
          </w:p>
        </w:tc>
        <w:tc>
          <w:tcPr>
            <w:tcW w:w="1580" w:type="dxa"/>
            <w:vAlign w:val="bottom"/>
          </w:tcPr>
          <w:p>
            <w:pPr>
              <w:jc w:val="right"/>
              <w:ind w:right="172"/>
              <w:spacing w:after="0"/>
              <w:rPr>
                <w:sz w:val="20"/>
                <w:szCs w:val="20"/>
                <w:color w:val="auto"/>
              </w:rPr>
            </w:pPr>
            <w:r>
              <w:rPr>
                <w:rFonts w:ascii="Arial" w:cs="Arial" w:eastAsia="Arial" w:hAnsi="Arial"/>
                <w:sz w:val="18"/>
                <w:szCs w:val="18"/>
                <w:color w:val="auto"/>
              </w:rPr>
              <w:t>11.7</w:t>
            </w:r>
          </w:p>
        </w:tc>
        <w:tc>
          <w:tcPr>
            <w:tcW w:w="13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Communications</w:t>
            </w:r>
          </w:p>
        </w:tc>
        <w:tc>
          <w:tcPr>
            <w:tcW w:w="1920" w:type="dxa"/>
            <w:vAlign w:val="bottom"/>
          </w:tcPr>
          <w:p>
            <w:pPr>
              <w:jc w:val="right"/>
              <w:ind w:right="192"/>
              <w:spacing w:after="0"/>
              <w:rPr>
                <w:sz w:val="20"/>
                <w:szCs w:val="20"/>
                <w:color w:val="auto"/>
              </w:rPr>
            </w:pPr>
            <w:r>
              <w:rPr>
                <w:rFonts w:ascii="Arial" w:cs="Arial" w:eastAsia="Arial" w:hAnsi="Arial"/>
                <w:sz w:val="18"/>
                <w:szCs w:val="18"/>
                <w:color w:val="auto"/>
              </w:rPr>
              <w:t>9.1</w:t>
            </w:r>
          </w:p>
        </w:tc>
        <w:tc>
          <w:tcPr>
            <w:tcW w:w="1580" w:type="dxa"/>
            <w:vAlign w:val="bottom"/>
          </w:tcPr>
          <w:p>
            <w:pPr>
              <w:jc w:val="right"/>
              <w:ind w:right="172"/>
              <w:spacing w:after="0"/>
              <w:rPr>
                <w:sz w:val="20"/>
                <w:szCs w:val="20"/>
                <w:color w:val="auto"/>
              </w:rPr>
            </w:pPr>
            <w:r>
              <w:rPr>
                <w:rFonts w:ascii="Arial" w:cs="Arial" w:eastAsia="Arial" w:hAnsi="Arial"/>
                <w:sz w:val="18"/>
                <w:szCs w:val="18"/>
                <w:color w:val="auto"/>
              </w:rPr>
              <w:t>8.0</w:t>
            </w:r>
          </w:p>
        </w:tc>
        <w:tc>
          <w:tcPr>
            <w:tcW w:w="13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Third party fees</w:t>
            </w:r>
          </w:p>
        </w:tc>
        <w:tc>
          <w:tcPr>
            <w:tcW w:w="1920" w:type="dxa"/>
            <w:vAlign w:val="bottom"/>
          </w:tcPr>
          <w:p>
            <w:pPr>
              <w:jc w:val="right"/>
              <w:ind w:right="192"/>
              <w:spacing w:after="0"/>
              <w:rPr>
                <w:sz w:val="20"/>
                <w:szCs w:val="20"/>
                <w:color w:val="auto"/>
              </w:rPr>
            </w:pPr>
            <w:r>
              <w:rPr>
                <w:rFonts w:ascii="Arial" w:cs="Arial" w:eastAsia="Arial" w:hAnsi="Arial"/>
                <w:sz w:val="18"/>
                <w:szCs w:val="18"/>
                <w:color w:val="auto"/>
              </w:rPr>
              <w:t>18.4</w:t>
            </w:r>
          </w:p>
        </w:tc>
        <w:tc>
          <w:tcPr>
            <w:tcW w:w="1580" w:type="dxa"/>
            <w:vAlign w:val="bottom"/>
          </w:tcPr>
          <w:p>
            <w:pPr>
              <w:jc w:val="right"/>
              <w:ind w:right="172"/>
              <w:spacing w:after="0"/>
              <w:rPr>
                <w:sz w:val="20"/>
                <w:szCs w:val="20"/>
                <w:color w:val="auto"/>
              </w:rPr>
            </w:pPr>
            <w:r>
              <w:rPr>
                <w:rFonts w:ascii="Arial" w:cs="Arial" w:eastAsia="Arial" w:hAnsi="Arial"/>
                <w:sz w:val="18"/>
                <w:szCs w:val="18"/>
                <w:color w:val="auto"/>
              </w:rPr>
              <w:t>13.4</w:t>
            </w:r>
          </w:p>
        </w:tc>
        <w:tc>
          <w:tcPr>
            <w:tcW w:w="132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Insurance and security</w:t>
            </w:r>
          </w:p>
        </w:tc>
        <w:tc>
          <w:tcPr>
            <w:tcW w:w="1920" w:type="dxa"/>
            <w:vAlign w:val="bottom"/>
          </w:tcPr>
          <w:p>
            <w:pPr>
              <w:jc w:val="right"/>
              <w:ind w:right="192"/>
              <w:spacing w:after="0"/>
              <w:rPr>
                <w:sz w:val="20"/>
                <w:szCs w:val="20"/>
                <w:color w:val="auto"/>
              </w:rPr>
            </w:pPr>
            <w:r>
              <w:rPr>
                <w:rFonts w:ascii="Arial" w:cs="Arial" w:eastAsia="Arial" w:hAnsi="Arial"/>
                <w:sz w:val="18"/>
                <w:szCs w:val="18"/>
                <w:color w:val="auto"/>
              </w:rPr>
              <w:t>8.4</w:t>
            </w:r>
          </w:p>
        </w:tc>
        <w:tc>
          <w:tcPr>
            <w:tcW w:w="1580" w:type="dxa"/>
            <w:vAlign w:val="bottom"/>
          </w:tcPr>
          <w:p>
            <w:pPr>
              <w:jc w:val="right"/>
              <w:ind w:right="172"/>
              <w:spacing w:after="0"/>
              <w:rPr>
                <w:sz w:val="20"/>
                <w:szCs w:val="20"/>
                <w:color w:val="auto"/>
              </w:rPr>
            </w:pPr>
            <w:r>
              <w:rPr>
                <w:rFonts w:ascii="Arial" w:cs="Arial" w:eastAsia="Arial" w:hAnsi="Arial"/>
                <w:sz w:val="18"/>
                <w:szCs w:val="18"/>
                <w:color w:val="auto"/>
              </w:rPr>
              <w:t>6.8</w:t>
            </w:r>
          </w:p>
        </w:tc>
        <w:tc>
          <w:tcPr>
            <w:tcW w:w="132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Transport of currency and securities</w:t>
            </w:r>
          </w:p>
        </w:tc>
        <w:tc>
          <w:tcPr>
            <w:tcW w:w="1920" w:type="dxa"/>
            <w:vAlign w:val="bottom"/>
          </w:tcPr>
          <w:p>
            <w:pPr>
              <w:jc w:val="right"/>
              <w:ind w:right="192"/>
              <w:spacing w:after="0"/>
              <w:rPr>
                <w:sz w:val="20"/>
                <w:szCs w:val="20"/>
                <w:color w:val="auto"/>
              </w:rPr>
            </w:pPr>
            <w:r>
              <w:rPr>
                <w:rFonts w:ascii="Arial" w:cs="Arial" w:eastAsia="Arial" w:hAnsi="Arial"/>
                <w:sz w:val="18"/>
                <w:szCs w:val="18"/>
                <w:color w:val="auto"/>
              </w:rPr>
              <w:t>13.3</w:t>
            </w:r>
          </w:p>
        </w:tc>
        <w:tc>
          <w:tcPr>
            <w:tcW w:w="1580" w:type="dxa"/>
            <w:vAlign w:val="bottom"/>
          </w:tcPr>
          <w:p>
            <w:pPr>
              <w:jc w:val="right"/>
              <w:ind w:right="172"/>
              <w:spacing w:after="0"/>
              <w:rPr>
                <w:sz w:val="20"/>
                <w:szCs w:val="20"/>
                <w:color w:val="auto"/>
              </w:rPr>
            </w:pPr>
            <w:r>
              <w:rPr>
                <w:rFonts w:ascii="Arial" w:cs="Arial" w:eastAsia="Arial" w:hAnsi="Arial"/>
                <w:sz w:val="18"/>
                <w:szCs w:val="18"/>
                <w:color w:val="auto"/>
              </w:rPr>
              <w:t>12.4</w:t>
            </w:r>
          </w:p>
        </w:tc>
        <w:tc>
          <w:tcPr>
            <w:tcW w:w="13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Systems and maintenance</w:t>
            </w:r>
          </w:p>
        </w:tc>
        <w:tc>
          <w:tcPr>
            <w:tcW w:w="1920" w:type="dxa"/>
            <w:vAlign w:val="bottom"/>
          </w:tcPr>
          <w:p>
            <w:pPr>
              <w:jc w:val="right"/>
              <w:ind w:right="192"/>
              <w:spacing w:after="0"/>
              <w:rPr>
                <w:sz w:val="20"/>
                <w:szCs w:val="20"/>
                <w:color w:val="auto"/>
              </w:rPr>
            </w:pPr>
            <w:r>
              <w:rPr>
                <w:rFonts w:ascii="Arial" w:cs="Arial" w:eastAsia="Arial" w:hAnsi="Arial"/>
                <w:sz w:val="18"/>
                <w:szCs w:val="18"/>
                <w:color w:val="auto"/>
              </w:rPr>
              <w:t>20.6</w:t>
            </w:r>
          </w:p>
        </w:tc>
        <w:tc>
          <w:tcPr>
            <w:tcW w:w="1580" w:type="dxa"/>
            <w:vAlign w:val="bottom"/>
          </w:tcPr>
          <w:p>
            <w:pPr>
              <w:jc w:val="right"/>
              <w:ind w:right="172"/>
              <w:spacing w:after="0"/>
              <w:rPr>
                <w:sz w:val="20"/>
                <w:szCs w:val="20"/>
                <w:color w:val="auto"/>
              </w:rPr>
            </w:pPr>
            <w:r>
              <w:rPr>
                <w:rFonts w:ascii="Arial" w:cs="Arial" w:eastAsia="Arial" w:hAnsi="Arial"/>
                <w:sz w:val="18"/>
                <w:szCs w:val="18"/>
                <w:color w:val="auto"/>
              </w:rPr>
              <w:t>20.1</w:t>
            </w: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Advertising and marketing</w:t>
            </w:r>
          </w:p>
        </w:tc>
        <w:tc>
          <w:tcPr>
            <w:tcW w:w="1920" w:type="dxa"/>
            <w:vAlign w:val="bottom"/>
          </w:tcPr>
          <w:p>
            <w:pPr>
              <w:jc w:val="right"/>
              <w:ind w:right="192"/>
              <w:spacing w:after="0"/>
              <w:rPr>
                <w:sz w:val="20"/>
                <w:szCs w:val="20"/>
                <w:color w:val="auto"/>
              </w:rPr>
            </w:pPr>
            <w:r>
              <w:rPr>
                <w:rFonts w:ascii="Arial" w:cs="Arial" w:eastAsia="Arial" w:hAnsi="Arial"/>
                <w:sz w:val="18"/>
                <w:szCs w:val="18"/>
                <w:color w:val="auto"/>
              </w:rPr>
              <w:t>14.4</w:t>
            </w:r>
          </w:p>
        </w:tc>
        <w:tc>
          <w:tcPr>
            <w:tcW w:w="1580" w:type="dxa"/>
            <w:vAlign w:val="bottom"/>
          </w:tcPr>
          <w:p>
            <w:pPr>
              <w:jc w:val="right"/>
              <w:ind w:right="172"/>
              <w:spacing w:after="0"/>
              <w:rPr>
                <w:sz w:val="20"/>
                <w:szCs w:val="20"/>
                <w:color w:val="auto"/>
              </w:rPr>
            </w:pPr>
            <w:r>
              <w:rPr>
                <w:rFonts w:ascii="Arial" w:cs="Arial" w:eastAsia="Arial" w:hAnsi="Arial"/>
                <w:sz w:val="18"/>
                <w:szCs w:val="18"/>
                <w:color w:val="auto"/>
              </w:rPr>
              <w:t>14.8</w:t>
            </w: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Other G&amp;A</w:t>
            </w:r>
          </w:p>
        </w:tc>
        <w:tc>
          <w:tcPr>
            <w:tcW w:w="1920" w:type="dxa"/>
            <w:vAlign w:val="bottom"/>
          </w:tcPr>
          <w:p>
            <w:pPr>
              <w:jc w:val="right"/>
              <w:ind w:right="192"/>
              <w:spacing w:after="0"/>
              <w:rPr>
                <w:sz w:val="20"/>
                <w:szCs w:val="20"/>
                <w:color w:val="auto"/>
              </w:rPr>
            </w:pPr>
            <w:r>
              <w:rPr>
                <w:rFonts w:ascii="Arial" w:cs="Arial" w:eastAsia="Arial" w:hAnsi="Arial"/>
                <w:sz w:val="18"/>
                <w:szCs w:val="18"/>
                <w:color w:val="auto"/>
              </w:rPr>
              <w:t>5.3</w:t>
            </w:r>
          </w:p>
        </w:tc>
        <w:tc>
          <w:tcPr>
            <w:tcW w:w="1580" w:type="dxa"/>
            <w:vAlign w:val="bottom"/>
          </w:tcPr>
          <w:p>
            <w:pPr>
              <w:jc w:val="right"/>
              <w:ind w:right="172"/>
              <w:spacing w:after="0"/>
              <w:rPr>
                <w:sz w:val="20"/>
                <w:szCs w:val="20"/>
                <w:color w:val="auto"/>
              </w:rPr>
            </w:pPr>
            <w:r>
              <w:rPr>
                <w:rFonts w:ascii="Arial" w:cs="Arial" w:eastAsia="Arial" w:hAnsi="Arial"/>
                <w:sz w:val="18"/>
                <w:szCs w:val="18"/>
                <w:color w:val="auto"/>
              </w:rPr>
              <w:t>8.5</w:t>
            </w:r>
          </w:p>
        </w:tc>
        <w:tc>
          <w:tcPr>
            <w:tcW w:w="1320" w:type="dxa"/>
            <w:vAlign w:val="bottom"/>
          </w:tcPr>
          <w:p>
            <w:pPr>
              <w:jc w:val="right"/>
              <w:spacing w:after="0"/>
              <w:rPr>
                <w:sz w:val="20"/>
                <w:szCs w:val="20"/>
                <w:color w:val="auto"/>
              </w:rPr>
            </w:pPr>
            <w:r>
              <w:rPr>
                <w:rFonts w:ascii="Arial" w:cs="Arial" w:eastAsia="Arial" w:hAnsi="Arial"/>
                <w:sz w:val="18"/>
                <w:szCs w:val="18"/>
                <w:color w:val="auto"/>
              </w:rPr>
              <w:t>60.4%</w:t>
            </w:r>
          </w:p>
        </w:tc>
      </w:tr>
      <w:tr>
        <w:trPr>
          <w:trHeight w:val="222"/>
        </w:trPr>
        <w:tc>
          <w:tcPr>
            <w:tcW w:w="3160" w:type="dxa"/>
            <w:vAlign w:val="bottom"/>
          </w:tcPr>
          <w:p>
            <w:pPr>
              <w:spacing w:after="0"/>
              <w:rPr>
                <w:sz w:val="20"/>
                <w:szCs w:val="20"/>
                <w:color w:val="auto"/>
              </w:rPr>
            </w:pPr>
            <w:r>
              <w:rPr>
                <w:rFonts w:ascii="Arial" w:cs="Arial" w:eastAsia="Arial" w:hAnsi="Arial"/>
                <w:sz w:val="18"/>
                <w:szCs w:val="18"/>
                <w:color w:val="auto"/>
              </w:rPr>
              <w:t>Total G&amp;A</w:t>
            </w:r>
          </w:p>
        </w:tc>
        <w:tc>
          <w:tcPr>
            <w:tcW w:w="1920" w:type="dxa"/>
            <w:vAlign w:val="bottom"/>
          </w:tcPr>
          <w:p>
            <w:pPr>
              <w:jc w:val="right"/>
              <w:ind w:right="192"/>
              <w:spacing w:after="0"/>
              <w:rPr>
                <w:sz w:val="20"/>
                <w:szCs w:val="20"/>
                <w:color w:val="auto"/>
              </w:rPr>
            </w:pPr>
            <w:r>
              <w:rPr>
                <w:rFonts w:ascii="Arial" w:cs="Arial" w:eastAsia="Arial" w:hAnsi="Arial"/>
                <w:sz w:val="18"/>
                <w:szCs w:val="18"/>
                <w:color w:val="auto"/>
              </w:rPr>
              <w:t>103.0</w:t>
            </w:r>
          </w:p>
        </w:tc>
        <w:tc>
          <w:tcPr>
            <w:tcW w:w="1580" w:type="dxa"/>
            <w:vAlign w:val="bottom"/>
          </w:tcPr>
          <w:p>
            <w:pPr>
              <w:jc w:val="right"/>
              <w:ind w:right="172"/>
              <w:spacing w:after="0"/>
              <w:rPr>
                <w:sz w:val="20"/>
                <w:szCs w:val="20"/>
                <w:color w:val="auto"/>
              </w:rPr>
            </w:pPr>
            <w:r>
              <w:rPr>
                <w:rFonts w:ascii="Arial" w:cs="Arial" w:eastAsia="Arial" w:hAnsi="Arial"/>
                <w:sz w:val="18"/>
                <w:szCs w:val="18"/>
                <w:color w:val="auto"/>
              </w:rPr>
              <w:t>95.7</w:t>
            </w:r>
          </w:p>
        </w:tc>
        <w:tc>
          <w:tcPr>
            <w:tcW w:w="13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110"/>
        </w:trPr>
        <w:tc>
          <w:tcPr>
            <w:tcW w:w="316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r>
    </w:tbl>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Other caption within Other Non-Interest Expenses, increased from S/.25.0 million (US$7.5 million) in the third quarter of 2003 to S/.36.5 million (US$10.9 million) in the current quarter, mainly due to decreased revenue from the sale of foreclosed assets.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The ratio of “adjusted” operating expenses as a percentage of average total assets, increased from 4.3% in the third quarter of 2003 to 4.5% in the current period.</w:t>
      </w:r>
    </w:p>
    <w:p>
      <w:pPr>
        <w:spacing w:after="0" w:line="2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Efficiency ratio, “adjusted” operating expenses, as a percentage of total income (excluding non-recurring income), also grew from 48.6% to 55.7% when comparing the third quarters of 2003 and 2004, respectively. The lower ratio in the year-ago period resulted mainly from the higher financial income and lower expenses due to the sale of foreclosed assets.</w:t>
      </w:r>
    </w:p>
    <w:p>
      <w:pPr>
        <w:sectPr>
          <w:pgSz w:w="11900" w:h="16838" w:orient="portrait"/>
          <w:cols w:equalWidth="0" w:num="1">
            <w:col w:w="11420"/>
          </w:cols>
          <w:pgMar w:left="240" w:top="131" w:right="239" w:bottom="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II.5 ASSETS AND LIABILITIES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assets of BCP reached S/.23.2 billion (US$6.9 billion) at the end of September 2004, decreasing 6.6% with respect to September of the prior year, and decreases by 2.3% compared to assets at June 2004.</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Consolidated total loans were S/.13.6 billion (US$4.1 billion) at the end of September 2004, lower by 5.8% compared to June 2004, and by 10.3% with respect to loans at the third quarter 2003. At September 30, 2004, the loan portfolio, net of provisions, represented 54.7% of total assets, lower than 56.6% at the preceding quarter. At the end of the third quarter of 2004, the Nuevos Soles portion of the loan portfolio was 16.9%, above 16.2% in June 2004, but is below 17.5% at September 2003.</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September 30, 2004 total deposits were S/.19.3 billion (US$5.8 billion), decreasing 3.6% compared to second quarter 2004 deposits, and by 8.2% compared to deposits in the year-ago quarter. During the third quarter 2004, time deposits decreased by 1.7%, while savings deposits decreased 2.9% and demand deposits by 7.4%. Deposits denominated in Nuevos Soles were 23.4% of total deposits, increasing during the current quarter from 22.7% at June 2004, but are lower than 23.9% at the end of September 2003.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BCP's subsidiaries had the following loan, net of provisions, and deposit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7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Loans, net</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Total Deposits</w:t>
            </w:r>
          </w:p>
        </w:tc>
        <w:tc>
          <w:tcPr>
            <w:tcW w:w="1000" w:type="dxa"/>
            <w:vAlign w:val="bottom"/>
          </w:tcPr>
          <w:p>
            <w:pPr>
              <w:spacing w:after="0"/>
              <w:rPr>
                <w:sz w:val="19"/>
                <w:szCs w:val="19"/>
                <w:color w:val="auto"/>
              </w:rPr>
            </w:pPr>
          </w:p>
        </w:tc>
      </w:tr>
      <w:tr>
        <w:trPr>
          <w:trHeight w:val="110"/>
        </w:trPr>
        <w:tc>
          <w:tcPr>
            <w:tcW w:w="1720" w:type="dxa"/>
            <w:vAlign w:val="bottom"/>
            <w:tcBorders>
              <w:bottom w:val="single" w:sz="8" w:color="auto"/>
            </w:tcBorders>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r>
      <w:tr>
        <w:trPr>
          <w:trHeight w:val="316"/>
        </w:trPr>
        <w:tc>
          <w:tcPr>
            <w:tcW w:w="4520" w:type="dxa"/>
            <w:vAlign w:val="bottom"/>
            <w:gridSpan w:val="2"/>
          </w:tcPr>
          <w:p>
            <w:pPr>
              <w:spacing w:after="0"/>
              <w:rPr>
                <w:sz w:val="20"/>
                <w:szCs w:val="20"/>
                <w:color w:val="auto"/>
              </w:rPr>
            </w:pPr>
            <w:r>
              <w:rPr>
                <w:rFonts w:ascii="Arial" w:cs="Arial" w:eastAsia="Arial" w:hAnsi="Arial"/>
                <w:sz w:val="18"/>
                <w:szCs w:val="18"/>
                <w:color w:val="auto"/>
              </w:rPr>
              <w:t>(In % and constant S/.Mn.)</w:t>
            </w:r>
          </w:p>
        </w:tc>
        <w:tc>
          <w:tcPr>
            <w:tcW w:w="1260" w:type="dxa"/>
            <w:vAlign w:val="bottom"/>
          </w:tcPr>
          <w:p>
            <w:pPr>
              <w:jc w:val="right"/>
              <w:ind w:right="232"/>
              <w:spacing w:after="0"/>
              <w:rPr>
                <w:sz w:val="20"/>
                <w:szCs w:val="20"/>
                <w:color w:val="auto"/>
              </w:rPr>
            </w:pPr>
            <w:r>
              <w:rPr>
                <w:rFonts w:ascii="Arial" w:cs="Arial" w:eastAsia="Arial" w:hAnsi="Arial"/>
                <w:sz w:val="18"/>
                <w:szCs w:val="18"/>
                <w:color w:val="auto"/>
              </w:rPr>
              <w:t>30.09.03</w:t>
            </w: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30.06.04</w:t>
            </w:r>
          </w:p>
        </w:tc>
        <w:tc>
          <w:tcPr>
            <w:tcW w:w="1260" w:type="dxa"/>
            <w:vAlign w:val="bottom"/>
          </w:tcPr>
          <w:p>
            <w:pPr>
              <w:jc w:val="right"/>
              <w:ind w:right="352"/>
              <w:spacing w:after="0"/>
              <w:rPr>
                <w:sz w:val="20"/>
                <w:szCs w:val="20"/>
                <w:color w:val="auto"/>
              </w:rPr>
            </w:pPr>
            <w:r>
              <w:rPr>
                <w:rFonts w:ascii="Arial" w:cs="Arial" w:eastAsia="Arial" w:hAnsi="Arial"/>
                <w:sz w:val="18"/>
                <w:szCs w:val="18"/>
                <w:color w:val="auto"/>
              </w:rPr>
              <w:t>30.09.04</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w w:val="96"/>
              </w:rPr>
              <w:t>30.09.03</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30.06.04</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30.09.04</w:t>
            </w:r>
          </w:p>
        </w:tc>
      </w:tr>
      <w:tr>
        <w:trPr>
          <w:trHeight w:val="110"/>
        </w:trPr>
        <w:tc>
          <w:tcPr>
            <w:tcW w:w="1720" w:type="dxa"/>
            <w:vAlign w:val="bottom"/>
            <w:tcBorders>
              <w:bottom w:val="single" w:sz="8" w:color="auto"/>
            </w:tcBorders>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r>
      <w:tr>
        <w:trPr>
          <w:trHeight w:val="309"/>
        </w:trPr>
        <w:tc>
          <w:tcPr>
            <w:tcW w:w="4520" w:type="dxa"/>
            <w:vAlign w:val="bottom"/>
            <w:gridSpan w:val="2"/>
          </w:tcPr>
          <w:p>
            <w:pPr>
              <w:spacing w:after="0"/>
              <w:rPr>
                <w:sz w:val="20"/>
                <w:szCs w:val="20"/>
                <w:color w:val="auto"/>
              </w:rPr>
            </w:pPr>
            <w:r>
              <w:rPr>
                <w:rFonts w:ascii="Arial" w:cs="Arial" w:eastAsia="Arial" w:hAnsi="Arial"/>
                <w:sz w:val="18"/>
                <w:szCs w:val="18"/>
                <w:color w:val="auto"/>
              </w:rPr>
              <w:t>Banco de Crédito del Perú</w:t>
            </w:r>
          </w:p>
        </w:tc>
        <w:tc>
          <w:tcPr>
            <w:tcW w:w="1260" w:type="dxa"/>
            <w:vAlign w:val="bottom"/>
          </w:tcPr>
          <w:p>
            <w:pPr>
              <w:jc w:val="right"/>
              <w:spacing w:after="0"/>
              <w:rPr>
                <w:sz w:val="20"/>
                <w:szCs w:val="20"/>
                <w:color w:val="auto"/>
              </w:rPr>
            </w:pPr>
            <w:r>
              <w:rPr>
                <w:rFonts w:ascii="Arial" w:cs="Arial" w:eastAsia="Arial" w:hAnsi="Arial"/>
                <w:sz w:val="18"/>
                <w:szCs w:val="18"/>
                <w:color w:val="auto"/>
              </w:rPr>
              <w:t>85.9%</w:t>
            </w:r>
          </w:p>
        </w:tc>
        <w:tc>
          <w:tcPr>
            <w:tcW w:w="1160" w:type="dxa"/>
            <w:vAlign w:val="bottom"/>
          </w:tcPr>
          <w:p>
            <w:pPr>
              <w:jc w:val="right"/>
              <w:spacing w:after="0"/>
              <w:rPr>
                <w:sz w:val="20"/>
                <w:szCs w:val="20"/>
                <w:color w:val="auto"/>
              </w:rPr>
            </w:pPr>
            <w:r>
              <w:rPr>
                <w:rFonts w:ascii="Arial" w:cs="Arial" w:eastAsia="Arial" w:hAnsi="Arial"/>
                <w:sz w:val="18"/>
                <w:szCs w:val="18"/>
                <w:color w:val="auto"/>
              </w:rPr>
              <w:t>88.8%</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88.1%</w:t>
            </w:r>
          </w:p>
        </w:tc>
        <w:tc>
          <w:tcPr>
            <w:tcW w:w="960" w:type="dxa"/>
            <w:vAlign w:val="bottom"/>
          </w:tcPr>
          <w:p>
            <w:pPr>
              <w:jc w:val="right"/>
              <w:spacing w:after="0"/>
              <w:rPr>
                <w:sz w:val="20"/>
                <w:szCs w:val="20"/>
                <w:color w:val="auto"/>
              </w:rPr>
            </w:pPr>
            <w:r>
              <w:rPr>
                <w:rFonts w:ascii="Arial" w:cs="Arial" w:eastAsia="Arial" w:hAnsi="Arial"/>
                <w:sz w:val="18"/>
                <w:szCs w:val="18"/>
                <w:color w:val="auto"/>
              </w:rPr>
              <w:t>89.8%</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91.7%</w:t>
            </w:r>
          </w:p>
        </w:tc>
        <w:tc>
          <w:tcPr>
            <w:tcW w:w="1000" w:type="dxa"/>
            <w:vAlign w:val="bottom"/>
          </w:tcPr>
          <w:p>
            <w:pPr>
              <w:jc w:val="right"/>
              <w:spacing w:after="0"/>
              <w:rPr>
                <w:sz w:val="20"/>
                <w:szCs w:val="20"/>
                <w:color w:val="auto"/>
              </w:rPr>
            </w:pPr>
            <w:r>
              <w:rPr>
                <w:rFonts w:ascii="Arial" w:cs="Arial" w:eastAsia="Arial" w:hAnsi="Arial"/>
                <w:sz w:val="18"/>
                <w:szCs w:val="18"/>
                <w:color w:val="auto"/>
              </w:rPr>
              <w:t>91.8%</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Banco de Crédito de Bolivia</w:t>
            </w:r>
          </w:p>
        </w:tc>
        <w:tc>
          <w:tcPr>
            <w:tcW w:w="1260" w:type="dxa"/>
            <w:vAlign w:val="bottom"/>
          </w:tcPr>
          <w:p>
            <w:pPr>
              <w:jc w:val="right"/>
              <w:spacing w:after="0"/>
              <w:rPr>
                <w:sz w:val="20"/>
                <w:szCs w:val="20"/>
                <w:color w:val="auto"/>
              </w:rPr>
            </w:pPr>
            <w:r>
              <w:rPr>
                <w:rFonts w:ascii="Arial" w:cs="Arial" w:eastAsia="Arial" w:hAnsi="Arial"/>
                <w:sz w:val="18"/>
                <w:szCs w:val="18"/>
                <w:color w:val="auto"/>
              </w:rPr>
              <w:t>7.2%</w:t>
            </w:r>
          </w:p>
        </w:tc>
        <w:tc>
          <w:tcPr>
            <w:tcW w:w="1160" w:type="dxa"/>
            <w:vAlign w:val="bottom"/>
          </w:tcPr>
          <w:p>
            <w:pPr>
              <w:jc w:val="right"/>
              <w:spacing w:after="0"/>
              <w:rPr>
                <w:sz w:val="20"/>
                <w:szCs w:val="20"/>
                <w:color w:val="auto"/>
              </w:rPr>
            </w:pPr>
            <w:r>
              <w:rPr>
                <w:rFonts w:ascii="Arial" w:cs="Arial" w:eastAsia="Arial" w:hAnsi="Arial"/>
                <w:sz w:val="18"/>
                <w:szCs w:val="18"/>
                <w:color w:val="auto"/>
              </w:rPr>
              <w:t>6.7%</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7.0%</w:t>
            </w:r>
          </w:p>
        </w:tc>
        <w:tc>
          <w:tcPr>
            <w:tcW w:w="960" w:type="dxa"/>
            <w:vAlign w:val="bottom"/>
          </w:tcPr>
          <w:p>
            <w:pPr>
              <w:jc w:val="right"/>
              <w:spacing w:after="0"/>
              <w:rPr>
                <w:sz w:val="20"/>
                <w:szCs w:val="20"/>
                <w:color w:val="auto"/>
              </w:rPr>
            </w:pPr>
            <w:r>
              <w:rPr>
                <w:rFonts w:ascii="Arial" w:cs="Arial" w:eastAsia="Arial" w:hAnsi="Arial"/>
                <w:sz w:val="18"/>
                <w:szCs w:val="18"/>
                <w:color w:val="auto"/>
              </w:rPr>
              <w:t>6.6%</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10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Crédito Leasing</w:t>
            </w:r>
          </w:p>
        </w:tc>
        <w:tc>
          <w:tcPr>
            <w:tcW w:w="1260" w:type="dxa"/>
            <w:vAlign w:val="bottom"/>
          </w:tcPr>
          <w:p>
            <w:pPr>
              <w:jc w:val="right"/>
              <w:spacing w:after="0"/>
              <w:rPr>
                <w:sz w:val="20"/>
                <w:szCs w:val="20"/>
                <w:color w:val="auto"/>
              </w:rPr>
            </w:pPr>
            <w:r>
              <w:rPr>
                <w:rFonts w:ascii="Arial" w:cs="Arial" w:eastAsia="Arial" w:hAnsi="Arial"/>
                <w:sz w:val="18"/>
                <w:szCs w:val="18"/>
                <w:color w:val="auto"/>
              </w:rPr>
              <w:t>4.6%</w:t>
            </w: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4.9%</w:t>
            </w: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Solución Financiera de Crédito</w:t>
            </w: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60" w:type="dxa"/>
            <w:vAlign w:val="bottom"/>
          </w:tcPr>
          <w:p>
            <w:pPr>
              <w:jc w:val="right"/>
              <w:spacing w:after="0"/>
              <w:rPr>
                <w:sz w:val="20"/>
                <w:szCs w:val="20"/>
                <w:color w:val="auto"/>
              </w:rPr>
            </w:pPr>
            <w:r>
              <w:rPr>
                <w:rFonts w:ascii="Arial" w:cs="Arial" w:eastAsia="Arial" w:hAnsi="Arial"/>
                <w:sz w:val="18"/>
                <w:szCs w:val="18"/>
                <w:color w:val="auto"/>
              </w:rPr>
              <w:t>100.0%</w:t>
            </w: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100.0%</w:t>
            </w: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2"/>
        </w:trPr>
        <w:tc>
          <w:tcPr>
            <w:tcW w:w="4520" w:type="dxa"/>
            <w:vAlign w:val="bottom"/>
            <w:gridSpan w:val="2"/>
          </w:tcPr>
          <w:p>
            <w:pPr>
              <w:spacing w:after="0"/>
              <w:rPr>
                <w:sz w:val="20"/>
                <w:szCs w:val="20"/>
                <w:color w:val="auto"/>
              </w:rPr>
            </w:pPr>
            <w:r>
              <w:rPr>
                <w:rFonts w:ascii="Arial" w:cs="Arial" w:eastAsia="Arial" w:hAnsi="Arial"/>
                <w:sz w:val="18"/>
                <w:szCs w:val="18"/>
                <w:color w:val="auto"/>
              </w:rPr>
              <w:t>Total BCP</w:t>
            </w:r>
          </w:p>
        </w:tc>
        <w:tc>
          <w:tcPr>
            <w:tcW w:w="1260" w:type="dxa"/>
            <w:vAlign w:val="bottom"/>
          </w:tcPr>
          <w:p>
            <w:pPr>
              <w:jc w:val="right"/>
              <w:spacing w:after="0"/>
              <w:rPr>
                <w:sz w:val="20"/>
                <w:szCs w:val="20"/>
                <w:color w:val="auto"/>
              </w:rPr>
            </w:pPr>
            <w:r>
              <w:rPr>
                <w:rFonts w:ascii="Arial" w:cs="Arial" w:eastAsia="Arial" w:hAnsi="Arial"/>
                <w:sz w:val="18"/>
                <w:szCs w:val="18"/>
                <w:color w:val="auto"/>
              </w:rPr>
              <w:t>S/.13,689</w:t>
            </w:r>
          </w:p>
        </w:tc>
        <w:tc>
          <w:tcPr>
            <w:tcW w:w="1160" w:type="dxa"/>
            <w:vAlign w:val="bottom"/>
          </w:tcPr>
          <w:p>
            <w:pPr>
              <w:jc w:val="right"/>
              <w:spacing w:after="0"/>
              <w:rPr>
                <w:sz w:val="20"/>
                <w:szCs w:val="20"/>
                <w:color w:val="auto"/>
              </w:rPr>
            </w:pPr>
            <w:r>
              <w:rPr>
                <w:rFonts w:ascii="Arial" w:cs="Arial" w:eastAsia="Arial" w:hAnsi="Arial"/>
                <w:sz w:val="18"/>
                <w:szCs w:val="18"/>
                <w:color w:val="auto"/>
              </w:rPr>
              <w:t>S/.13,410</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S/.12,663</w:t>
            </w:r>
          </w:p>
        </w:tc>
        <w:tc>
          <w:tcPr>
            <w:tcW w:w="960" w:type="dxa"/>
            <w:vAlign w:val="bottom"/>
          </w:tcPr>
          <w:p>
            <w:pPr>
              <w:jc w:val="right"/>
              <w:spacing w:after="0"/>
              <w:rPr>
                <w:sz w:val="20"/>
                <w:szCs w:val="20"/>
                <w:color w:val="auto"/>
              </w:rPr>
            </w:pPr>
            <w:r>
              <w:rPr>
                <w:rFonts w:ascii="Arial" w:cs="Arial" w:eastAsia="Arial" w:hAnsi="Arial"/>
                <w:sz w:val="18"/>
                <w:szCs w:val="18"/>
                <w:color w:val="auto"/>
              </w:rPr>
              <w:t>S/.21,015</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S/.20,007</w:t>
            </w:r>
          </w:p>
        </w:tc>
        <w:tc>
          <w:tcPr>
            <w:tcW w:w="1000" w:type="dxa"/>
            <w:vAlign w:val="bottom"/>
          </w:tcPr>
          <w:p>
            <w:pPr>
              <w:jc w:val="right"/>
              <w:spacing w:after="0"/>
              <w:rPr>
                <w:sz w:val="20"/>
                <w:szCs w:val="20"/>
                <w:color w:val="auto"/>
              </w:rPr>
            </w:pPr>
            <w:r>
              <w:rPr>
                <w:rFonts w:ascii="Arial" w:cs="Arial" w:eastAsia="Arial" w:hAnsi="Arial"/>
                <w:sz w:val="18"/>
                <w:szCs w:val="18"/>
                <w:color w:val="auto"/>
              </w:rPr>
              <w:t>S/.19,289</w:t>
            </w:r>
          </w:p>
        </w:tc>
      </w:tr>
      <w:tr>
        <w:trPr>
          <w:trHeight w:val="110"/>
        </w:trPr>
        <w:tc>
          <w:tcPr>
            <w:tcW w:w="1720" w:type="dxa"/>
            <w:vAlign w:val="bottom"/>
            <w:tcBorders>
              <w:bottom w:val="single" w:sz="8" w:color="auto"/>
            </w:tcBorders>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r>
      <w:tr>
        <w:trPr>
          <w:trHeight w:val="532"/>
        </w:trPr>
        <w:tc>
          <w:tcPr>
            <w:tcW w:w="4520" w:type="dxa"/>
            <w:vAlign w:val="bottom"/>
            <w:gridSpan w:val="2"/>
          </w:tcPr>
          <w:p>
            <w:pPr>
              <w:spacing w:after="0"/>
              <w:rPr>
                <w:sz w:val="20"/>
                <w:szCs w:val="20"/>
                <w:color w:val="auto"/>
              </w:rPr>
            </w:pPr>
            <w:r>
              <w:rPr>
                <w:rFonts w:ascii="Arial" w:cs="Arial" w:eastAsia="Arial" w:hAnsi="Arial"/>
                <w:sz w:val="18"/>
                <w:szCs w:val="18"/>
                <w:color w:val="auto"/>
              </w:rPr>
              <w:t>Loan Portfolio</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5780" w:type="dxa"/>
            <w:vAlign w:val="bottom"/>
            <w:gridSpan w:val="3"/>
          </w:tcPr>
          <w:p>
            <w:pPr>
              <w:spacing w:after="0"/>
              <w:rPr>
                <w:sz w:val="20"/>
                <w:szCs w:val="20"/>
                <w:color w:val="auto"/>
              </w:rPr>
            </w:pPr>
            <w:r>
              <w:rPr>
                <w:rFonts w:ascii="Arial" w:cs="Arial" w:eastAsia="Arial" w:hAnsi="Arial"/>
                <w:sz w:val="18"/>
                <w:szCs w:val="18"/>
                <w:color w:val="auto"/>
              </w:rPr>
              <w:t>Loan portfolio composition by business segment developed as follows:</w:t>
            </w: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26"/>
        </w:trPr>
        <w:tc>
          <w:tcPr>
            <w:tcW w:w="172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6"/>
        </w:trPr>
        <w:tc>
          <w:tcPr>
            <w:tcW w:w="172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(In % of total and constant S/. Mn)</w:t>
            </w:r>
          </w:p>
        </w:tc>
        <w:tc>
          <w:tcPr>
            <w:tcW w:w="2420" w:type="dxa"/>
            <w:vAlign w:val="bottom"/>
            <w:gridSpan w:val="2"/>
          </w:tcPr>
          <w:p>
            <w:pPr>
              <w:jc w:val="right"/>
              <w:ind w:right="832"/>
              <w:spacing w:after="0"/>
              <w:rPr>
                <w:sz w:val="20"/>
                <w:szCs w:val="20"/>
                <w:color w:val="auto"/>
              </w:rPr>
            </w:pPr>
            <w:r>
              <w:rPr>
                <w:rFonts w:ascii="Arial" w:cs="Arial" w:eastAsia="Arial" w:hAnsi="Arial"/>
                <w:sz w:val="18"/>
                <w:szCs w:val="18"/>
                <w:color w:val="auto"/>
              </w:rPr>
              <w:t>30.09.03</w:t>
            </w:r>
          </w:p>
        </w:tc>
        <w:tc>
          <w:tcPr>
            <w:tcW w:w="1260" w:type="dxa"/>
            <w:vAlign w:val="bottom"/>
          </w:tcPr>
          <w:p>
            <w:pPr>
              <w:jc w:val="right"/>
              <w:ind w:right="492"/>
              <w:spacing w:after="0"/>
              <w:rPr>
                <w:sz w:val="20"/>
                <w:szCs w:val="20"/>
                <w:color w:val="auto"/>
              </w:rPr>
            </w:pPr>
            <w:r>
              <w:rPr>
                <w:rFonts w:ascii="Arial" w:cs="Arial" w:eastAsia="Arial" w:hAnsi="Arial"/>
                <w:sz w:val="18"/>
                <w:szCs w:val="18"/>
                <w:color w:val="auto"/>
                <w:w w:val="94"/>
              </w:rPr>
              <w:t>30.06.04</w:t>
            </w:r>
          </w:p>
        </w:tc>
        <w:tc>
          <w:tcPr>
            <w:tcW w:w="1500" w:type="dxa"/>
            <w:vAlign w:val="bottom"/>
            <w:gridSpan w:val="2"/>
          </w:tcPr>
          <w:p>
            <w:pPr>
              <w:jc w:val="right"/>
              <w:ind w:right="392"/>
              <w:spacing w:after="0"/>
              <w:rPr>
                <w:sz w:val="20"/>
                <w:szCs w:val="20"/>
                <w:color w:val="auto"/>
              </w:rPr>
            </w:pPr>
            <w:r>
              <w:rPr>
                <w:rFonts w:ascii="Arial" w:cs="Arial" w:eastAsia="Arial" w:hAnsi="Arial"/>
                <w:sz w:val="18"/>
                <w:szCs w:val="18"/>
                <w:color w:val="auto"/>
              </w:rPr>
              <w:t>30.09.04</w:t>
            </w: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0"/>
        </w:trPr>
        <w:tc>
          <w:tcPr>
            <w:tcW w:w="1720" w:type="dxa"/>
            <w:vAlign w:val="bottom"/>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309"/>
        </w:trPr>
        <w:tc>
          <w:tcPr>
            <w:tcW w:w="172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Corporate</w:t>
            </w:r>
          </w:p>
        </w:tc>
        <w:tc>
          <w:tcPr>
            <w:tcW w:w="126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Arial" w:cs="Arial" w:eastAsia="Arial" w:hAnsi="Arial"/>
                <w:sz w:val="18"/>
                <w:szCs w:val="18"/>
                <w:color w:val="auto"/>
              </w:rPr>
              <w:t>44.0%</w:t>
            </w:r>
          </w:p>
        </w:tc>
        <w:tc>
          <w:tcPr>
            <w:tcW w:w="1260" w:type="dxa"/>
            <w:vAlign w:val="bottom"/>
          </w:tcPr>
          <w:p>
            <w:pPr>
              <w:jc w:val="right"/>
              <w:spacing w:after="0"/>
              <w:rPr>
                <w:sz w:val="20"/>
                <w:szCs w:val="20"/>
                <w:color w:val="auto"/>
              </w:rPr>
            </w:pPr>
            <w:r>
              <w:rPr>
                <w:rFonts w:ascii="Arial" w:cs="Arial" w:eastAsia="Arial" w:hAnsi="Arial"/>
                <w:sz w:val="18"/>
                <w:szCs w:val="18"/>
                <w:color w:val="auto"/>
              </w:rPr>
              <w:t>42.0%</w:t>
            </w:r>
          </w:p>
        </w:tc>
        <w:tc>
          <w:tcPr>
            <w:tcW w:w="9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41.6%</w:t>
            </w: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17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Middle market</w:t>
            </w:r>
          </w:p>
        </w:tc>
        <w:tc>
          <w:tcPr>
            <w:tcW w:w="1260" w:type="dxa"/>
            <w:vAlign w:val="bottom"/>
          </w:tcPr>
          <w:p>
            <w:pPr>
              <w:spacing w:after="0"/>
              <w:rPr>
                <w:sz w:val="18"/>
                <w:szCs w:val="18"/>
                <w:color w:val="auto"/>
              </w:rPr>
            </w:pPr>
          </w:p>
        </w:tc>
        <w:tc>
          <w:tcPr>
            <w:tcW w:w="1160" w:type="dxa"/>
            <w:vAlign w:val="bottom"/>
          </w:tcPr>
          <w:p>
            <w:pPr>
              <w:jc w:val="right"/>
              <w:ind w:right="332"/>
              <w:spacing w:after="0"/>
              <w:rPr>
                <w:sz w:val="20"/>
                <w:szCs w:val="20"/>
                <w:color w:val="auto"/>
              </w:rPr>
            </w:pPr>
            <w:r>
              <w:rPr>
                <w:rFonts w:ascii="Arial" w:cs="Arial" w:eastAsia="Arial" w:hAnsi="Arial"/>
                <w:sz w:val="18"/>
                <w:szCs w:val="18"/>
                <w:color w:val="auto"/>
              </w:rPr>
              <w:t>25.1%</w:t>
            </w:r>
          </w:p>
        </w:tc>
        <w:tc>
          <w:tcPr>
            <w:tcW w:w="1260" w:type="dxa"/>
            <w:vAlign w:val="bottom"/>
          </w:tcPr>
          <w:p>
            <w:pPr>
              <w:jc w:val="right"/>
              <w:spacing w:after="0"/>
              <w:rPr>
                <w:sz w:val="20"/>
                <w:szCs w:val="20"/>
                <w:color w:val="auto"/>
              </w:rPr>
            </w:pPr>
            <w:r>
              <w:rPr>
                <w:rFonts w:ascii="Arial" w:cs="Arial" w:eastAsia="Arial" w:hAnsi="Arial"/>
                <w:sz w:val="18"/>
                <w:szCs w:val="18"/>
                <w:color w:val="auto"/>
              </w:rPr>
              <w:t>26.2%</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26.1%</w:t>
            </w: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Retail:</w:t>
            </w:r>
          </w:p>
        </w:tc>
        <w:tc>
          <w:tcPr>
            <w:tcW w:w="1260" w:type="dxa"/>
            <w:vAlign w:val="bottom"/>
          </w:tcPr>
          <w:p>
            <w:pPr>
              <w:spacing w:after="0"/>
              <w:rPr>
                <w:sz w:val="18"/>
                <w:szCs w:val="18"/>
                <w:color w:val="auto"/>
              </w:rPr>
            </w:pPr>
          </w:p>
        </w:tc>
        <w:tc>
          <w:tcPr>
            <w:tcW w:w="1160" w:type="dxa"/>
            <w:vAlign w:val="bottom"/>
          </w:tcPr>
          <w:p>
            <w:pPr>
              <w:jc w:val="right"/>
              <w:ind w:right="332"/>
              <w:spacing w:after="0"/>
              <w:rPr>
                <w:sz w:val="20"/>
                <w:szCs w:val="20"/>
                <w:color w:val="auto"/>
              </w:rPr>
            </w:pPr>
            <w:r>
              <w:rPr>
                <w:rFonts w:ascii="Arial" w:cs="Arial" w:eastAsia="Arial" w:hAnsi="Arial"/>
                <w:sz w:val="18"/>
                <w:szCs w:val="18"/>
                <w:color w:val="auto"/>
              </w:rPr>
              <w:t>30.9%</w:t>
            </w:r>
          </w:p>
        </w:tc>
        <w:tc>
          <w:tcPr>
            <w:tcW w:w="1260" w:type="dxa"/>
            <w:vAlign w:val="bottom"/>
          </w:tcPr>
          <w:p>
            <w:pPr>
              <w:jc w:val="right"/>
              <w:spacing w:after="0"/>
              <w:rPr>
                <w:sz w:val="20"/>
                <w:szCs w:val="20"/>
                <w:color w:val="auto"/>
              </w:rPr>
            </w:pPr>
            <w:r>
              <w:rPr>
                <w:rFonts w:ascii="Arial" w:cs="Arial" w:eastAsia="Arial" w:hAnsi="Arial"/>
                <w:sz w:val="18"/>
                <w:szCs w:val="18"/>
                <w:color w:val="auto"/>
              </w:rPr>
              <w:t>31.8%</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32.3%</w:t>
            </w: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 small business</w:t>
            </w:r>
          </w:p>
        </w:tc>
        <w:tc>
          <w:tcPr>
            <w:tcW w:w="1260" w:type="dxa"/>
            <w:vAlign w:val="bottom"/>
          </w:tcPr>
          <w:p>
            <w:pPr>
              <w:spacing w:after="0"/>
              <w:rPr>
                <w:sz w:val="18"/>
                <w:szCs w:val="18"/>
                <w:color w:val="auto"/>
              </w:rPr>
            </w:pPr>
          </w:p>
        </w:tc>
        <w:tc>
          <w:tcPr>
            <w:tcW w:w="1160" w:type="dxa"/>
            <w:vAlign w:val="bottom"/>
          </w:tcPr>
          <w:p>
            <w:pPr>
              <w:jc w:val="right"/>
              <w:ind w:right="332"/>
              <w:spacing w:after="0"/>
              <w:rPr>
                <w:sz w:val="20"/>
                <w:szCs w:val="20"/>
                <w:color w:val="auto"/>
              </w:rPr>
            </w:pPr>
            <w:r>
              <w:rPr>
                <w:rFonts w:ascii="Arial" w:cs="Arial" w:eastAsia="Arial" w:hAnsi="Arial"/>
                <w:sz w:val="18"/>
                <w:szCs w:val="18"/>
                <w:color w:val="auto"/>
              </w:rPr>
              <w:t>9.2%</w:t>
            </w:r>
          </w:p>
        </w:tc>
        <w:tc>
          <w:tcPr>
            <w:tcW w:w="1260" w:type="dxa"/>
            <w:vAlign w:val="bottom"/>
          </w:tcPr>
          <w:p>
            <w:pPr>
              <w:jc w:val="right"/>
              <w:spacing w:after="0"/>
              <w:rPr>
                <w:sz w:val="20"/>
                <w:szCs w:val="20"/>
                <w:color w:val="auto"/>
              </w:rPr>
            </w:pPr>
            <w:r>
              <w:rPr>
                <w:rFonts w:ascii="Arial" w:cs="Arial" w:eastAsia="Arial" w:hAnsi="Arial"/>
                <w:sz w:val="18"/>
                <w:szCs w:val="18"/>
                <w:color w:val="auto"/>
              </w:rPr>
              <w:t>9.7%</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w:t>
            </w: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 home mortgage</w:t>
            </w:r>
          </w:p>
        </w:tc>
        <w:tc>
          <w:tcPr>
            <w:tcW w:w="1260" w:type="dxa"/>
            <w:vAlign w:val="bottom"/>
          </w:tcPr>
          <w:p>
            <w:pPr>
              <w:spacing w:after="0"/>
              <w:rPr>
                <w:sz w:val="18"/>
                <w:szCs w:val="18"/>
                <w:color w:val="auto"/>
              </w:rPr>
            </w:pPr>
          </w:p>
        </w:tc>
        <w:tc>
          <w:tcPr>
            <w:tcW w:w="1160" w:type="dxa"/>
            <w:vAlign w:val="bottom"/>
          </w:tcPr>
          <w:p>
            <w:pPr>
              <w:jc w:val="right"/>
              <w:ind w:right="332"/>
              <w:spacing w:after="0"/>
              <w:rPr>
                <w:sz w:val="20"/>
                <w:szCs w:val="20"/>
                <w:color w:val="auto"/>
              </w:rPr>
            </w:pPr>
            <w:r>
              <w:rPr>
                <w:rFonts w:ascii="Arial" w:cs="Arial" w:eastAsia="Arial" w:hAnsi="Arial"/>
                <w:sz w:val="18"/>
                <w:szCs w:val="18"/>
                <w:color w:val="auto"/>
              </w:rPr>
              <w:t>13.6%</w:t>
            </w:r>
          </w:p>
        </w:tc>
        <w:tc>
          <w:tcPr>
            <w:tcW w:w="1260" w:type="dxa"/>
            <w:vAlign w:val="bottom"/>
          </w:tcPr>
          <w:p>
            <w:pPr>
              <w:jc w:val="right"/>
              <w:spacing w:after="0"/>
              <w:rPr>
                <w:sz w:val="20"/>
                <w:szCs w:val="20"/>
                <w:color w:val="auto"/>
              </w:rPr>
            </w:pPr>
            <w:r>
              <w:rPr>
                <w:rFonts w:ascii="Arial" w:cs="Arial" w:eastAsia="Arial" w:hAnsi="Arial"/>
                <w:sz w:val="18"/>
                <w:szCs w:val="18"/>
                <w:color w:val="auto"/>
              </w:rPr>
              <w:t>15.4%</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16.3%</w:t>
            </w: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 consumer</w:t>
            </w:r>
          </w:p>
        </w:tc>
        <w:tc>
          <w:tcPr>
            <w:tcW w:w="1260" w:type="dxa"/>
            <w:vAlign w:val="bottom"/>
          </w:tcPr>
          <w:p>
            <w:pPr>
              <w:spacing w:after="0"/>
              <w:rPr>
                <w:sz w:val="18"/>
                <w:szCs w:val="18"/>
                <w:color w:val="auto"/>
              </w:rPr>
            </w:pPr>
          </w:p>
        </w:tc>
        <w:tc>
          <w:tcPr>
            <w:tcW w:w="1160" w:type="dxa"/>
            <w:vAlign w:val="bottom"/>
          </w:tcPr>
          <w:p>
            <w:pPr>
              <w:jc w:val="right"/>
              <w:ind w:right="332"/>
              <w:spacing w:after="0"/>
              <w:rPr>
                <w:sz w:val="20"/>
                <w:szCs w:val="20"/>
                <w:color w:val="auto"/>
              </w:rPr>
            </w:pPr>
            <w:r>
              <w:rPr>
                <w:rFonts w:ascii="Arial" w:cs="Arial" w:eastAsia="Arial" w:hAnsi="Arial"/>
                <w:sz w:val="18"/>
                <w:szCs w:val="18"/>
                <w:color w:val="auto"/>
              </w:rPr>
              <w:t>4.6%</w:t>
            </w:r>
          </w:p>
        </w:tc>
        <w:tc>
          <w:tcPr>
            <w:tcW w:w="1260" w:type="dxa"/>
            <w:vAlign w:val="bottom"/>
          </w:tcPr>
          <w:p>
            <w:pPr>
              <w:jc w:val="right"/>
              <w:spacing w:after="0"/>
              <w:rPr>
                <w:sz w:val="20"/>
                <w:szCs w:val="20"/>
                <w:color w:val="auto"/>
              </w:rPr>
            </w:pPr>
            <w:r>
              <w:rPr>
                <w:rFonts w:ascii="Arial" w:cs="Arial" w:eastAsia="Arial" w:hAnsi="Arial"/>
                <w:sz w:val="18"/>
                <w:szCs w:val="18"/>
                <w:color w:val="auto"/>
              </w:rPr>
              <w:t>3.2%</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 credit cards</w:t>
            </w:r>
          </w:p>
        </w:tc>
        <w:tc>
          <w:tcPr>
            <w:tcW w:w="1260" w:type="dxa"/>
            <w:vAlign w:val="bottom"/>
          </w:tcPr>
          <w:p>
            <w:pPr>
              <w:spacing w:after="0"/>
              <w:rPr>
                <w:sz w:val="18"/>
                <w:szCs w:val="18"/>
                <w:color w:val="auto"/>
              </w:rPr>
            </w:pPr>
          </w:p>
        </w:tc>
        <w:tc>
          <w:tcPr>
            <w:tcW w:w="1160" w:type="dxa"/>
            <w:vAlign w:val="bottom"/>
          </w:tcPr>
          <w:p>
            <w:pPr>
              <w:jc w:val="right"/>
              <w:ind w:right="332"/>
              <w:spacing w:after="0"/>
              <w:rPr>
                <w:sz w:val="20"/>
                <w:szCs w:val="20"/>
                <w:color w:val="auto"/>
              </w:rPr>
            </w:pPr>
            <w:r>
              <w:rPr>
                <w:rFonts w:ascii="Arial" w:cs="Arial" w:eastAsia="Arial" w:hAnsi="Arial"/>
                <w:sz w:val="18"/>
                <w:szCs w:val="18"/>
                <w:color w:val="auto"/>
              </w:rPr>
              <w:t>3.5%</w:t>
            </w:r>
          </w:p>
        </w:tc>
        <w:tc>
          <w:tcPr>
            <w:tcW w:w="1260" w:type="dxa"/>
            <w:vAlign w:val="bottom"/>
          </w:tcPr>
          <w:p>
            <w:pPr>
              <w:jc w:val="right"/>
              <w:spacing w:after="0"/>
              <w:rPr>
                <w:sz w:val="20"/>
                <w:szCs w:val="20"/>
                <w:color w:val="auto"/>
              </w:rPr>
            </w:pPr>
            <w:r>
              <w:rPr>
                <w:rFonts w:ascii="Arial" w:cs="Arial" w:eastAsia="Arial" w:hAnsi="Arial"/>
                <w:sz w:val="18"/>
                <w:szCs w:val="18"/>
                <w:color w:val="auto"/>
              </w:rPr>
              <w:t>3.5%</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Total</w:t>
            </w:r>
          </w:p>
        </w:tc>
        <w:tc>
          <w:tcPr>
            <w:tcW w:w="1260" w:type="dxa"/>
            <w:vAlign w:val="bottom"/>
          </w:tcPr>
          <w:p>
            <w:pPr>
              <w:spacing w:after="0"/>
              <w:rPr>
                <w:sz w:val="18"/>
                <w:szCs w:val="18"/>
                <w:color w:val="auto"/>
              </w:rPr>
            </w:pPr>
          </w:p>
        </w:tc>
        <w:tc>
          <w:tcPr>
            <w:tcW w:w="1160" w:type="dxa"/>
            <w:vAlign w:val="bottom"/>
          </w:tcPr>
          <w:p>
            <w:pPr>
              <w:jc w:val="right"/>
              <w:ind w:right="332"/>
              <w:spacing w:after="0"/>
              <w:rPr>
                <w:sz w:val="20"/>
                <w:szCs w:val="20"/>
                <w:color w:val="auto"/>
              </w:rPr>
            </w:pPr>
            <w:r>
              <w:rPr>
                <w:rFonts w:ascii="Arial" w:cs="Arial" w:eastAsia="Arial" w:hAnsi="Arial"/>
                <w:sz w:val="18"/>
                <w:szCs w:val="18"/>
                <w:color w:val="auto"/>
              </w:rPr>
              <w:t>100.0%</w:t>
            </w:r>
          </w:p>
        </w:tc>
        <w:tc>
          <w:tcPr>
            <w:tcW w:w="1260" w:type="dxa"/>
            <w:vAlign w:val="bottom"/>
          </w:tcPr>
          <w:p>
            <w:pPr>
              <w:jc w:val="right"/>
              <w:spacing w:after="0"/>
              <w:rPr>
                <w:sz w:val="20"/>
                <w:szCs w:val="20"/>
                <w:color w:val="auto"/>
              </w:rPr>
            </w:pPr>
            <w:r>
              <w:rPr>
                <w:rFonts w:ascii="Arial" w:cs="Arial" w:eastAsia="Arial" w:hAnsi="Arial"/>
                <w:sz w:val="18"/>
                <w:szCs w:val="18"/>
                <w:color w:val="auto"/>
              </w:rPr>
              <w:t>100.0%</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5"/>
              </w:rPr>
              <w:t>100.0%</w:t>
            </w: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Total Loans</w:t>
            </w:r>
          </w:p>
        </w:tc>
        <w:tc>
          <w:tcPr>
            <w:tcW w:w="1260" w:type="dxa"/>
            <w:vAlign w:val="bottom"/>
          </w:tcPr>
          <w:p>
            <w:pPr>
              <w:spacing w:after="0"/>
              <w:rPr>
                <w:sz w:val="19"/>
                <w:szCs w:val="19"/>
                <w:color w:val="auto"/>
              </w:rPr>
            </w:pPr>
          </w:p>
        </w:tc>
        <w:tc>
          <w:tcPr>
            <w:tcW w:w="1160" w:type="dxa"/>
            <w:vAlign w:val="bottom"/>
          </w:tcPr>
          <w:p>
            <w:pPr>
              <w:jc w:val="right"/>
              <w:ind w:right="332"/>
              <w:spacing w:after="0"/>
              <w:rPr>
                <w:sz w:val="20"/>
                <w:szCs w:val="20"/>
                <w:color w:val="auto"/>
              </w:rPr>
            </w:pPr>
            <w:r>
              <w:rPr>
                <w:rFonts w:ascii="Arial" w:cs="Arial" w:eastAsia="Arial" w:hAnsi="Arial"/>
                <w:sz w:val="18"/>
                <w:szCs w:val="18"/>
                <w:color w:val="auto"/>
                <w:w w:val="93"/>
              </w:rPr>
              <w:t>S/.15,139</w:t>
            </w:r>
          </w:p>
        </w:tc>
        <w:tc>
          <w:tcPr>
            <w:tcW w:w="1260" w:type="dxa"/>
            <w:vAlign w:val="bottom"/>
          </w:tcPr>
          <w:p>
            <w:pPr>
              <w:jc w:val="right"/>
              <w:spacing w:after="0"/>
              <w:rPr>
                <w:sz w:val="20"/>
                <w:szCs w:val="20"/>
                <w:color w:val="auto"/>
              </w:rPr>
            </w:pPr>
            <w:r>
              <w:rPr>
                <w:rFonts w:ascii="Arial" w:cs="Arial" w:eastAsia="Arial" w:hAnsi="Arial"/>
                <w:sz w:val="18"/>
                <w:szCs w:val="18"/>
                <w:color w:val="auto"/>
              </w:rPr>
              <w:t>S/.14,419</w:t>
            </w:r>
          </w:p>
        </w:tc>
        <w:tc>
          <w:tcPr>
            <w:tcW w:w="2220" w:type="dxa"/>
            <w:vAlign w:val="bottom"/>
            <w:gridSpan w:val="3"/>
          </w:tcPr>
          <w:p>
            <w:pPr>
              <w:jc w:val="right"/>
              <w:ind w:right="720"/>
              <w:spacing w:after="0"/>
              <w:rPr>
                <w:sz w:val="20"/>
                <w:szCs w:val="20"/>
                <w:color w:val="auto"/>
              </w:rPr>
            </w:pPr>
            <w:r>
              <w:rPr>
                <w:rFonts w:ascii="Arial" w:cs="Arial" w:eastAsia="Arial" w:hAnsi="Arial"/>
                <w:sz w:val="18"/>
                <w:szCs w:val="18"/>
                <w:color w:val="auto"/>
              </w:rPr>
              <w:t>S/.13,576</w:t>
            </w:r>
          </w:p>
        </w:tc>
        <w:tc>
          <w:tcPr>
            <w:tcW w:w="1000" w:type="dxa"/>
            <w:vAlign w:val="bottom"/>
          </w:tcPr>
          <w:p>
            <w:pPr>
              <w:spacing w:after="0"/>
              <w:rPr>
                <w:sz w:val="19"/>
                <w:szCs w:val="19"/>
                <w:color w:val="auto"/>
              </w:rPr>
            </w:pPr>
          </w:p>
        </w:tc>
      </w:tr>
      <w:tr>
        <w:trPr>
          <w:trHeight w:val="110"/>
        </w:trPr>
        <w:tc>
          <w:tcPr>
            <w:tcW w:w="1720" w:type="dxa"/>
            <w:vAlign w:val="bottom"/>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000" w:type="dxa"/>
            <w:vAlign w:val="bottom"/>
          </w:tcPr>
          <w:p>
            <w:pPr>
              <w:spacing w:after="0"/>
              <w:rPr>
                <w:sz w:val="9"/>
                <w:szCs w:val="9"/>
                <w:color w:val="auto"/>
              </w:rPr>
            </w:pPr>
          </w:p>
        </w:tc>
      </w:tr>
    </w:tbl>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current quarter, loan balances decreased 5.8%, with corporate loans lower by 6.6% to S/.5,653 million (US$1,692 million), while middle market loans decreased by 6.3% to S/.3,538 million (US$1,059 million), and retail loans by 4.5% to S/.4,385 million (US$1,312 million). Retail loans by product performed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2520" w:type="dxa"/>
            <w:vAlign w:val="bottom"/>
          </w:tcPr>
          <w:p>
            <w:pPr>
              <w:jc w:val="right"/>
              <w:ind w:right="472"/>
              <w:spacing w:after="0"/>
              <w:rPr>
                <w:sz w:val="20"/>
                <w:szCs w:val="20"/>
                <w:color w:val="auto"/>
              </w:rPr>
            </w:pPr>
            <w:r>
              <w:rPr>
                <w:rFonts w:ascii="Arial" w:cs="Arial" w:eastAsia="Arial" w:hAnsi="Arial"/>
                <w:sz w:val="18"/>
                <w:szCs w:val="18"/>
                <w:color w:val="auto"/>
              </w:rPr>
              <w:t>30.09.03</w:t>
            </w:r>
          </w:p>
        </w:tc>
        <w:tc>
          <w:tcPr>
            <w:tcW w:w="1340" w:type="dxa"/>
            <w:vAlign w:val="bottom"/>
          </w:tcPr>
          <w:p>
            <w:pPr>
              <w:jc w:val="right"/>
              <w:ind w:right="432"/>
              <w:spacing w:after="0"/>
              <w:rPr>
                <w:sz w:val="20"/>
                <w:szCs w:val="20"/>
                <w:color w:val="auto"/>
              </w:rPr>
            </w:pPr>
            <w:r>
              <w:rPr>
                <w:rFonts w:ascii="Arial" w:cs="Arial" w:eastAsia="Arial" w:hAnsi="Arial"/>
                <w:sz w:val="18"/>
                <w:szCs w:val="18"/>
                <w:color w:val="auto"/>
              </w:rPr>
              <w:t>30.06.04</w:t>
            </w:r>
          </w:p>
        </w:tc>
        <w:tc>
          <w:tcPr>
            <w:tcW w:w="1340" w:type="dxa"/>
            <w:vAlign w:val="bottom"/>
          </w:tcPr>
          <w:p>
            <w:pPr>
              <w:jc w:val="right"/>
              <w:ind w:right="372"/>
              <w:spacing w:after="0"/>
              <w:rPr>
                <w:sz w:val="20"/>
                <w:szCs w:val="20"/>
                <w:color w:val="auto"/>
              </w:rPr>
            </w:pPr>
            <w:r>
              <w:rPr>
                <w:rFonts w:ascii="Arial" w:cs="Arial" w:eastAsia="Arial" w:hAnsi="Arial"/>
                <w:sz w:val="18"/>
                <w:szCs w:val="18"/>
                <w:color w:val="auto"/>
              </w:rPr>
              <w:t>330.09.04</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30.09.04 vs</w:t>
            </w:r>
          </w:p>
        </w:tc>
        <w:tc>
          <w:tcPr>
            <w:tcW w:w="1240" w:type="dxa"/>
            <w:vAlign w:val="bottom"/>
          </w:tcPr>
          <w:p>
            <w:pPr>
              <w:jc w:val="right"/>
              <w:ind w:right="212"/>
              <w:spacing w:after="0"/>
              <w:rPr>
                <w:sz w:val="20"/>
                <w:szCs w:val="20"/>
                <w:color w:val="auto"/>
              </w:rPr>
            </w:pPr>
            <w:r>
              <w:rPr>
                <w:rFonts w:ascii="Arial" w:cs="Arial" w:eastAsia="Arial" w:hAnsi="Arial"/>
                <w:sz w:val="18"/>
                <w:szCs w:val="18"/>
                <w:color w:val="auto"/>
                <w:w w:val="98"/>
              </w:rPr>
              <w:t>30.09.04 vs</w:t>
            </w:r>
          </w:p>
        </w:tc>
      </w:tr>
      <w:tr>
        <w:trPr>
          <w:trHeight w:val="222"/>
        </w:trPr>
        <w:tc>
          <w:tcPr>
            <w:tcW w:w="3600" w:type="dxa"/>
            <w:vAlign w:val="bottom"/>
          </w:tcPr>
          <w:p>
            <w:pPr>
              <w:spacing w:after="0"/>
              <w:rPr>
                <w:sz w:val="20"/>
                <w:szCs w:val="20"/>
                <w:color w:val="auto"/>
              </w:rPr>
            </w:pPr>
            <w:r>
              <w:rPr>
                <w:rFonts w:ascii="Arial" w:cs="Arial" w:eastAsia="Arial" w:hAnsi="Arial"/>
                <w:sz w:val="18"/>
                <w:szCs w:val="18"/>
                <w:color w:val="auto"/>
              </w:rPr>
              <w:t>(% change and constant S/. Mn)</w:t>
            </w:r>
          </w:p>
        </w:tc>
        <w:tc>
          <w:tcPr>
            <w:tcW w:w="25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80" w:type="dxa"/>
            <w:vAlign w:val="bottom"/>
          </w:tcPr>
          <w:p>
            <w:pPr>
              <w:jc w:val="right"/>
              <w:ind w:right="412"/>
              <w:spacing w:after="0"/>
              <w:rPr>
                <w:sz w:val="20"/>
                <w:szCs w:val="20"/>
                <w:color w:val="auto"/>
              </w:rPr>
            </w:pPr>
            <w:r>
              <w:rPr>
                <w:rFonts w:ascii="Arial" w:cs="Arial" w:eastAsia="Arial" w:hAnsi="Arial"/>
                <w:sz w:val="18"/>
                <w:szCs w:val="18"/>
                <w:color w:val="auto"/>
              </w:rPr>
              <w:t>30.06.04</w:t>
            </w:r>
          </w:p>
        </w:tc>
        <w:tc>
          <w:tcPr>
            <w:tcW w:w="1240" w:type="dxa"/>
            <w:vAlign w:val="bottom"/>
          </w:tcPr>
          <w:p>
            <w:pPr>
              <w:jc w:val="right"/>
              <w:ind w:right="292"/>
              <w:spacing w:after="0"/>
              <w:rPr>
                <w:sz w:val="20"/>
                <w:szCs w:val="20"/>
                <w:color w:val="auto"/>
              </w:rPr>
            </w:pPr>
            <w:r>
              <w:rPr>
                <w:rFonts w:ascii="Arial" w:cs="Arial" w:eastAsia="Arial" w:hAnsi="Arial"/>
                <w:sz w:val="18"/>
                <w:szCs w:val="18"/>
                <w:color w:val="auto"/>
              </w:rPr>
              <w:t>30.09.03</w:t>
            </w:r>
          </w:p>
        </w:tc>
      </w:tr>
      <w:tr>
        <w:trPr>
          <w:trHeight w:val="110"/>
        </w:trPr>
        <w:tc>
          <w:tcPr>
            <w:tcW w:w="3600" w:type="dxa"/>
            <w:vAlign w:val="bottom"/>
            <w:tcBorders>
              <w:bottom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r>
      <w:tr>
        <w:trPr>
          <w:trHeight w:val="309"/>
        </w:trPr>
        <w:tc>
          <w:tcPr>
            <w:tcW w:w="3600" w:type="dxa"/>
            <w:vAlign w:val="bottom"/>
          </w:tcPr>
          <w:p>
            <w:pPr>
              <w:spacing w:after="0"/>
              <w:rPr>
                <w:sz w:val="20"/>
                <w:szCs w:val="20"/>
                <w:color w:val="auto"/>
              </w:rPr>
            </w:pPr>
            <w:r>
              <w:rPr>
                <w:rFonts w:ascii="Arial" w:cs="Arial" w:eastAsia="Arial" w:hAnsi="Arial"/>
                <w:sz w:val="18"/>
                <w:szCs w:val="18"/>
                <w:color w:val="auto"/>
              </w:rPr>
              <w:t>Small business loans</w:t>
            </w:r>
          </w:p>
        </w:tc>
        <w:tc>
          <w:tcPr>
            <w:tcW w:w="2520" w:type="dxa"/>
            <w:vAlign w:val="bottom"/>
          </w:tcPr>
          <w:p>
            <w:pPr>
              <w:jc w:val="right"/>
              <w:ind w:right="112"/>
              <w:spacing w:after="0"/>
              <w:rPr>
                <w:sz w:val="20"/>
                <w:szCs w:val="20"/>
                <w:color w:val="auto"/>
              </w:rPr>
            </w:pPr>
            <w:r>
              <w:rPr>
                <w:rFonts w:ascii="Arial" w:cs="Arial" w:eastAsia="Arial" w:hAnsi="Arial"/>
                <w:sz w:val="18"/>
                <w:szCs w:val="18"/>
                <w:color w:val="auto"/>
              </w:rPr>
              <w:t>1,387</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1,397</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1,216</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-13.0%</w:t>
            </w:r>
          </w:p>
        </w:tc>
        <w:tc>
          <w:tcPr>
            <w:tcW w:w="124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Mortgage loans</w:t>
            </w:r>
          </w:p>
        </w:tc>
        <w:tc>
          <w:tcPr>
            <w:tcW w:w="2520" w:type="dxa"/>
            <w:vAlign w:val="bottom"/>
          </w:tcPr>
          <w:p>
            <w:pPr>
              <w:jc w:val="right"/>
              <w:ind w:right="112"/>
              <w:spacing w:after="0"/>
              <w:rPr>
                <w:sz w:val="20"/>
                <w:szCs w:val="20"/>
                <w:color w:val="auto"/>
              </w:rPr>
            </w:pPr>
            <w:r>
              <w:rPr>
                <w:rFonts w:ascii="Arial" w:cs="Arial" w:eastAsia="Arial" w:hAnsi="Arial"/>
                <w:sz w:val="18"/>
                <w:szCs w:val="18"/>
                <w:color w:val="auto"/>
              </w:rPr>
              <w:t>2,063</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2,223</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2,217</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2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Consumer loans</w:t>
            </w:r>
          </w:p>
        </w:tc>
        <w:tc>
          <w:tcPr>
            <w:tcW w:w="2520" w:type="dxa"/>
            <w:vAlign w:val="bottom"/>
          </w:tcPr>
          <w:p>
            <w:pPr>
              <w:jc w:val="right"/>
              <w:ind w:right="112"/>
              <w:spacing w:after="0"/>
              <w:rPr>
                <w:sz w:val="20"/>
                <w:szCs w:val="20"/>
                <w:color w:val="auto"/>
              </w:rPr>
            </w:pPr>
            <w:r>
              <w:rPr>
                <w:rFonts w:ascii="Arial" w:cs="Arial" w:eastAsia="Arial" w:hAnsi="Arial"/>
                <w:sz w:val="18"/>
                <w:szCs w:val="18"/>
                <w:color w:val="auto"/>
              </w:rPr>
              <w:t>700</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467</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455</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1240" w:type="dxa"/>
            <w:vAlign w:val="bottom"/>
          </w:tcPr>
          <w:p>
            <w:pPr>
              <w:jc w:val="right"/>
              <w:spacing w:after="0"/>
              <w:rPr>
                <w:sz w:val="20"/>
                <w:szCs w:val="20"/>
                <w:color w:val="auto"/>
              </w:rPr>
            </w:pPr>
            <w:r>
              <w:rPr>
                <w:rFonts w:ascii="Arial" w:cs="Arial" w:eastAsia="Arial" w:hAnsi="Arial"/>
                <w:sz w:val="18"/>
                <w:szCs w:val="18"/>
                <w:color w:val="auto"/>
              </w:rPr>
              <w:t>-35.1%</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Credit card loans</w:t>
            </w:r>
          </w:p>
        </w:tc>
        <w:tc>
          <w:tcPr>
            <w:tcW w:w="2520" w:type="dxa"/>
            <w:vAlign w:val="bottom"/>
          </w:tcPr>
          <w:p>
            <w:pPr>
              <w:jc w:val="right"/>
              <w:ind w:right="112"/>
              <w:spacing w:after="0"/>
              <w:rPr>
                <w:sz w:val="20"/>
                <w:szCs w:val="20"/>
                <w:color w:val="auto"/>
              </w:rPr>
            </w:pPr>
            <w:r>
              <w:rPr>
                <w:rFonts w:ascii="Arial" w:cs="Arial" w:eastAsia="Arial" w:hAnsi="Arial"/>
                <w:sz w:val="18"/>
                <w:szCs w:val="18"/>
                <w:color w:val="auto"/>
              </w:rPr>
              <w:t>535</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502</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497</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2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2"/>
        </w:trPr>
        <w:tc>
          <w:tcPr>
            <w:tcW w:w="3600" w:type="dxa"/>
            <w:vAlign w:val="bottom"/>
          </w:tcPr>
          <w:p>
            <w:pPr>
              <w:spacing w:after="0"/>
              <w:rPr>
                <w:sz w:val="20"/>
                <w:szCs w:val="20"/>
                <w:color w:val="auto"/>
              </w:rPr>
            </w:pPr>
            <w:r>
              <w:rPr>
                <w:rFonts w:ascii="Arial" w:cs="Arial" w:eastAsia="Arial" w:hAnsi="Arial"/>
                <w:sz w:val="18"/>
                <w:szCs w:val="18"/>
                <w:color w:val="auto"/>
              </w:rPr>
              <w:t>Total Retail</w:t>
            </w:r>
          </w:p>
        </w:tc>
        <w:tc>
          <w:tcPr>
            <w:tcW w:w="2520" w:type="dxa"/>
            <w:vAlign w:val="bottom"/>
          </w:tcPr>
          <w:p>
            <w:pPr>
              <w:jc w:val="right"/>
              <w:ind w:right="112"/>
              <w:spacing w:after="0"/>
              <w:rPr>
                <w:sz w:val="20"/>
                <w:szCs w:val="20"/>
                <w:color w:val="auto"/>
              </w:rPr>
            </w:pPr>
            <w:r>
              <w:rPr>
                <w:rFonts w:ascii="Arial" w:cs="Arial" w:eastAsia="Arial" w:hAnsi="Arial"/>
                <w:sz w:val="18"/>
                <w:szCs w:val="18"/>
                <w:color w:val="auto"/>
              </w:rPr>
              <w:t>4,685</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4,591</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4,385</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12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110"/>
        </w:trPr>
        <w:tc>
          <w:tcPr>
            <w:tcW w:w="3600" w:type="dxa"/>
            <w:vAlign w:val="bottom"/>
            <w:tcBorders>
              <w:bottom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r>
    </w:tbl>
    <w:p>
      <w:pPr>
        <w:spacing w:after="0" w:line="3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Lower consumer loans during third quarter 2004 is mainly because approximately S/.240 million are reported beginning in March 2004 as micro-business loans, which are shown as part of the Small Business concept in the preceding table.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Contingent Credits and Managed Funds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At September 30, 2004 contingent credits were S/.5,518 million (US$1,651 million), 7.5% below the June 2004 figure. Contingent credits grow 14.1% over credits at September 2003, mainly due to the inclussion, beginning in December 2003, of credit card un-used but approved lines of credit, which were not considered in previous periods, as can be seen in the Other contingent accounts caption in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jc w:val="right"/>
              <w:ind w:right="292"/>
              <w:spacing w:after="0"/>
              <w:rPr>
                <w:sz w:val="20"/>
                <w:szCs w:val="20"/>
                <w:color w:val="auto"/>
              </w:rPr>
            </w:pPr>
            <w:r>
              <w:rPr>
                <w:rFonts w:ascii="Arial" w:cs="Arial" w:eastAsia="Arial" w:hAnsi="Arial"/>
                <w:sz w:val="18"/>
                <w:szCs w:val="18"/>
                <w:color w:val="auto"/>
              </w:rPr>
              <w:t>30.09.03</w:t>
            </w:r>
          </w:p>
        </w:tc>
        <w:tc>
          <w:tcPr>
            <w:tcW w:w="1340" w:type="dxa"/>
            <w:vAlign w:val="bottom"/>
          </w:tcPr>
          <w:p>
            <w:pPr>
              <w:jc w:val="right"/>
              <w:ind w:right="252"/>
              <w:spacing w:after="0"/>
              <w:rPr>
                <w:sz w:val="20"/>
                <w:szCs w:val="20"/>
                <w:color w:val="auto"/>
              </w:rPr>
            </w:pPr>
            <w:r>
              <w:rPr>
                <w:rFonts w:ascii="Arial" w:cs="Arial" w:eastAsia="Arial" w:hAnsi="Arial"/>
                <w:sz w:val="18"/>
                <w:szCs w:val="18"/>
                <w:color w:val="auto"/>
              </w:rPr>
              <w:t>30.06.04</w:t>
            </w:r>
          </w:p>
        </w:tc>
        <w:tc>
          <w:tcPr>
            <w:tcW w:w="1480" w:type="dxa"/>
            <w:vAlign w:val="bottom"/>
          </w:tcPr>
          <w:p>
            <w:pPr>
              <w:jc w:val="right"/>
              <w:ind w:right="332"/>
              <w:spacing w:after="0"/>
              <w:rPr>
                <w:sz w:val="20"/>
                <w:szCs w:val="20"/>
                <w:color w:val="auto"/>
              </w:rPr>
            </w:pPr>
            <w:r>
              <w:rPr>
                <w:rFonts w:ascii="Arial" w:cs="Arial" w:eastAsia="Arial" w:hAnsi="Arial"/>
                <w:sz w:val="18"/>
                <w:szCs w:val="18"/>
                <w:color w:val="auto"/>
              </w:rPr>
              <w:t>330.09.04</w:t>
            </w: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30.09.04 vs</w:t>
            </w:r>
          </w:p>
        </w:tc>
        <w:tc>
          <w:tcPr>
            <w:tcW w:w="1240" w:type="dxa"/>
            <w:vAlign w:val="bottom"/>
          </w:tcPr>
          <w:p>
            <w:pPr>
              <w:jc w:val="right"/>
              <w:ind w:right="212"/>
              <w:spacing w:after="0"/>
              <w:rPr>
                <w:sz w:val="20"/>
                <w:szCs w:val="20"/>
                <w:color w:val="auto"/>
              </w:rPr>
            </w:pPr>
            <w:r>
              <w:rPr>
                <w:rFonts w:ascii="Arial" w:cs="Arial" w:eastAsia="Arial" w:hAnsi="Arial"/>
                <w:sz w:val="18"/>
                <w:szCs w:val="18"/>
                <w:color w:val="auto"/>
                <w:w w:val="98"/>
              </w:rPr>
              <w:t>30.09.04 vs</w:t>
            </w:r>
          </w:p>
        </w:tc>
      </w:tr>
      <w:tr>
        <w:trPr>
          <w:trHeight w:val="222"/>
        </w:trPr>
        <w:tc>
          <w:tcPr>
            <w:tcW w:w="5940" w:type="dxa"/>
            <w:vAlign w:val="bottom"/>
          </w:tcPr>
          <w:p>
            <w:pPr>
              <w:jc w:val="right"/>
              <w:ind w:right="3592"/>
              <w:spacing w:after="0"/>
              <w:rPr>
                <w:sz w:val="20"/>
                <w:szCs w:val="20"/>
                <w:color w:val="auto"/>
              </w:rPr>
            </w:pPr>
            <w:r>
              <w:rPr>
                <w:rFonts w:ascii="Arial" w:cs="Arial" w:eastAsia="Arial" w:hAnsi="Arial"/>
                <w:sz w:val="18"/>
                <w:szCs w:val="18"/>
                <w:color w:val="auto"/>
                <w:w w:val="87"/>
              </w:rPr>
              <w:t>(% change and constant S/. Mn)</w:t>
            </w:r>
          </w:p>
        </w:tc>
        <w:tc>
          <w:tcPr>
            <w:tcW w:w="1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30.06.04</w:t>
            </w:r>
          </w:p>
        </w:tc>
        <w:tc>
          <w:tcPr>
            <w:tcW w:w="1240" w:type="dxa"/>
            <w:vAlign w:val="bottom"/>
          </w:tcPr>
          <w:p>
            <w:pPr>
              <w:jc w:val="right"/>
              <w:ind w:right="292"/>
              <w:spacing w:after="0"/>
              <w:rPr>
                <w:sz w:val="20"/>
                <w:szCs w:val="20"/>
                <w:color w:val="auto"/>
              </w:rPr>
            </w:pPr>
            <w:r>
              <w:rPr>
                <w:rFonts w:ascii="Arial" w:cs="Arial" w:eastAsia="Arial" w:hAnsi="Arial"/>
                <w:sz w:val="18"/>
                <w:szCs w:val="18"/>
                <w:color w:val="auto"/>
              </w:rPr>
              <w:t>30.09.03</w:t>
            </w:r>
          </w:p>
        </w:tc>
      </w:tr>
      <w:tr>
        <w:trPr>
          <w:trHeight w:val="110"/>
        </w:trPr>
        <w:tc>
          <w:tcPr>
            <w:tcW w:w="59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131"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 Guarantees and Stand-by LCs</w:t>
            </w:r>
          </w:p>
        </w:tc>
        <w:tc>
          <w:tcPr>
            <w:tcW w:w="2540" w:type="dxa"/>
            <w:vAlign w:val="bottom"/>
          </w:tcPr>
          <w:p>
            <w:pPr>
              <w:jc w:val="right"/>
              <w:ind w:right="392"/>
              <w:spacing w:after="0"/>
              <w:rPr>
                <w:sz w:val="20"/>
                <w:szCs w:val="20"/>
                <w:color w:val="auto"/>
              </w:rPr>
            </w:pPr>
            <w:r>
              <w:rPr>
                <w:rFonts w:ascii="Arial" w:cs="Arial" w:eastAsia="Arial" w:hAnsi="Arial"/>
                <w:sz w:val="18"/>
                <w:szCs w:val="18"/>
                <w:color w:val="auto"/>
              </w:rPr>
              <w:t>2,366</w:t>
            </w:r>
          </w:p>
        </w:tc>
        <w:tc>
          <w:tcPr>
            <w:tcW w:w="1360" w:type="dxa"/>
            <w:vAlign w:val="bottom"/>
          </w:tcPr>
          <w:p>
            <w:pPr>
              <w:jc w:val="right"/>
              <w:ind w:right="392"/>
              <w:spacing w:after="0"/>
              <w:rPr>
                <w:sz w:val="20"/>
                <w:szCs w:val="20"/>
                <w:color w:val="auto"/>
              </w:rPr>
            </w:pPr>
            <w:r>
              <w:rPr>
                <w:rFonts w:ascii="Arial" w:cs="Arial" w:eastAsia="Arial" w:hAnsi="Arial"/>
                <w:sz w:val="18"/>
                <w:szCs w:val="18"/>
                <w:color w:val="auto"/>
              </w:rPr>
              <w:t>2,132</w:t>
            </w:r>
          </w:p>
        </w:tc>
        <w:tc>
          <w:tcPr>
            <w:tcW w:w="1340" w:type="dxa"/>
            <w:vAlign w:val="bottom"/>
          </w:tcPr>
          <w:p>
            <w:pPr>
              <w:jc w:val="right"/>
              <w:ind w:right="372"/>
              <w:spacing w:after="0"/>
              <w:rPr>
                <w:sz w:val="20"/>
                <w:szCs w:val="20"/>
                <w:color w:val="auto"/>
              </w:rPr>
            </w:pPr>
            <w:r>
              <w:rPr>
                <w:rFonts w:ascii="Arial" w:cs="Arial" w:eastAsia="Arial" w:hAnsi="Arial"/>
                <w:sz w:val="18"/>
                <w:szCs w:val="18"/>
                <w:color w:val="auto"/>
              </w:rPr>
              <w:t>1,934</w:t>
            </w:r>
          </w:p>
        </w:tc>
        <w:tc>
          <w:tcPr>
            <w:tcW w:w="1360" w:type="dxa"/>
            <w:vAlign w:val="bottom"/>
          </w:tcPr>
          <w:p>
            <w:pPr>
              <w:jc w:val="right"/>
              <w:ind w:right="312"/>
              <w:spacing w:after="0"/>
              <w:rPr>
                <w:sz w:val="20"/>
                <w:szCs w:val="20"/>
                <w:color w:val="auto"/>
              </w:rPr>
            </w:pPr>
            <w:r>
              <w:rPr>
                <w:rFonts w:ascii="Arial" w:cs="Arial" w:eastAsia="Arial" w:hAnsi="Arial"/>
                <w:sz w:val="18"/>
                <w:szCs w:val="18"/>
                <w:color w:val="auto"/>
              </w:rPr>
              <w:t>-9.3%</w:t>
            </w:r>
          </w:p>
        </w:tc>
        <w:tc>
          <w:tcPr>
            <w:tcW w:w="96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 Letters of Credit</w:t>
            </w:r>
          </w:p>
        </w:tc>
        <w:tc>
          <w:tcPr>
            <w:tcW w:w="2540" w:type="dxa"/>
            <w:vAlign w:val="bottom"/>
          </w:tcPr>
          <w:p>
            <w:pPr>
              <w:jc w:val="right"/>
              <w:ind w:right="392"/>
              <w:spacing w:after="0"/>
              <w:rPr>
                <w:sz w:val="20"/>
                <w:szCs w:val="20"/>
                <w:color w:val="auto"/>
              </w:rPr>
            </w:pPr>
            <w:r>
              <w:rPr>
                <w:rFonts w:ascii="Arial" w:cs="Arial" w:eastAsia="Arial" w:hAnsi="Arial"/>
                <w:sz w:val="18"/>
                <w:szCs w:val="18"/>
                <w:color w:val="auto"/>
              </w:rPr>
              <w:t>417</w:t>
            </w:r>
          </w:p>
        </w:tc>
        <w:tc>
          <w:tcPr>
            <w:tcW w:w="1360" w:type="dxa"/>
            <w:vAlign w:val="bottom"/>
          </w:tcPr>
          <w:p>
            <w:pPr>
              <w:jc w:val="right"/>
              <w:ind w:right="392"/>
              <w:spacing w:after="0"/>
              <w:rPr>
                <w:sz w:val="20"/>
                <w:szCs w:val="20"/>
                <w:color w:val="auto"/>
              </w:rPr>
            </w:pPr>
            <w:r>
              <w:rPr>
                <w:rFonts w:ascii="Arial" w:cs="Arial" w:eastAsia="Arial" w:hAnsi="Arial"/>
                <w:sz w:val="18"/>
                <w:szCs w:val="18"/>
                <w:color w:val="auto"/>
              </w:rPr>
              <w:t>639</w:t>
            </w:r>
          </w:p>
        </w:tc>
        <w:tc>
          <w:tcPr>
            <w:tcW w:w="1340" w:type="dxa"/>
            <w:vAlign w:val="bottom"/>
          </w:tcPr>
          <w:p>
            <w:pPr>
              <w:jc w:val="right"/>
              <w:ind w:right="372"/>
              <w:spacing w:after="0"/>
              <w:rPr>
                <w:sz w:val="20"/>
                <w:szCs w:val="20"/>
                <w:color w:val="auto"/>
              </w:rPr>
            </w:pPr>
            <w:r>
              <w:rPr>
                <w:rFonts w:ascii="Arial" w:cs="Arial" w:eastAsia="Arial" w:hAnsi="Arial"/>
                <w:sz w:val="18"/>
                <w:szCs w:val="18"/>
                <w:color w:val="auto"/>
              </w:rPr>
              <w:t>547</w:t>
            </w:r>
          </w:p>
        </w:tc>
        <w:tc>
          <w:tcPr>
            <w:tcW w:w="1360" w:type="dxa"/>
            <w:vAlign w:val="bottom"/>
          </w:tcPr>
          <w:p>
            <w:pPr>
              <w:jc w:val="right"/>
              <w:ind w:right="312"/>
              <w:spacing w:after="0"/>
              <w:rPr>
                <w:sz w:val="20"/>
                <w:szCs w:val="20"/>
                <w:color w:val="auto"/>
              </w:rPr>
            </w:pPr>
            <w:r>
              <w:rPr>
                <w:rFonts w:ascii="Arial" w:cs="Arial" w:eastAsia="Arial" w:hAnsi="Arial"/>
                <w:sz w:val="18"/>
                <w:szCs w:val="18"/>
                <w:color w:val="auto"/>
              </w:rPr>
              <w:t>-14.5%</w:t>
            </w:r>
          </w:p>
        </w:tc>
        <w:tc>
          <w:tcPr>
            <w:tcW w:w="96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 Acceptances</w:t>
            </w:r>
          </w:p>
        </w:tc>
        <w:tc>
          <w:tcPr>
            <w:tcW w:w="2540" w:type="dxa"/>
            <w:vAlign w:val="bottom"/>
          </w:tcPr>
          <w:p>
            <w:pPr>
              <w:jc w:val="right"/>
              <w:ind w:right="392"/>
              <w:spacing w:after="0"/>
              <w:rPr>
                <w:sz w:val="20"/>
                <w:szCs w:val="20"/>
                <w:color w:val="auto"/>
              </w:rPr>
            </w:pPr>
            <w:r>
              <w:rPr>
                <w:rFonts w:ascii="Arial" w:cs="Arial" w:eastAsia="Arial" w:hAnsi="Arial"/>
                <w:sz w:val="18"/>
                <w:szCs w:val="18"/>
                <w:color w:val="auto"/>
              </w:rPr>
              <w:t>186</w:t>
            </w:r>
          </w:p>
        </w:tc>
        <w:tc>
          <w:tcPr>
            <w:tcW w:w="1360" w:type="dxa"/>
            <w:vAlign w:val="bottom"/>
          </w:tcPr>
          <w:p>
            <w:pPr>
              <w:jc w:val="right"/>
              <w:ind w:right="392"/>
              <w:spacing w:after="0"/>
              <w:rPr>
                <w:sz w:val="20"/>
                <w:szCs w:val="20"/>
                <w:color w:val="auto"/>
              </w:rPr>
            </w:pPr>
            <w:r>
              <w:rPr>
                <w:rFonts w:ascii="Arial" w:cs="Arial" w:eastAsia="Arial" w:hAnsi="Arial"/>
                <w:sz w:val="18"/>
                <w:szCs w:val="18"/>
                <w:color w:val="auto"/>
              </w:rPr>
              <w:t>154</w:t>
            </w:r>
          </w:p>
        </w:tc>
        <w:tc>
          <w:tcPr>
            <w:tcW w:w="1340" w:type="dxa"/>
            <w:vAlign w:val="bottom"/>
          </w:tcPr>
          <w:p>
            <w:pPr>
              <w:jc w:val="right"/>
              <w:ind w:right="372"/>
              <w:spacing w:after="0"/>
              <w:rPr>
                <w:sz w:val="20"/>
                <w:szCs w:val="20"/>
                <w:color w:val="auto"/>
              </w:rPr>
            </w:pPr>
            <w:r>
              <w:rPr>
                <w:rFonts w:ascii="Arial" w:cs="Arial" w:eastAsia="Arial" w:hAnsi="Arial"/>
                <w:sz w:val="18"/>
                <w:szCs w:val="18"/>
                <w:color w:val="auto"/>
              </w:rPr>
              <w:t>164</w:t>
            </w:r>
          </w:p>
        </w:tc>
        <w:tc>
          <w:tcPr>
            <w:tcW w:w="1360" w:type="dxa"/>
            <w:vAlign w:val="bottom"/>
          </w:tcPr>
          <w:p>
            <w:pPr>
              <w:jc w:val="right"/>
              <w:ind w:right="312"/>
              <w:spacing w:after="0"/>
              <w:rPr>
                <w:sz w:val="20"/>
                <w:szCs w:val="20"/>
                <w:color w:val="auto"/>
              </w:rPr>
            </w:pPr>
            <w:r>
              <w:rPr>
                <w:rFonts w:ascii="Arial" w:cs="Arial" w:eastAsia="Arial" w:hAnsi="Arial"/>
                <w:sz w:val="18"/>
                <w:szCs w:val="18"/>
                <w:color w:val="auto"/>
              </w:rPr>
              <w:t>6.1%</w:t>
            </w:r>
          </w:p>
        </w:tc>
        <w:tc>
          <w:tcPr>
            <w:tcW w:w="9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 Foreign currency forwards</w:t>
            </w:r>
          </w:p>
        </w:tc>
        <w:tc>
          <w:tcPr>
            <w:tcW w:w="2540" w:type="dxa"/>
            <w:vAlign w:val="bottom"/>
          </w:tcPr>
          <w:p>
            <w:pPr>
              <w:jc w:val="right"/>
              <w:ind w:right="392"/>
              <w:spacing w:after="0"/>
              <w:rPr>
                <w:sz w:val="20"/>
                <w:szCs w:val="20"/>
                <w:color w:val="auto"/>
              </w:rPr>
            </w:pPr>
            <w:r>
              <w:rPr>
                <w:rFonts w:ascii="Arial" w:cs="Arial" w:eastAsia="Arial" w:hAnsi="Arial"/>
                <w:sz w:val="18"/>
                <w:szCs w:val="18"/>
                <w:color w:val="auto"/>
              </w:rPr>
              <w:t>1,145</w:t>
            </w:r>
          </w:p>
        </w:tc>
        <w:tc>
          <w:tcPr>
            <w:tcW w:w="1360" w:type="dxa"/>
            <w:vAlign w:val="bottom"/>
          </w:tcPr>
          <w:p>
            <w:pPr>
              <w:jc w:val="right"/>
              <w:ind w:right="392"/>
              <w:spacing w:after="0"/>
              <w:rPr>
                <w:sz w:val="20"/>
                <w:szCs w:val="20"/>
                <w:color w:val="auto"/>
              </w:rPr>
            </w:pPr>
            <w:r>
              <w:rPr>
                <w:rFonts w:ascii="Arial" w:cs="Arial" w:eastAsia="Arial" w:hAnsi="Arial"/>
                <w:sz w:val="18"/>
                <w:szCs w:val="18"/>
                <w:color w:val="auto"/>
              </w:rPr>
              <w:t>1,372</w:t>
            </w:r>
          </w:p>
        </w:tc>
        <w:tc>
          <w:tcPr>
            <w:tcW w:w="1340" w:type="dxa"/>
            <w:vAlign w:val="bottom"/>
          </w:tcPr>
          <w:p>
            <w:pPr>
              <w:jc w:val="right"/>
              <w:ind w:right="372"/>
              <w:spacing w:after="0"/>
              <w:rPr>
                <w:sz w:val="20"/>
                <w:szCs w:val="20"/>
                <w:color w:val="auto"/>
              </w:rPr>
            </w:pPr>
            <w:r>
              <w:rPr>
                <w:rFonts w:ascii="Arial" w:cs="Arial" w:eastAsia="Arial" w:hAnsi="Arial"/>
                <w:sz w:val="18"/>
                <w:szCs w:val="18"/>
                <w:color w:val="auto"/>
              </w:rPr>
              <w:t>1,148</w:t>
            </w:r>
          </w:p>
        </w:tc>
        <w:tc>
          <w:tcPr>
            <w:tcW w:w="1360" w:type="dxa"/>
            <w:vAlign w:val="bottom"/>
          </w:tcPr>
          <w:p>
            <w:pPr>
              <w:jc w:val="right"/>
              <w:ind w:right="312"/>
              <w:spacing w:after="0"/>
              <w:rPr>
                <w:sz w:val="20"/>
                <w:szCs w:val="20"/>
                <w:color w:val="auto"/>
              </w:rPr>
            </w:pPr>
            <w:r>
              <w:rPr>
                <w:rFonts w:ascii="Arial" w:cs="Arial" w:eastAsia="Arial" w:hAnsi="Arial"/>
                <w:sz w:val="18"/>
                <w:szCs w:val="18"/>
                <w:color w:val="auto"/>
              </w:rPr>
              <w:t>-16.3%</w:t>
            </w: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 Other contingent accounts</w:t>
            </w:r>
          </w:p>
        </w:tc>
        <w:tc>
          <w:tcPr>
            <w:tcW w:w="2540" w:type="dxa"/>
            <w:vAlign w:val="bottom"/>
          </w:tcPr>
          <w:p>
            <w:pPr>
              <w:jc w:val="right"/>
              <w:ind w:right="392"/>
              <w:spacing w:after="0"/>
              <w:rPr>
                <w:sz w:val="20"/>
                <w:szCs w:val="20"/>
                <w:color w:val="auto"/>
              </w:rPr>
            </w:pPr>
            <w:r>
              <w:rPr>
                <w:rFonts w:ascii="Arial" w:cs="Arial" w:eastAsia="Arial" w:hAnsi="Arial"/>
                <w:sz w:val="18"/>
                <w:szCs w:val="18"/>
                <w:color w:val="auto"/>
              </w:rPr>
              <w:t>722</w:t>
            </w:r>
          </w:p>
        </w:tc>
        <w:tc>
          <w:tcPr>
            <w:tcW w:w="1360" w:type="dxa"/>
            <w:vAlign w:val="bottom"/>
          </w:tcPr>
          <w:p>
            <w:pPr>
              <w:jc w:val="right"/>
              <w:ind w:right="392"/>
              <w:spacing w:after="0"/>
              <w:rPr>
                <w:sz w:val="20"/>
                <w:szCs w:val="20"/>
                <w:color w:val="auto"/>
              </w:rPr>
            </w:pPr>
            <w:r>
              <w:rPr>
                <w:rFonts w:ascii="Arial" w:cs="Arial" w:eastAsia="Arial" w:hAnsi="Arial"/>
                <w:sz w:val="18"/>
                <w:szCs w:val="18"/>
                <w:color w:val="auto"/>
              </w:rPr>
              <w:t>1,669</w:t>
            </w:r>
          </w:p>
        </w:tc>
        <w:tc>
          <w:tcPr>
            <w:tcW w:w="1340" w:type="dxa"/>
            <w:vAlign w:val="bottom"/>
          </w:tcPr>
          <w:p>
            <w:pPr>
              <w:jc w:val="right"/>
              <w:ind w:right="372"/>
              <w:spacing w:after="0"/>
              <w:rPr>
                <w:sz w:val="20"/>
                <w:szCs w:val="20"/>
                <w:color w:val="auto"/>
              </w:rPr>
            </w:pPr>
            <w:r>
              <w:rPr>
                <w:rFonts w:ascii="Arial" w:cs="Arial" w:eastAsia="Arial" w:hAnsi="Arial"/>
                <w:sz w:val="18"/>
                <w:szCs w:val="18"/>
                <w:color w:val="auto"/>
              </w:rPr>
              <w:t>1,726</w:t>
            </w:r>
          </w:p>
        </w:tc>
        <w:tc>
          <w:tcPr>
            <w:tcW w:w="1360" w:type="dxa"/>
            <w:vAlign w:val="bottom"/>
          </w:tcPr>
          <w:p>
            <w:pPr>
              <w:jc w:val="right"/>
              <w:ind w:right="312"/>
              <w:spacing w:after="0"/>
              <w:rPr>
                <w:sz w:val="20"/>
                <w:szCs w:val="20"/>
                <w:color w:val="auto"/>
              </w:rPr>
            </w:pPr>
            <w:r>
              <w:rPr>
                <w:rFonts w:ascii="Arial" w:cs="Arial" w:eastAsia="Arial" w:hAnsi="Arial"/>
                <w:sz w:val="18"/>
                <w:szCs w:val="18"/>
                <w:color w:val="auto"/>
              </w:rPr>
              <w:t>3.4%</w:t>
            </w:r>
          </w:p>
        </w:tc>
        <w:tc>
          <w:tcPr>
            <w:tcW w:w="960" w:type="dxa"/>
            <w:vAlign w:val="bottom"/>
          </w:tcPr>
          <w:p>
            <w:pPr>
              <w:jc w:val="right"/>
              <w:spacing w:after="0"/>
              <w:rPr>
                <w:sz w:val="20"/>
                <w:szCs w:val="20"/>
                <w:color w:val="auto"/>
              </w:rPr>
            </w:pPr>
            <w:r>
              <w:rPr>
                <w:rFonts w:ascii="Arial" w:cs="Arial" w:eastAsia="Arial" w:hAnsi="Arial"/>
                <w:sz w:val="18"/>
                <w:szCs w:val="18"/>
                <w:color w:val="auto"/>
              </w:rPr>
              <w:t>138.9%</w:t>
            </w:r>
          </w:p>
        </w:tc>
      </w:tr>
      <w:tr>
        <w:trPr>
          <w:trHeight w:val="222"/>
        </w:trPr>
        <w:tc>
          <w:tcPr>
            <w:tcW w:w="3860" w:type="dxa"/>
            <w:vAlign w:val="bottom"/>
          </w:tcPr>
          <w:p>
            <w:pPr>
              <w:spacing w:after="0"/>
              <w:rPr>
                <w:sz w:val="20"/>
                <w:szCs w:val="20"/>
                <w:color w:val="auto"/>
              </w:rPr>
            </w:pPr>
            <w:r>
              <w:rPr>
                <w:rFonts w:ascii="Arial" w:cs="Arial" w:eastAsia="Arial" w:hAnsi="Arial"/>
                <w:sz w:val="18"/>
                <w:szCs w:val="18"/>
                <w:color w:val="auto"/>
              </w:rPr>
              <w:t>Total Contingent Credits</w:t>
            </w:r>
          </w:p>
        </w:tc>
        <w:tc>
          <w:tcPr>
            <w:tcW w:w="2540" w:type="dxa"/>
            <w:vAlign w:val="bottom"/>
          </w:tcPr>
          <w:p>
            <w:pPr>
              <w:jc w:val="right"/>
              <w:ind w:right="392"/>
              <w:spacing w:after="0"/>
              <w:rPr>
                <w:sz w:val="20"/>
                <w:szCs w:val="20"/>
                <w:color w:val="auto"/>
              </w:rPr>
            </w:pPr>
            <w:r>
              <w:rPr>
                <w:rFonts w:ascii="Arial" w:cs="Arial" w:eastAsia="Arial" w:hAnsi="Arial"/>
                <w:sz w:val="18"/>
                <w:szCs w:val="18"/>
                <w:color w:val="auto"/>
              </w:rPr>
              <w:t>4,837</w:t>
            </w:r>
          </w:p>
        </w:tc>
        <w:tc>
          <w:tcPr>
            <w:tcW w:w="1360" w:type="dxa"/>
            <w:vAlign w:val="bottom"/>
          </w:tcPr>
          <w:p>
            <w:pPr>
              <w:jc w:val="right"/>
              <w:ind w:right="392"/>
              <w:spacing w:after="0"/>
              <w:rPr>
                <w:sz w:val="20"/>
                <w:szCs w:val="20"/>
                <w:color w:val="auto"/>
              </w:rPr>
            </w:pPr>
            <w:r>
              <w:rPr>
                <w:rFonts w:ascii="Arial" w:cs="Arial" w:eastAsia="Arial" w:hAnsi="Arial"/>
                <w:sz w:val="18"/>
                <w:szCs w:val="18"/>
                <w:color w:val="auto"/>
              </w:rPr>
              <w:t>5,968</w:t>
            </w:r>
          </w:p>
        </w:tc>
        <w:tc>
          <w:tcPr>
            <w:tcW w:w="1340" w:type="dxa"/>
            <w:vAlign w:val="bottom"/>
          </w:tcPr>
          <w:p>
            <w:pPr>
              <w:jc w:val="right"/>
              <w:ind w:right="372"/>
              <w:spacing w:after="0"/>
              <w:rPr>
                <w:sz w:val="20"/>
                <w:szCs w:val="20"/>
                <w:color w:val="auto"/>
              </w:rPr>
            </w:pPr>
            <w:r>
              <w:rPr>
                <w:rFonts w:ascii="Arial" w:cs="Arial" w:eastAsia="Arial" w:hAnsi="Arial"/>
                <w:sz w:val="18"/>
                <w:szCs w:val="18"/>
                <w:color w:val="auto"/>
              </w:rPr>
              <w:t>5,518</w:t>
            </w:r>
          </w:p>
        </w:tc>
        <w:tc>
          <w:tcPr>
            <w:tcW w:w="1360" w:type="dxa"/>
            <w:vAlign w:val="bottom"/>
          </w:tcPr>
          <w:p>
            <w:pPr>
              <w:jc w:val="right"/>
              <w:ind w:right="312"/>
              <w:spacing w:after="0"/>
              <w:rPr>
                <w:sz w:val="20"/>
                <w:szCs w:val="20"/>
                <w:color w:val="auto"/>
              </w:rPr>
            </w:pPr>
            <w:r>
              <w:rPr>
                <w:rFonts w:ascii="Arial" w:cs="Arial" w:eastAsia="Arial" w:hAnsi="Arial"/>
                <w:sz w:val="18"/>
                <w:szCs w:val="18"/>
                <w:color w:val="auto"/>
              </w:rPr>
              <w:t>-7.5%</w:t>
            </w:r>
          </w:p>
        </w:tc>
        <w:tc>
          <w:tcPr>
            <w:tcW w:w="9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110"/>
        </w:trPr>
        <w:tc>
          <w:tcPr>
            <w:tcW w:w="3860" w:type="dxa"/>
            <w:vAlign w:val="bottom"/>
            <w:tcBorders>
              <w:bottom w:val="single" w:sz="8" w:color="auto"/>
            </w:tcBorders>
          </w:tcPr>
          <w:p>
            <w:pPr>
              <w:spacing w:after="0"/>
              <w:rPr>
                <w:sz w:val="9"/>
                <w:szCs w:val="9"/>
                <w:color w:val="auto"/>
              </w:rPr>
            </w:pPr>
          </w:p>
        </w:tc>
        <w:tc>
          <w:tcPr>
            <w:tcW w:w="254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r>
    </w:tbl>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Third party funds managed by several subsidiaries of BCP amounted to S/.3,182 million (US$952.1 million) as of September 30, 2004, decreasing 6.2% compared to funds at June 2004.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Market share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 to preliminary statistics from the Peruvian Banking Association (ASBANC) for Peruvian commercial banks as of September 30, 2004, Banco de Crédito del Perú had a total loan market share of 34.0% (35.0% at June 30, 2004 and 33.8% at September 30, 2003), and 36.1% of deposits (36.8% at June 30, 2004 and 36.4% at September 30, 2003).</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BCP’s market share in Peruvian mutual funds, through its subsidiary Credifondo, was 51.6% as of September 30, 2004 (50.9% at June 30, 2004 and 49.3% at September 30, 2003).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II.6 LOAN QUALITY</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Consolidated past due loans amounted to S/.681 million (US$203.7 million) at September 30, 2004, decreasing 44.7% from the balance of S/.1,231 million (US$368.3 million) as of the end of September 2003, and are also 7.1% below past due loans at June 2004.</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ratio of past due loans as a percentage of total loans was 5.0% at September 30, 2004, improving from 8.1% at September 2003, although it remains similar to the ratio at June 2004. The ratio of past due, refinanced and restructured loans as a percentage of total loans declined to 9.9% during third quarter 2004 from 10.3% in June 2004, and also from 13.6% at September 2003.</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At the end of September 2004, refinanced loans amounted to S/.669.0 million (US$200.2 million), lower than the balance at September 2003 that was S/.834.2 million (US$249.6 million).</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end of the third quarter 2004, outstanding balances of loan loss provisions totaled S/.913.2 million (US$273.2 million), decreasing 9.5% compared to the preceding quarter mainly due to charge-offs. The coverage ratio of loan provisions to past due loans increased to 134.1% at the end of third quarter 2004, from 117.8% in September 2003, although it decreases from 137.6% at June 2004.</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Of total provisions outstanding at the end of the current quarter, S/.166.1 million (US$49.7 million) correspond to generic provisions assigned to loans in the Normal (A) risk category, decreasing from the balance at September 30, 2003 of S/.232.1 million (US$69.4 million).</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Loans believed to be unrecoverable, fully provisioned in prior periods, were written-off during the third quarter 2004 amounting to S/.74.0 million (US$22.1 million), of which approximately 39% were related to consumer and mortgage loans. This compares to charge-offs in the second quarter of 2004 of S/.81.3 million (US$24.3 million), and S/.167.5 million (US$50.1 million) in the year-ago third quarter.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Loans classified as Substandard (i.e., Deficient, Doubtful and Loss) were 12.2% of the loan portfolio in September 2004, decreasing from 13.5% that resulted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2004 and from 17.6% in September 2003. The loan classification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60" w:type="dxa"/>
            <w:vAlign w:val="bottom"/>
            <w:gridSpan w:val="2"/>
          </w:tcPr>
          <w:p>
            <w:pPr>
              <w:spacing w:after="0"/>
              <w:rPr>
                <w:sz w:val="20"/>
                <w:szCs w:val="20"/>
                <w:color w:val="auto"/>
              </w:rPr>
            </w:pPr>
            <w:r>
              <w:rPr>
                <w:rFonts w:ascii="Arial" w:cs="Arial" w:eastAsia="Arial" w:hAnsi="Arial"/>
                <w:sz w:val="18"/>
                <w:szCs w:val="18"/>
                <w:color w:val="auto"/>
              </w:rPr>
              <w:t>(% of Total loans and S/.Mn const.)</w:t>
            </w:r>
          </w:p>
        </w:tc>
        <w:tc>
          <w:tcPr>
            <w:tcW w:w="2360" w:type="dxa"/>
            <w:vAlign w:val="bottom"/>
          </w:tcPr>
          <w:p>
            <w:pPr>
              <w:jc w:val="right"/>
              <w:ind w:right="212"/>
              <w:spacing w:after="0"/>
              <w:rPr>
                <w:sz w:val="20"/>
                <w:szCs w:val="20"/>
                <w:color w:val="auto"/>
              </w:rPr>
            </w:pPr>
            <w:r>
              <w:rPr>
                <w:rFonts w:ascii="Arial" w:cs="Arial" w:eastAsia="Arial" w:hAnsi="Arial"/>
                <w:sz w:val="18"/>
                <w:szCs w:val="18"/>
                <w:color w:val="auto"/>
              </w:rPr>
              <w:t>30.09.03</w:t>
            </w: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30.06.04</w:t>
            </w: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30.09.04</w:t>
            </w:r>
          </w:p>
        </w:tc>
        <w:tc>
          <w:tcPr>
            <w:tcW w:w="540" w:type="dxa"/>
            <w:vAlign w:val="bottom"/>
          </w:tcPr>
          <w:p>
            <w:pPr>
              <w:spacing w:after="0"/>
              <w:rPr>
                <w:sz w:val="19"/>
                <w:szCs w:val="19"/>
                <w:color w:val="auto"/>
              </w:rPr>
            </w:pPr>
          </w:p>
        </w:tc>
      </w:tr>
      <w:tr>
        <w:trPr>
          <w:trHeight w:val="110"/>
        </w:trPr>
        <w:tc>
          <w:tcPr>
            <w:tcW w:w="360" w:type="dxa"/>
            <w:vAlign w:val="bottom"/>
            <w:tcBorders>
              <w:bottom w:val="single" w:sz="8" w:color="auto"/>
            </w:tcBorders>
          </w:tcPr>
          <w:p>
            <w:pPr>
              <w:spacing w:after="0"/>
              <w:rPr>
                <w:sz w:val="9"/>
                <w:szCs w:val="9"/>
                <w:color w:val="auto"/>
              </w:rPr>
            </w:pPr>
          </w:p>
        </w:tc>
        <w:tc>
          <w:tcPr>
            <w:tcW w:w="360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r>
      <w:tr>
        <w:trPr>
          <w:trHeight w:val="309"/>
        </w:trPr>
        <w:tc>
          <w:tcPr>
            <w:tcW w:w="3960" w:type="dxa"/>
            <w:vAlign w:val="bottom"/>
            <w:gridSpan w:val="2"/>
          </w:tcPr>
          <w:p>
            <w:pPr>
              <w:spacing w:after="0"/>
              <w:rPr>
                <w:sz w:val="20"/>
                <w:szCs w:val="20"/>
                <w:color w:val="auto"/>
              </w:rPr>
            </w:pPr>
            <w:r>
              <w:rPr>
                <w:rFonts w:ascii="Arial" w:cs="Arial" w:eastAsia="Arial" w:hAnsi="Arial"/>
                <w:sz w:val="18"/>
                <w:szCs w:val="18"/>
                <w:color w:val="auto"/>
              </w:rPr>
              <w:t>A: Normal</w:t>
            </w:r>
          </w:p>
        </w:tc>
        <w:tc>
          <w:tcPr>
            <w:tcW w:w="3320" w:type="dxa"/>
            <w:vAlign w:val="bottom"/>
            <w:gridSpan w:val="3"/>
          </w:tcPr>
          <w:p>
            <w:pPr>
              <w:jc w:val="right"/>
              <w:ind w:right="420"/>
              <w:spacing w:after="0"/>
              <w:rPr>
                <w:sz w:val="20"/>
                <w:szCs w:val="20"/>
                <w:color w:val="auto"/>
              </w:rPr>
            </w:pPr>
            <w:r>
              <w:rPr>
                <w:rFonts w:ascii="Arial" w:cs="Arial" w:eastAsia="Arial" w:hAnsi="Arial"/>
                <w:sz w:val="18"/>
                <w:szCs w:val="18"/>
                <w:color w:val="auto"/>
              </w:rPr>
              <w:t>72.8%</w:t>
            </w:r>
          </w:p>
        </w:tc>
        <w:tc>
          <w:tcPr>
            <w:tcW w:w="2280" w:type="dxa"/>
            <w:vAlign w:val="bottom"/>
            <w:gridSpan w:val="3"/>
          </w:tcPr>
          <w:p>
            <w:pPr>
              <w:jc w:val="right"/>
              <w:ind w:right="420"/>
              <w:spacing w:after="0"/>
              <w:rPr>
                <w:sz w:val="20"/>
                <w:szCs w:val="20"/>
                <w:color w:val="auto"/>
              </w:rPr>
            </w:pPr>
            <w:r>
              <w:rPr>
                <w:rFonts w:ascii="Arial" w:cs="Arial" w:eastAsia="Arial" w:hAnsi="Arial"/>
                <w:sz w:val="18"/>
                <w:szCs w:val="18"/>
                <w:color w:val="auto"/>
              </w:rPr>
              <w:t>78.2%</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79.7%</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 Potential Problem</w:t>
            </w:r>
          </w:p>
        </w:tc>
        <w:tc>
          <w:tcPr>
            <w:tcW w:w="3320" w:type="dxa"/>
            <w:vAlign w:val="bottom"/>
            <w:gridSpan w:val="3"/>
          </w:tcPr>
          <w:p>
            <w:pPr>
              <w:jc w:val="right"/>
              <w:ind w:right="420"/>
              <w:spacing w:after="0"/>
              <w:rPr>
                <w:sz w:val="20"/>
                <w:szCs w:val="20"/>
                <w:color w:val="auto"/>
              </w:rPr>
            </w:pPr>
            <w:r>
              <w:rPr>
                <w:rFonts w:ascii="Arial" w:cs="Arial" w:eastAsia="Arial" w:hAnsi="Arial"/>
                <w:sz w:val="18"/>
                <w:szCs w:val="18"/>
                <w:color w:val="auto"/>
              </w:rPr>
              <w:t>9.5%</w:t>
            </w:r>
          </w:p>
        </w:tc>
        <w:tc>
          <w:tcPr>
            <w:tcW w:w="2280" w:type="dxa"/>
            <w:vAlign w:val="bottom"/>
            <w:gridSpan w:val="3"/>
          </w:tcPr>
          <w:p>
            <w:pPr>
              <w:jc w:val="right"/>
              <w:ind w:right="420"/>
              <w:spacing w:after="0"/>
              <w:rPr>
                <w:sz w:val="20"/>
                <w:szCs w:val="20"/>
                <w:color w:val="auto"/>
              </w:rPr>
            </w:pPr>
            <w:r>
              <w:rPr>
                <w:rFonts w:ascii="Arial" w:cs="Arial" w:eastAsia="Arial" w:hAnsi="Arial"/>
                <w:sz w:val="18"/>
                <w:szCs w:val="18"/>
                <w:color w:val="auto"/>
              </w:rPr>
              <w:t>8.3%</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C: Deficient</w:t>
            </w:r>
          </w:p>
        </w:tc>
        <w:tc>
          <w:tcPr>
            <w:tcW w:w="3320" w:type="dxa"/>
            <w:vAlign w:val="bottom"/>
            <w:gridSpan w:val="3"/>
          </w:tcPr>
          <w:p>
            <w:pPr>
              <w:jc w:val="right"/>
              <w:ind w:right="420"/>
              <w:spacing w:after="0"/>
              <w:rPr>
                <w:sz w:val="20"/>
                <w:szCs w:val="20"/>
                <w:color w:val="auto"/>
              </w:rPr>
            </w:pPr>
            <w:r>
              <w:rPr>
                <w:rFonts w:ascii="Arial" w:cs="Arial" w:eastAsia="Arial" w:hAnsi="Arial"/>
                <w:sz w:val="18"/>
                <w:szCs w:val="18"/>
                <w:color w:val="auto"/>
              </w:rPr>
              <w:t>6.0%</w:t>
            </w:r>
          </w:p>
        </w:tc>
        <w:tc>
          <w:tcPr>
            <w:tcW w:w="2280" w:type="dxa"/>
            <w:vAlign w:val="bottom"/>
            <w:gridSpan w:val="3"/>
          </w:tcPr>
          <w:p>
            <w:pPr>
              <w:jc w:val="right"/>
              <w:ind w:right="420"/>
              <w:spacing w:after="0"/>
              <w:rPr>
                <w:sz w:val="20"/>
                <w:szCs w:val="20"/>
                <w:color w:val="auto"/>
              </w:rPr>
            </w:pPr>
            <w:r>
              <w:rPr>
                <w:rFonts w:ascii="Arial" w:cs="Arial" w:eastAsia="Arial" w:hAnsi="Arial"/>
                <w:sz w:val="18"/>
                <w:szCs w:val="18"/>
                <w:color w:val="auto"/>
              </w:rPr>
              <w:t>5.5%</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D: Doubtful</w:t>
            </w:r>
          </w:p>
        </w:tc>
        <w:tc>
          <w:tcPr>
            <w:tcW w:w="3320" w:type="dxa"/>
            <w:vAlign w:val="bottom"/>
            <w:gridSpan w:val="3"/>
          </w:tcPr>
          <w:p>
            <w:pPr>
              <w:jc w:val="right"/>
              <w:ind w:right="420"/>
              <w:spacing w:after="0"/>
              <w:rPr>
                <w:sz w:val="20"/>
                <w:szCs w:val="20"/>
                <w:color w:val="auto"/>
              </w:rPr>
            </w:pPr>
            <w:r>
              <w:rPr>
                <w:rFonts w:ascii="Arial" w:cs="Arial" w:eastAsia="Arial" w:hAnsi="Arial"/>
                <w:sz w:val="18"/>
                <w:szCs w:val="18"/>
                <w:color w:val="auto"/>
              </w:rPr>
              <w:t>6.5%</w:t>
            </w:r>
          </w:p>
        </w:tc>
        <w:tc>
          <w:tcPr>
            <w:tcW w:w="2280" w:type="dxa"/>
            <w:vAlign w:val="bottom"/>
            <w:gridSpan w:val="3"/>
          </w:tcPr>
          <w:p>
            <w:pPr>
              <w:jc w:val="right"/>
              <w:ind w:right="420"/>
              <w:spacing w:after="0"/>
              <w:rPr>
                <w:sz w:val="20"/>
                <w:szCs w:val="20"/>
                <w:color w:val="auto"/>
              </w:rPr>
            </w:pPr>
            <w:r>
              <w:rPr>
                <w:rFonts w:ascii="Arial" w:cs="Arial" w:eastAsia="Arial" w:hAnsi="Arial"/>
                <w:sz w:val="18"/>
                <w:szCs w:val="18"/>
                <w:color w:val="auto"/>
              </w:rPr>
              <w:t>4.8%</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E: Loss</w:t>
            </w:r>
          </w:p>
        </w:tc>
        <w:tc>
          <w:tcPr>
            <w:tcW w:w="3320" w:type="dxa"/>
            <w:vAlign w:val="bottom"/>
            <w:gridSpan w:val="3"/>
          </w:tcPr>
          <w:p>
            <w:pPr>
              <w:jc w:val="right"/>
              <w:ind w:right="420"/>
              <w:spacing w:after="0"/>
              <w:rPr>
                <w:sz w:val="20"/>
                <w:szCs w:val="20"/>
                <w:color w:val="auto"/>
              </w:rPr>
            </w:pPr>
            <w:r>
              <w:rPr>
                <w:rFonts w:ascii="Arial" w:cs="Arial" w:eastAsia="Arial" w:hAnsi="Arial"/>
                <w:sz w:val="18"/>
                <w:szCs w:val="18"/>
                <w:color w:val="auto"/>
              </w:rPr>
              <w:t>5.2%</w:t>
            </w:r>
          </w:p>
        </w:tc>
        <w:tc>
          <w:tcPr>
            <w:tcW w:w="2280" w:type="dxa"/>
            <w:vAlign w:val="bottom"/>
            <w:gridSpan w:val="3"/>
          </w:tcPr>
          <w:p>
            <w:pPr>
              <w:jc w:val="right"/>
              <w:ind w:right="420"/>
              <w:spacing w:after="0"/>
              <w:rPr>
                <w:sz w:val="20"/>
                <w:szCs w:val="20"/>
                <w:color w:val="auto"/>
              </w:rPr>
            </w:pPr>
            <w:r>
              <w:rPr>
                <w:rFonts w:ascii="Arial" w:cs="Arial" w:eastAsia="Arial" w:hAnsi="Arial"/>
                <w:sz w:val="18"/>
                <w:szCs w:val="18"/>
                <w:color w:val="auto"/>
              </w:rPr>
              <w:t>3.2%</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184"/>
        </w:trPr>
        <w:tc>
          <w:tcPr>
            <w:tcW w:w="3960" w:type="dxa"/>
            <w:vAlign w:val="bottom"/>
            <w:gridSpan w:val="2"/>
          </w:tcPr>
          <w:p>
            <w:pPr>
              <w:spacing w:after="0" w:line="184" w:lineRule="exact"/>
              <w:rPr>
                <w:sz w:val="20"/>
                <w:szCs w:val="20"/>
                <w:color w:val="auto"/>
              </w:rPr>
            </w:pPr>
            <w:r>
              <w:rPr>
                <w:rFonts w:ascii="Arial" w:cs="Arial" w:eastAsia="Arial" w:hAnsi="Arial"/>
                <w:sz w:val="18"/>
                <w:szCs w:val="18"/>
                <w:color w:val="auto"/>
              </w:rPr>
              <w:t>Total</w:t>
            </w:r>
          </w:p>
        </w:tc>
        <w:tc>
          <w:tcPr>
            <w:tcW w:w="3320" w:type="dxa"/>
            <w:vAlign w:val="bottom"/>
            <w:gridSpan w:val="3"/>
          </w:tcPr>
          <w:p>
            <w:pPr>
              <w:jc w:val="right"/>
              <w:ind w:right="420"/>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2280" w:type="dxa"/>
            <w:vAlign w:val="bottom"/>
            <w:gridSpan w:val="3"/>
          </w:tcPr>
          <w:p>
            <w:pPr>
              <w:jc w:val="right"/>
              <w:ind w:right="420"/>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186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r>
      <w:tr>
        <w:trPr>
          <w:trHeight w:val="20"/>
        </w:trPr>
        <w:tc>
          <w:tcPr>
            <w:tcW w:w="36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235"/>
        </w:trPr>
        <w:tc>
          <w:tcPr>
            <w:tcW w:w="396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3320" w:type="dxa"/>
            <w:vAlign w:val="bottom"/>
            <w:gridSpan w:val="3"/>
          </w:tcPr>
          <w:p>
            <w:pPr>
              <w:jc w:val="right"/>
              <w:ind w:right="420"/>
              <w:spacing w:after="0"/>
              <w:rPr>
                <w:sz w:val="20"/>
                <w:szCs w:val="20"/>
                <w:color w:val="auto"/>
              </w:rPr>
            </w:pPr>
            <w:r>
              <w:rPr>
                <w:rFonts w:ascii="Arial" w:cs="Arial" w:eastAsia="Arial" w:hAnsi="Arial"/>
                <w:sz w:val="18"/>
                <w:szCs w:val="18"/>
                <w:color w:val="auto"/>
              </w:rPr>
              <w:t>S/.15,139</w:t>
            </w:r>
          </w:p>
        </w:tc>
        <w:tc>
          <w:tcPr>
            <w:tcW w:w="2280" w:type="dxa"/>
            <w:vAlign w:val="bottom"/>
            <w:gridSpan w:val="3"/>
          </w:tcPr>
          <w:p>
            <w:pPr>
              <w:jc w:val="right"/>
              <w:ind w:right="420"/>
              <w:spacing w:after="0"/>
              <w:rPr>
                <w:sz w:val="20"/>
                <w:szCs w:val="20"/>
                <w:color w:val="auto"/>
              </w:rPr>
            </w:pPr>
            <w:r>
              <w:rPr>
                <w:rFonts w:ascii="Arial" w:cs="Arial" w:eastAsia="Arial" w:hAnsi="Arial"/>
                <w:sz w:val="18"/>
                <w:szCs w:val="18"/>
                <w:color w:val="auto"/>
              </w:rPr>
              <w:t>S/.14,419</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S/.13,576</w:t>
            </w:r>
          </w:p>
        </w:tc>
      </w:tr>
      <w:tr>
        <w:trPr>
          <w:trHeight w:val="110"/>
        </w:trPr>
        <w:tc>
          <w:tcPr>
            <w:tcW w:w="360" w:type="dxa"/>
            <w:vAlign w:val="bottom"/>
            <w:tcBorders>
              <w:bottom w:val="single" w:sz="8" w:color="auto"/>
            </w:tcBorders>
          </w:tcPr>
          <w:p>
            <w:pPr>
              <w:spacing w:after="0"/>
              <w:rPr>
                <w:sz w:val="9"/>
                <w:szCs w:val="9"/>
                <w:color w:val="auto"/>
              </w:rPr>
            </w:pPr>
          </w:p>
        </w:tc>
        <w:tc>
          <w:tcPr>
            <w:tcW w:w="360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r>
    </w:tbl>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 loss provisions, net of recoveries, charged against results in third quarter 2004 amounted to S/.12.3 million (US$3.7 million), lower than S/.83.6 million (US$25.0 million) in the year-ago period, mainly due to improved loan quality. Provision expense in the second quarter of 2004 was S/.20.6 million (US$6.2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II.7 CAPITAL ADEQUACY</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At the end of the third quarter of 2004, BCP’s unconsolidated ratio of risk-weighted assets to regulatory capital was 7.9 to 1.0 (12.7%), while the corresponding consolidated ratio was 7.1 to 1.0 (14.1%). Risk-weighted assets include S/.943.3 million (US$283.2 million) of market-risk exposure whose coverage required S/.86.0 million (US$25.7 million) of regulatory capital at September 30, 2004. Peruvian regulations limit risk-weighted assets to a ratio of 11.0 to 1.0 (9.1%).</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2004, BCP’s consolidated “regulatory capital” was S/.2,281 million (US$682.4 million), increasing compared to S/.2,259 million (US$675.8 million) in September 2003 mostly due to higher reserves. Regulatory capital included S/.136.6 million ($40.9 million) in subordinated debt in the current period, declining from S/.189.7 million (US$56.8 million) at June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197485</wp:posOffset>
            </wp:positionV>
            <wp:extent cx="50685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6020"/>
        <w:spacing w:after="0"/>
        <w:tabs>
          <w:tab w:leader="none" w:pos="8380" w:val="left"/>
        </w:tabs>
        <w:rPr>
          <w:sz w:val="20"/>
          <w:szCs w:val="20"/>
          <w:color w:val="auto"/>
        </w:rPr>
      </w:pPr>
      <w:r>
        <w:rPr>
          <w:rFonts w:ascii="Arial" w:cs="Arial" w:eastAsia="Arial" w:hAnsi="Arial"/>
          <w:sz w:val="18"/>
          <w:szCs w:val="18"/>
          <w:color w:val="auto"/>
        </w:rPr>
        <w:t>BCP</w:t>
      </w:r>
      <w:r>
        <w:rPr>
          <w:sz w:val="20"/>
          <w:szCs w:val="20"/>
          <w:color w:val="auto"/>
        </w:rPr>
        <w:tab/>
      </w:r>
      <w:r>
        <w:rPr>
          <w:rFonts w:ascii="Arial" w:cs="Arial" w:eastAsia="Arial" w:hAnsi="Arial"/>
          <w:sz w:val="18"/>
          <w:szCs w:val="18"/>
          <w:color w:val="auto"/>
        </w:rPr>
        <w:t>BCP</w:t>
      </w:r>
    </w:p>
    <w:p>
      <w:pPr>
        <w:spacing w:after="0" w:line="15" w:lineRule="exact"/>
        <w:rPr>
          <w:sz w:val="20"/>
          <w:szCs w:val="20"/>
          <w:color w:val="auto"/>
        </w:rPr>
      </w:pPr>
    </w:p>
    <w:p>
      <w:pPr>
        <w:ind w:left="5680"/>
        <w:spacing w:after="0"/>
        <w:tabs>
          <w:tab w:leader="none" w:pos="8140" w:val="left"/>
        </w:tabs>
        <w:rPr>
          <w:sz w:val="20"/>
          <w:szCs w:val="20"/>
          <w:color w:val="auto"/>
        </w:rPr>
      </w:pPr>
      <w:r>
        <w:rPr>
          <w:rFonts w:ascii="Arial" w:cs="Arial" w:eastAsia="Arial" w:hAnsi="Arial"/>
          <w:sz w:val="18"/>
          <w:szCs w:val="18"/>
          <w:color w:val="auto"/>
        </w:rPr>
        <w:t>unconsolidated</w:t>
      </w:r>
      <w:r>
        <w:rPr>
          <w:sz w:val="20"/>
          <w:szCs w:val="20"/>
          <w:color w:val="auto"/>
        </w:rPr>
        <w:tab/>
      </w:r>
      <w:r>
        <w:rPr>
          <w:rFonts w:ascii="Arial" w:cs="Arial" w:eastAsia="Arial" w:hAnsi="Arial"/>
          <w:sz w:val="18"/>
          <w:szCs w:val="18"/>
          <w:color w:val="auto"/>
        </w:rPr>
        <w:t>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75565</wp:posOffset>
            </wp:positionV>
            <wp:extent cx="50685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ectPr>
          <w:pgSz w:w="11900" w:h="16838" w:orient="portrait"/>
          <w:cols w:equalWidth="0" w:num="1">
            <w:col w:w="11420"/>
          </w:cols>
          <w:pgMar w:left="240" w:top="145" w:right="239" w:bottom="0" w:gutter="0" w:footer="0" w:header="0"/>
        </w:sectPr>
      </w:pPr>
    </w:p>
    <w:bookmarkStart w:id="10" w:name="page11"/>
    <w:bookmarkEnd w:id="10"/>
    <w:tbl>
      <w:tblPr>
        <w:tblLayout w:type="fixed"/>
        <w:tblInd w:w="520" w:type="dxa"/>
        <w:tblCellMar>
          <w:top w:w="0" w:type="dxa"/>
          <w:left w:w="0" w:type="dxa"/>
          <w:bottom w:w="0" w:type="dxa"/>
          <w:right w:w="0" w:type="dxa"/>
        </w:tblCellMar>
      </w:tblPr>
      <w:tr>
        <w:trPr>
          <w:trHeight w:val="222"/>
        </w:trPr>
        <w:tc>
          <w:tcPr>
            <w:tcW w:w="2820" w:type="dxa"/>
            <w:vAlign w:val="bottom"/>
          </w:tcPr>
          <w:p>
            <w:pPr>
              <w:spacing w:after="0"/>
              <w:rPr>
                <w:sz w:val="20"/>
                <w:szCs w:val="20"/>
                <w:color w:val="auto"/>
              </w:rPr>
            </w:pPr>
            <w:r>
              <w:rPr>
                <w:rFonts w:ascii="Arial" w:cs="Arial" w:eastAsia="Arial" w:hAnsi="Arial"/>
                <w:sz w:val="18"/>
                <w:szCs w:val="18"/>
                <w:color w:val="auto"/>
              </w:rPr>
              <w:t>(In constant S/. Mn.)</w:t>
            </w:r>
          </w:p>
        </w:tc>
        <w:tc>
          <w:tcPr>
            <w:tcW w:w="1980" w:type="dxa"/>
            <w:vAlign w:val="bottom"/>
          </w:tcPr>
          <w:p>
            <w:pPr>
              <w:jc w:val="right"/>
              <w:ind w:right="272"/>
              <w:spacing w:after="0"/>
              <w:rPr>
                <w:sz w:val="20"/>
                <w:szCs w:val="20"/>
                <w:color w:val="auto"/>
              </w:rPr>
            </w:pPr>
            <w:r>
              <w:rPr>
                <w:rFonts w:ascii="Arial" w:cs="Arial" w:eastAsia="Arial" w:hAnsi="Arial"/>
                <w:sz w:val="18"/>
                <w:szCs w:val="18"/>
                <w:color w:val="auto"/>
              </w:rPr>
              <w:t>30.09.03</w:t>
            </w:r>
          </w:p>
        </w:tc>
        <w:tc>
          <w:tcPr>
            <w:tcW w:w="1280" w:type="dxa"/>
            <w:vAlign w:val="bottom"/>
          </w:tcPr>
          <w:p>
            <w:pPr>
              <w:jc w:val="right"/>
              <w:ind w:right="272"/>
              <w:spacing w:after="0"/>
              <w:rPr>
                <w:sz w:val="20"/>
                <w:szCs w:val="20"/>
                <w:color w:val="auto"/>
              </w:rPr>
            </w:pPr>
            <w:r>
              <w:rPr>
                <w:rFonts w:ascii="Arial" w:cs="Arial" w:eastAsia="Arial" w:hAnsi="Arial"/>
                <w:sz w:val="18"/>
                <w:szCs w:val="18"/>
                <w:color w:val="auto"/>
              </w:rPr>
              <w:t>30.09.04</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30.09.03</w:t>
            </w:r>
          </w:p>
        </w:tc>
        <w:tc>
          <w:tcPr>
            <w:tcW w:w="800" w:type="dxa"/>
            <w:vAlign w:val="bottom"/>
          </w:tcPr>
          <w:p>
            <w:pPr>
              <w:jc w:val="right"/>
              <w:spacing w:after="0"/>
              <w:rPr>
                <w:sz w:val="20"/>
                <w:szCs w:val="20"/>
                <w:color w:val="auto"/>
              </w:rPr>
            </w:pPr>
            <w:r>
              <w:rPr>
                <w:rFonts w:ascii="Arial" w:cs="Arial" w:eastAsia="Arial" w:hAnsi="Arial"/>
                <w:sz w:val="18"/>
                <w:szCs w:val="18"/>
                <w:color w:val="auto"/>
              </w:rPr>
              <w:t>30.09.04</w:t>
            </w:r>
          </w:p>
        </w:tc>
      </w:tr>
      <w:tr>
        <w:trPr>
          <w:trHeight w:val="110"/>
        </w:trPr>
        <w:tc>
          <w:tcPr>
            <w:tcW w:w="282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r>
      <w:tr>
        <w:trPr>
          <w:trHeight w:val="309"/>
        </w:trPr>
        <w:tc>
          <w:tcPr>
            <w:tcW w:w="2820" w:type="dxa"/>
            <w:vAlign w:val="bottom"/>
          </w:tcPr>
          <w:p>
            <w:pPr>
              <w:spacing w:after="0"/>
              <w:rPr>
                <w:sz w:val="20"/>
                <w:szCs w:val="20"/>
                <w:color w:val="auto"/>
              </w:rPr>
            </w:pPr>
            <w:r>
              <w:rPr>
                <w:rFonts w:ascii="Arial" w:cs="Arial" w:eastAsia="Arial" w:hAnsi="Arial"/>
                <w:sz w:val="18"/>
                <w:szCs w:val="18"/>
                <w:color w:val="auto"/>
              </w:rPr>
              <w:t>Regulatory capital</w:t>
            </w:r>
          </w:p>
        </w:tc>
        <w:tc>
          <w:tcPr>
            <w:tcW w:w="1980" w:type="dxa"/>
            <w:vAlign w:val="bottom"/>
          </w:tcPr>
          <w:p>
            <w:pPr>
              <w:jc w:val="right"/>
              <w:ind w:right="232"/>
              <w:spacing w:after="0"/>
              <w:rPr>
                <w:sz w:val="20"/>
                <w:szCs w:val="20"/>
                <w:color w:val="auto"/>
              </w:rPr>
            </w:pPr>
            <w:r>
              <w:rPr>
                <w:rFonts w:ascii="Arial" w:cs="Arial" w:eastAsia="Arial" w:hAnsi="Arial"/>
                <w:sz w:val="18"/>
                <w:szCs w:val="18"/>
                <w:color w:val="auto"/>
              </w:rPr>
              <w:t>1,688</w:t>
            </w:r>
          </w:p>
        </w:tc>
        <w:tc>
          <w:tcPr>
            <w:tcW w:w="1280" w:type="dxa"/>
            <w:vAlign w:val="bottom"/>
          </w:tcPr>
          <w:p>
            <w:pPr>
              <w:jc w:val="right"/>
              <w:ind w:right="212"/>
              <w:spacing w:after="0"/>
              <w:rPr>
                <w:sz w:val="20"/>
                <w:szCs w:val="20"/>
                <w:color w:val="auto"/>
              </w:rPr>
            </w:pPr>
            <w:r>
              <w:rPr>
                <w:rFonts w:ascii="Arial" w:cs="Arial" w:eastAsia="Arial" w:hAnsi="Arial"/>
                <w:sz w:val="18"/>
                <w:szCs w:val="18"/>
                <w:color w:val="auto"/>
              </w:rPr>
              <w:t>1,841</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2,259</w:t>
            </w:r>
          </w:p>
        </w:tc>
        <w:tc>
          <w:tcPr>
            <w:tcW w:w="800" w:type="dxa"/>
            <w:vAlign w:val="bottom"/>
          </w:tcPr>
          <w:p>
            <w:pPr>
              <w:jc w:val="right"/>
              <w:spacing w:after="0"/>
              <w:rPr>
                <w:sz w:val="20"/>
                <w:szCs w:val="20"/>
                <w:color w:val="auto"/>
              </w:rPr>
            </w:pPr>
            <w:r>
              <w:rPr>
                <w:rFonts w:ascii="Arial" w:cs="Arial" w:eastAsia="Arial" w:hAnsi="Arial"/>
                <w:sz w:val="18"/>
                <w:szCs w:val="18"/>
                <w:color w:val="auto"/>
              </w:rPr>
              <w:t>2,281</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Risk weighted assets</w:t>
            </w:r>
          </w:p>
        </w:tc>
        <w:tc>
          <w:tcPr>
            <w:tcW w:w="1980" w:type="dxa"/>
            <w:vAlign w:val="bottom"/>
          </w:tcPr>
          <w:p>
            <w:pPr>
              <w:jc w:val="right"/>
              <w:ind w:right="232"/>
              <w:spacing w:after="0"/>
              <w:rPr>
                <w:sz w:val="20"/>
                <w:szCs w:val="20"/>
                <w:color w:val="auto"/>
              </w:rPr>
            </w:pPr>
            <w:r>
              <w:rPr>
                <w:rFonts w:ascii="Arial" w:cs="Arial" w:eastAsia="Arial" w:hAnsi="Arial"/>
                <w:sz w:val="18"/>
                <w:szCs w:val="18"/>
                <w:color w:val="auto"/>
              </w:rPr>
              <w:t>16,446</w:t>
            </w:r>
          </w:p>
        </w:tc>
        <w:tc>
          <w:tcPr>
            <w:tcW w:w="1280" w:type="dxa"/>
            <w:vAlign w:val="bottom"/>
          </w:tcPr>
          <w:p>
            <w:pPr>
              <w:jc w:val="right"/>
              <w:ind w:right="212"/>
              <w:spacing w:after="0"/>
              <w:rPr>
                <w:sz w:val="20"/>
                <w:szCs w:val="20"/>
                <w:color w:val="auto"/>
              </w:rPr>
            </w:pPr>
            <w:r>
              <w:rPr>
                <w:rFonts w:ascii="Arial" w:cs="Arial" w:eastAsia="Arial" w:hAnsi="Arial"/>
                <w:sz w:val="18"/>
                <w:szCs w:val="18"/>
                <w:color w:val="auto"/>
              </w:rPr>
              <w:t>14,547</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18,614</w:t>
            </w:r>
          </w:p>
        </w:tc>
        <w:tc>
          <w:tcPr>
            <w:tcW w:w="800" w:type="dxa"/>
            <w:vAlign w:val="bottom"/>
          </w:tcPr>
          <w:p>
            <w:pPr>
              <w:jc w:val="right"/>
              <w:spacing w:after="0"/>
              <w:rPr>
                <w:sz w:val="20"/>
                <w:szCs w:val="20"/>
                <w:color w:val="auto"/>
              </w:rPr>
            </w:pPr>
            <w:r>
              <w:rPr>
                <w:rFonts w:ascii="Arial" w:cs="Arial" w:eastAsia="Arial" w:hAnsi="Arial"/>
                <w:sz w:val="18"/>
                <w:szCs w:val="18"/>
                <w:color w:val="auto"/>
              </w:rPr>
              <w:t>16,135</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Weighted assets / Capital</w:t>
            </w:r>
          </w:p>
        </w:tc>
        <w:tc>
          <w:tcPr>
            <w:tcW w:w="1980" w:type="dxa"/>
            <w:vAlign w:val="bottom"/>
          </w:tcPr>
          <w:p>
            <w:pPr>
              <w:jc w:val="right"/>
              <w:ind w:right="232"/>
              <w:spacing w:after="0"/>
              <w:rPr>
                <w:sz w:val="20"/>
                <w:szCs w:val="20"/>
                <w:color w:val="auto"/>
              </w:rPr>
            </w:pPr>
            <w:r>
              <w:rPr>
                <w:rFonts w:ascii="Arial" w:cs="Arial" w:eastAsia="Arial" w:hAnsi="Arial"/>
                <w:sz w:val="18"/>
                <w:szCs w:val="18"/>
                <w:color w:val="auto"/>
              </w:rPr>
              <w:t>9.7</w:t>
            </w:r>
          </w:p>
        </w:tc>
        <w:tc>
          <w:tcPr>
            <w:tcW w:w="1280" w:type="dxa"/>
            <w:vAlign w:val="bottom"/>
          </w:tcPr>
          <w:p>
            <w:pPr>
              <w:jc w:val="right"/>
              <w:ind w:right="212"/>
              <w:spacing w:after="0"/>
              <w:rPr>
                <w:sz w:val="20"/>
                <w:szCs w:val="20"/>
                <w:color w:val="auto"/>
              </w:rPr>
            </w:pPr>
            <w:r>
              <w:rPr>
                <w:rFonts w:ascii="Arial" w:cs="Arial" w:eastAsia="Arial" w:hAnsi="Arial"/>
                <w:sz w:val="18"/>
                <w:szCs w:val="18"/>
                <w:color w:val="auto"/>
              </w:rPr>
              <w:t>7.9</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8.2</w:t>
            </w:r>
          </w:p>
        </w:tc>
        <w:tc>
          <w:tcPr>
            <w:tcW w:w="8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2"/>
        </w:trPr>
        <w:tc>
          <w:tcPr>
            <w:tcW w:w="2820" w:type="dxa"/>
            <w:vAlign w:val="bottom"/>
          </w:tcPr>
          <w:p>
            <w:pPr>
              <w:spacing w:after="0"/>
              <w:rPr>
                <w:sz w:val="20"/>
                <w:szCs w:val="20"/>
                <w:color w:val="auto"/>
              </w:rPr>
            </w:pPr>
            <w:r>
              <w:rPr>
                <w:rFonts w:ascii="Arial" w:cs="Arial" w:eastAsia="Arial" w:hAnsi="Arial"/>
                <w:sz w:val="18"/>
                <w:szCs w:val="18"/>
                <w:color w:val="auto"/>
              </w:rPr>
              <w:t>Capital / Weighted Assets</w:t>
            </w:r>
          </w:p>
        </w:tc>
        <w:tc>
          <w:tcPr>
            <w:tcW w:w="1980" w:type="dxa"/>
            <w:vAlign w:val="bottom"/>
          </w:tcPr>
          <w:p>
            <w:pPr>
              <w:jc w:val="right"/>
              <w:ind w:right="232"/>
              <w:spacing w:after="0"/>
              <w:rPr>
                <w:sz w:val="20"/>
                <w:szCs w:val="20"/>
                <w:color w:val="auto"/>
              </w:rPr>
            </w:pPr>
            <w:r>
              <w:rPr>
                <w:rFonts w:ascii="Arial" w:cs="Arial" w:eastAsia="Arial" w:hAnsi="Arial"/>
                <w:sz w:val="18"/>
                <w:szCs w:val="18"/>
                <w:color w:val="auto"/>
              </w:rPr>
              <w:t>10.3%</w:t>
            </w:r>
          </w:p>
        </w:tc>
        <w:tc>
          <w:tcPr>
            <w:tcW w:w="1280" w:type="dxa"/>
            <w:vAlign w:val="bottom"/>
          </w:tcPr>
          <w:p>
            <w:pPr>
              <w:jc w:val="right"/>
              <w:ind w:right="212"/>
              <w:spacing w:after="0"/>
              <w:rPr>
                <w:sz w:val="20"/>
                <w:szCs w:val="20"/>
                <w:color w:val="auto"/>
              </w:rPr>
            </w:pPr>
            <w:r>
              <w:rPr>
                <w:rFonts w:ascii="Arial" w:cs="Arial" w:eastAsia="Arial" w:hAnsi="Arial"/>
                <w:sz w:val="18"/>
                <w:szCs w:val="18"/>
                <w:color w:val="auto"/>
              </w:rPr>
              <w:t>12.7%</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12.1%</w:t>
            </w:r>
          </w:p>
        </w:tc>
        <w:tc>
          <w:tcPr>
            <w:tcW w:w="80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110"/>
        </w:trPr>
        <w:tc>
          <w:tcPr>
            <w:tcW w:w="282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r>
    </w:tbl>
    <w:p>
      <w:pPr>
        <w:sectPr>
          <w:pgSz w:w="11900" w:h="16838" w:orient="portrait"/>
          <w:cols w:equalWidth="0" w:num="1">
            <w:col w:w="9019"/>
          </w:cols>
          <w:pgMar w:left="1440" w:top="131"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III. ATLANTIC SECURITY HOLDING CORPORATION AND SUBSIDIARIES (“ASHC”)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Consolidated net income in the first nine months of 2004 reached US$15.1 million, almost doubling US$7.8 million in the same period of 2003. Net income in the quarter ended September 30, 2004 was US$2.8 million, higher than US$2.5 million in the same period of 2003.</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income in the first nine months and in the third quarter of 2004, increase compared to the same periods of 2003, mainly due to lower market risk provisions, in spite of higher gains on securities transactions obtained in 2003.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Financial and non-financial income</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Net interest income, before risk provisions and not including dividend income, was US$3.4 million in the third quarter of 2004, slightly lower than US$3.6 million in the same quarter of last year. Net interest margin as a percentage of interest earning assets, without considering dividends, was 1.9% during third quarter 2004, lower than the 2.0% margin in the preceding second quarter 2004, and also decreases compared to 2.3% in third quarter 2003. Compared with the year-ago quarter, the margin decreased mainly because in 2004 the investment portfolio grew its lower risk and lower return segments.</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third quarter of 2004 no charges against income were made for either market risk provisions nor for credit risk provisions. In the prior year quarter market risk provisions amounted to US$1.9 million, while no loan loss provisions were made.</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Non-interest income, which includes fee income, realized gains on securities transactions before risk provisions and others, amounted to US$1.3 million in the third quarter of 2004, declining from US$2.5 million in the year-ago quarter where gains on securities amounted to US$1.6 million, compared to US$0.3 million gains in the current quarter. Fee income was US$1.0 million in the current period, increasing from US$0.8 million in the year-ago quarter.</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ratio of operating expenses over average assets was 0.9%, annualized, in the third quarter of 2004 similar to the ratio during the same period in 2003. This ratio declines to 0.5% in the third quarter of 2004, when funds under management are included within total assets, remaining unchanged compared to the prior year quarter.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loan portfolio, net of provisions, was US$154.5 million as of September 30, 2004, decreasing during the quarter from US$163.1 million at the end of June 2004, but grows compared to loan balances of US$151.1 million at September 2003. As of September 30, 2004, the loan portfolio had 2.4% past dues, similar to the ratio at June 2004, while the coverage ratio increased to 149% from 142.0%, at the same dates.</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securities portfolio grew to US$500.5 million at September 2004, increasing over US$464.9 million last June 2004, and also from US$423.3 million at the end of September 2003, following the increase of available funds and the additional Credicorp shares purchased in second quarter 2004, which were held by PPS, amounting to US$33.5 million. This transfer followed the corporate policy that seeks to restructure assets held across subsidiaries in the group.</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Deposits amounted to US$688.7 million at September 30, 2004, increasing from the balance of US$677.7 million at the end of the preceding second quarter 2004, and also compared to US$584.5 million at the end of September 2003.</w:t>
      </w:r>
    </w:p>
    <w:p>
      <w:pPr>
        <w:spacing w:after="0" w:line="18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Funds under management were US$708.8 million at September 30, 2004, 21.2% higher than US$584.8 million at September 2003, and grow only 2.2% compared to US$693.5 million at June 2004 decreasing its growth rate due to uncertainty around increasing international interest rates.</w:t>
      </w:r>
    </w:p>
    <w:p>
      <w:pPr>
        <w:spacing w:after="0" w:line="13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Net equity reached US$146.5 million at the end of September 2004, increasing over US$141.3 million at June 2004, mainly due to higher retained earnings and reserves for unrealized gains on market value. The equity account of reserves for market value of investments, increased from a balance of unrealized gains of US$7.1 million at the end of June 2004, to unrealized gains of US$9.5 million at September 30, 2004.</w:t>
      </w:r>
    </w:p>
    <w:p>
      <w:pPr>
        <w:sectPr>
          <w:pgSz w:w="11900" w:h="16838" w:orient="portrait"/>
          <w:cols w:equalWidth="0" w:num="1">
            <w:col w:w="11420"/>
          </w:cols>
          <w:pgMar w:left="240" w:top="13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IV. EL PACIFICO-PERUANO SUIZA AND SUBSIDIARIES (“PPS”)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PPS obtained in the nine months of 2004 a consolidated net income of S/.78.2 million (US$23.4 million), 65.1% higher than S/.47.4 million (US$14.2 million) in the same nine month period of 2003. In the quarter ended September 30, 2004, net income was S/.12.7 million (US$3.8 million), compared to net income of S/.17.1 million (US$5.1 million) in the same year-ago quarter.</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Cumulative net income through September 2004 increased over the prior year mainly because of gains from the sale to ASHC of Credicorp equity shares, which were kept by PPS as part of its investment portfolio. The sale, made in second quarter 2004, resulted in a net gain of S/.75.6 million (US$22.6 million), not subject to income taxes, in PPS’s local records. In Credicorp’s consolidated financial statements, all the effects of the transfer of these shares, including the gains, are eliminated in the consolidation process.</w:t>
      </w:r>
    </w:p>
    <w:p>
      <w:pPr>
        <w:spacing w:after="0" w:line="19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Net income in third quarter 2004 declined compared to the year-ago period, mainly due to losses from the inflation exposure accounting adjustment, which amounted to S/.13.1 million (US$3.9 million) in the current quarter.</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August 2004 the merger of Novasalud with Pacífico Salud was finalized. Novasalud was acquired in March 2004, and during third quarter 2004 transactions since the purchase date were retroactively registered. This explains the substantial increases seen especially in Premiums and health fees, Claims and health costs, and Operating expenses. Higher operating expenses include extraordinary merger costs amounting to S/.5.4 million (US$1.6 million), mainly related to personnel, and which is offset with revenue from sale of assets and recoveries of investments as seen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Revenue and operating expense</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Total premiums and Pacífico Salud health fees in the third quarter of 2004 were S/.358.3 million (US$107.2 million), 22.6% higher than premiums of S/.292.2 million (US$87.4 million) in the year-ago quarter, due mainly to growth in Pacífico Salud which offset lower general insurance premiums. Current quarter premiums and fees include approximately S/.61.3 million (US$18.3 million) related to Novasalud’s operations since its acquisition in March 2004.</w:t>
      </w:r>
    </w:p>
    <w:p>
      <w:pPr>
        <w:spacing w:after="0" w:line="16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Retained premiums increase 49.8% to S/.295.1 million (US$88.3 million) in this quarter from S/.196.9 million (US$58.9 million) in third quarter 2003. Net premiums earned and health fees, net of reinsured premiums and reserves, were S/.232.7 million (US$69.6 million) in third quarter 2004, 65.5% above premiums in the prior year quarter. These increases are mostly due to transactions registered with the above mentioned merger.</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Additions to technical reserves for premiums grew by S/.62.3 million (US$18.7 million) in the third quarter of 2004, lower than additions in the preceding second quarter, but are 7.2% higher than reserve additions in the same quarter of last year. Most of reserves in the third quarter of 2004 were established by Pacífico Vida, for its life annuities and life insurance lines.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consolidated underwriting results was S/.40.3 million (US$12.1 million) in the third quarter of 2004, increasing from S/.33.1 million (US$9.9 million) in the prior year quarter.</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ratio of net underwriting results (net premiums and health fees less reserves and claims as a percentage of total premiums) was 11.3% in the third quarter of 2004, similar to the year-ago ratio, but increases compared to the 4.0% ratio in the preceding second quarter, mainly due to lower reserves at Pacífico Vida y to lower claims in general insurance lines and in Pacífico Salud.</w:t>
      </w:r>
    </w:p>
    <w:p>
      <w:pPr>
        <w:spacing w:after="0" w:line="194"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Financial results increase from S/.20.4 million (US$6.1 million) in third quarter 2003 to S/.29.4 million (US$8.8 million) in the current quarter, although it decreases compared to S/.106.5 million (US$31.9 million) in the preceding quarter when the mentioned gain from the sale of Credicorp shares was registered.</w:t>
      </w:r>
    </w:p>
    <w:p>
      <w:pPr>
        <w:spacing w:after="0" w:line="139"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Other provisions concept, improve from a loss of S/.23.4 million (US$7.0 million) in the preceding second quarter, due to the provision for the Novasalud investment, to a gain of S/.8.5 million (US$2.5 million) in the current quarter, mainly due to revenue from the sale of assets not required after the merger.</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Adjustments for exposure to inflation and exchange differences resulted in a loss of S/.13.1 million (US$3.9 million) in third quarter 2004, compared to a loss of S/.0.7 million (US$0.2 million) in the same period of 2003.</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expenses over net premiums earned decreased from 21.5% to 19.1% comparing the third quarters of 2003 and 2004, respectively. The ratio of operating expenses over average assets increased from 7.0% to 9.2%, in these same periods.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Business lines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Comparing cumulative results for the nine month periods of 2004 and 2003, consolidated total premiums and fees consisted of:</w:t>
      </w:r>
    </w:p>
    <w:p>
      <w:pPr>
        <w:spacing w:after="0" w:line="225"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insurance lines, that amounted to 46.9% of total premiums and decreased 13.2%;</w:t>
      </w:r>
    </w:p>
    <w:p>
      <w:pPr>
        <w:spacing w:after="0" w:line="15" w:lineRule="exact"/>
        <w:rPr>
          <w:rFonts w:ascii="Arial" w:cs="Arial" w:eastAsia="Arial" w:hAnsi="Arial"/>
          <w:sz w:val="18"/>
          <w:szCs w:val="18"/>
          <w:color w:val="auto"/>
        </w:rPr>
      </w:pPr>
    </w:p>
    <w:p>
      <w:pPr>
        <w:ind w:left="200" w:hanging="192"/>
        <w:spacing w:after="0"/>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fees at Pacífico Salud, that were 20.1% of total premiums and increased 152.3%; and,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Pacífico Vida, which amounted to 33.1% of the total and increased 1.5%.</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Cumulative through September 30, 2004, growth of Pacífico Salud and the health and medical assistance insurance line (29.1% of total premiums) was 68.1%; fire insurance lines (14.5% of total premiums) decreased 34.3%; while the automobile insurance line (5.2% of total premiums) grew 0.2% compared to the prior year period.</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Through September 2004, group life insurance and individual life insurance policies (10.2% of total premiums) grew 4.1%; life annuities (17.2% of total premiums) increased 9.9%; while pension fund benefits insurance (4.7% of total premiums) decreased 25.0%, compared to the prior year. Decreased pension fund insurance premiums is due to regulatory changes in procedures for the purchase of insurance coverage by Private Pension Funds (“AFPs”), after the end of the Transitory Arrangement, which caused increased competition and lower fees.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Claims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insurance claims and health services costs incurred in the third quarter of 2004 were S/.167.0 million (US$50.0 million), increasing over claims of S/.89.8 million (US$26.9 million) in the same quarter of 2003, mainly due to increased operating volume at Pacífico Salud after the merger and the inclusion of Novasalud’s transactions since March 2004.</w:t>
      </w:r>
    </w:p>
    <w:p>
      <w:pPr>
        <w:sectPr>
          <w:pgSz w:w="11900" w:h="16838" w:orient="portrait"/>
          <w:cols w:equalWidth="0" w:num="1">
            <w:col w:w="11420"/>
          </w:cols>
          <w:pgMar w:left="240" w:top="131" w:right="239" w:bottom="0" w:gutter="0" w:footer="0" w:header="0"/>
        </w:sectPr>
      </w:pPr>
    </w:p>
    <w:bookmarkStart w:id="13" w:name="page14"/>
    <w:bookmarkEnd w:id="13"/>
    <w:p>
      <w:pPr>
        <w:jc w:val="both"/>
        <w:spacing w:after="0" w:line="306" w:lineRule="auto"/>
        <w:rPr>
          <w:sz w:val="20"/>
          <w:szCs w:val="20"/>
          <w:color w:val="auto"/>
        </w:rPr>
      </w:pPr>
      <w:r>
        <w:rPr>
          <w:rFonts w:ascii="Arial" w:cs="Arial" w:eastAsia="Arial" w:hAnsi="Arial"/>
          <w:sz w:val="16"/>
          <w:szCs w:val="16"/>
          <w:color w:val="auto"/>
        </w:rPr>
        <w:t>The net loss ratio (net claims to net premiums) increases to 56.7% in the current quarter from 45.6% in third quarter 2003 due to higher claims in the marine hull and dishonesty lines. Cumulative through September 2004, the net loss ratio was 49.9%, also above 47.4% in the nine month period of 2003. Cumulative through September 2004, the net loss ratio continues high in pension fund insurance (83.5%), marine hull (79.8%), health (77.8%) and in Pacífico Salud (77.4%).</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combined ratio (the sum of net claims and health services, general expenses and commissions, as a percentage of net earned premiums and health fees, without including Pacifico Vida) increased from 87.1% in the third quarter of 2003 to 94.1% in the current quarter.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Assets and investments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Investments in real estate and financial assets were S/.1,536 million (US$459.6 million) at the end of the current quarter, increasing 14.8% from the year-ago balance.</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September 30, 2004, total assets were S/.2,057 million (US$615.4 million) increasing 9.0% compared to the year-ago balance. At the end of the current period net equity amounted to S/.411.5 million (US$123.1 million), 1.9% above net equity at September 2003.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Market share</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Peruvian insurance market through August 31, 2004, had total premiums of US$606.7 million, remaining similar to premiums in the same eight month period in 2003. For the first eight months of 2004, PPS's market share in total premiums was 31.0% (30.2% in the year-ago period), with the share in general risks and health lines being 33.2% (32.9% in the same period of 2003) and in life insurance and pension fund benefits lines of 27.5% (26.4% in the same period of 2003).</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Tables To Follow ***</w:t>
      </w:r>
    </w:p>
    <w:p>
      <w:pPr>
        <w:sectPr>
          <w:pgSz w:w="11900" w:h="16838" w:orient="portrait"/>
          <w:cols w:equalWidth="0" w:num="1">
            <w:col w:w="11420"/>
          </w:cols>
          <w:pgMar w:left="240" w:top="131"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color w:val="auto"/>
        </w:rPr>
        <w:t>CREDICORP LTD. AND SUBSIDIARIES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Table 1</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7240" w:type="dxa"/>
            <w:vAlign w:val="bottom"/>
            <w:gridSpan w:val="3"/>
          </w:tcPr>
          <w:p>
            <w:pPr>
              <w:jc w:val="right"/>
              <w:ind w:right="412"/>
              <w:spacing w:after="0"/>
              <w:rPr>
                <w:sz w:val="20"/>
                <w:szCs w:val="20"/>
                <w:color w:val="auto"/>
              </w:rPr>
            </w:pPr>
            <w:r>
              <w:rPr>
                <w:rFonts w:ascii="Arial" w:cs="Arial" w:eastAsia="Arial" w:hAnsi="Arial"/>
                <w:sz w:val="18"/>
                <w:szCs w:val="18"/>
                <w:color w:val="auto"/>
              </w:rPr>
              <w:t>(In thousands of U.S. Dollars)</w:t>
            </w:r>
          </w:p>
        </w:tc>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53"/>
        </w:trPr>
        <w:tc>
          <w:tcPr>
            <w:tcW w:w="5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gridSpan w:val="3"/>
          </w:tcPr>
          <w:p>
            <w:pPr>
              <w:ind w:left="1160"/>
              <w:spacing w:after="0"/>
              <w:rPr>
                <w:sz w:val="20"/>
                <w:szCs w:val="20"/>
                <w:color w:val="auto"/>
              </w:rPr>
            </w:pPr>
            <w:r>
              <w:rPr>
                <w:rFonts w:ascii="Arial" w:cs="Arial" w:eastAsia="Arial" w:hAnsi="Arial"/>
                <w:sz w:val="18"/>
                <w:szCs w:val="18"/>
                <w:color w:val="auto"/>
                <w:w w:val="92"/>
              </w:rPr>
              <w:t>As of</w:t>
            </w: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37"/>
        </w:trPr>
        <w:tc>
          <w:tcPr>
            <w:tcW w:w="5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r>
        <w:trPr>
          <w:trHeight w:val="343"/>
        </w:trPr>
        <w:tc>
          <w:tcPr>
            <w:tcW w:w="58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ASSETS</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Sep. 30, 2003</w:t>
            </w:r>
          </w:p>
        </w:tc>
        <w:tc>
          <w:tcPr>
            <w:tcW w:w="20" w:type="dxa"/>
            <w:vAlign w:val="bottom"/>
          </w:tcPr>
          <w:p>
            <w:pPr>
              <w:spacing w:after="0"/>
              <w:rPr>
                <w:sz w:val="24"/>
                <w:szCs w:val="24"/>
                <w:color w:val="auto"/>
              </w:rPr>
            </w:pPr>
          </w:p>
        </w:tc>
        <w:tc>
          <w:tcPr>
            <w:tcW w:w="1560" w:type="dxa"/>
            <w:vAlign w:val="bottom"/>
            <w:gridSpan w:val="3"/>
          </w:tcPr>
          <w:p>
            <w:pPr>
              <w:ind w:left="180"/>
              <w:spacing w:after="0"/>
              <w:rPr>
                <w:sz w:val="20"/>
                <w:szCs w:val="20"/>
                <w:color w:val="auto"/>
              </w:rPr>
            </w:pPr>
            <w:r>
              <w:rPr>
                <w:rFonts w:ascii="Arial" w:cs="Arial" w:eastAsia="Arial" w:hAnsi="Arial"/>
                <w:sz w:val="18"/>
                <w:szCs w:val="18"/>
                <w:color w:val="auto"/>
              </w:rPr>
              <w:t>Dec. 31, 2003</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Jun. 30, 2004</w:t>
            </w:r>
          </w:p>
        </w:tc>
        <w:tc>
          <w:tcPr>
            <w:tcW w:w="1340" w:type="dxa"/>
            <w:vAlign w:val="bottom"/>
          </w:tcPr>
          <w:p>
            <w:pPr>
              <w:jc w:val="right"/>
              <w:ind w:right="112"/>
              <w:spacing w:after="0"/>
              <w:rPr>
                <w:sz w:val="20"/>
                <w:szCs w:val="20"/>
                <w:color w:val="auto"/>
              </w:rPr>
            </w:pPr>
            <w:r>
              <w:rPr>
                <w:rFonts w:ascii="Arial" w:cs="Arial" w:eastAsia="Arial" w:hAnsi="Arial"/>
                <w:sz w:val="18"/>
                <w:szCs w:val="18"/>
                <w:color w:val="auto"/>
                <w:w w:val="99"/>
              </w:rPr>
              <w:t>Sep. 30, 2004</w:t>
            </w:r>
          </w:p>
        </w:tc>
      </w:tr>
      <w:tr>
        <w:trPr>
          <w:trHeight w:val="137"/>
        </w:trPr>
        <w:tc>
          <w:tcPr>
            <w:tcW w:w="58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r>
        <w:trPr>
          <w:trHeight w:val="343"/>
        </w:trPr>
        <w:tc>
          <w:tcPr>
            <w:tcW w:w="588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3"/>
        </w:trPr>
        <w:tc>
          <w:tcPr>
            <w:tcW w:w="5880" w:type="dxa"/>
            <w:vAlign w:val="bottom"/>
            <w:gridSpan w:val="2"/>
          </w:tcPr>
          <w:p>
            <w:pPr>
              <w:spacing w:after="0"/>
              <w:rPr>
                <w:sz w:val="20"/>
                <w:szCs w:val="20"/>
                <w:color w:val="auto"/>
              </w:rPr>
            </w:pPr>
            <w:r>
              <w:rPr>
                <w:rFonts w:ascii="Arial" w:cs="Arial" w:eastAsia="Arial" w:hAnsi="Arial"/>
                <w:sz w:val="18"/>
                <w:szCs w:val="18"/>
                <w:color w:val="auto"/>
              </w:rPr>
              <w:t>Cash and non interest bearing deposits in banks</w:t>
            </w:r>
          </w:p>
        </w:tc>
        <w:tc>
          <w:tcPr>
            <w:tcW w:w="1360" w:type="dxa"/>
            <w:vAlign w:val="bottom"/>
          </w:tcPr>
          <w:p>
            <w:pPr>
              <w:jc w:val="right"/>
              <w:spacing w:after="0"/>
              <w:rPr>
                <w:sz w:val="20"/>
                <w:szCs w:val="20"/>
                <w:color w:val="auto"/>
              </w:rPr>
            </w:pPr>
            <w:r>
              <w:rPr>
                <w:rFonts w:ascii="Arial" w:cs="Arial" w:eastAsia="Arial" w:hAnsi="Arial"/>
                <w:sz w:val="18"/>
                <w:szCs w:val="18"/>
                <w:color w:val="auto"/>
              </w:rPr>
              <w:t>251,491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240,294</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277,658</w:t>
            </w:r>
          </w:p>
        </w:tc>
        <w:tc>
          <w:tcPr>
            <w:tcW w:w="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278,249</w:t>
            </w:r>
          </w:p>
        </w:tc>
      </w:tr>
      <w:tr>
        <w:trPr>
          <w:trHeight w:val="243"/>
        </w:trPr>
        <w:tc>
          <w:tcPr>
            <w:tcW w:w="5880" w:type="dxa"/>
            <w:vAlign w:val="bottom"/>
            <w:gridSpan w:val="2"/>
          </w:tcPr>
          <w:p>
            <w:pPr>
              <w:spacing w:after="0"/>
              <w:rPr>
                <w:sz w:val="20"/>
                <w:szCs w:val="20"/>
                <w:color w:val="auto"/>
              </w:rPr>
            </w:pPr>
            <w:r>
              <w:rPr>
                <w:rFonts w:ascii="Arial" w:cs="Arial" w:eastAsia="Arial" w:hAnsi="Arial"/>
                <w:sz w:val="18"/>
                <w:szCs w:val="18"/>
                <w:color w:val="auto"/>
              </w:rPr>
              <w:t>Interest bearing deposits in banks</w:t>
            </w:r>
          </w:p>
        </w:tc>
        <w:tc>
          <w:tcPr>
            <w:tcW w:w="1360" w:type="dxa"/>
            <w:vAlign w:val="bottom"/>
          </w:tcPr>
          <w:p>
            <w:pPr>
              <w:jc w:val="right"/>
              <w:spacing w:after="0"/>
              <w:rPr>
                <w:sz w:val="20"/>
                <w:szCs w:val="20"/>
                <w:color w:val="auto"/>
              </w:rPr>
            </w:pPr>
            <w:r>
              <w:rPr>
                <w:rFonts w:ascii="Arial" w:cs="Arial" w:eastAsia="Arial" w:hAnsi="Arial"/>
                <w:sz w:val="18"/>
                <w:szCs w:val="18"/>
                <w:color w:val="auto"/>
              </w:rPr>
              <w:t>1,488,942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1,372,436</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1,550,338</w:t>
            </w:r>
          </w:p>
        </w:tc>
        <w:tc>
          <w:tcPr>
            <w:tcW w:w="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1,543,537</w:t>
            </w:r>
          </w:p>
        </w:tc>
      </w:tr>
      <w:tr>
        <w:trPr>
          <w:trHeight w:val="243"/>
        </w:trPr>
        <w:tc>
          <w:tcPr>
            <w:tcW w:w="5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1,740,433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1,612,730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1,827,996</w:t>
            </w:r>
          </w:p>
        </w:tc>
        <w:tc>
          <w:tcPr>
            <w:tcW w:w="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1,821,786</w:t>
            </w:r>
          </w:p>
        </w:tc>
      </w:tr>
      <w:tr>
        <w:trPr>
          <w:trHeight w:val="486"/>
        </w:trPr>
        <w:tc>
          <w:tcPr>
            <w:tcW w:w="5880" w:type="dxa"/>
            <w:vAlign w:val="bottom"/>
            <w:gridSpan w:val="2"/>
          </w:tcPr>
          <w:p>
            <w:pPr>
              <w:spacing w:after="0"/>
              <w:rPr>
                <w:sz w:val="20"/>
                <w:szCs w:val="20"/>
                <w:color w:val="auto"/>
              </w:rPr>
            </w:pPr>
            <w:r>
              <w:rPr>
                <w:rFonts w:ascii="Arial" w:cs="Arial" w:eastAsia="Arial" w:hAnsi="Arial"/>
                <w:sz w:val="18"/>
                <w:szCs w:val="18"/>
                <w:color w:val="auto"/>
              </w:rPr>
              <w:t>MARKETABLE SECURITIES, net</w:t>
            </w:r>
          </w:p>
        </w:tc>
        <w:tc>
          <w:tcPr>
            <w:tcW w:w="1360" w:type="dxa"/>
            <w:vAlign w:val="bottom"/>
          </w:tcPr>
          <w:p>
            <w:pPr>
              <w:jc w:val="right"/>
              <w:spacing w:after="0"/>
              <w:rPr>
                <w:sz w:val="20"/>
                <w:szCs w:val="20"/>
                <w:color w:val="auto"/>
              </w:rPr>
            </w:pPr>
            <w:r>
              <w:rPr>
                <w:rFonts w:ascii="Arial" w:cs="Arial" w:eastAsia="Arial" w:hAnsi="Arial"/>
                <w:sz w:val="18"/>
                <w:szCs w:val="18"/>
                <w:color w:val="auto"/>
              </w:rPr>
              <w:t>115,721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127,365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53,947</w:t>
            </w:r>
          </w:p>
        </w:tc>
        <w:tc>
          <w:tcPr>
            <w:tcW w:w="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83,749</w:t>
            </w:r>
          </w:p>
        </w:tc>
      </w:tr>
      <w:tr>
        <w:trPr>
          <w:trHeight w:val="486"/>
        </w:trPr>
        <w:tc>
          <w:tcPr>
            <w:tcW w:w="5880" w:type="dxa"/>
            <w:vAlign w:val="bottom"/>
            <w:gridSpan w:val="2"/>
          </w:tcPr>
          <w:p>
            <w:pPr>
              <w:spacing w:after="0"/>
              <w:rPr>
                <w:sz w:val="20"/>
                <w:szCs w:val="20"/>
                <w:color w:val="auto"/>
              </w:rPr>
            </w:pPr>
            <w:r>
              <w:rPr>
                <w:rFonts w:ascii="Arial" w:cs="Arial" w:eastAsia="Arial" w:hAnsi="Arial"/>
                <w:sz w:val="18"/>
                <w:szCs w:val="18"/>
                <w:color w:val="auto"/>
              </w:rPr>
              <w:t>LOANS</w:t>
            </w:r>
          </w:p>
        </w:tc>
        <w:tc>
          <w:tcPr>
            <w:tcW w:w="1360" w:type="dxa"/>
            <w:vAlign w:val="bottom"/>
          </w:tcPr>
          <w:p>
            <w:pPr>
              <w:jc w:val="right"/>
              <w:spacing w:after="0"/>
              <w:rPr>
                <w:sz w:val="20"/>
                <w:szCs w:val="20"/>
                <w:color w:val="auto"/>
              </w:rPr>
            </w:pPr>
            <w:r>
              <w:rPr>
                <w:rFonts w:ascii="Arial" w:cs="Arial" w:eastAsia="Arial" w:hAnsi="Arial"/>
                <w:sz w:val="18"/>
                <w:szCs w:val="18"/>
                <w:color w:val="auto"/>
              </w:rPr>
              <w:t>4,471,996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4,481,496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4,601,814</w:t>
            </w:r>
          </w:p>
        </w:tc>
        <w:tc>
          <w:tcPr>
            <w:tcW w:w="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4,531,648</w:t>
            </w:r>
          </w:p>
        </w:tc>
      </w:tr>
      <w:tr>
        <w:trPr>
          <w:trHeight w:val="243"/>
        </w:trPr>
        <w:tc>
          <w:tcPr>
            <w:tcW w:w="588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1360" w:type="dxa"/>
            <w:vAlign w:val="bottom"/>
          </w:tcPr>
          <w:p>
            <w:pPr>
              <w:jc w:val="right"/>
              <w:spacing w:after="0"/>
              <w:rPr>
                <w:sz w:val="20"/>
                <w:szCs w:val="20"/>
                <w:color w:val="auto"/>
              </w:rPr>
            </w:pPr>
            <w:r>
              <w:rPr>
                <w:rFonts w:ascii="Arial" w:cs="Arial" w:eastAsia="Arial" w:hAnsi="Arial"/>
                <w:sz w:val="18"/>
                <w:szCs w:val="18"/>
                <w:color w:val="auto"/>
              </w:rPr>
              <w:t>4,130,984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4,225,001</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4,379,358</w:t>
            </w:r>
          </w:p>
        </w:tc>
        <w:tc>
          <w:tcPr>
            <w:tcW w:w="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4,316,616</w:t>
            </w:r>
          </w:p>
        </w:tc>
      </w:tr>
      <w:tr>
        <w:trPr>
          <w:trHeight w:val="243"/>
        </w:trPr>
        <w:tc>
          <w:tcPr>
            <w:tcW w:w="5880" w:type="dxa"/>
            <w:vAlign w:val="bottom"/>
            <w:gridSpan w:val="2"/>
          </w:tcPr>
          <w:p>
            <w:pPr>
              <w:spacing w:after="0"/>
              <w:rPr>
                <w:sz w:val="20"/>
                <w:szCs w:val="20"/>
                <w:color w:val="auto"/>
              </w:rPr>
            </w:pPr>
            <w:r>
              <w:rPr>
                <w:rFonts w:ascii="Arial" w:cs="Arial" w:eastAsia="Arial" w:hAnsi="Arial"/>
                <w:sz w:val="18"/>
                <w:szCs w:val="18"/>
                <w:color w:val="auto"/>
              </w:rPr>
              <w:t>Past Due</w:t>
            </w:r>
          </w:p>
        </w:tc>
        <w:tc>
          <w:tcPr>
            <w:tcW w:w="1360" w:type="dxa"/>
            <w:vAlign w:val="bottom"/>
          </w:tcPr>
          <w:p>
            <w:pPr>
              <w:jc w:val="right"/>
              <w:spacing w:after="0"/>
              <w:rPr>
                <w:sz w:val="20"/>
                <w:szCs w:val="20"/>
                <w:color w:val="auto"/>
              </w:rPr>
            </w:pPr>
            <w:r>
              <w:rPr>
                <w:rFonts w:ascii="Arial" w:cs="Arial" w:eastAsia="Arial" w:hAnsi="Arial"/>
                <w:sz w:val="18"/>
                <w:szCs w:val="18"/>
                <w:color w:val="auto"/>
              </w:rPr>
              <w:t>341,012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256,495</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222,456</w:t>
            </w:r>
          </w:p>
        </w:tc>
        <w:tc>
          <w:tcPr>
            <w:tcW w:w="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215,032</w:t>
            </w:r>
          </w:p>
        </w:tc>
      </w:tr>
      <w:tr>
        <w:trPr>
          <w:trHeight w:val="243"/>
        </w:trPr>
        <w:tc>
          <w:tcPr>
            <w:tcW w:w="5880" w:type="dxa"/>
            <w:vAlign w:val="bottom"/>
            <w:gridSpan w:val="2"/>
          </w:tcPr>
          <w:p>
            <w:pPr>
              <w:spacing w:after="0"/>
              <w:rPr>
                <w:sz w:val="20"/>
                <w:szCs w:val="20"/>
                <w:color w:val="auto"/>
              </w:rPr>
            </w:pPr>
            <w:r>
              <w:rPr>
                <w:rFonts w:ascii="Arial" w:cs="Arial" w:eastAsia="Arial" w:hAnsi="Arial"/>
                <w:sz w:val="18"/>
                <w:szCs w:val="18"/>
                <w:color w:val="auto"/>
              </w:rPr>
              <w:t>Less - Reserve for possible loan losses</w:t>
            </w:r>
          </w:p>
        </w:tc>
        <w:tc>
          <w:tcPr>
            <w:tcW w:w="1360" w:type="dxa"/>
            <w:vAlign w:val="bottom"/>
          </w:tcPr>
          <w:p>
            <w:pPr>
              <w:jc w:val="right"/>
              <w:spacing w:after="0"/>
              <w:rPr>
                <w:sz w:val="20"/>
                <w:szCs w:val="20"/>
                <w:color w:val="auto"/>
              </w:rPr>
            </w:pPr>
            <w:r>
              <w:rPr>
                <w:rFonts w:ascii="Arial" w:cs="Arial" w:eastAsia="Arial" w:hAnsi="Arial"/>
                <w:sz w:val="18"/>
                <w:szCs w:val="18"/>
                <w:color w:val="auto"/>
              </w:rPr>
              <w:t>(387,820)</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(326,677)</w:t>
            </w:r>
          </w:p>
        </w:tc>
        <w:tc>
          <w:tcPr>
            <w:tcW w:w="1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(293,263)</w:t>
            </w:r>
          </w:p>
        </w:tc>
        <w:tc>
          <w:tcPr>
            <w:tcW w:w="1340" w:type="dxa"/>
            <w:vAlign w:val="bottom"/>
          </w:tcPr>
          <w:p>
            <w:pPr>
              <w:jc w:val="right"/>
              <w:spacing w:after="0"/>
              <w:rPr>
                <w:sz w:val="20"/>
                <w:szCs w:val="20"/>
                <w:color w:val="auto"/>
              </w:rPr>
            </w:pPr>
            <w:r>
              <w:rPr>
                <w:rFonts w:ascii="Arial" w:cs="Arial" w:eastAsia="Arial" w:hAnsi="Arial"/>
                <w:sz w:val="18"/>
                <w:szCs w:val="18"/>
                <w:color w:val="auto"/>
              </w:rPr>
              <w:t>(281,241)</w:t>
            </w:r>
          </w:p>
        </w:tc>
      </w:tr>
      <w:tr>
        <w:trPr>
          <w:trHeight w:val="243"/>
        </w:trPr>
        <w:tc>
          <w:tcPr>
            <w:tcW w:w="5880" w:type="dxa"/>
            <w:vAlign w:val="bottom"/>
            <w:gridSpan w:val="2"/>
          </w:tcPr>
          <w:p>
            <w:pPr>
              <w:spacing w:after="0"/>
              <w:rPr>
                <w:sz w:val="20"/>
                <w:szCs w:val="20"/>
                <w:color w:val="auto"/>
              </w:rPr>
            </w:pPr>
            <w:r>
              <w:rPr>
                <w:rFonts w:ascii="Arial" w:cs="Arial" w:eastAsia="Arial" w:hAnsi="Arial"/>
                <w:sz w:val="18"/>
                <w:szCs w:val="18"/>
                <w:color w:val="auto"/>
              </w:rPr>
              <w:t>LOANS NET</w:t>
            </w:r>
          </w:p>
        </w:tc>
        <w:tc>
          <w:tcPr>
            <w:tcW w:w="1360" w:type="dxa"/>
            <w:vAlign w:val="bottom"/>
          </w:tcPr>
          <w:p>
            <w:pPr>
              <w:jc w:val="right"/>
              <w:spacing w:after="0"/>
              <w:rPr>
                <w:sz w:val="20"/>
                <w:szCs w:val="20"/>
                <w:color w:val="auto"/>
              </w:rPr>
            </w:pPr>
            <w:r>
              <w:rPr>
                <w:rFonts w:ascii="Arial" w:cs="Arial" w:eastAsia="Arial" w:hAnsi="Arial"/>
                <w:sz w:val="18"/>
                <w:szCs w:val="18"/>
                <w:color w:val="auto"/>
              </w:rPr>
              <w:t>4,084,176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4,154,819</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4,308,551</w:t>
            </w:r>
          </w:p>
        </w:tc>
        <w:tc>
          <w:tcPr>
            <w:tcW w:w="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4,250,407</w:t>
            </w:r>
          </w:p>
        </w:tc>
      </w:tr>
      <w:tr>
        <w:trPr>
          <w:trHeight w:val="486"/>
        </w:trPr>
        <w:tc>
          <w:tcPr>
            <w:tcW w:w="5880" w:type="dxa"/>
            <w:vAlign w:val="bottom"/>
            <w:gridSpan w:val="2"/>
          </w:tcPr>
          <w:p>
            <w:pPr>
              <w:spacing w:after="0"/>
              <w:rPr>
                <w:sz w:val="20"/>
                <w:szCs w:val="20"/>
                <w:color w:val="auto"/>
              </w:rPr>
            </w:pPr>
            <w:r>
              <w:rPr>
                <w:rFonts w:ascii="Arial" w:cs="Arial" w:eastAsia="Arial" w:hAnsi="Arial"/>
                <w:sz w:val="18"/>
                <w:szCs w:val="18"/>
                <w:color w:val="auto"/>
              </w:rPr>
              <w:t>INVESTMENT SECURITIES AVAILABLE FOR SALE</w:t>
            </w:r>
          </w:p>
        </w:tc>
        <w:tc>
          <w:tcPr>
            <w:tcW w:w="1360" w:type="dxa"/>
            <w:vAlign w:val="bottom"/>
          </w:tcPr>
          <w:p>
            <w:pPr>
              <w:jc w:val="right"/>
              <w:spacing w:after="0"/>
              <w:rPr>
                <w:sz w:val="20"/>
                <w:szCs w:val="20"/>
                <w:color w:val="auto"/>
              </w:rPr>
            </w:pPr>
            <w:r>
              <w:rPr>
                <w:rFonts w:ascii="Arial" w:cs="Arial" w:eastAsia="Arial" w:hAnsi="Arial"/>
                <w:sz w:val="18"/>
                <w:szCs w:val="18"/>
                <w:color w:val="auto"/>
              </w:rPr>
              <w:t>1,493,526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1,612,887</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1,644,623</w:t>
            </w:r>
          </w:p>
        </w:tc>
        <w:tc>
          <w:tcPr>
            <w:tcW w:w="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1,885,455</w:t>
            </w:r>
          </w:p>
        </w:tc>
      </w:tr>
      <w:tr>
        <w:trPr>
          <w:trHeight w:val="243"/>
        </w:trPr>
        <w:tc>
          <w:tcPr>
            <w:tcW w:w="5880" w:type="dxa"/>
            <w:vAlign w:val="bottom"/>
            <w:gridSpan w:val="2"/>
          </w:tcPr>
          <w:p>
            <w:pPr>
              <w:spacing w:after="0"/>
              <w:rPr>
                <w:sz w:val="20"/>
                <w:szCs w:val="20"/>
                <w:color w:val="auto"/>
              </w:rPr>
            </w:pPr>
            <w:r>
              <w:rPr>
                <w:rFonts w:ascii="Arial" w:cs="Arial" w:eastAsia="Arial" w:hAnsi="Arial"/>
                <w:sz w:val="18"/>
                <w:szCs w:val="18"/>
                <w:color w:val="auto"/>
              </w:rPr>
              <w:t>REINSURANCE ASSETS</w:t>
            </w:r>
          </w:p>
        </w:tc>
        <w:tc>
          <w:tcPr>
            <w:tcW w:w="1360" w:type="dxa"/>
            <w:vAlign w:val="bottom"/>
          </w:tcPr>
          <w:p>
            <w:pPr>
              <w:jc w:val="right"/>
              <w:spacing w:after="0"/>
              <w:rPr>
                <w:sz w:val="20"/>
                <w:szCs w:val="20"/>
                <w:color w:val="auto"/>
              </w:rPr>
            </w:pPr>
            <w:r>
              <w:rPr>
                <w:rFonts w:ascii="Arial" w:cs="Arial" w:eastAsia="Arial" w:hAnsi="Arial"/>
                <w:sz w:val="18"/>
                <w:szCs w:val="18"/>
                <w:color w:val="auto"/>
              </w:rPr>
              <w:t>47,142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45,904</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33,904</w:t>
            </w:r>
          </w:p>
        </w:tc>
        <w:tc>
          <w:tcPr>
            <w:tcW w:w="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38,666</w:t>
            </w:r>
          </w:p>
        </w:tc>
      </w:tr>
      <w:tr>
        <w:trPr>
          <w:trHeight w:val="243"/>
        </w:trPr>
        <w:tc>
          <w:tcPr>
            <w:tcW w:w="5880" w:type="dxa"/>
            <w:vAlign w:val="bottom"/>
            <w:gridSpan w:val="2"/>
          </w:tcPr>
          <w:p>
            <w:pPr>
              <w:spacing w:after="0"/>
              <w:rPr>
                <w:sz w:val="20"/>
                <w:szCs w:val="20"/>
                <w:color w:val="auto"/>
              </w:rPr>
            </w:pPr>
            <w:r>
              <w:rPr>
                <w:rFonts w:ascii="Arial" w:cs="Arial" w:eastAsia="Arial" w:hAnsi="Arial"/>
                <w:sz w:val="18"/>
                <w:szCs w:val="18"/>
                <w:color w:val="auto"/>
              </w:rPr>
              <w:t>PREMIUMS AND OTHER POLICYHOLDER RECEIVABLES</w:t>
            </w:r>
          </w:p>
        </w:tc>
        <w:tc>
          <w:tcPr>
            <w:tcW w:w="1360" w:type="dxa"/>
            <w:vAlign w:val="bottom"/>
          </w:tcPr>
          <w:p>
            <w:pPr>
              <w:jc w:val="right"/>
              <w:spacing w:after="0"/>
              <w:rPr>
                <w:sz w:val="20"/>
                <w:szCs w:val="20"/>
                <w:color w:val="auto"/>
              </w:rPr>
            </w:pPr>
            <w:r>
              <w:rPr>
                <w:rFonts w:ascii="Arial" w:cs="Arial" w:eastAsia="Arial" w:hAnsi="Arial"/>
                <w:sz w:val="18"/>
                <w:szCs w:val="18"/>
                <w:color w:val="auto"/>
              </w:rPr>
              <w:t>61,212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60,057</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54,502</w:t>
            </w:r>
          </w:p>
        </w:tc>
        <w:tc>
          <w:tcPr>
            <w:tcW w:w="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58,322</w:t>
            </w:r>
          </w:p>
        </w:tc>
      </w:tr>
      <w:tr>
        <w:trPr>
          <w:trHeight w:val="243"/>
        </w:trPr>
        <w:tc>
          <w:tcPr>
            <w:tcW w:w="588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360" w:type="dxa"/>
            <w:vAlign w:val="bottom"/>
          </w:tcPr>
          <w:p>
            <w:pPr>
              <w:jc w:val="right"/>
              <w:spacing w:after="0"/>
              <w:rPr>
                <w:sz w:val="20"/>
                <w:szCs w:val="20"/>
                <w:color w:val="auto"/>
              </w:rPr>
            </w:pPr>
            <w:r>
              <w:rPr>
                <w:rFonts w:ascii="Arial" w:cs="Arial" w:eastAsia="Arial" w:hAnsi="Arial"/>
                <w:sz w:val="18"/>
                <w:szCs w:val="18"/>
                <w:color w:val="auto"/>
              </w:rPr>
              <w:t>268,498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264,533</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251,288</w:t>
            </w:r>
          </w:p>
        </w:tc>
        <w:tc>
          <w:tcPr>
            <w:tcW w:w="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248,129</w:t>
            </w:r>
          </w:p>
        </w:tc>
      </w:tr>
      <w:tr>
        <w:trPr>
          <w:trHeight w:val="243"/>
        </w:trPr>
        <w:tc>
          <w:tcPr>
            <w:tcW w:w="5880" w:type="dxa"/>
            <w:vAlign w:val="bottom"/>
            <w:gridSpan w:val="2"/>
          </w:tcPr>
          <w:p>
            <w:pPr>
              <w:spacing w:after="0"/>
              <w:rPr>
                <w:sz w:val="20"/>
                <w:szCs w:val="20"/>
                <w:color w:val="auto"/>
              </w:rPr>
            </w:pPr>
            <w:r>
              <w:rPr>
                <w:rFonts w:ascii="Arial" w:cs="Arial" w:eastAsia="Arial" w:hAnsi="Arial"/>
                <w:sz w:val="18"/>
                <w:szCs w:val="18"/>
                <w:color w:val="auto"/>
              </w:rPr>
              <w:t>DUE FROM CUSTOMERS ON ACCEPTANCES</w:t>
            </w:r>
          </w:p>
        </w:tc>
        <w:tc>
          <w:tcPr>
            <w:tcW w:w="1360" w:type="dxa"/>
            <w:vAlign w:val="bottom"/>
          </w:tcPr>
          <w:p>
            <w:pPr>
              <w:jc w:val="right"/>
              <w:spacing w:after="0"/>
              <w:rPr>
                <w:sz w:val="20"/>
                <w:szCs w:val="20"/>
                <w:color w:val="auto"/>
              </w:rPr>
            </w:pPr>
            <w:r>
              <w:rPr>
                <w:rFonts w:ascii="Arial" w:cs="Arial" w:eastAsia="Arial" w:hAnsi="Arial"/>
                <w:sz w:val="18"/>
                <w:szCs w:val="18"/>
                <w:color w:val="auto"/>
              </w:rPr>
              <w:t>51,821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50,178</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46,108</w:t>
            </w:r>
          </w:p>
        </w:tc>
        <w:tc>
          <w:tcPr>
            <w:tcW w:w="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51,765</w:t>
            </w:r>
          </w:p>
        </w:tc>
      </w:tr>
      <w:tr>
        <w:trPr>
          <w:trHeight w:val="243"/>
        </w:trPr>
        <w:tc>
          <w:tcPr>
            <w:tcW w:w="58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360" w:type="dxa"/>
            <w:vAlign w:val="bottom"/>
          </w:tcPr>
          <w:p>
            <w:pPr>
              <w:jc w:val="right"/>
              <w:spacing w:after="0"/>
              <w:rPr>
                <w:sz w:val="20"/>
                <w:szCs w:val="20"/>
                <w:color w:val="auto"/>
              </w:rPr>
            </w:pPr>
            <w:r>
              <w:rPr>
                <w:rFonts w:ascii="Arial" w:cs="Arial" w:eastAsia="Arial" w:hAnsi="Arial"/>
                <w:sz w:val="18"/>
                <w:szCs w:val="18"/>
                <w:color w:val="auto"/>
              </w:rPr>
              <w:t>361,416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370,672</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323,003</w:t>
            </w:r>
          </w:p>
        </w:tc>
        <w:tc>
          <w:tcPr>
            <w:tcW w:w="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349,188</w:t>
            </w:r>
          </w:p>
        </w:tc>
      </w:tr>
      <w:tr>
        <w:trPr>
          <w:trHeight w:val="486"/>
        </w:trPr>
        <w:tc>
          <w:tcPr>
            <w:tcW w:w="588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TOTAL ASSETS</w:t>
            </w:r>
          </w:p>
        </w:tc>
        <w:tc>
          <w:tcPr>
            <w:tcW w:w="1360" w:type="dxa"/>
            <w:vAlign w:val="bottom"/>
          </w:tcPr>
          <w:p>
            <w:pPr>
              <w:jc w:val="right"/>
              <w:spacing w:after="0"/>
              <w:rPr>
                <w:sz w:val="20"/>
                <w:szCs w:val="20"/>
                <w:color w:val="auto"/>
              </w:rPr>
            </w:pPr>
            <w:r>
              <w:rPr>
                <w:rFonts w:ascii="Arial" w:cs="Arial" w:eastAsia="Arial" w:hAnsi="Arial"/>
                <w:sz w:val="18"/>
                <w:szCs w:val="18"/>
                <w:color w:val="auto"/>
              </w:rPr>
              <w:t>8,223,945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8,299,146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8,543,922</w:t>
            </w:r>
          </w:p>
        </w:tc>
        <w:tc>
          <w:tcPr>
            <w:tcW w:w="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8,787,467</w:t>
            </w:r>
          </w:p>
        </w:tc>
      </w:tr>
      <w:tr>
        <w:trPr>
          <w:trHeight w:val="380"/>
        </w:trPr>
        <w:tc>
          <w:tcPr>
            <w:tcW w:w="5880" w:type="dxa"/>
            <w:vAlign w:val="bottom"/>
            <w:tcBorders>
              <w:bottom w:val="single" w:sz="8" w:color="9A9A9A"/>
            </w:tcBorders>
            <w:gridSpan w:val="2"/>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r>
      <w:tr>
        <w:trPr>
          <w:trHeight w:val="343"/>
        </w:trPr>
        <w:tc>
          <w:tcPr>
            <w:tcW w:w="5880" w:type="dxa"/>
            <w:vAlign w:val="bottom"/>
            <w:gridSpan w:val="2"/>
          </w:tcPr>
          <w:p>
            <w:pPr>
              <w:jc w:val="center"/>
              <w:ind w:right="20"/>
              <w:spacing w:after="0"/>
              <w:rPr>
                <w:sz w:val="20"/>
                <w:szCs w:val="20"/>
                <w:color w:val="auto"/>
              </w:rPr>
            </w:pPr>
            <w:r>
              <w:rPr>
                <w:rFonts w:ascii="Arial" w:cs="Arial" w:eastAsia="Arial" w:hAnsi="Arial"/>
                <w:sz w:val="18"/>
                <w:szCs w:val="18"/>
                <w:color w:val="auto"/>
                <w:w w:val="96"/>
              </w:rPr>
              <w:t>LIABILITIES AND SHAREHOLDERS' EQUITY</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86"/>
        </w:trPr>
        <w:tc>
          <w:tcPr>
            <w:tcW w:w="5880" w:type="dxa"/>
            <w:vAlign w:val="bottom"/>
            <w:gridSpan w:val="2"/>
          </w:tcPr>
          <w:p>
            <w:pPr>
              <w:spacing w:after="0"/>
              <w:rPr>
                <w:sz w:val="20"/>
                <w:szCs w:val="20"/>
                <w:color w:val="auto"/>
              </w:rPr>
            </w:pPr>
            <w:r>
              <w:rPr>
                <w:rFonts w:ascii="Arial" w:cs="Arial" w:eastAsia="Arial" w:hAnsi="Arial"/>
                <w:sz w:val="18"/>
                <w:szCs w:val="18"/>
                <w:color w:val="auto"/>
              </w:rPr>
              <w:t>DEPOSITS AND OBLIGATIONS:</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3"/>
        </w:trPr>
        <w:tc>
          <w:tcPr>
            <w:tcW w:w="5880" w:type="dxa"/>
            <w:vAlign w:val="bottom"/>
            <w:gridSpan w:val="2"/>
          </w:tcPr>
          <w:p>
            <w:pPr>
              <w:spacing w:after="0"/>
              <w:rPr>
                <w:sz w:val="20"/>
                <w:szCs w:val="20"/>
                <w:color w:val="auto"/>
              </w:rPr>
            </w:pPr>
            <w:r>
              <w:rPr>
                <w:rFonts w:ascii="Arial" w:cs="Arial" w:eastAsia="Arial" w:hAnsi="Arial"/>
                <w:sz w:val="18"/>
                <w:szCs w:val="18"/>
                <w:color w:val="auto"/>
              </w:rPr>
              <w:t>Non-interest bearing</w:t>
            </w:r>
          </w:p>
        </w:tc>
        <w:tc>
          <w:tcPr>
            <w:tcW w:w="1360" w:type="dxa"/>
            <w:vAlign w:val="bottom"/>
          </w:tcPr>
          <w:p>
            <w:pPr>
              <w:jc w:val="right"/>
              <w:spacing w:after="0"/>
              <w:rPr>
                <w:sz w:val="20"/>
                <w:szCs w:val="20"/>
                <w:color w:val="auto"/>
              </w:rPr>
            </w:pPr>
            <w:r>
              <w:rPr>
                <w:rFonts w:ascii="Arial" w:cs="Arial" w:eastAsia="Arial" w:hAnsi="Arial"/>
                <w:sz w:val="18"/>
                <w:szCs w:val="18"/>
                <w:color w:val="auto"/>
              </w:rPr>
              <w:t>813,726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860,585</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949,788</w:t>
            </w:r>
          </w:p>
        </w:tc>
        <w:tc>
          <w:tcPr>
            <w:tcW w:w="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813,737</w:t>
            </w:r>
          </w:p>
        </w:tc>
      </w:tr>
      <w:tr>
        <w:trPr>
          <w:trHeight w:val="243"/>
        </w:trPr>
        <w:tc>
          <w:tcPr>
            <w:tcW w:w="5880" w:type="dxa"/>
            <w:vAlign w:val="bottom"/>
            <w:gridSpan w:val="2"/>
          </w:tcPr>
          <w:p>
            <w:pPr>
              <w:spacing w:after="0"/>
              <w:rPr>
                <w:sz w:val="20"/>
                <w:szCs w:val="20"/>
                <w:color w:val="auto"/>
              </w:rPr>
            </w:pPr>
            <w:r>
              <w:rPr>
                <w:rFonts w:ascii="Arial" w:cs="Arial" w:eastAsia="Arial" w:hAnsi="Arial"/>
                <w:sz w:val="18"/>
                <w:szCs w:val="18"/>
                <w:color w:val="auto"/>
              </w:rPr>
              <w:t>Interest bearing</w:t>
            </w:r>
          </w:p>
        </w:tc>
        <w:tc>
          <w:tcPr>
            <w:tcW w:w="1360" w:type="dxa"/>
            <w:vAlign w:val="bottom"/>
          </w:tcPr>
          <w:p>
            <w:pPr>
              <w:jc w:val="right"/>
              <w:spacing w:after="0"/>
              <w:rPr>
                <w:sz w:val="20"/>
                <w:szCs w:val="20"/>
                <w:color w:val="auto"/>
              </w:rPr>
            </w:pPr>
            <w:r>
              <w:rPr>
                <w:rFonts w:ascii="Arial" w:cs="Arial" w:eastAsia="Arial" w:hAnsi="Arial"/>
                <w:sz w:val="18"/>
                <w:szCs w:val="18"/>
                <w:color w:val="auto"/>
              </w:rPr>
              <w:t>5,076,358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5,125,645</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5,048,861</w:t>
            </w:r>
          </w:p>
        </w:tc>
        <w:tc>
          <w:tcPr>
            <w:tcW w:w="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5,391,114</w:t>
            </w:r>
          </w:p>
        </w:tc>
      </w:tr>
      <w:tr>
        <w:trPr>
          <w:trHeight w:val="243"/>
        </w:trPr>
        <w:tc>
          <w:tcPr>
            <w:tcW w:w="5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5,890,084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5,986,230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5,998,649</w:t>
            </w:r>
          </w:p>
        </w:tc>
        <w:tc>
          <w:tcPr>
            <w:tcW w:w="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6,204,851</w:t>
            </w:r>
          </w:p>
        </w:tc>
      </w:tr>
      <w:tr>
        <w:trPr>
          <w:trHeight w:val="486"/>
        </w:trPr>
        <w:tc>
          <w:tcPr>
            <w:tcW w:w="5880" w:type="dxa"/>
            <w:vAlign w:val="bottom"/>
            <w:gridSpan w:val="2"/>
          </w:tcPr>
          <w:p>
            <w:pPr>
              <w:spacing w:after="0"/>
              <w:rPr>
                <w:sz w:val="20"/>
                <w:szCs w:val="20"/>
                <w:color w:val="auto"/>
              </w:rPr>
            </w:pPr>
            <w:r>
              <w:rPr>
                <w:rFonts w:ascii="Arial" w:cs="Arial" w:eastAsia="Arial" w:hAnsi="Arial"/>
                <w:sz w:val="18"/>
                <w:szCs w:val="18"/>
                <w:color w:val="auto"/>
              </w:rPr>
              <w:t>DUE TO BANKS AND CORRESPONDENTS</w:t>
            </w:r>
          </w:p>
        </w:tc>
        <w:tc>
          <w:tcPr>
            <w:tcW w:w="1360" w:type="dxa"/>
            <w:vAlign w:val="bottom"/>
          </w:tcPr>
          <w:p>
            <w:pPr>
              <w:jc w:val="right"/>
              <w:spacing w:after="0"/>
              <w:rPr>
                <w:sz w:val="20"/>
                <w:szCs w:val="20"/>
                <w:color w:val="auto"/>
              </w:rPr>
            </w:pPr>
            <w:r>
              <w:rPr>
                <w:rFonts w:ascii="Arial" w:cs="Arial" w:eastAsia="Arial" w:hAnsi="Arial"/>
                <w:sz w:val="18"/>
                <w:szCs w:val="18"/>
                <w:color w:val="auto"/>
              </w:rPr>
              <w:t>279,660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273,234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374,206</w:t>
            </w:r>
          </w:p>
        </w:tc>
        <w:tc>
          <w:tcPr>
            <w:tcW w:w="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349,147</w:t>
            </w:r>
          </w:p>
        </w:tc>
      </w:tr>
      <w:tr>
        <w:trPr>
          <w:trHeight w:val="243"/>
        </w:trPr>
        <w:tc>
          <w:tcPr>
            <w:tcW w:w="5880" w:type="dxa"/>
            <w:vAlign w:val="bottom"/>
            <w:gridSpan w:val="2"/>
          </w:tcPr>
          <w:p>
            <w:pPr>
              <w:spacing w:after="0"/>
              <w:rPr>
                <w:sz w:val="20"/>
                <w:szCs w:val="20"/>
                <w:color w:val="auto"/>
              </w:rPr>
            </w:pPr>
            <w:r>
              <w:rPr>
                <w:rFonts w:ascii="Arial" w:cs="Arial" w:eastAsia="Arial" w:hAnsi="Arial"/>
                <w:sz w:val="18"/>
                <w:szCs w:val="18"/>
                <w:color w:val="auto"/>
              </w:rPr>
              <w:t>ACCEPTANCES OUTSTANDING</w:t>
            </w:r>
          </w:p>
        </w:tc>
        <w:tc>
          <w:tcPr>
            <w:tcW w:w="1360" w:type="dxa"/>
            <w:vAlign w:val="bottom"/>
          </w:tcPr>
          <w:p>
            <w:pPr>
              <w:jc w:val="right"/>
              <w:spacing w:after="0"/>
              <w:rPr>
                <w:sz w:val="20"/>
                <w:szCs w:val="20"/>
                <w:color w:val="auto"/>
              </w:rPr>
            </w:pPr>
            <w:r>
              <w:rPr>
                <w:rFonts w:ascii="Arial" w:cs="Arial" w:eastAsia="Arial" w:hAnsi="Arial"/>
                <w:sz w:val="18"/>
                <w:szCs w:val="18"/>
                <w:color w:val="auto"/>
              </w:rPr>
              <w:t>51,821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50,178</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46,108</w:t>
            </w:r>
          </w:p>
        </w:tc>
        <w:tc>
          <w:tcPr>
            <w:tcW w:w="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51,765</w:t>
            </w:r>
          </w:p>
        </w:tc>
      </w:tr>
      <w:tr>
        <w:trPr>
          <w:trHeight w:val="243"/>
        </w:trPr>
        <w:tc>
          <w:tcPr>
            <w:tcW w:w="5880" w:type="dxa"/>
            <w:vAlign w:val="bottom"/>
            <w:gridSpan w:val="2"/>
          </w:tcPr>
          <w:p>
            <w:pPr>
              <w:spacing w:after="0"/>
              <w:rPr>
                <w:sz w:val="20"/>
                <w:szCs w:val="20"/>
                <w:color w:val="auto"/>
              </w:rPr>
            </w:pPr>
            <w:r>
              <w:rPr>
                <w:rFonts w:ascii="Arial" w:cs="Arial" w:eastAsia="Arial" w:hAnsi="Arial"/>
                <w:sz w:val="18"/>
                <w:szCs w:val="18"/>
                <w:color w:val="auto"/>
              </w:rPr>
              <w:t>RESERVE FOR PROPERTY AND CASUALTY CLAIMS</w:t>
            </w:r>
          </w:p>
        </w:tc>
        <w:tc>
          <w:tcPr>
            <w:tcW w:w="1360" w:type="dxa"/>
            <w:vAlign w:val="bottom"/>
          </w:tcPr>
          <w:p>
            <w:pPr>
              <w:jc w:val="right"/>
              <w:spacing w:after="0"/>
              <w:rPr>
                <w:sz w:val="20"/>
                <w:szCs w:val="20"/>
                <w:color w:val="auto"/>
              </w:rPr>
            </w:pPr>
            <w:r>
              <w:rPr>
                <w:rFonts w:ascii="Arial" w:cs="Arial" w:eastAsia="Arial" w:hAnsi="Arial"/>
                <w:sz w:val="18"/>
                <w:szCs w:val="18"/>
                <w:color w:val="auto"/>
              </w:rPr>
              <w:t>289,245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303,587</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350,745</w:t>
            </w:r>
          </w:p>
        </w:tc>
        <w:tc>
          <w:tcPr>
            <w:tcW w:w="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381,492</w:t>
            </w:r>
          </w:p>
        </w:tc>
      </w:tr>
      <w:tr>
        <w:trPr>
          <w:trHeight w:val="243"/>
        </w:trPr>
        <w:tc>
          <w:tcPr>
            <w:tcW w:w="5880" w:type="dxa"/>
            <w:vAlign w:val="bottom"/>
            <w:gridSpan w:val="2"/>
          </w:tcPr>
          <w:p>
            <w:pPr>
              <w:spacing w:after="0"/>
              <w:rPr>
                <w:sz w:val="20"/>
                <w:szCs w:val="20"/>
                <w:color w:val="auto"/>
              </w:rPr>
            </w:pPr>
            <w:r>
              <w:rPr>
                <w:rFonts w:ascii="Arial" w:cs="Arial" w:eastAsia="Arial" w:hAnsi="Arial"/>
                <w:sz w:val="18"/>
                <w:szCs w:val="18"/>
                <w:color w:val="auto"/>
              </w:rPr>
              <w:t>RESERVE FOR UNEARNED PREMIUMS</w:t>
            </w:r>
          </w:p>
        </w:tc>
        <w:tc>
          <w:tcPr>
            <w:tcW w:w="1360" w:type="dxa"/>
            <w:vAlign w:val="bottom"/>
          </w:tcPr>
          <w:p>
            <w:pPr>
              <w:jc w:val="right"/>
              <w:spacing w:after="0"/>
              <w:rPr>
                <w:sz w:val="20"/>
                <w:szCs w:val="20"/>
                <w:color w:val="auto"/>
              </w:rPr>
            </w:pPr>
            <w:r>
              <w:rPr>
                <w:rFonts w:ascii="Arial" w:cs="Arial" w:eastAsia="Arial" w:hAnsi="Arial"/>
                <w:sz w:val="18"/>
                <w:szCs w:val="18"/>
                <w:color w:val="auto"/>
              </w:rPr>
              <w:t>63,905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66,084</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58,987</w:t>
            </w:r>
          </w:p>
        </w:tc>
        <w:tc>
          <w:tcPr>
            <w:tcW w:w="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62,095</w:t>
            </w:r>
          </w:p>
        </w:tc>
      </w:tr>
      <w:tr>
        <w:trPr>
          <w:trHeight w:val="243"/>
        </w:trPr>
        <w:tc>
          <w:tcPr>
            <w:tcW w:w="5880" w:type="dxa"/>
            <w:vAlign w:val="bottom"/>
            <w:gridSpan w:val="2"/>
          </w:tcPr>
          <w:p>
            <w:pPr>
              <w:spacing w:after="0"/>
              <w:rPr>
                <w:sz w:val="20"/>
                <w:szCs w:val="20"/>
                <w:color w:val="auto"/>
              </w:rPr>
            </w:pPr>
            <w:r>
              <w:rPr>
                <w:rFonts w:ascii="Arial" w:cs="Arial" w:eastAsia="Arial" w:hAnsi="Arial"/>
                <w:sz w:val="18"/>
                <w:szCs w:val="18"/>
                <w:color w:val="auto"/>
              </w:rPr>
              <w:t>REINSURANCE PAYABLE</w:t>
            </w:r>
          </w:p>
        </w:tc>
        <w:tc>
          <w:tcPr>
            <w:tcW w:w="1360" w:type="dxa"/>
            <w:vAlign w:val="bottom"/>
          </w:tcPr>
          <w:p>
            <w:pPr>
              <w:jc w:val="right"/>
              <w:spacing w:after="0"/>
              <w:rPr>
                <w:sz w:val="20"/>
                <w:szCs w:val="20"/>
                <w:color w:val="auto"/>
              </w:rPr>
            </w:pPr>
            <w:r>
              <w:rPr>
                <w:rFonts w:ascii="Arial" w:cs="Arial" w:eastAsia="Arial" w:hAnsi="Arial"/>
                <w:sz w:val="18"/>
                <w:szCs w:val="18"/>
                <w:color w:val="auto"/>
              </w:rPr>
              <w:t>43,737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33,043</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13,983</w:t>
            </w:r>
          </w:p>
        </w:tc>
        <w:tc>
          <w:tcPr>
            <w:tcW w:w="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30,157</w:t>
            </w:r>
          </w:p>
        </w:tc>
      </w:tr>
      <w:tr>
        <w:trPr>
          <w:trHeight w:val="243"/>
        </w:trPr>
        <w:tc>
          <w:tcPr>
            <w:tcW w:w="5880" w:type="dxa"/>
            <w:vAlign w:val="bottom"/>
            <w:gridSpan w:val="2"/>
          </w:tcPr>
          <w:p>
            <w:pPr>
              <w:spacing w:after="0"/>
              <w:rPr>
                <w:sz w:val="20"/>
                <w:szCs w:val="20"/>
                <w:color w:val="auto"/>
              </w:rPr>
            </w:pPr>
            <w:r>
              <w:rPr>
                <w:rFonts w:ascii="Arial" w:cs="Arial" w:eastAsia="Arial" w:hAnsi="Arial"/>
                <w:sz w:val="18"/>
                <w:szCs w:val="18"/>
                <w:color w:val="auto"/>
              </w:rPr>
              <w:t>BONDS AND SUBORDINATED DEBT (1)</w:t>
            </w:r>
          </w:p>
        </w:tc>
        <w:tc>
          <w:tcPr>
            <w:tcW w:w="1360" w:type="dxa"/>
            <w:vAlign w:val="bottom"/>
          </w:tcPr>
          <w:p>
            <w:pPr>
              <w:jc w:val="right"/>
              <w:spacing w:after="0"/>
              <w:rPr>
                <w:sz w:val="20"/>
                <w:szCs w:val="20"/>
                <w:color w:val="auto"/>
              </w:rPr>
            </w:pPr>
            <w:r>
              <w:rPr>
                <w:rFonts w:ascii="Arial" w:cs="Arial" w:eastAsia="Arial" w:hAnsi="Arial"/>
                <w:sz w:val="18"/>
                <w:szCs w:val="18"/>
                <w:color w:val="auto"/>
              </w:rPr>
              <w:t>367,914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419,461</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429,916</w:t>
            </w:r>
          </w:p>
        </w:tc>
        <w:tc>
          <w:tcPr>
            <w:tcW w:w="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424,889</w:t>
            </w:r>
          </w:p>
        </w:tc>
      </w:tr>
      <w:tr>
        <w:trPr>
          <w:trHeight w:val="243"/>
        </w:trPr>
        <w:tc>
          <w:tcPr>
            <w:tcW w:w="588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360" w:type="dxa"/>
            <w:vAlign w:val="bottom"/>
          </w:tcPr>
          <w:p>
            <w:pPr>
              <w:jc w:val="right"/>
              <w:spacing w:after="0"/>
              <w:rPr>
                <w:sz w:val="20"/>
                <w:szCs w:val="20"/>
                <w:color w:val="auto"/>
              </w:rPr>
            </w:pPr>
            <w:r>
              <w:rPr>
                <w:rFonts w:ascii="Arial" w:cs="Arial" w:eastAsia="Arial" w:hAnsi="Arial"/>
                <w:sz w:val="18"/>
                <w:szCs w:val="18"/>
                <w:color w:val="auto"/>
              </w:rPr>
              <w:t>273,633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183,755</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260,997</w:t>
            </w:r>
          </w:p>
        </w:tc>
        <w:tc>
          <w:tcPr>
            <w:tcW w:w="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203,646</w:t>
            </w:r>
          </w:p>
        </w:tc>
      </w:tr>
      <w:tr>
        <w:trPr>
          <w:trHeight w:val="243"/>
        </w:trPr>
        <w:tc>
          <w:tcPr>
            <w:tcW w:w="588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1360" w:type="dxa"/>
            <w:vAlign w:val="bottom"/>
          </w:tcPr>
          <w:p>
            <w:pPr>
              <w:jc w:val="right"/>
              <w:spacing w:after="0"/>
              <w:rPr>
                <w:sz w:val="20"/>
                <w:szCs w:val="20"/>
                <w:color w:val="auto"/>
              </w:rPr>
            </w:pPr>
            <w:r>
              <w:rPr>
                <w:rFonts w:ascii="Arial" w:cs="Arial" w:eastAsia="Arial" w:hAnsi="Arial"/>
                <w:sz w:val="18"/>
                <w:szCs w:val="18"/>
                <w:color w:val="auto"/>
              </w:rPr>
              <w:t>71,723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72,841</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69,627</w:t>
            </w:r>
          </w:p>
        </w:tc>
        <w:tc>
          <w:tcPr>
            <w:tcW w:w="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77,776</w:t>
            </w:r>
          </w:p>
        </w:tc>
      </w:tr>
      <w:tr>
        <w:trPr>
          <w:trHeight w:val="486"/>
        </w:trPr>
        <w:tc>
          <w:tcPr>
            <w:tcW w:w="5880" w:type="dxa"/>
            <w:vAlign w:val="bottom"/>
            <w:gridSpan w:val="2"/>
          </w:tcPr>
          <w:p>
            <w:pPr>
              <w:jc w:val="center"/>
              <w:ind w:right="40"/>
              <w:spacing w:after="0"/>
              <w:rPr>
                <w:sz w:val="20"/>
                <w:szCs w:val="20"/>
                <w:color w:val="auto"/>
              </w:rPr>
            </w:pPr>
            <w:r>
              <w:rPr>
                <w:rFonts w:ascii="Arial" w:cs="Arial" w:eastAsia="Arial" w:hAnsi="Arial"/>
                <w:sz w:val="18"/>
                <w:szCs w:val="18"/>
                <w:color w:val="auto"/>
                <w:w w:val="98"/>
              </w:rPr>
              <w:t>TOTAL LIABILITIES</w:t>
            </w:r>
          </w:p>
        </w:tc>
        <w:tc>
          <w:tcPr>
            <w:tcW w:w="1360" w:type="dxa"/>
            <w:vAlign w:val="bottom"/>
          </w:tcPr>
          <w:p>
            <w:pPr>
              <w:jc w:val="right"/>
              <w:spacing w:after="0"/>
              <w:rPr>
                <w:sz w:val="20"/>
                <w:szCs w:val="20"/>
                <w:color w:val="auto"/>
              </w:rPr>
            </w:pPr>
            <w:r>
              <w:rPr>
                <w:rFonts w:ascii="Arial" w:cs="Arial" w:eastAsia="Arial" w:hAnsi="Arial"/>
                <w:sz w:val="18"/>
                <w:szCs w:val="18"/>
                <w:color w:val="auto"/>
              </w:rPr>
              <w:t>7,331,722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7,388,413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7,603,218</w:t>
            </w:r>
          </w:p>
        </w:tc>
        <w:tc>
          <w:tcPr>
            <w:tcW w:w="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7,785,818</w:t>
            </w:r>
          </w:p>
        </w:tc>
      </w:tr>
      <w:tr>
        <w:trPr>
          <w:trHeight w:val="486"/>
        </w:trPr>
        <w:tc>
          <w:tcPr>
            <w:tcW w:w="58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NET SHAREHOLDERS' EQUITY</w:t>
            </w:r>
          </w:p>
        </w:tc>
        <w:tc>
          <w:tcPr>
            <w:tcW w:w="1360" w:type="dxa"/>
            <w:vAlign w:val="bottom"/>
          </w:tcPr>
          <w:p>
            <w:pPr>
              <w:jc w:val="right"/>
              <w:spacing w:after="0"/>
              <w:rPr>
                <w:sz w:val="20"/>
                <w:szCs w:val="20"/>
                <w:color w:val="auto"/>
              </w:rPr>
            </w:pPr>
            <w:r>
              <w:rPr>
                <w:rFonts w:ascii="Arial" w:cs="Arial" w:eastAsia="Arial" w:hAnsi="Arial"/>
                <w:sz w:val="18"/>
                <w:szCs w:val="18"/>
                <w:color w:val="auto"/>
              </w:rPr>
              <w:t>892,223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910,733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940,704</w:t>
            </w:r>
          </w:p>
        </w:tc>
        <w:tc>
          <w:tcPr>
            <w:tcW w:w="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1,001,649</w:t>
            </w:r>
          </w:p>
        </w:tc>
      </w:tr>
      <w:tr>
        <w:trPr>
          <w:trHeight w:val="486"/>
        </w:trPr>
        <w:tc>
          <w:tcPr>
            <w:tcW w:w="5880" w:type="dxa"/>
            <w:vAlign w:val="bottom"/>
            <w:gridSpan w:val="2"/>
          </w:tcPr>
          <w:p>
            <w:pPr>
              <w:spacing w:after="0"/>
              <w:rPr>
                <w:sz w:val="20"/>
                <w:szCs w:val="20"/>
                <w:color w:val="auto"/>
              </w:rPr>
            </w:pPr>
            <w:r>
              <w:rPr>
                <w:rFonts w:ascii="Arial" w:cs="Arial" w:eastAsia="Arial" w:hAnsi="Arial"/>
                <w:sz w:val="18"/>
                <w:szCs w:val="18"/>
                <w:color w:val="auto"/>
              </w:rPr>
              <w:t>TOTAL LIABILITIES and NET SHAREHOLDERS' EQUITY</w:t>
            </w:r>
          </w:p>
        </w:tc>
        <w:tc>
          <w:tcPr>
            <w:tcW w:w="1360" w:type="dxa"/>
            <w:vAlign w:val="bottom"/>
          </w:tcPr>
          <w:p>
            <w:pPr>
              <w:jc w:val="right"/>
              <w:spacing w:after="0"/>
              <w:rPr>
                <w:sz w:val="20"/>
                <w:szCs w:val="20"/>
                <w:color w:val="auto"/>
              </w:rPr>
            </w:pPr>
            <w:r>
              <w:rPr>
                <w:rFonts w:ascii="Arial" w:cs="Arial" w:eastAsia="Arial" w:hAnsi="Arial"/>
                <w:sz w:val="18"/>
                <w:szCs w:val="18"/>
                <w:color w:val="auto"/>
              </w:rPr>
              <w:t>8,223,945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8,299,146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8,543,922</w:t>
            </w:r>
          </w:p>
        </w:tc>
        <w:tc>
          <w:tcPr>
            <w:tcW w:w="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8,787,467</w:t>
            </w:r>
          </w:p>
        </w:tc>
      </w:tr>
      <w:tr>
        <w:trPr>
          <w:trHeight w:val="486"/>
        </w:trPr>
        <w:tc>
          <w:tcPr>
            <w:tcW w:w="5880" w:type="dxa"/>
            <w:vAlign w:val="bottom"/>
            <w:gridSpan w:val="2"/>
          </w:tcPr>
          <w:p>
            <w:pPr>
              <w:spacing w:after="0"/>
              <w:rPr>
                <w:sz w:val="20"/>
                <w:szCs w:val="20"/>
                <w:color w:val="auto"/>
              </w:rPr>
            </w:pPr>
            <w:r>
              <w:rPr>
                <w:rFonts w:ascii="Arial" w:cs="Arial" w:eastAsia="Arial" w:hAnsi="Arial"/>
                <w:sz w:val="18"/>
                <w:szCs w:val="18"/>
                <w:color w:val="auto"/>
              </w:rPr>
              <w:t>CONTINGENT CREDITS</w:t>
            </w:r>
          </w:p>
        </w:tc>
        <w:tc>
          <w:tcPr>
            <w:tcW w:w="1360" w:type="dxa"/>
            <w:vAlign w:val="bottom"/>
          </w:tcPr>
          <w:p>
            <w:pPr>
              <w:jc w:val="right"/>
              <w:spacing w:after="0"/>
              <w:rPr>
                <w:sz w:val="20"/>
                <w:szCs w:val="20"/>
                <w:color w:val="auto"/>
              </w:rPr>
            </w:pPr>
            <w:r>
              <w:rPr>
                <w:rFonts w:ascii="Arial" w:cs="Arial" w:eastAsia="Arial" w:hAnsi="Arial"/>
                <w:sz w:val="18"/>
                <w:szCs w:val="18"/>
                <w:color w:val="auto"/>
              </w:rPr>
              <w:t>1,373,995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1,768,605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1,850,037</w:t>
            </w:r>
          </w:p>
        </w:tc>
        <w:tc>
          <w:tcPr>
            <w:tcW w:w="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1,765,015</w:t>
            </w:r>
          </w:p>
        </w:tc>
      </w:tr>
      <w:tr>
        <w:trPr>
          <w:trHeight w:val="243"/>
        </w:trPr>
        <w:tc>
          <w:tcPr>
            <w:tcW w:w="5880" w:type="dxa"/>
            <w:vAlign w:val="bottom"/>
            <w:gridSpan w:val="2"/>
          </w:tcPr>
          <w:p>
            <w:pPr>
              <w:spacing w:after="0"/>
              <w:rPr>
                <w:sz w:val="20"/>
                <w:szCs w:val="20"/>
                <w:color w:val="auto"/>
              </w:rPr>
            </w:pPr>
            <w:r>
              <w:rPr>
                <w:rFonts w:ascii="Arial" w:cs="Arial" w:eastAsia="Arial" w:hAnsi="Arial"/>
                <w:sz w:val="18"/>
                <w:szCs w:val="18"/>
                <w:color w:val="auto"/>
              </w:rPr>
              <w:t>FUNDS UNDER MANAGEMENT</w:t>
            </w:r>
          </w:p>
        </w:tc>
        <w:tc>
          <w:tcPr>
            <w:tcW w:w="1360" w:type="dxa"/>
            <w:vAlign w:val="bottom"/>
          </w:tcPr>
          <w:p>
            <w:pPr>
              <w:jc w:val="right"/>
              <w:spacing w:after="0"/>
              <w:rPr>
                <w:sz w:val="20"/>
                <w:szCs w:val="20"/>
                <w:color w:val="auto"/>
              </w:rPr>
            </w:pPr>
            <w:r>
              <w:rPr>
                <w:rFonts w:ascii="Arial" w:cs="Arial" w:eastAsia="Arial" w:hAnsi="Arial"/>
                <w:sz w:val="18"/>
                <w:szCs w:val="18"/>
                <w:color w:val="auto"/>
              </w:rPr>
              <w:t>1,618,763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1,724,130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1,711,086</w:t>
            </w:r>
          </w:p>
        </w:tc>
        <w:tc>
          <w:tcPr>
            <w:tcW w:w="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1,705,826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-7668895</wp:posOffset>
            </wp:positionV>
            <wp:extent cx="3429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3723005</wp:posOffset>
            </wp:positionH>
            <wp:positionV relativeFrom="paragraph">
              <wp:posOffset>-7351395</wp:posOffset>
            </wp:positionV>
            <wp:extent cx="3429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-7351395</wp:posOffset>
            </wp:positionV>
            <wp:extent cx="3429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5472430</wp:posOffset>
            </wp:positionH>
            <wp:positionV relativeFrom="paragraph">
              <wp:posOffset>-7351395</wp:posOffset>
            </wp:positionV>
            <wp:extent cx="3429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-7351395</wp:posOffset>
            </wp:positionV>
            <wp:extent cx="3429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-7351395</wp:posOffset>
            </wp:positionV>
            <wp:extent cx="3429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-3792855</wp:posOffset>
            </wp:positionV>
            <wp:extent cx="3429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74295</wp:posOffset>
            </wp:positionV>
            <wp:extent cx="722503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57"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Note: in prior periods this concept was reported within Deposits and Obligations and Other liabilities.</w:t>
      </w:r>
    </w:p>
    <w:p>
      <w:pPr>
        <w:sectPr>
          <w:pgSz w:w="11900" w:h="16838" w:orient="portrait"/>
          <w:cols w:equalWidth="0" w:num="1">
            <w:col w:w="11400"/>
          </w:cols>
          <w:pgMar w:left="240" w:top="347" w:right="25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color w:val="auto"/>
        </w:rPr>
        <w:t>CREDICORP LTD. AND SUBSIDIARIES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Table 2</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INCOME STATEMENTS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4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40" w:type="dxa"/>
            <w:vAlign w:val="bottom"/>
            <w:gridSpan w:val="2"/>
          </w:tcPr>
          <w:p>
            <w:pPr>
              <w:jc w:val="right"/>
              <w:ind w:right="632"/>
              <w:spacing w:after="0"/>
              <w:rPr>
                <w:sz w:val="20"/>
                <w:szCs w:val="20"/>
                <w:color w:val="auto"/>
              </w:rPr>
            </w:pPr>
            <w:r>
              <w:rPr>
                <w:rFonts w:ascii="Arial" w:cs="Arial" w:eastAsia="Arial" w:hAnsi="Arial"/>
                <w:sz w:val="18"/>
                <w:szCs w:val="18"/>
                <w:color w:val="auto"/>
                <w:w w:val="93"/>
              </w:rPr>
              <w:t>(In thousands of U.S. Dollars)</w:t>
            </w: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53"/>
        </w:trPr>
        <w:tc>
          <w:tcPr>
            <w:tcW w:w="4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40" w:type="dxa"/>
            <w:vAlign w:val="bottom"/>
            <w:gridSpan w:val="2"/>
          </w:tcPr>
          <w:p>
            <w:pPr>
              <w:jc w:val="right"/>
              <w:ind w:right="92"/>
              <w:spacing w:after="0"/>
              <w:rPr>
                <w:sz w:val="20"/>
                <w:szCs w:val="20"/>
                <w:color w:val="auto"/>
              </w:rPr>
            </w:pPr>
            <w:r>
              <w:rPr>
                <w:rFonts w:ascii="Arial" w:cs="Arial" w:eastAsia="Arial" w:hAnsi="Arial"/>
                <w:sz w:val="18"/>
                <w:szCs w:val="18"/>
                <w:color w:val="auto"/>
              </w:rPr>
              <w:t>Three months ended</w:t>
            </w: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00" w:type="dxa"/>
            <w:vAlign w:val="bottom"/>
            <w:gridSpan w:val="2"/>
          </w:tcPr>
          <w:p>
            <w:pPr>
              <w:jc w:val="right"/>
              <w:ind w:right="592"/>
              <w:spacing w:after="0"/>
              <w:rPr>
                <w:sz w:val="20"/>
                <w:szCs w:val="20"/>
                <w:color w:val="auto"/>
              </w:rPr>
            </w:pPr>
            <w:r>
              <w:rPr>
                <w:rFonts w:ascii="Arial" w:cs="Arial" w:eastAsia="Arial" w:hAnsi="Arial"/>
                <w:sz w:val="18"/>
                <w:szCs w:val="18"/>
                <w:color w:val="auto"/>
              </w:rPr>
              <w:t>Nine months ended</w:t>
            </w:r>
          </w:p>
        </w:tc>
      </w:tr>
      <w:tr>
        <w:trPr>
          <w:trHeight w:val="137"/>
        </w:trPr>
        <w:tc>
          <w:tcPr>
            <w:tcW w:w="4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tcBorders>
              <w:bottom w:val="single" w:sz="8" w:color="9A9A9A"/>
            </w:tcBorders>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r>
      <w:tr>
        <w:trPr>
          <w:trHeight w:val="356"/>
        </w:trPr>
        <w:tc>
          <w:tcPr>
            <w:tcW w:w="4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jc w:val="right"/>
              <w:ind w:right="492"/>
              <w:spacing w:after="0"/>
              <w:rPr>
                <w:sz w:val="20"/>
                <w:szCs w:val="20"/>
                <w:color w:val="auto"/>
              </w:rPr>
            </w:pPr>
            <w:r>
              <w:rPr>
                <w:rFonts w:ascii="Arial" w:cs="Arial" w:eastAsia="Arial" w:hAnsi="Arial"/>
                <w:sz w:val="18"/>
                <w:szCs w:val="18"/>
                <w:color w:val="auto"/>
              </w:rPr>
              <w:t>30.09.03</w:t>
            </w:r>
          </w:p>
        </w:tc>
        <w:tc>
          <w:tcPr>
            <w:tcW w:w="1400" w:type="dxa"/>
            <w:vAlign w:val="bottom"/>
          </w:tcPr>
          <w:p>
            <w:pPr>
              <w:jc w:val="right"/>
              <w:ind w:right="512"/>
              <w:spacing w:after="0"/>
              <w:rPr>
                <w:sz w:val="20"/>
                <w:szCs w:val="20"/>
                <w:color w:val="auto"/>
              </w:rPr>
            </w:pPr>
            <w:r>
              <w:rPr>
                <w:rFonts w:ascii="Arial" w:cs="Arial" w:eastAsia="Arial" w:hAnsi="Arial"/>
                <w:sz w:val="18"/>
                <w:szCs w:val="18"/>
                <w:color w:val="auto"/>
              </w:rPr>
              <w:t>30.06.04</w:t>
            </w:r>
          </w:p>
        </w:tc>
        <w:tc>
          <w:tcPr>
            <w:tcW w:w="1160" w:type="dxa"/>
            <w:vAlign w:val="bottom"/>
          </w:tcPr>
          <w:p>
            <w:pPr>
              <w:jc w:val="right"/>
              <w:ind w:right="292"/>
              <w:spacing w:after="0"/>
              <w:rPr>
                <w:sz w:val="20"/>
                <w:szCs w:val="20"/>
                <w:color w:val="auto"/>
              </w:rPr>
            </w:pPr>
            <w:r>
              <w:rPr>
                <w:rFonts w:ascii="Arial" w:cs="Arial" w:eastAsia="Arial" w:hAnsi="Arial"/>
                <w:sz w:val="18"/>
                <w:szCs w:val="18"/>
                <w:color w:val="auto"/>
              </w:rPr>
              <w:t>30.09.04</w:t>
            </w:r>
          </w:p>
        </w:tc>
        <w:tc>
          <w:tcPr>
            <w:tcW w:w="40" w:type="dxa"/>
            <w:vAlign w:val="bottom"/>
          </w:tcPr>
          <w:p>
            <w:pPr>
              <w:spacing w:after="0"/>
              <w:rPr>
                <w:sz w:val="24"/>
                <w:szCs w:val="24"/>
                <w:color w:val="auto"/>
              </w:rPr>
            </w:pPr>
          </w:p>
        </w:tc>
        <w:tc>
          <w:tcPr>
            <w:tcW w:w="1520" w:type="dxa"/>
            <w:vAlign w:val="bottom"/>
          </w:tcPr>
          <w:p>
            <w:pPr>
              <w:jc w:val="right"/>
              <w:ind w:right="492"/>
              <w:spacing w:after="0"/>
              <w:rPr>
                <w:sz w:val="20"/>
                <w:szCs w:val="20"/>
                <w:color w:val="auto"/>
              </w:rPr>
            </w:pPr>
            <w:r>
              <w:rPr>
                <w:rFonts w:ascii="Arial" w:cs="Arial" w:eastAsia="Arial" w:hAnsi="Arial"/>
                <w:sz w:val="18"/>
                <w:szCs w:val="18"/>
                <w:color w:val="auto"/>
              </w:rPr>
              <w:t>30.09.03</w:t>
            </w:r>
          </w:p>
        </w:tc>
        <w:tc>
          <w:tcPr>
            <w:tcW w:w="1180" w:type="dxa"/>
            <w:vAlign w:val="bottom"/>
          </w:tcPr>
          <w:p>
            <w:pPr>
              <w:jc w:val="right"/>
              <w:ind w:right="312"/>
              <w:spacing w:after="0"/>
              <w:rPr>
                <w:sz w:val="20"/>
                <w:szCs w:val="20"/>
                <w:color w:val="auto"/>
              </w:rPr>
            </w:pPr>
            <w:r>
              <w:rPr>
                <w:rFonts w:ascii="Arial" w:cs="Arial" w:eastAsia="Arial" w:hAnsi="Arial"/>
                <w:sz w:val="18"/>
                <w:szCs w:val="18"/>
                <w:color w:val="auto"/>
              </w:rPr>
              <w:t>30.09.04</w:t>
            </w:r>
          </w:p>
        </w:tc>
      </w:tr>
      <w:tr>
        <w:trPr>
          <w:trHeight w:val="137"/>
        </w:trPr>
        <w:tc>
          <w:tcPr>
            <w:tcW w:w="45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tcBorders>
              <w:bottom w:val="single" w:sz="8" w:color="9A9A9A"/>
            </w:tcBorders>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r>
      <w:tr>
        <w:trPr>
          <w:trHeight w:val="343"/>
        </w:trPr>
        <w:tc>
          <w:tcPr>
            <w:tcW w:w="45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Interest on loans</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111,241</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103,209</w:t>
            </w:r>
          </w:p>
        </w:tc>
        <w:tc>
          <w:tcPr>
            <w:tcW w:w="1160" w:type="dxa"/>
            <w:vAlign w:val="bottom"/>
          </w:tcPr>
          <w:p>
            <w:pPr>
              <w:jc w:val="right"/>
              <w:spacing w:after="0"/>
              <w:rPr>
                <w:sz w:val="20"/>
                <w:szCs w:val="20"/>
                <w:color w:val="auto"/>
              </w:rPr>
            </w:pPr>
            <w:r>
              <w:rPr>
                <w:rFonts w:ascii="Arial" w:cs="Arial" w:eastAsia="Arial" w:hAnsi="Arial"/>
                <w:sz w:val="18"/>
                <w:szCs w:val="18"/>
                <w:color w:val="auto"/>
              </w:rPr>
              <w:t>108,052</w:t>
            </w:r>
          </w:p>
        </w:tc>
        <w:tc>
          <w:tcPr>
            <w:tcW w:w="40" w:type="dxa"/>
            <w:vAlign w:val="bottom"/>
          </w:tcPr>
          <w:p>
            <w:pPr>
              <w:spacing w:after="0"/>
              <w:rPr>
                <w:sz w:val="21"/>
                <w:szCs w:val="21"/>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334,429</w:t>
            </w:r>
          </w:p>
        </w:tc>
        <w:tc>
          <w:tcPr>
            <w:tcW w:w="1180" w:type="dxa"/>
            <w:vAlign w:val="bottom"/>
          </w:tcPr>
          <w:p>
            <w:pPr>
              <w:jc w:val="right"/>
              <w:spacing w:after="0"/>
              <w:rPr>
                <w:sz w:val="20"/>
                <w:szCs w:val="20"/>
                <w:color w:val="auto"/>
              </w:rPr>
            </w:pPr>
            <w:r>
              <w:rPr>
                <w:rFonts w:ascii="Arial" w:cs="Arial" w:eastAsia="Arial" w:hAnsi="Arial"/>
                <w:sz w:val="18"/>
                <w:szCs w:val="18"/>
                <w:color w:val="auto"/>
              </w:rPr>
              <w:t>312,536</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Interest and dividends on investments:</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303</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1,356</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(401)</w:t>
            </w: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1,155</w:t>
            </w:r>
          </w:p>
        </w:tc>
        <w:tc>
          <w:tcPr>
            <w:tcW w:w="1180" w:type="dxa"/>
            <w:vAlign w:val="bottom"/>
          </w:tcPr>
          <w:p>
            <w:pPr>
              <w:jc w:val="right"/>
              <w:spacing w:after="0"/>
              <w:rPr>
                <w:sz w:val="20"/>
                <w:szCs w:val="20"/>
                <w:color w:val="auto"/>
              </w:rPr>
            </w:pPr>
            <w:r>
              <w:rPr>
                <w:rFonts w:ascii="Arial" w:cs="Arial" w:eastAsia="Arial" w:hAnsi="Arial"/>
                <w:sz w:val="18"/>
                <w:szCs w:val="18"/>
                <w:color w:val="auto"/>
              </w:rPr>
              <w:t>958</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Interest on deposits with banks</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3,647</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3,746</w:t>
            </w:r>
          </w:p>
        </w:tc>
        <w:tc>
          <w:tcPr>
            <w:tcW w:w="1160" w:type="dxa"/>
            <w:vAlign w:val="bottom"/>
          </w:tcPr>
          <w:p>
            <w:pPr>
              <w:jc w:val="right"/>
              <w:spacing w:after="0"/>
              <w:rPr>
                <w:sz w:val="20"/>
                <w:szCs w:val="20"/>
                <w:color w:val="auto"/>
              </w:rPr>
            </w:pPr>
            <w:r>
              <w:rPr>
                <w:rFonts w:ascii="Arial" w:cs="Arial" w:eastAsia="Arial" w:hAnsi="Arial"/>
                <w:sz w:val="18"/>
                <w:szCs w:val="18"/>
                <w:color w:val="auto"/>
              </w:rPr>
              <w:t>5,878</w:t>
            </w:r>
          </w:p>
        </w:tc>
        <w:tc>
          <w:tcPr>
            <w:tcW w:w="40" w:type="dxa"/>
            <w:vAlign w:val="bottom"/>
          </w:tcPr>
          <w:p>
            <w:pPr>
              <w:spacing w:after="0"/>
              <w:rPr>
                <w:sz w:val="21"/>
                <w:szCs w:val="21"/>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14,301</w:t>
            </w:r>
          </w:p>
        </w:tc>
        <w:tc>
          <w:tcPr>
            <w:tcW w:w="1180" w:type="dxa"/>
            <w:vAlign w:val="bottom"/>
          </w:tcPr>
          <w:p>
            <w:pPr>
              <w:jc w:val="right"/>
              <w:spacing w:after="0"/>
              <w:rPr>
                <w:sz w:val="20"/>
                <w:szCs w:val="20"/>
                <w:color w:val="auto"/>
              </w:rPr>
            </w:pPr>
            <w:r>
              <w:rPr>
                <w:rFonts w:ascii="Arial" w:cs="Arial" w:eastAsia="Arial" w:hAnsi="Arial"/>
                <w:sz w:val="18"/>
                <w:szCs w:val="18"/>
                <w:color w:val="auto"/>
              </w:rPr>
              <w:t>13,047</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Interest on trading securities (1)</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19,090</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23,058</w:t>
            </w:r>
          </w:p>
        </w:tc>
        <w:tc>
          <w:tcPr>
            <w:tcW w:w="1160" w:type="dxa"/>
            <w:vAlign w:val="bottom"/>
          </w:tcPr>
          <w:p>
            <w:pPr>
              <w:jc w:val="right"/>
              <w:spacing w:after="0"/>
              <w:rPr>
                <w:sz w:val="20"/>
                <w:szCs w:val="20"/>
                <w:color w:val="auto"/>
              </w:rPr>
            </w:pPr>
            <w:r>
              <w:rPr>
                <w:rFonts w:ascii="Arial" w:cs="Arial" w:eastAsia="Arial" w:hAnsi="Arial"/>
                <w:sz w:val="18"/>
                <w:szCs w:val="18"/>
                <w:color w:val="auto"/>
              </w:rPr>
              <w:t>23,276</w:t>
            </w:r>
          </w:p>
        </w:tc>
        <w:tc>
          <w:tcPr>
            <w:tcW w:w="40" w:type="dxa"/>
            <w:vAlign w:val="bottom"/>
          </w:tcPr>
          <w:p>
            <w:pPr>
              <w:spacing w:after="0"/>
              <w:rPr>
                <w:sz w:val="21"/>
                <w:szCs w:val="21"/>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60,116</w:t>
            </w:r>
          </w:p>
        </w:tc>
        <w:tc>
          <w:tcPr>
            <w:tcW w:w="1180" w:type="dxa"/>
            <w:vAlign w:val="bottom"/>
          </w:tcPr>
          <w:p>
            <w:pPr>
              <w:jc w:val="right"/>
              <w:spacing w:after="0"/>
              <w:rPr>
                <w:sz w:val="20"/>
                <w:szCs w:val="20"/>
                <w:color w:val="auto"/>
              </w:rPr>
            </w:pPr>
            <w:r>
              <w:rPr>
                <w:rFonts w:ascii="Arial" w:cs="Arial" w:eastAsia="Arial" w:hAnsi="Arial"/>
                <w:sz w:val="18"/>
                <w:szCs w:val="18"/>
                <w:color w:val="auto"/>
              </w:rPr>
              <w:t>68,593</w:t>
            </w:r>
          </w:p>
        </w:tc>
      </w:tr>
      <w:tr>
        <w:trPr>
          <w:trHeight w:val="243"/>
        </w:trPr>
        <w:tc>
          <w:tcPr>
            <w:tcW w:w="452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Total Interest Income</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134,281</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131,369</w:t>
            </w:r>
          </w:p>
        </w:tc>
        <w:tc>
          <w:tcPr>
            <w:tcW w:w="1160" w:type="dxa"/>
            <w:vAlign w:val="bottom"/>
          </w:tcPr>
          <w:p>
            <w:pPr>
              <w:jc w:val="right"/>
              <w:spacing w:after="0"/>
              <w:rPr>
                <w:sz w:val="20"/>
                <w:szCs w:val="20"/>
                <w:color w:val="auto"/>
              </w:rPr>
            </w:pPr>
            <w:r>
              <w:rPr>
                <w:rFonts w:ascii="Arial" w:cs="Arial" w:eastAsia="Arial" w:hAnsi="Arial"/>
                <w:sz w:val="18"/>
                <w:szCs w:val="18"/>
                <w:color w:val="auto"/>
              </w:rPr>
              <w:t>136,805</w:t>
            </w:r>
          </w:p>
        </w:tc>
        <w:tc>
          <w:tcPr>
            <w:tcW w:w="40" w:type="dxa"/>
            <w:vAlign w:val="bottom"/>
          </w:tcPr>
          <w:p>
            <w:pPr>
              <w:spacing w:after="0"/>
              <w:rPr>
                <w:sz w:val="21"/>
                <w:szCs w:val="21"/>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410,001</w:t>
            </w:r>
          </w:p>
        </w:tc>
        <w:tc>
          <w:tcPr>
            <w:tcW w:w="1180" w:type="dxa"/>
            <w:vAlign w:val="bottom"/>
          </w:tcPr>
          <w:p>
            <w:pPr>
              <w:jc w:val="right"/>
              <w:spacing w:after="0"/>
              <w:rPr>
                <w:sz w:val="20"/>
                <w:szCs w:val="20"/>
                <w:color w:val="auto"/>
              </w:rPr>
            </w:pPr>
            <w:r>
              <w:rPr>
                <w:rFonts w:ascii="Arial" w:cs="Arial" w:eastAsia="Arial" w:hAnsi="Arial"/>
                <w:sz w:val="18"/>
                <w:szCs w:val="18"/>
                <w:color w:val="auto"/>
              </w:rPr>
              <w:t>395,134</w:t>
            </w:r>
          </w:p>
        </w:tc>
      </w:tr>
      <w:tr>
        <w:trPr>
          <w:trHeight w:val="486"/>
        </w:trPr>
        <w:tc>
          <w:tcPr>
            <w:tcW w:w="45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Interest on deposits</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29,518</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16,882</w:t>
            </w:r>
          </w:p>
        </w:tc>
        <w:tc>
          <w:tcPr>
            <w:tcW w:w="1160" w:type="dxa"/>
            <w:vAlign w:val="bottom"/>
          </w:tcPr>
          <w:p>
            <w:pPr>
              <w:jc w:val="right"/>
              <w:spacing w:after="0"/>
              <w:rPr>
                <w:sz w:val="20"/>
                <w:szCs w:val="20"/>
                <w:color w:val="auto"/>
              </w:rPr>
            </w:pPr>
            <w:r>
              <w:rPr>
                <w:rFonts w:ascii="Arial" w:cs="Arial" w:eastAsia="Arial" w:hAnsi="Arial"/>
                <w:sz w:val="18"/>
                <w:szCs w:val="18"/>
                <w:color w:val="auto"/>
              </w:rPr>
              <w:t>24,315</w:t>
            </w:r>
          </w:p>
        </w:tc>
        <w:tc>
          <w:tcPr>
            <w:tcW w:w="40" w:type="dxa"/>
            <w:vAlign w:val="bottom"/>
          </w:tcPr>
          <w:p>
            <w:pPr>
              <w:spacing w:after="0"/>
              <w:rPr>
                <w:sz w:val="21"/>
                <w:szCs w:val="21"/>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97,464</w:t>
            </w:r>
          </w:p>
        </w:tc>
        <w:tc>
          <w:tcPr>
            <w:tcW w:w="1180" w:type="dxa"/>
            <w:vAlign w:val="bottom"/>
          </w:tcPr>
          <w:p>
            <w:pPr>
              <w:jc w:val="right"/>
              <w:spacing w:after="0"/>
              <w:rPr>
                <w:sz w:val="20"/>
                <w:szCs w:val="20"/>
                <w:color w:val="auto"/>
              </w:rPr>
            </w:pPr>
            <w:r>
              <w:rPr>
                <w:rFonts w:ascii="Arial" w:cs="Arial" w:eastAsia="Arial" w:hAnsi="Arial"/>
                <w:sz w:val="18"/>
                <w:szCs w:val="18"/>
                <w:color w:val="auto"/>
              </w:rPr>
              <w:t>68,252</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Interest on borrowed funds</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3,549</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3,725</w:t>
            </w:r>
          </w:p>
        </w:tc>
        <w:tc>
          <w:tcPr>
            <w:tcW w:w="1160" w:type="dxa"/>
            <w:vAlign w:val="bottom"/>
          </w:tcPr>
          <w:p>
            <w:pPr>
              <w:jc w:val="right"/>
              <w:spacing w:after="0"/>
              <w:rPr>
                <w:sz w:val="20"/>
                <w:szCs w:val="20"/>
                <w:color w:val="auto"/>
              </w:rPr>
            </w:pPr>
            <w:r>
              <w:rPr>
                <w:rFonts w:ascii="Arial" w:cs="Arial" w:eastAsia="Arial" w:hAnsi="Arial"/>
                <w:sz w:val="18"/>
                <w:szCs w:val="18"/>
                <w:color w:val="auto"/>
              </w:rPr>
              <w:t>4,558</w:t>
            </w:r>
          </w:p>
        </w:tc>
        <w:tc>
          <w:tcPr>
            <w:tcW w:w="40" w:type="dxa"/>
            <w:vAlign w:val="bottom"/>
          </w:tcPr>
          <w:p>
            <w:pPr>
              <w:spacing w:after="0"/>
              <w:rPr>
                <w:sz w:val="21"/>
                <w:szCs w:val="21"/>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11,141</w:t>
            </w:r>
          </w:p>
        </w:tc>
        <w:tc>
          <w:tcPr>
            <w:tcW w:w="1180" w:type="dxa"/>
            <w:vAlign w:val="bottom"/>
          </w:tcPr>
          <w:p>
            <w:pPr>
              <w:jc w:val="right"/>
              <w:spacing w:after="0"/>
              <w:rPr>
                <w:sz w:val="20"/>
                <w:szCs w:val="20"/>
                <w:color w:val="auto"/>
              </w:rPr>
            </w:pPr>
            <w:r>
              <w:rPr>
                <w:rFonts w:ascii="Arial" w:cs="Arial" w:eastAsia="Arial" w:hAnsi="Arial"/>
                <w:sz w:val="18"/>
                <w:szCs w:val="18"/>
                <w:color w:val="auto"/>
              </w:rPr>
              <w:t>11,651</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Other interest expense</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5,690</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18,202</w:t>
            </w:r>
          </w:p>
        </w:tc>
        <w:tc>
          <w:tcPr>
            <w:tcW w:w="1160" w:type="dxa"/>
            <w:vAlign w:val="bottom"/>
          </w:tcPr>
          <w:p>
            <w:pPr>
              <w:jc w:val="right"/>
              <w:spacing w:after="0"/>
              <w:rPr>
                <w:sz w:val="20"/>
                <w:szCs w:val="20"/>
                <w:color w:val="auto"/>
              </w:rPr>
            </w:pPr>
            <w:r>
              <w:rPr>
                <w:rFonts w:ascii="Arial" w:cs="Arial" w:eastAsia="Arial" w:hAnsi="Arial"/>
                <w:sz w:val="18"/>
                <w:szCs w:val="18"/>
                <w:color w:val="auto"/>
              </w:rPr>
              <w:t>13,741</w:t>
            </w:r>
          </w:p>
        </w:tc>
        <w:tc>
          <w:tcPr>
            <w:tcW w:w="40" w:type="dxa"/>
            <w:vAlign w:val="bottom"/>
          </w:tcPr>
          <w:p>
            <w:pPr>
              <w:spacing w:after="0"/>
              <w:rPr>
                <w:sz w:val="21"/>
                <w:szCs w:val="21"/>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14,521</w:t>
            </w:r>
          </w:p>
        </w:tc>
        <w:tc>
          <w:tcPr>
            <w:tcW w:w="1180" w:type="dxa"/>
            <w:vAlign w:val="bottom"/>
          </w:tcPr>
          <w:p>
            <w:pPr>
              <w:jc w:val="right"/>
              <w:spacing w:after="0"/>
              <w:rPr>
                <w:sz w:val="20"/>
                <w:szCs w:val="20"/>
                <w:color w:val="auto"/>
              </w:rPr>
            </w:pPr>
            <w:r>
              <w:rPr>
                <w:rFonts w:ascii="Arial" w:cs="Arial" w:eastAsia="Arial" w:hAnsi="Arial"/>
                <w:sz w:val="18"/>
                <w:szCs w:val="18"/>
                <w:color w:val="auto"/>
              </w:rPr>
              <w:t>38,491</w:t>
            </w:r>
          </w:p>
        </w:tc>
      </w:tr>
      <w:tr>
        <w:trPr>
          <w:trHeight w:val="243"/>
        </w:trPr>
        <w:tc>
          <w:tcPr>
            <w:tcW w:w="4520" w:type="dxa"/>
            <w:vAlign w:val="bottom"/>
            <w:gridSpan w:val="2"/>
          </w:tcPr>
          <w:p>
            <w:pPr>
              <w:jc w:val="center"/>
              <w:ind w:right="40"/>
              <w:spacing w:after="0"/>
              <w:rPr>
                <w:sz w:val="20"/>
                <w:szCs w:val="20"/>
                <w:color w:val="auto"/>
              </w:rPr>
            </w:pPr>
            <w:r>
              <w:rPr>
                <w:rFonts w:ascii="Arial" w:cs="Arial" w:eastAsia="Arial" w:hAnsi="Arial"/>
                <w:sz w:val="18"/>
                <w:szCs w:val="18"/>
                <w:color w:val="auto"/>
                <w:w w:val="86"/>
              </w:rPr>
              <w:t>Total Interest Expense</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38,757</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38,809</w:t>
            </w:r>
          </w:p>
        </w:tc>
        <w:tc>
          <w:tcPr>
            <w:tcW w:w="1160" w:type="dxa"/>
            <w:vAlign w:val="bottom"/>
          </w:tcPr>
          <w:p>
            <w:pPr>
              <w:jc w:val="right"/>
              <w:spacing w:after="0"/>
              <w:rPr>
                <w:sz w:val="20"/>
                <w:szCs w:val="20"/>
                <w:color w:val="auto"/>
              </w:rPr>
            </w:pPr>
            <w:r>
              <w:rPr>
                <w:rFonts w:ascii="Arial" w:cs="Arial" w:eastAsia="Arial" w:hAnsi="Arial"/>
                <w:sz w:val="18"/>
                <w:szCs w:val="18"/>
                <w:color w:val="auto"/>
              </w:rPr>
              <w:t>42,614</w:t>
            </w:r>
          </w:p>
        </w:tc>
        <w:tc>
          <w:tcPr>
            <w:tcW w:w="40" w:type="dxa"/>
            <w:vAlign w:val="bottom"/>
          </w:tcPr>
          <w:p>
            <w:pPr>
              <w:spacing w:after="0"/>
              <w:rPr>
                <w:sz w:val="21"/>
                <w:szCs w:val="21"/>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123,126</w:t>
            </w:r>
          </w:p>
        </w:tc>
        <w:tc>
          <w:tcPr>
            <w:tcW w:w="1180" w:type="dxa"/>
            <w:vAlign w:val="bottom"/>
          </w:tcPr>
          <w:p>
            <w:pPr>
              <w:jc w:val="right"/>
              <w:spacing w:after="0"/>
              <w:rPr>
                <w:sz w:val="20"/>
                <w:szCs w:val="20"/>
                <w:color w:val="auto"/>
              </w:rPr>
            </w:pPr>
            <w:r>
              <w:rPr>
                <w:rFonts w:ascii="Arial" w:cs="Arial" w:eastAsia="Arial" w:hAnsi="Arial"/>
                <w:sz w:val="18"/>
                <w:szCs w:val="18"/>
                <w:color w:val="auto"/>
              </w:rPr>
              <w:t>118,394</w:t>
            </w:r>
          </w:p>
        </w:tc>
      </w:tr>
      <w:tr>
        <w:trPr>
          <w:trHeight w:val="486"/>
        </w:trPr>
        <w:tc>
          <w:tcPr>
            <w:tcW w:w="452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Net Interest Income</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95,524</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92,560</w:t>
            </w:r>
          </w:p>
        </w:tc>
        <w:tc>
          <w:tcPr>
            <w:tcW w:w="1160" w:type="dxa"/>
            <w:vAlign w:val="bottom"/>
          </w:tcPr>
          <w:p>
            <w:pPr>
              <w:jc w:val="right"/>
              <w:spacing w:after="0"/>
              <w:rPr>
                <w:sz w:val="20"/>
                <w:szCs w:val="20"/>
                <w:color w:val="auto"/>
              </w:rPr>
            </w:pPr>
            <w:r>
              <w:rPr>
                <w:rFonts w:ascii="Arial" w:cs="Arial" w:eastAsia="Arial" w:hAnsi="Arial"/>
                <w:sz w:val="18"/>
                <w:szCs w:val="18"/>
                <w:color w:val="auto"/>
              </w:rPr>
              <w:t>94,191</w:t>
            </w:r>
          </w:p>
        </w:tc>
        <w:tc>
          <w:tcPr>
            <w:tcW w:w="40" w:type="dxa"/>
            <w:vAlign w:val="bottom"/>
          </w:tcPr>
          <w:p>
            <w:pPr>
              <w:spacing w:after="0"/>
              <w:rPr>
                <w:sz w:val="24"/>
                <w:szCs w:val="24"/>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286,875</w:t>
            </w:r>
          </w:p>
        </w:tc>
        <w:tc>
          <w:tcPr>
            <w:tcW w:w="1180" w:type="dxa"/>
            <w:vAlign w:val="bottom"/>
          </w:tcPr>
          <w:p>
            <w:pPr>
              <w:jc w:val="right"/>
              <w:spacing w:after="0"/>
              <w:rPr>
                <w:sz w:val="20"/>
                <w:szCs w:val="20"/>
                <w:color w:val="auto"/>
              </w:rPr>
            </w:pPr>
            <w:r>
              <w:rPr>
                <w:rFonts w:ascii="Arial" w:cs="Arial" w:eastAsia="Arial" w:hAnsi="Arial"/>
                <w:sz w:val="18"/>
                <w:szCs w:val="18"/>
                <w:color w:val="auto"/>
              </w:rPr>
              <w:t>276,740</w:t>
            </w:r>
          </w:p>
        </w:tc>
      </w:tr>
      <w:tr>
        <w:trPr>
          <w:trHeight w:val="486"/>
        </w:trPr>
        <w:tc>
          <w:tcPr>
            <w:tcW w:w="4520" w:type="dxa"/>
            <w:vAlign w:val="bottom"/>
            <w:gridSpan w:val="2"/>
          </w:tcPr>
          <w:p>
            <w:pPr>
              <w:spacing w:after="0"/>
              <w:rPr>
                <w:sz w:val="20"/>
                <w:szCs w:val="20"/>
                <w:color w:val="auto"/>
              </w:rPr>
            </w:pPr>
            <w:r>
              <w:rPr>
                <w:rFonts w:ascii="Arial" w:cs="Arial" w:eastAsia="Arial" w:hAnsi="Arial"/>
                <w:sz w:val="18"/>
                <w:szCs w:val="18"/>
                <w:color w:val="auto"/>
              </w:rPr>
              <w:t>Provision for possible loan losses, net</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23,844</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7,167</w:t>
            </w:r>
          </w:p>
        </w:tc>
        <w:tc>
          <w:tcPr>
            <w:tcW w:w="1160" w:type="dxa"/>
            <w:vAlign w:val="bottom"/>
          </w:tcPr>
          <w:p>
            <w:pPr>
              <w:jc w:val="right"/>
              <w:spacing w:after="0"/>
              <w:rPr>
                <w:sz w:val="20"/>
                <w:szCs w:val="20"/>
                <w:color w:val="auto"/>
              </w:rPr>
            </w:pPr>
            <w:r>
              <w:rPr>
                <w:rFonts w:ascii="Arial" w:cs="Arial" w:eastAsia="Arial" w:hAnsi="Arial"/>
                <w:sz w:val="18"/>
                <w:szCs w:val="18"/>
                <w:color w:val="auto"/>
              </w:rPr>
              <w:t>9,818</w:t>
            </w:r>
          </w:p>
        </w:tc>
        <w:tc>
          <w:tcPr>
            <w:tcW w:w="40" w:type="dxa"/>
            <w:vAlign w:val="bottom"/>
          </w:tcPr>
          <w:p>
            <w:pPr>
              <w:spacing w:after="0"/>
              <w:rPr>
                <w:sz w:val="24"/>
                <w:szCs w:val="24"/>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77,774</w:t>
            </w:r>
          </w:p>
        </w:tc>
        <w:tc>
          <w:tcPr>
            <w:tcW w:w="1180" w:type="dxa"/>
            <w:vAlign w:val="bottom"/>
          </w:tcPr>
          <w:p>
            <w:pPr>
              <w:jc w:val="right"/>
              <w:spacing w:after="0"/>
              <w:rPr>
                <w:sz w:val="20"/>
                <w:szCs w:val="20"/>
                <w:color w:val="auto"/>
              </w:rPr>
            </w:pPr>
            <w:r>
              <w:rPr>
                <w:rFonts w:ascii="Arial" w:cs="Arial" w:eastAsia="Arial" w:hAnsi="Arial"/>
                <w:sz w:val="18"/>
                <w:szCs w:val="18"/>
                <w:color w:val="auto"/>
              </w:rPr>
              <w:t>35,959</w:t>
            </w:r>
          </w:p>
        </w:tc>
      </w:tr>
      <w:tr>
        <w:trPr>
          <w:trHeight w:val="486"/>
        </w:trPr>
        <w:tc>
          <w:tcPr>
            <w:tcW w:w="4520" w:type="dxa"/>
            <w:vAlign w:val="bottom"/>
            <w:gridSpan w:val="2"/>
          </w:tcPr>
          <w:p>
            <w:pPr>
              <w:spacing w:after="0"/>
              <w:rPr>
                <w:sz w:val="20"/>
                <w:szCs w:val="20"/>
                <w:color w:val="auto"/>
              </w:rPr>
            </w:pPr>
            <w:r>
              <w:rPr>
                <w:rFonts w:ascii="Arial" w:cs="Arial" w:eastAsia="Arial" w:hAnsi="Arial"/>
                <w:sz w:val="18"/>
                <w:szCs w:val="18"/>
                <w:color w:val="auto"/>
                <w:w w:val="96"/>
              </w:rPr>
              <w:t>Net interest income after provision for possible loan losses</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71,680</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85,393</w:t>
            </w:r>
          </w:p>
        </w:tc>
        <w:tc>
          <w:tcPr>
            <w:tcW w:w="1160" w:type="dxa"/>
            <w:vAlign w:val="bottom"/>
          </w:tcPr>
          <w:p>
            <w:pPr>
              <w:jc w:val="right"/>
              <w:spacing w:after="0"/>
              <w:rPr>
                <w:sz w:val="20"/>
                <w:szCs w:val="20"/>
                <w:color w:val="auto"/>
              </w:rPr>
            </w:pPr>
            <w:r>
              <w:rPr>
                <w:rFonts w:ascii="Arial" w:cs="Arial" w:eastAsia="Arial" w:hAnsi="Arial"/>
                <w:sz w:val="18"/>
                <w:szCs w:val="18"/>
                <w:color w:val="auto"/>
              </w:rPr>
              <w:t>84,373</w:t>
            </w:r>
          </w:p>
        </w:tc>
        <w:tc>
          <w:tcPr>
            <w:tcW w:w="40" w:type="dxa"/>
            <w:vAlign w:val="bottom"/>
          </w:tcPr>
          <w:p>
            <w:pPr>
              <w:spacing w:after="0"/>
              <w:rPr>
                <w:sz w:val="24"/>
                <w:szCs w:val="24"/>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209,101</w:t>
            </w:r>
          </w:p>
        </w:tc>
        <w:tc>
          <w:tcPr>
            <w:tcW w:w="1180" w:type="dxa"/>
            <w:vAlign w:val="bottom"/>
          </w:tcPr>
          <w:p>
            <w:pPr>
              <w:jc w:val="right"/>
              <w:spacing w:after="0"/>
              <w:rPr>
                <w:sz w:val="20"/>
                <w:szCs w:val="20"/>
                <w:color w:val="auto"/>
              </w:rPr>
            </w:pPr>
            <w:r>
              <w:rPr>
                <w:rFonts w:ascii="Arial" w:cs="Arial" w:eastAsia="Arial" w:hAnsi="Arial"/>
                <w:sz w:val="18"/>
                <w:szCs w:val="18"/>
                <w:color w:val="auto"/>
              </w:rPr>
              <w:t>240,781</w:t>
            </w:r>
          </w:p>
        </w:tc>
      </w:tr>
      <w:tr>
        <w:trPr>
          <w:trHeight w:val="486"/>
        </w:trPr>
        <w:tc>
          <w:tcPr>
            <w:tcW w:w="452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Fees and commissions from banking services</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48,909</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49,374</w:t>
            </w:r>
          </w:p>
        </w:tc>
        <w:tc>
          <w:tcPr>
            <w:tcW w:w="1160" w:type="dxa"/>
            <w:vAlign w:val="bottom"/>
          </w:tcPr>
          <w:p>
            <w:pPr>
              <w:jc w:val="right"/>
              <w:spacing w:after="0"/>
              <w:rPr>
                <w:sz w:val="20"/>
                <w:szCs w:val="20"/>
                <w:color w:val="auto"/>
              </w:rPr>
            </w:pPr>
            <w:r>
              <w:rPr>
                <w:rFonts w:ascii="Arial" w:cs="Arial" w:eastAsia="Arial" w:hAnsi="Arial"/>
                <w:sz w:val="18"/>
                <w:szCs w:val="18"/>
                <w:color w:val="auto"/>
              </w:rPr>
              <w:t>52,007</w:t>
            </w:r>
          </w:p>
        </w:tc>
        <w:tc>
          <w:tcPr>
            <w:tcW w:w="40" w:type="dxa"/>
            <w:vAlign w:val="bottom"/>
          </w:tcPr>
          <w:p>
            <w:pPr>
              <w:spacing w:after="0"/>
              <w:rPr>
                <w:sz w:val="21"/>
                <w:szCs w:val="21"/>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142,656</w:t>
            </w:r>
          </w:p>
        </w:tc>
        <w:tc>
          <w:tcPr>
            <w:tcW w:w="1180" w:type="dxa"/>
            <w:vAlign w:val="bottom"/>
          </w:tcPr>
          <w:p>
            <w:pPr>
              <w:jc w:val="right"/>
              <w:spacing w:after="0"/>
              <w:rPr>
                <w:sz w:val="20"/>
                <w:szCs w:val="20"/>
                <w:color w:val="auto"/>
              </w:rPr>
            </w:pPr>
            <w:r>
              <w:rPr>
                <w:rFonts w:ascii="Arial" w:cs="Arial" w:eastAsia="Arial" w:hAnsi="Arial"/>
                <w:sz w:val="18"/>
                <w:szCs w:val="18"/>
                <w:color w:val="auto"/>
              </w:rPr>
              <w:t>148,529</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Net gains from sales of securities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(2,619)</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(3,409)</w:t>
            </w:r>
          </w:p>
        </w:tc>
        <w:tc>
          <w:tcPr>
            <w:tcW w:w="1160" w:type="dxa"/>
            <w:vAlign w:val="bottom"/>
          </w:tcPr>
          <w:p>
            <w:pPr>
              <w:jc w:val="right"/>
              <w:spacing w:after="0"/>
              <w:rPr>
                <w:sz w:val="20"/>
                <w:szCs w:val="20"/>
                <w:color w:val="auto"/>
              </w:rPr>
            </w:pPr>
            <w:r>
              <w:rPr>
                <w:rFonts w:ascii="Arial" w:cs="Arial" w:eastAsia="Arial" w:hAnsi="Arial"/>
                <w:sz w:val="18"/>
                <w:szCs w:val="18"/>
                <w:color w:val="auto"/>
              </w:rPr>
              <w:t>3,661</w:t>
            </w:r>
          </w:p>
        </w:tc>
        <w:tc>
          <w:tcPr>
            <w:tcW w:w="40" w:type="dxa"/>
            <w:vAlign w:val="bottom"/>
          </w:tcPr>
          <w:p>
            <w:pPr>
              <w:spacing w:after="0"/>
              <w:rPr>
                <w:sz w:val="21"/>
                <w:szCs w:val="21"/>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4,760</w:t>
            </w:r>
          </w:p>
        </w:tc>
        <w:tc>
          <w:tcPr>
            <w:tcW w:w="1180" w:type="dxa"/>
            <w:vAlign w:val="bottom"/>
          </w:tcPr>
          <w:p>
            <w:pPr>
              <w:jc w:val="right"/>
              <w:spacing w:after="0"/>
              <w:rPr>
                <w:sz w:val="20"/>
                <w:szCs w:val="20"/>
                <w:color w:val="auto"/>
              </w:rPr>
            </w:pPr>
            <w:r>
              <w:rPr>
                <w:rFonts w:ascii="Arial" w:cs="Arial" w:eastAsia="Arial" w:hAnsi="Arial"/>
                <w:sz w:val="18"/>
                <w:szCs w:val="18"/>
                <w:color w:val="auto"/>
              </w:rPr>
              <w:t>4,220</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Net gains on foreign exchange transactions</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5,392</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5,119</w:t>
            </w:r>
          </w:p>
        </w:tc>
        <w:tc>
          <w:tcPr>
            <w:tcW w:w="1160" w:type="dxa"/>
            <w:vAlign w:val="bottom"/>
          </w:tcPr>
          <w:p>
            <w:pPr>
              <w:jc w:val="right"/>
              <w:spacing w:after="0"/>
              <w:rPr>
                <w:sz w:val="20"/>
                <w:szCs w:val="20"/>
                <w:color w:val="auto"/>
              </w:rPr>
            </w:pPr>
            <w:r>
              <w:rPr>
                <w:rFonts w:ascii="Arial" w:cs="Arial" w:eastAsia="Arial" w:hAnsi="Arial"/>
                <w:sz w:val="18"/>
                <w:szCs w:val="18"/>
                <w:color w:val="auto"/>
              </w:rPr>
              <w:t>6,576</w:t>
            </w:r>
          </w:p>
        </w:tc>
        <w:tc>
          <w:tcPr>
            <w:tcW w:w="40" w:type="dxa"/>
            <w:vAlign w:val="bottom"/>
          </w:tcPr>
          <w:p>
            <w:pPr>
              <w:spacing w:after="0"/>
              <w:rPr>
                <w:sz w:val="21"/>
                <w:szCs w:val="21"/>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17,574</w:t>
            </w:r>
          </w:p>
        </w:tc>
        <w:tc>
          <w:tcPr>
            <w:tcW w:w="1180" w:type="dxa"/>
            <w:vAlign w:val="bottom"/>
          </w:tcPr>
          <w:p>
            <w:pPr>
              <w:jc w:val="right"/>
              <w:spacing w:after="0"/>
              <w:rPr>
                <w:sz w:val="20"/>
                <w:szCs w:val="20"/>
                <w:color w:val="auto"/>
              </w:rPr>
            </w:pPr>
            <w:r>
              <w:rPr>
                <w:rFonts w:ascii="Arial" w:cs="Arial" w:eastAsia="Arial" w:hAnsi="Arial"/>
                <w:sz w:val="18"/>
                <w:szCs w:val="18"/>
                <w:color w:val="auto"/>
              </w:rPr>
              <w:t>17,151</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Net premiums earned</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33,843</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33,058</w:t>
            </w:r>
          </w:p>
        </w:tc>
        <w:tc>
          <w:tcPr>
            <w:tcW w:w="1160" w:type="dxa"/>
            <w:vAlign w:val="bottom"/>
          </w:tcPr>
          <w:p>
            <w:pPr>
              <w:jc w:val="right"/>
              <w:spacing w:after="0"/>
              <w:rPr>
                <w:sz w:val="20"/>
                <w:szCs w:val="20"/>
                <w:color w:val="auto"/>
              </w:rPr>
            </w:pPr>
            <w:r>
              <w:rPr>
                <w:rFonts w:ascii="Arial" w:cs="Arial" w:eastAsia="Arial" w:hAnsi="Arial"/>
                <w:sz w:val="18"/>
                <w:szCs w:val="18"/>
                <w:color w:val="auto"/>
              </w:rPr>
              <w:t>64,376</w:t>
            </w:r>
          </w:p>
        </w:tc>
        <w:tc>
          <w:tcPr>
            <w:tcW w:w="40" w:type="dxa"/>
            <w:vAlign w:val="bottom"/>
          </w:tcPr>
          <w:p>
            <w:pPr>
              <w:spacing w:after="0"/>
              <w:rPr>
                <w:sz w:val="21"/>
                <w:szCs w:val="21"/>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97,834</w:t>
            </w:r>
          </w:p>
        </w:tc>
        <w:tc>
          <w:tcPr>
            <w:tcW w:w="1180" w:type="dxa"/>
            <w:vAlign w:val="bottom"/>
          </w:tcPr>
          <w:p>
            <w:pPr>
              <w:jc w:val="right"/>
              <w:spacing w:after="0"/>
              <w:rPr>
                <w:sz w:val="20"/>
                <w:szCs w:val="20"/>
                <w:color w:val="auto"/>
              </w:rPr>
            </w:pPr>
            <w:r>
              <w:rPr>
                <w:rFonts w:ascii="Arial" w:cs="Arial" w:eastAsia="Arial" w:hAnsi="Arial"/>
                <w:sz w:val="18"/>
                <w:szCs w:val="18"/>
                <w:color w:val="auto"/>
              </w:rPr>
              <w:t>135,463</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Other income (1)</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14,297</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12,689</w:t>
            </w:r>
          </w:p>
        </w:tc>
        <w:tc>
          <w:tcPr>
            <w:tcW w:w="1160" w:type="dxa"/>
            <w:vAlign w:val="bottom"/>
          </w:tcPr>
          <w:p>
            <w:pPr>
              <w:jc w:val="right"/>
              <w:spacing w:after="0"/>
              <w:rPr>
                <w:sz w:val="20"/>
                <w:szCs w:val="20"/>
                <w:color w:val="auto"/>
              </w:rPr>
            </w:pPr>
            <w:r>
              <w:rPr>
                <w:rFonts w:ascii="Arial" w:cs="Arial" w:eastAsia="Arial" w:hAnsi="Arial"/>
                <w:sz w:val="18"/>
                <w:szCs w:val="18"/>
                <w:color w:val="auto"/>
              </w:rPr>
              <w:t>6,665</w:t>
            </w:r>
          </w:p>
        </w:tc>
        <w:tc>
          <w:tcPr>
            <w:tcW w:w="40" w:type="dxa"/>
            <w:vAlign w:val="bottom"/>
          </w:tcPr>
          <w:p>
            <w:pPr>
              <w:spacing w:after="0"/>
              <w:rPr>
                <w:sz w:val="21"/>
                <w:szCs w:val="21"/>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45,611</w:t>
            </w:r>
          </w:p>
        </w:tc>
        <w:tc>
          <w:tcPr>
            <w:tcW w:w="1180" w:type="dxa"/>
            <w:vAlign w:val="bottom"/>
          </w:tcPr>
          <w:p>
            <w:pPr>
              <w:jc w:val="right"/>
              <w:spacing w:after="0"/>
              <w:rPr>
                <w:sz w:val="20"/>
                <w:szCs w:val="20"/>
                <w:color w:val="auto"/>
              </w:rPr>
            </w:pPr>
            <w:r>
              <w:rPr>
                <w:rFonts w:ascii="Arial" w:cs="Arial" w:eastAsia="Arial" w:hAnsi="Arial"/>
                <w:sz w:val="18"/>
                <w:szCs w:val="18"/>
                <w:color w:val="auto"/>
              </w:rPr>
              <w:t>33,582</w:t>
            </w:r>
          </w:p>
        </w:tc>
      </w:tr>
      <w:tr>
        <w:trPr>
          <w:trHeight w:val="243"/>
        </w:trPr>
        <w:tc>
          <w:tcPr>
            <w:tcW w:w="4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99,821</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96,831</w:t>
            </w:r>
          </w:p>
        </w:tc>
        <w:tc>
          <w:tcPr>
            <w:tcW w:w="1160" w:type="dxa"/>
            <w:vAlign w:val="bottom"/>
          </w:tcPr>
          <w:p>
            <w:pPr>
              <w:jc w:val="right"/>
              <w:spacing w:after="0"/>
              <w:rPr>
                <w:sz w:val="20"/>
                <w:szCs w:val="20"/>
                <w:color w:val="auto"/>
              </w:rPr>
            </w:pPr>
            <w:r>
              <w:rPr>
                <w:rFonts w:ascii="Arial" w:cs="Arial" w:eastAsia="Arial" w:hAnsi="Arial"/>
                <w:sz w:val="18"/>
                <w:szCs w:val="18"/>
                <w:color w:val="auto"/>
              </w:rPr>
              <w:t>133,285</w:t>
            </w:r>
          </w:p>
        </w:tc>
        <w:tc>
          <w:tcPr>
            <w:tcW w:w="40" w:type="dxa"/>
            <w:vAlign w:val="bottom"/>
          </w:tcPr>
          <w:p>
            <w:pPr>
              <w:spacing w:after="0"/>
              <w:rPr>
                <w:sz w:val="21"/>
                <w:szCs w:val="21"/>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308,434</w:t>
            </w:r>
          </w:p>
        </w:tc>
        <w:tc>
          <w:tcPr>
            <w:tcW w:w="1180" w:type="dxa"/>
            <w:vAlign w:val="bottom"/>
          </w:tcPr>
          <w:p>
            <w:pPr>
              <w:jc w:val="right"/>
              <w:spacing w:after="0"/>
              <w:rPr>
                <w:sz w:val="20"/>
                <w:szCs w:val="20"/>
                <w:color w:val="auto"/>
              </w:rPr>
            </w:pPr>
            <w:r>
              <w:rPr>
                <w:rFonts w:ascii="Arial" w:cs="Arial" w:eastAsia="Arial" w:hAnsi="Arial"/>
                <w:sz w:val="18"/>
                <w:szCs w:val="18"/>
                <w:color w:val="auto"/>
              </w:rPr>
              <w:t>338,945</w:t>
            </w:r>
          </w:p>
        </w:tc>
      </w:tr>
      <w:tr>
        <w:trPr>
          <w:trHeight w:val="486"/>
        </w:trPr>
        <w:tc>
          <w:tcPr>
            <w:tcW w:w="4520" w:type="dxa"/>
            <w:vAlign w:val="bottom"/>
            <w:gridSpan w:val="2"/>
          </w:tcPr>
          <w:p>
            <w:pPr>
              <w:spacing w:after="0"/>
              <w:rPr>
                <w:sz w:val="20"/>
                <w:szCs w:val="20"/>
                <w:color w:val="auto"/>
              </w:rPr>
            </w:pPr>
            <w:r>
              <w:rPr>
                <w:rFonts w:ascii="Arial" w:cs="Arial" w:eastAsia="Arial" w:hAnsi="Arial"/>
                <w:sz w:val="18"/>
                <w:szCs w:val="18"/>
                <w:color w:val="auto"/>
              </w:rPr>
              <w:t>CLAIMS ON INSURANCE ACTIVITIES</w:t>
            </w: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Net claims incurred</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5,064</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9,659</w:t>
            </w:r>
          </w:p>
        </w:tc>
        <w:tc>
          <w:tcPr>
            <w:tcW w:w="1160" w:type="dxa"/>
            <w:vAlign w:val="bottom"/>
          </w:tcPr>
          <w:p>
            <w:pPr>
              <w:jc w:val="right"/>
              <w:spacing w:after="0"/>
              <w:rPr>
                <w:sz w:val="20"/>
                <w:szCs w:val="20"/>
                <w:color w:val="auto"/>
              </w:rPr>
            </w:pPr>
            <w:r>
              <w:rPr>
                <w:rFonts w:ascii="Arial" w:cs="Arial" w:eastAsia="Arial" w:hAnsi="Arial"/>
                <w:sz w:val="18"/>
                <w:szCs w:val="18"/>
                <w:color w:val="auto"/>
              </w:rPr>
              <w:t>8,652</w:t>
            </w:r>
          </w:p>
        </w:tc>
        <w:tc>
          <w:tcPr>
            <w:tcW w:w="40" w:type="dxa"/>
            <w:vAlign w:val="bottom"/>
          </w:tcPr>
          <w:p>
            <w:pPr>
              <w:spacing w:after="0"/>
              <w:rPr>
                <w:sz w:val="21"/>
                <w:szCs w:val="21"/>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17,101</w:t>
            </w:r>
          </w:p>
        </w:tc>
        <w:tc>
          <w:tcPr>
            <w:tcW w:w="1180" w:type="dxa"/>
            <w:vAlign w:val="bottom"/>
          </w:tcPr>
          <w:p>
            <w:pPr>
              <w:jc w:val="right"/>
              <w:spacing w:after="0"/>
              <w:rPr>
                <w:sz w:val="20"/>
                <w:szCs w:val="20"/>
                <w:color w:val="auto"/>
              </w:rPr>
            </w:pPr>
            <w:r>
              <w:rPr>
                <w:rFonts w:ascii="Arial" w:cs="Arial" w:eastAsia="Arial" w:hAnsi="Arial"/>
                <w:sz w:val="18"/>
                <w:szCs w:val="18"/>
                <w:color w:val="auto"/>
              </w:rPr>
              <w:t>25,734</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Increase in future policy benefits for life and health</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19,647</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17,448</w:t>
            </w:r>
          </w:p>
        </w:tc>
        <w:tc>
          <w:tcPr>
            <w:tcW w:w="1160" w:type="dxa"/>
            <w:vAlign w:val="bottom"/>
          </w:tcPr>
          <w:p>
            <w:pPr>
              <w:jc w:val="right"/>
              <w:spacing w:after="0"/>
              <w:rPr>
                <w:sz w:val="20"/>
                <w:szCs w:val="20"/>
                <w:color w:val="auto"/>
              </w:rPr>
            </w:pPr>
            <w:r>
              <w:rPr>
                <w:rFonts w:ascii="Arial" w:cs="Arial" w:eastAsia="Arial" w:hAnsi="Arial"/>
                <w:sz w:val="18"/>
                <w:szCs w:val="18"/>
                <w:color w:val="auto"/>
              </w:rPr>
              <w:t>39,963</w:t>
            </w:r>
          </w:p>
        </w:tc>
        <w:tc>
          <w:tcPr>
            <w:tcW w:w="40" w:type="dxa"/>
            <w:vAlign w:val="bottom"/>
          </w:tcPr>
          <w:p>
            <w:pPr>
              <w:spacing w:after="0"/>
              <w:rPr>
                <w:sz w:val="21"/>
                <w:szCs w:val="21"/>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59,215</w:t>
            </w:r>
          </w:p>
        </w:tc>
        <w:tc>
          <w:tcPr>
            <w:tcW w:w="1180" w:type="dxa"/>
            <w:vAlign w:val="bottom"/>
          </w:tcPr>
          <w:p>
            <w:pPr>
              <w:jc w:val="right"/>
              <w:spacing w:after="0"/>
              <w:rPr>
                <w:sz w:val="20"/>
                <w:szCs w:val="20"/>
                <w:color w:val="auto"/>
              </w:rPr>
            </w:pPr>
            <w:r>
              <w:rPr>
                <w:rFonts w:ascii="Arial" w:cs="Arial" w:eastAsia="Arial" w:hAnsi="Arial"/>
                <w:sz w:val="18"/>
                <w:szCs w:val="18"/>
                <w:color w:val="auto"/>
              </w:rPr>
              <w:t>78,650</w:t>
            </w:r>
          </w:p>
        </w:tc>
      </w:tr>
      <w:tr>
        <w:trPr>
          <w:trHeight w:val="243"/>
        </w:trPr>
        <w:tc>
          <w:tcPr>
            <w:tcW w:w="4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24,711</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27,107</w:t>
            </w:r>
          </w:p>
        </w:tc>
        <w:tc>
          <w:tcPr>
            <w:tcW w:w="1160" w:type="dxa"/>
            <w:vAlign w:val="bottom"/>
          </w:tcPr>
          <w:p>
            <w:pPr>
              <w:jc w:val="right"/>
              <w:spacing w:after="0"/>
              <w:rPr>
                <w:sz w:val="20"/>
                <w:szCs w:val="20"/>
                <w:color w:val="auto"/>
              </w:rPr>
            </w:pPr>
            <w:r>
              <w:rPr>
                <w:rFonts w:ascii="Arial" w:cs="Arial" w:eastAsia="Arial" w:hAnsi="Arial"/>
                <w:sz w:val="18"/>
                <w:szCs w:val="18"/>
                <w:color w:val="auto"/>
              </w:rPr>
              <w:t>48,615</w:t>
            </w:r>
          </w:p>
        </w:tc>
        <w:tc>
          <w:tcPr>
            <w:tcW w:w="40" w:type="dxa"/>
            <w:vAlign w:val="bottom"/>
          </w:tcPr>
          <w:p>
            <w:pPr>
              <w:spacing w:after="0"/>
              <w:rPr>
                <w:sz w:val="21"/>
                <w:szCs w:val="21"/>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76,316</w:t>
            </w:r>
          </w:p>
        </w:tc>
        <w:tc>
          <w:tcPr>
            <w:tcW w:w="1180" w:type="dxa"/>
            <w:vAlign w:val="bottom"/>
          </w:tcPr>
          <w:p>
            <w:pPr>
              <w:jc w:val="right"/>
              <w:spacing w:after="0"/>
              <w:rPr>
                <w:sz w:val="20"/>
                <w:szCs w:val="20"/>
                <w:color w:val="auto"/>
              </w:rPr>
            </w:pPr>
            <w:r>
              <w:rPr>
                <w:rFonts w:ascii="Arial" w:cs="Arial" w:eastAsia="Arial" w:hAnsi="Arial"/>
                <w:sz w:val="18"/>
                <w:szCs w:val="18"/>
                <w:color w:val="auto"/>
              </w:rPr>
              <w:t>104,384</w:t>
            </w:r>
          </w:p>
        </w:tc>
      </w:tr>
      <w:tr>
        <w:trPr>
          <w:trHeight w:val="486"/>
        </w:trPr>
        <w:tc>
          <w:tcPr>
            <w:tcW w:w="452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Salaries and employee benefits</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44,816</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46,883</w:t>
            </w:r>
          </w:p>
        </w:tc>
        <w:tc>
          <w:tcPr>
            <w:tcW w:w="1160" w:type="dxa"/>
            <w:vAlign w:val="bottom"/>
          </w:tcPr>
          <w:p>
            <w:pPr>
              <w:jc w:val="right"/>
              <w:spacing w:after="0"/>
              <w:rPr>
                <w:sz w:val="20"/>
                <w:szCs w:val="20"/>
                <w:color w:val="auto"/>
              </w:rPr>
            </w:pPr>
            <w:r>
              <w:rPr>
                <w:rFonts w:ascii="Arial" w:cs="Arial" w:eastAsia="Arial" w:hAnsi="Arial"/>
                <w:sz w:val="18"/>
                <w:szCs w:val="18"/>
                <w:color w:val="auto"/>
              </w:rPr>
              <w:t>50,041</w:t>
            </w:r>
          </w:p>
        </w:tc>
        <w:tc>
          <w:tcPr>
            <w:tcW w:w="40" w:type="dxa"/>
            <w:vAlign w:val="bottom"/>
          </w:tcPr>
          <w:p>
            <w:pPr>
              <w:spacing w:after="0"/>
              <w:rPr>
                <w:sz w:val="21"/>
                <w:szCs w:val="21"/>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136,024</w:t>
            </w:r>
          </w:p>
        </w:tc>
        <w:tc>
          <w:tcPr>
            <w:tcW w:w="1180" w:type="dxa"/>
            <w:vAlign w:val="bottom"/>
          </w:tcPr>
          <w:p>
            <w:pPr>
              <w:jc w:val="right"/>
              <w:spacing w:after="0"/>
              <w:rPr>
                <w:sz w:val="20"/>
                <w:szCs w:val="20"/>
                <w:color w:val="auto"/>
              </w:rPr>
            </w:pPr>
            <w:r>
              <w:rPr>
                <w:rFonts w:ascii="Arial" w:cs="Arial" w:eastAsia="Arial" w:hAnsi="Arial"/>
                <w:sz w:val="18"/>
                <w:szCs w:val="18"/>
                <w:color w:val="auto"/>
              </w:rPr>
              <w:t>141,287</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General, administrative, and other taxes</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34,540</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34,874</w:t>
            </w:r>
          </w:p>
        </w:tc>
        <w:tc>
          <w:tcPr>
            <w:tcW w:w="1160" w:type="dxa"/>
            <w:vAlign w:val="bottom"/>
          </w:tcPr>
          <w:p>
            <w:pPr>
              <w:jc w:val="right"/>
              <w:spacing w:after="0"/>
              <w:rPr>
                <w:sz w:val="20"/>
                <w:szCs w:val="20"/>
                <w:color w:val="auto"/>
              </w:rPr>
            </w:pPr>
            <w:r>
              <w:rPr>
                <w:rFonts w:ascii="Arial" w:cs="Arial" w:eastAsia="Arial" w:hAnsi="Arial"/>
                <w:sz w:val="18"/>
                <w:szCs w:val="18"/>
                <w:color w:val="auto"/>
              </w:rPr>
              <w:t>37,191</w:t>
            </w:r>
          </w:p>
        </w:tc>
        <w:tc>
          <w:tcPr>
            <w:tcW w:w="40" w:type="dxa"/>
            <w:vAlign w:val="bottom"/>
          </w:tcPr>
          <w:p>
            <w:pPr>
              <w:spacing w:after="0"/>
              <w:rPr>
                <w:sz w:val="21"/>
                <w:szCs w:val="21"/>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109,370</w:t>
            </w:r>
          </w:p>
        </w:tc>
        <w:tc>
          <w:tcPr>
            <w:tcW w:w="1180" w:type="dxa"/>
            <w:vAlign w:val="bottom"/>
          </w:tcPr>
          <w:p>
            <w:pPr>
              <w:jc w:val="right"/>
              <w:spacing w:after="0"/>
              <w:rPr>
                <w:sz w:val="20"/>
                <w:szCs w:val="20"/>
                <w:color w:val="auto"/>
              </w:rPr>
            </w:pPr>
            <w:r>
              <w:rPr>
                <w:rFonts w:ascii="Arial" w:cs="Arial" w:eastAsia="Arial" w:hAnsi="Arial"/>
                <w:sz w:val="18"/>
                <w:szCs w:val="18"/>
                <w:color w:val="auto"/>
              </w:rPr>
              <w:t>109,542</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12,038</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11,047</w:t>
            </w:r>
          </w:p>
        </w:tc>
        <w:tc>
          <w:tcPr>
            <w:tcW w:w="1160" w:type="dxa"/>
            <w:vAlign w:val="bottom"/>
          </w:tcPr>
          <w:p>
            <w:pPr>
              <w:jc w:val="right"/>
              <w:spacing w:after="0"/>
              <w:rPr>
                <w:sz w:val="20"/>
                <w:szCs w:val="20"/>
                <w:color w:val="auto"/>
              </w:rPr>
            </w:pPr>
            <w:r>
              <w:rPr>
                <w:rFonts w:ascii="Arial" w:cs="Arial" w:eastAsia="Arial" w:hAnsi="Arial"/>
                <w:sz w:val="18"/>
                <w:szCs w:val="18"/>
                <w:color w:val="auto"/>
              </w:rPr>
              <w:t>12,312</w:t>
            </w:r>
          </w:p>
        </w:tc>
        <w:tc>
          <w:tcPr>
            <w:tcW w:w="40" w:type="dxa"/>
            <w:vAlign w:val="bottom"/>
          </w:tcPr>
          <w:p>
            <w:pPr>
              <w:spacing w:after="0"/>
              <w:rPr>
                <w:sz w:val="21"/>
                <w:szCs w:val="21"/>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36,183</w:t>
            </w:r>
          </w:p>
        </w:tc>
        <w:tc>
          <w:tcPr>
            <w:tcW w:w="1180" w:type="dxa"/>
            <w:vAlign w:val="bottom"/>
          </w:tcPr>
          <w:p>
            <w:pPr>
              <w:jc w:val="right"/>
              <w:spacing w:after="0"/>
              <w:rPr>
                <w:sz w:val="20"/>
                <w:szCs w:val="20"/>
                <w:color w:val="auto"/>
              </w:rPr>
            </w:pPr>
            <w:r>
              <w:rPr>
                <w:rFonts w:ascii="Arial" w:cs="Arial" w:eastAsia="Arial" w:hAnsi="Arial"/>
                <w:sz w:val="18"/>
                <w:szCs w:val="18"/>
                <w:color w:val="auto"/>
              </w:rPr>
              <w:t>34,969</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11,281</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13,468</w:t>
            </w:r>
          </w:p>
        </w:tc>
        <w:tc>
          <w:tcPr>
            <w:tcW w:w="1160" w:type="dxa"/>
            <w:vAlign w:val="bottom"/>
          </w:tcPr>
          <w:p>
            <w:pPr>
              <w:jc w:val="right"/>
              <w:spacing w:after="0"/>
              <w:rPr>
                <w:sz w:val="20"/>
                <w:szCs w:val="20"/>
                <w:color w:val="auto"/>
              </w:rPr>
            </w:pPr>
            <w:r>
              <w:rPr>
                <w:rFonts w:ascii="Arial" w:cs="Arial" w:eastAsia="Arial" w:hAnsi="Arial"/>
                <w:sz w:val="18"/>
                <w:szCs w:val="18"/>
                <w:color w:val="auto"/>
              </w:rPr>
              <w:t>22,896</w:t>
            </w:r>
          </w:p>
        </w:tc>
        <w:tc>
          <w:tcPr>
            <w:tcW w:w="40" w:type="dxa"/>
            <w:vAlign w:val="bottom"/>
          </w:tcPr>
          <w:p>
            <w:pPr>
              <w:spacing w:after="0"/>
              <w:rPr>
                <w:sz w:val="21"/>
                <w:szCs w:val="21"/>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42,552</w:t>
            </w:r>
          </w:p>
        </w:tc>
        <w:tc>
          <w:tcPr>
            <w:tcW w:w="1180" w:type="dxa"/>
            <w:vAlign w:val="bottom"/>
          </w:tcPr>
          <w:p>
            <w:pPr>
              <w:jc w:val="right"/>
              <w:spacing w:after="0"/>
              <w:rPr>
                <w:sz w:val="20"/>
                <w:szCs w:val="20"/>
                <w:color w:val="auto"/>
              </w:rPr>
            </w:pPr>
            <w:r>
              <w:rPr>
                <w:rFonts w:ascii="Arial" w:cs="Arial" w:eastAsia="Arial" w:hAnsi="Arial"/>
                <w:sz w:val="18"/>
                <w:szCs w:val="18"/>
                <w:color w:val="auto"/>
              </w:rPr>
              <w:t>51,070</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Merger costs</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0</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1,375</w:t>
            </w:r>
          </w:p>
        </w:tc>
        <w:tc>
          <w:tcPr>
            <w:tcW w:w="1160" w:type="dxa"/>
            <w:vAlign w:val="bottom"/>
          </w:tcPr>
          <w:p>
            <w:pPr>
              <w:jc w:val="right"/>
              <w:spacing w:after="0"/>
              <w:rPr>
                <w:sz w:val="20"/>
                <w:szCs w:val="20"/>
                <w:color w:val="auto"/>
              </w:rPr>
            </w:pPr>
            <w:r>
              <w:rPr>
                <w:rFonts w:ascii="Arial" w:cs="Arial" w:eastAsia="Arial" w:hAnsi="Arial"/>
                <w:sz w:val="18"/>
                <w:szCs w:val="18"/>
                <w:color w:val="auto"/>
              </w:rPr>
              <w:t>538</w:t>
            </w:r>
          </w:p>
        </w:tc>
        <w:tc>
          <w:tcPr>
            <w:tcW w:w="40" w:type="dxa"/>
            <w:vAlign w:val="bottom"/>
          </w:tcPr>
          <w:p>
            <w:pPr>
              <w:spacing w:after="0"/>
              <w:rPr>
                <w:sz w:val="21"/>
                <w:szCs w:val="21"/>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17,487</w:t>
            </w:r>
          </w:p>
        </w:tc>
        <w:tc>
          <w:tcPr>
            <w:tcW w:w="1180" w:type="dxa"/>
            <w:vAlign w:val="bottom"/>
          </w:tcPr>
          <w:p>
            <w:pPr>
              <w:jc w:val="right"/>
              <w:spacing w:after="0"/>
              <w:rPr>
                <w:sz w:val="20"/>
                <w:szCs w:val="20"/>
                <w:color w:val="auto"/>
              </w:rPr>
            </w:pPr>
            <w:r>
              <w:rPr>
                <w:rFonts w:ascii="Arial" w:cs="Arial" w:eastAsia="Arial" w:hAnsi="Arial"/>
                <w:sz w:val="18"/>
                <w:szCs w:val="18"/>
                <w:color w:val="auto"/>
              </w:rPr>
              <w:t>3,742</w:t>
            </w:r>
          </w:p>
        </w:tc>
      </w:tr>
      <w:tr>
        <w:trPr>
          <w:trHeight w:val="243"/>
        </w:trPr>
        <w:tc>
          <w:tcPr>
            <w:tcW w:w="4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102,675</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107,647</w:t>
            </w:r>
          </w:p>
        </w:tc>
        <w:tc>
          <w:tcPr>
            <w:tcW w:w="1160" w:type="dxa"/>
            <w:vAlign w:val="bottom"/>
          </w:tcPr>
          <w:p>
            <w:pPr>
              <w:jc w:val="right"/>
              <w:spacing w:after="0"/>
              <w:rPr>
                <w:sz w:val="20"/>
                <w:szCs w:val="20"/>
                <w:color w:val="auto"/>
              </w:rPr>
            </w:pPr>
            <w:r>
              <w:rPr>
                <w:rFonts w:ascii="Arial" w:cs="Arial" w:eastAsia="Arial" w:hAnsi="Arial"/>
                <w:sz w:val="18"/>
                <w:szCs w:val="18"/>
                <w:color w:val="auto"/>
              </w:rPr>
              <w:t>122,978</w:t>
            </w:r>
          </w:p>
        </w:tc>
        <w:tc>
          <w:tcPr>
            <w:tcW w:w="40" w:type="dxa"/>
            <w:vAlign w:val="bottom"/>
          </w:tcPr>
          <w:p>
            <w:pPr>
              <w:spacing w:after="0"/>
              <w:rPr>
                <w:sz w:val="21"/>
                <w:szCs w:val="21"/>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341,616</w:t>
            </w:r>
          </w:p>
        </w:tc>
        <w:tc>
          <w:tcPr>
            <w:tcW w:w="1180" w:type="dxa"/>
            <w:vAlign w:val="bottom"/>
          </w:tcPr>
          <w:p>
            <w:pPr>
              <w:jc w:val="right"/>
              <w:spacing w:after="0"/>
              <w:rPr>
                <w:sz w:val="20"/>
                <w:szCs w:val="20"/>
                <w:color w:val="auto"/>
              </w:rPr>
            </w:pPr>
            <w:r>
              <w:rPr>
                <w:rFonts w:ascii="Arial" w:cs="Arial" w:eastAsia="Arial" w:hAnsi="Arial"/>
                <w:sz w:val="18"/>
                <w:szCs w:val="18"/>
                <w:color w:val="auto"/>
              </w:rPr>
              <w:t>340,610</w:t>
            </w:r>
          </w:p>
        </w:tc>
      </w:tr>
      <w:tr>
        <w:trPr>
          <w:trHeight w:val="486"/>
        </w:trPr>
        <w:tc>
          <w:tcPr>
            <w:tcW w:w="4520" w:type="dxa"/>
            <w:vAlign w:val="bottom"/>
            <w:gridSpan w:val="2"/>
          </w:tcPr>
          <w:p>
            <w:pPr>
              <w:spacing w:after="0"/>
              <w:rPr>
                <w:sz w:val="20"/>
                <w:szCs w:val="20"/>
                <w:color w:val="auto"/>
              </w:rPr>
            </w:pPr>
            <w:r>
              <w:rPr>
                <w:rFonts w:ascii="Arial" w:cs="Arial" w:eastAsia="Arial" w:hAnsi="Arial"/>
                <w:sz w:val="18"/>
                <w:szCs w:val="18"/>
                <w:color w:val="auto"/>
              </w:rPr>
              <w:t>Translation result</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350</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758</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(3,768)</w:t>
            </w:r>
          </w:p>
        </w:tc>
        <w:tc>
          <w:tcPr>
            <w:tcW w:w="1180" w:type="dxa"/>
            <w:vAlign w:val="bottom"/>
          </w:tcPr>
          <w:p>
            <w:pPr>
              <w:jc w:val="right"/>
              <w:spacing w:after="0"/>
              <w:rPr>
                <w:sz w:val="20"/>
                <w:szCs w:val="20"/>
                <w:color w:val="auto"/>
              </w:rPr>
            </w:pPr>
            <w:r>
              <w:rPr>
                <w:rFonts w:ascii="Arial" w:cs="Arial" w:eastAsia="Arial" w:hAnsi="Arial"/>
                <w:sz w:val="18"/>
                <w:szCs w:val="18"/>
                <w:color w:val="auto"/>
              </w:rPr>
              <w:t>3,861</w:t>
            </w:r>
          </w:p>
        </w:tc>
      </w:tr>
      <w:tr>
        <w:trPr>
          <w:trHeight w:val="486"/>
        </w:trPr>
        <w:tc>
          <w:tcPr>
            <w:tcW w:w="4520" w:type="dxa"/>
            <w:vAlign w:val="bottom"/>
            <w:gridSpan w:val="2"/>
          </w:tcPr>
          <w:p>
            <w:pPr>
              <w:spacing w:after="0"/>
              <w:rPr>
                <w:sz w:val="20"/>
                <w:szCs w:val="20"/>
                <w:color w:val="auto"/>
              </w:rPr>
            </w:pPr>
            <w:r>
              <w:rPr>
                <w:rFonts w:ascii="Arial" w:cs="Arial" w:eastAsia="Arial" w:hAnsi="Arial"/>
                <w:sz w:val="18"/>
                <w:szCs w:val="18"/>
                <w:color w:val="auto"/>
              </w:rPr>
              <w:t>Income before income tax, and minority interest</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44,465</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48,228</w:t>
            </w:r>
          </w:p>
        </w:tc>
        <w:tc>
          <w:tcPr>
            <w:tcW w:w="1160" w:type="dxa"/>
            <w:vAlign w:val="bottom"/>
          </w:tcPr>
          <w:p>
            <w:pPr>
              <w:jc w:val="right"/>
              <w:spacing w:after="0"/>
              <w:rPr>
                <w:sz w:val="20"/>
                <w:szCs w:val="20"/>
                <w:color w:val="auto"/>
              </w:rPr>
            </w:pPr>
            <w:r>
              <w:rPr>
                <w:rFonts w:ascii="Arial" w:cs="Arial" w:eastAsia="Arial" w:hAnsi="Arial"/>
                <w:sz w:val="18"/>
                <w:szCs w:val="18"/>
                <w:color w:val="auto"/>
              </w:rPr>
              <w:t>45,894</w:t>
            </w:r>
          </w:p>
        </w:tc>
        <w:tc>
          <w:tcPr>
            <w:tcW w:w="40" w:type="dxa"/>
            <w:vAlign w:val="bottom"/>
          </w:tcPr>
          <w:p>
            <w:pPr>
              <w:spacing w:after="0"/>
              <w:rPr>
                <w:sz w:val="24"/>
                <w:szCs w:val="24"/>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95,835</w:t>
            </w:r>
          </w:p>
        </w:tc>
        <w:tc>
          <w:tcPr>
            <w:tcW w:w="1180" w:type="dxa"/>
            <w:vAlign w:val="bottom"/>
          </w:tcPr>
          <w:p>
            <w:pPr>
              <w:jc w:val="right"/>
              <w:spacing w:after="0"/>
              <w:rPr>
                <w:sz w:val="20"/>
                <w:szCs w:val="20"/>
                <w:color w:val="auto"/>
              </w:rPr>
            </w:pPr>
            <w:r>
              <w:rPr>
                <w:rFonts w:ascii="Arial" w:cs="Arial" w:eastAsia="Arial" w:hAnsi="Arial"/>
                <w:sz w:val="18"/>
                <w:szCs w:val="18"/>
                <w:color w:val="auto"/>
              </w:rPr>
              <w:t>138,593</w:t>
            </w:r>
          </w:p>
        </w:tc>
      </w:tr>
      <w:tr>
        <w:trPr>
          <w:trHeight w:val="486"/>
        </w:trPr>
        <w:tc>
          <w:tcPr>
            <w:tcW w:w="4520" w:type="dxa"/>
            <w:vAlign w:val="bottom"/>
            <w:gridSpan w:val="2"/>
          </w:tcPr>
          <w:p>
            <w:pPr>
              <w:spacing w:after="0"/>
              <w:rPr>
                <w:sz w:val="20"/>
                <w:szCs w:val="20"/>
                <w:color w:val="auto"/>
              </w:rPr>
            </w:pPr>
            <w:r>
              <w:rPr>
                <w:rFonts w:ascii="Arial" w:cs="Arial" w:eastAsia="Arial" w:hAnsi="Arial"/>
                <w:sz w:val="18"/>
                <w:szCs w:val="18"/>
                <w:color w:val="auto"/>
              </w:rPr>
              <w:t>Income Tax</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(13,250)</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(12,669)</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(10,813)</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(29,860)</w:t>
            </w:r>
          </w:p>
        </w:tc>
        <w:tc>
          <w:tcPr>
            <w:tcW w:w="1180" w:type="dxa"/>
            <w:vAlign w:val="bottom"/>
          </w:tcPr>
          <w:p>
            <w:pPr>
              <w:jc w:val="right"/>
              <w:spacing w:after="0"/>
              <w:rPr>
                <w:sz w:val="20"/>
                <w:szCs w:val="20"/>
                <w:color w:val="auto"/>
              </w:rPr>
            </w:pPr>
            <w:r>
              <w:rPr>
                <w:rFonts w:ascii="Arial" w:cs="Arial" w:eastAsia="Arial" w:hAnsi="Arial"/>
                <w:sz w:val="18"/>
                <w:szCs w:val="18"/>
                <w:color w:val="auto"/>
              </w:rPr>
              <w:t>(35,119)</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(5,246)</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(2,676)</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(2,141)</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(9,205)</w:t>
            </w:r>
          </w:p>
        </w:tc>
        <w:tc>
          <w:tcPr>
            <w:tcW w:w="1180" w:type="dxa"/>
            <w:vAlign w:val="bottom"/>
          </w:tcPr>
          <w:p>
            <w:pPr>
              <w:jc w:val="right"/>
              <w:spacing w:after="0"/>
              <w:rPr>
                <w:sz w:val="20"/>
                <w:szCs w:val="20"/>
                <w:color w:val="auto"/>
              </w:rPr>
            </w:pPr>
            <w:r>
              <w:rPr>
                <w:rFonts w:ascii="Arial" w:cs="Arial" w:eastAsia="Arial" w:hAnsi="Arial"/>
                <w:sz w:val="18"/>
                <w:szCs w:val="18"/>
                <w:color w:val="auto"/>
              </w:rPr>
              <w:t>(7,589)</w:t>
            </w:r>
          </w:p>
        </w:tc>
      </w:tr>
      <w:tr>
        <w:trPr>
          <w:trHeight w:val="486"/>
        </w:trPr>
        <w:tc>
          <w:tcPr>
            <w:tcW w:w="452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NET INCOME</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25,969</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32,883</w:t>
            </w:r>
          </w:p>
        </w:tc>
        <w:tc>
          <w:tcPr>
            <w:tcW w:w="1160" w:type="dxa"/>
            <w:vAlign w:val="bottom"/>
          </w:tcPr>
          <w:p>
            <w:pPr>
              <w:jc w:val="right"/>
              <w:spacing w:after="0"/>
              <w:rPr>
                <w:sz w:val="20"/>
                <w:szCs w:val="20"/>
                <w:color w:val="auto"/>
              </w:rPr>
            </w:pPr>
            <w:r>
              <w:rPr>
                <w:rFonts w:ascii="Arial" w:cs="Arial" w:eastAsia="Arial" w:hAnsi="Arial"/>
                <w:sz w:val="18"/>
                <w:szCs w:val="18"/>
                <w:color w:val="auto"/>
              </w:rPr>
              <w:t>32,940</w:t>
            </w:r>
          </w:p>
        </w:tc>
        <w:tc>
          <w:tcPr>
            <w:tcW w:w="40" w:type="dxa"/>
            <w:vAlign w:val="bottom"/>
          </w:tcPr>
          <w:p>
            <w:pPr>
              <w:spacing w:after="0"/>
              <w:rPr>
                <w:sz w:val="24"/>
                <w:szCs w:val="24"/>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56,770</w:t>
            </w:r>
          </w:p>
        </w:tc>
        <w:tc>
          <w:tcPr>
            <w:tcW w:w="1180" w:type="dxa"/>
            <w:vAlign w:val="bottom"/>
          </w:tcPr>
          <w:p>
            <w:pPr>
              <w:jc w:val="right"/>
              <w:spacing w:after="0"/>
              <w:rPr>
                <w:sz w:val="20"/>
                <w:szCs w:val="20"/>
                <w:color w:val="auto"/>
              </w:rPr>
            </w:pPr>
            <w:r>
              <w:rPr>
                <w:rFonts w:ascii="Arial" w:cs="Arial" w:eastAsia="Arial" w:hAnsi="Arial"/>
                <w:sz w:val="18"/>
                <w:szCs w:val="18"/>
                <w:color w:val="auto"/>
              </w:rPr>
              <w:t>95,885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5480685</wp:posOffset>
            </wp:positionH>
            <wp:positionV relativeFrom="paragraph">
              <wp:posOffset>-7823200</wp:posOffset>
            </wp:positionV>
            <wp:extent cx="3429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-7823200</wp:posOffset>
            </wp:positionV>
            <wp:extent cx="3429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2856865</wp:posOffset>
            </wp:positionH>
            <wp:positionV relativeFrom="paragraph">
              <wp:posOffset>-7497445</wp:posOffset>
            </wp:positionV>
            <wp:extent cx="3429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-7497445</wp:posOffset>
            </wp:positionV>
            <wp:extent cx="3429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-7497445</wp:posOffset>
            </wp:positionV>
            <wp:extent cx="3429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74295</wp:posOffset>
            </wp:positionV>
            <wp:extent cx="722503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57"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Note: for comparison purposes, US$4.9Mn in 3Q03 and US$18.4Mn in 9M03 were reclassified from other income into interest income.</w:t>
      </w:r>
    </w:p>
    <w:p>
      <w:pPr>
        <w:sectPr>
          <w:pgSz w:w="11900" w:h="16838" w:orient="portrait"/>
          <w:cols w:equalWidth="0" w:num="1">
            <w:col w:w="11400"/>
          </w:cols>
          <w:pgMar w:left="240" w:top="347" w:right="259" w:bottom="1440" w:gutter="0" w:footer="0" w:header="0"/>
        </w:sectPr>
      </w:pPr>
    </w:p>
    <w:bookmarkStart w:id="16" w:name="page17"/>
    <w:bookmarkEnd w:id="16"/>
    <w:p>
      <w:pPr>
        <w:jc w:val="center"/>
        <w:ind w:right="-11"/>
        <w:spacing w:after="0"/>
        <w:rPr>
          <w:sz w:val="20"/>
          <w:szCs w:val="20"/>
          <w:color w:val="auto"/>
        </w:rPr>
      </w:pPr>
      <w:r>
        <w:rPr>
          <w:rFonts w:ascii="Arial" w:cs="Arial" w:eastAsia="Arial" w:hAnsi="Arial"/>
          <w:sz w:val="18"/>
          <w:szCs w:val="18"/>
          <w:color w:val="auto"/>
        </w:rPr>
        <w:t>CREDICORP LTD. AND SUBSIDIARIES</w:t>
      </w:r>
    </w:p>
    <w:p>
      <w:pPr>
        <w:spacing w:after="0" w:line="1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Table 3</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SELECTED FINANCIAL INDICATORS</w:t>
      </w:r>
    </w:p>
    <w:p>
      <w:pPr>
        <w:spacing w:after="0" w:line="246" w:lineRule="exact"/>
        <w:rPr>
          <w:sz w:val="20"/>
          <w:szCs w:val="20"/>
          <w:color w:val="auto"/>
        </w:rPr>
      </w:pPr>
    </w:p>
    <w:tbl>
      <w:tblPr>
        <w:tblLayout w:type="fixed"/>
        <w:tblInd w:w="32" w:type="dxa"/>
        <w:tblCellMar>
          <w:top w:w="0" w:type="dxa"/>
          <w:left w:w="0" w:type="dxa"/>
          <w:bottom w:w="0" w:type="dxa"/>
          <w:right w:w="0" w:type="dxa"/>
        </w:tblCellMar>
      </w:tblPr>
      <w:tr>
        <w:trPr>
          <w:trHeight w:val="222"/>
        </w:trPr>
        <w:tc>
          <w:tcPr>
            <w:tcW w:w="4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40" w:type="dxa"/>
            <w:vAlign w:val="bottom"/>
            <w:gridSpan w:val="2"/>
          </w:tcPr>
          <w:p>
            <w:pPr>
              <w:jc w:val="right"/>
              <w:ind w:right="92"/>
              <w:spacing w:after="0"/>
              <w:rPr>
                <w:sz w:val="20"/>
                <w:szCs w:val="20"/>
                <w:color w:val="auto"/>
              </w:rPr>
            </w:pPr>
            <w:r>
              <w:rPr>
                <w:rFonts w:ascii="Arial" w:cs="Arial" w:eastAsia="Arial" w:hAnsi="Arial"/>
                <w:sz w:val="18"/>
                <w:szCs w:val="18"/>
                <w:color w:val="auto"/>
              </w:rPr>
              <w:t>Three months ended</w:t>
            </w: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700" w:type="dxa"/>
            <w:vAlign w:val="bottom"/>
            <w:gridSpan w:val="2"/>
          </w:tcPr>
          <w:p>
            <w:pPr>
              <w:jc w:val="right"/>
              <w:ind w:right="592"/>
              <w:spacing w:after="0"/>
              <w:rPr>
                <w:sz w:val="20"/>
                <w:szCs w:val="20"/>
                <w:color w:val="auto"/>
              </w:rPr>
            </w:pPr>
            <w:r>
              <w:rPr>
                <w:rFonts w:ascii="Arial" w:cs="Arial" w:eastAsia="Arial" w:hAnsi="Arial"/>
                <w:sz w:val="18"/>
                <w:szCs w:val="18"/>
                <w:color w:val="auto"/>
              </w:rPr>
              <w:t>Nine months ended</w:t>
            </w:r>
          </w:p>
        </w:tc>
      </w:tr>
      <w:tr>
        <w:trPr>
          <w:trHeight w:val="137"/>
        </w:trPr>
        <w:tc>
          <w:tcPr>
            <w:tcW w:w="4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tcBorders>
              <w:bottom w:val="single" w:sz="8" w:color="9A9A9A"/>
            </w:tcBorders>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r>
      <w:tr>
        <w:trPr>
          <w:trHeight w:val="356"/>
        </w:trPr>
        <w:tc>
          <w:tcPr>
            <w:tcW w:w="4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jc w:val="right"/>
              <w:ind w:right="492"/>
              <w:spacing w:after="0"/>
              <w:rPr>
                <w:sz w:val="20"/>
                <w:szCs w:val="20"/>
                <w:color w:val="auto"/>
              </w:rPr>
            </w:pPr>
            <w:r>
              <w:rPr>
                <w:rFonts w:ascii="Arial" w:cs="Arial" w:eastAsia="Arial" w:hAnsi="Arial"/>
                <w:sz w:val="18"/>
                <w:szCs w:val="18"/>
                <w:color w:val="auto"/>
              </w:rPr>
              <w:t>30.09.03</w:t>
            </w:r>
          </w:p>
        </w:tc>
        <w:tc>
          <w:tcPr>
            <w:tcW w:w="1400" w:type="dxa"/>
            <w:vAlign w:val="bottom"/>
          </w:tcPr>
          <w:p>
            <w:pPr>
              <w:jc w:val="right"/>
              <w:ind w:right="512"/>
              <w:spacing w:after="0"/>
              <w:rPr>
                <w:sz w:val="20"/>
                <w:szCs w:val="20"/>
                <w:color w:val="auto"/>
              </w:rPr>
            </w:pPr>
            <w:r>
              <w:rPr>
                <w:rFonts w:ascii="Arial" w:cs="Arial" w:eastAsia="Arial" w:hAnsi="Arial"/>
                <w:sz w:val="18"/>
                <w:szCs w:val="18"/>
                <w:color w:val="auto"/>
              </w:rPr>
              <w:t>30.06.04</w:t>
            </w:r>
          </w:p>
        </w:tc>
        <w:tc>
          <w:tcPr>
            <w:tcW w:w="1160" w:type="dxa"/>
            <w:vAlign w:val="bottom"/>
          </w:tcPr>
          <w:p>
            <w:pPr>
              <w:jc w:val="right"/>
              <w:ind w:right="292"/>
              <w:spacing w:after="0"/>
              <w:rPr>
                <w:sz w:val="20"/>
                <w:szCs w:val="20"/>
                <w:color w:val="auto"/>
              </w:rPr>
            </w:pPr>
            <w:r>
              <w:rPr>
                <w:rFonts w:ascii="Arial" w:cs="Arial" w:eastAsia="Arial" w:hAnsi="Arial"/>
                <w:sz w:val="18"/>
                <w:szCs w:val="18"/>
                <w:color w:val="auto"/>
              </w:rPr>
              <w:t>30.09.04</w:t>
            </w:r>
          </w:p>
        </w:tc>
        <w:tc>
          <w:tcPr>
            <w:tcW w:w="40" w:type="dxa"/>
            <w:vAlign w:val="bottom"/>
          </w:tcPr>
          <w:p>
            <w:pPr>
              <w:spacing w:after="0"/>
              <w:rPr>
                <w:sz w:val="24"/>
                <w:szCs w:val="24"/>
                <w:color w:val="auto"/>
              </w:rPr>
            </w:pPr>
          </w:p>
        </w:tc>
        <w:tc>
          <w:tcPr>
            <w:tcW w:w="1520" w:type="dxa"/>
            <w:vAlign w:val="bottom"/>
          </w:tcPr>
          <w:p>
            <w:pPr>
              <w:jc w:val="right"/>
              <w:ind w:right="492"/>
              <w:spacing w:after="0"/>
              <w:rPr>
                <w:sz w:val="20"/>
                <w:szCs w:val="20"/>
                <w:color w:val="auto"/>
              </w:rPr>
            </w:pPr>
            <w:r>
              <w:rPr>
                <w:rFonts w:ascii="Arial" w:cs="Arial" w:eastAsia="Arial" w:hAnsi="Arial"/>
                <w:sz w:val="18"/>
                <w:szCs w:val="18"/>
                <w:color w:val="auto"/>
              </w:rPr>
              <w:t>30.09.03</w:t>
            </w:r>
          </w:p>
        </w:tc>
        <w:tc>
          <w:tcPr>
            <w:tcW w:w="1180" w:type="dxa"/>
            <w:vAlign w:val="bottom"/>
          </w:tcPr>
          <w:p>
            <w:pPr>
              <w:jc w:val="right"/>
              <w:ind w:right="312"/>
              <w:spacing w:after="0"/>
              <w:rPr>
                <w:sz w:val="20"/>
                <w:szCs w:val="20"/>
                <w:color w:val="auto"/>
              </w:rPr>
            </w:pPr>
            <w:r>
              <w:rPr>
                <w:rFonts w:ascii="Arial" w:cs="Arial" w:eastAsia="Arial" w:hAnsi="Arial"/>
                <w:sz w:val="18"/>
                <w:szCs w:val="18"/>
                <w:color w:val="auto"/>
              </w:rPr>
              <w:t>30.09.04</w:t>
            </w:r>
          </w:p>
        </w:tc>
      </w:tr>
      <w:tr>
        <w:trPr>
          <w:trHeight w:val="137"/>
        </w:trPr>
        <w:tc>
          <w:tcPr>
            <w:tcW w:w="45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tcBorders>
              <w:bottom w:val="single" w:sz="8" w:color="9A9A9A"/>
            </w:tcBorders>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r>
      <w:tr>
        <w:trPr>
          <w:trHeight w:val="343"/>
        </w:trPr>
        <w:tc>
          <w:tcPr>
            <w:tcW w:w="4520" w:type="dxa"/>
            <w:vAlign w:val="bottom"/>
            <w:gridSpan w:val="2"/>
          </w:tcPr>
          <w:p>
            <w:pPr>
              <w:spacing w:after="0"/>
              <w:rPr>
                <w:sz w:val="20"/>
                <w:szCs w:val="20"/>
                <w:color w:val="auto"/>
              </w:rPr>
            </w:pPr>
            <w:r>
              <w:rPr>
                <w:rFonts w:ascii="Arial" w:cs="Arial" w:eastAsia="Arial" w:hAnsi="Arial"/>
                <w:sz w:val="18"/>
                <w:szCs w:val="18"/>
                <w:color w:val="auto"/>
              </w:rPr>
              <w:t>Profitability</w:t>
            </w: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Net income per common share (US$ per share)(1)</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0.33</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0.41</w:t>
            </w:r>
          </w:p>
        </w:tc>
        <w:tc>
          <w:tcPr>
            <w:tcW w:w="1160" w:type="dxa"/>
            <w:vAlign w:val="bottom"/>
          </w:tcPr>
          <w:p>
            <w:pPr>
              <w:jc w:val="right"/>
              <w:spacing w:after="0"/>
              <w:rPr>
                <w:sz w:val="20"/>
                <w:szCs w:val="20"/>
                <w:color w:val="auto"/>
              </w:rPr>
            </w:pPr>
            <w:r>
              <w:rPr>
                <w:rFonts w:ascii="Arial" w:cs="Arial" w:eastAsia="Arial" w:hAnsi="Arial"/>
                <w:sz w:val="18"/>
                <w:szCs w:val="18"/>
                <w:color w:val="auto"/>
              </w:rPr>
              <w:t>0.41</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0.71</w:t>
            </w:r>
          </w:p>
        </w:tc>
        <w:tc>
          <w:tcPr>
            <w:tcW w:w="11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Net interest margin on interest earning assets (2)</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5.61%</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5.31%</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5.23%</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5.57%</w:t>
            </w:r>
          </w:p>
        </w:tc>
        <w:tc>
          <w:tcPr>
            <w:tcW w:w="1180" w:type="dxa"/>
            <w:vAlign w:val="bottom"/>
          </w:tcPr>
          <w:p>
            <w:pPr>
              <w:jc w:val="right"/>
              <w:spacing w:after="0"/>
              <w:rPr>
                <w:sz w:val="20"/>
                <w:szCs w:val="20"/>
                <w:color w:val="auto"/>
              </w:rPr>
            </w:pPr>
            <w:r>
              <w:rPr>
                <w:rFonts w:ascii="Arial" w:cs="Arial" w:eastAsia="Arial" w:hAnsi="Arial"/>
                <w:sz w:val="18"/>
                <w:szCs w:val="18"/>
                <w:color w:val="auto"/>
              </w:rPr>
              <w:t>5.26%</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Return on average total assets (2)(3)</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1.26%</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1.56%</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0.90%</w:t>
            </w:r>
          </w:p>
        </w:tc>
        <w:tc>
          <w:tcPr>
            <w:tcW w:w="118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Return on average shareholders' equity (2)(3)</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11.89%</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14.15%</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13.57%</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8.96%</w:t>
            </w:r>
          </w:p>
        </w:tc>
        <w:tc>
          <w:tcPr>
            <w:tcW w:w="1180" w:type="dxa"/>
            <w:vAlign w:val="bottom"/>
          </w:tcPr>
          <w:p>
            <w:pPr>
              <w:jc w:val="right"/>
              <w:spacing w:after="0"/>
              <w:rPr>
                <w:sz w:val="20"/>
                <w:szCs w:val="20"/>
                <w:color w:val="auto"/>
              </w:rPr>
            </w:pPr>
            <w:r>
              <w:rPr>
                <w:rFonts w:ascii="Arial" w:cs="Arial" w:eastAsia="Arial" w:hAnsi="Arial"/>
                <w:sz w:val="18"/>
                <w:szCs w:val="18"/>
                <w:color w:val="auto"/>
              </w:rPr>
              <w:t>13.56%</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No. of outstanding shares (millions)(4)</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79.75</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79.75</w:t>
            </w:r>
          </w:p>
        </w:tc>
        <w:tc>
          <w:tcPr>
            <w:tcW w:w="1160" w:type="dxa"/>
            <w:vAlign w:val="bottom"/>
          </w:tcPr>
          <w:p>
            <w:pPr>
              <w:jc w:val="right"/>
              <w:spacing w:after="0"/>
              <w:rPr>
                <w:sz w:val="20"/>
                <w:szCs w:val="20"/>
                <w:color w:val="auto"/>
              </w:rPr>
            </w:pPr>
            <w:r>
              <w:rPr>
                <w:rFonts w:ascii="Arial" w:cs="Arial" w:eastAsia="Arial" w:hAnsi="Arial"/>
                <w:sz w:val="18"/>
                <w:szCs w:val="18"/>
                <w:color w:val="auto"/>
              </w:rPr>
              <w:t>79.75</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79.75</w:t>
            </w:r>
          </w:p>
        </w:tc>
        <w:tc>
          <w:tcPr>
            <w:tcW w:w="1180" w:type="dxa"/>
            <w:vAlign w:val="bottom"/>
          </w:tcPr>
          <w:p>
            <w:pPr>
              <w:jc w:val="right"/>
              <w:spacing w:after="0"/>
              <w:rPr>
                <w:sz w:val="20"/>
                <w:szCs w:val="20"/>
                <w:color w:val="auto"/>
              </w:rPr>
            </w:pPr>
            <w:r>
              <w:rPr>
                <w:rFonts w:ascii="Arial" w:cs="Arial" w:eastAsia="Arial" w:hAnsi="Arial"/>
                <w:sz w:val="18"/>
                <w:szCs w:val="18"/>
                <w:color w:val="auto"/>
              </w:rPr>
              <w:t>79.75</w:t>
            </w:r>
          </w:p>
        </w:tc>
      </w:tr>
      <w:tr>
        <w:trPr>
          <w:trHeight w:val="486"/>
        </w:trPr>
        <w:tc>
          <w:tcPr>
            <w:tcW w:w="4520" w:type="dxa"/>
            <w:vAlign w:val="bottom"/>
            <w:gridSpan w:val="2"/>
          </w:tcPr>
          <w:p>
            <w:pPr>
              <w:spacing w:after="0"/>
              <w:rPr>
                <w:sz w:val="20"/>
                <w:szCs w:val="20"/>
                <w:color w:val="auto"/>
              </w:rPr>
            </w:pPr>
            <w:r>
              <w:rPr>
                <w:rFonts w:ascii="Arial" w:cs="Arial" w:eastAsia="Arial" w:hAnsi="Arial"/>
                <w:sz w:val="18"/>
                <w:szCs w:val="18"/>
                <w:color w:val="auto"/>
              </w:rPr>
              <w:t>Quality of loan portfolio</w:t>
            </w: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Past due loans as a percentage of total loans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7.63%</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4.83%</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4.75%</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7.63%</w:t>
            </w:r>
          </w:p>
        </w:tc>
        <w:tc>
          <w:tcPr>
            <w:tcW w:w="118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Reserves for loan losses as a percentage of</w:t>
            </w:r>
          </w:p>
        </w:tc>
        <w:tc>
          <w:tcPr>
            <w:tcW w:w="15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total past due loans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113.73%</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131.83%</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130.79%</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113.73%</w:t>
            </w:r>
          </w:p>
        </w:tc>
        <w:tc>
          <w:tcPr>
            <w:tcW w:w="1180" w:type="dxa"/>
            <w:vAlign w:val="bottom"/>
          </w:tcPr>
          <w:p>
            <w:pPr>
              <w:jc w:val="right"/>
              <w:spacing w:after="0"/>
              <w:rPr>
                <w:sz w:val="20"/>
                <w:szCs w:val="20"/>
                <w:color w:val="auto"/>
              </w:rPr>
            </w:pPr>
            <w:r>
              <w:rPr>
                <w:rFonts w:ascii="Arial" w:cs="Arial" w:eastAsia="Arial" w:hAnsi="Arial"/>
                <w:sz w:val="18"/>
                <w:szCs w:val="18"/>
                <w:color w:val="auto"/>
              </w:rPr>
              <w:t>130.79%</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Reserves for loan losses as a percentage of</w:t>
            </w:r>
          </w:p>
        </w:tc>
        <w:tc>
          <w:tcPr>
            <w:tcW w:w="15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8.67%</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6.37%</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6.21%</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8.67%</w:t>
            </w:r>
          </w:p>
        </w:tc>
        <w:tc>
          <w:tcPr>
            <w:tcW w:w="1180" w:type="dxa"/>
            <w:vAlign w:val="bottom"/>
          </w:tcPr>
          <w:p>
            <w:pPr>
              <w:jc w:val="right"/>
              <w:spacing w:after="0"/>
              <w:rPr>
                <w:sz w:val="20"/>
                <w:szCs w:val="20"/>
                <w:color w:val="auto"/>
              </w:rPr>
            </w:pPr>
            <w:r>
              <w:rPr>
                <w:rFonts w:ascii="Arial" w:cs="Arial" w:eastAsia="Arial" w:hAnsi="Arial"/>
                <w:sz w:val="18"/>
                <w:szCs w:val="18"/>
                <w:color w:val="auto"/>
              </w:rPr>
              <w:t>6.21%</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Reserves for loan losses as a percentage of</w:t>
            </w:r>
          </w:p>
        </w:tc>
        <w:tc>
          <w:tcPr>
            <w:tcW w:w="15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substandard loans (C+D+E)</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52.60%</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50.75%</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54.39%</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52.60%</w:t>
            </w:r>
          </w:p>
        </w:tc>
        <w:tc>
          <w:tcPr>
            <w:tcW w:w="1180" w:type="dxa"/>
            <w:vAlign w:val="bottom"/>
          </w:tcPr>
          <w:p>
            <w:pPr>
              <w:jc w:val="right"/>
              <w:spacing w:after="0"/>
              <w:rPr>
                <w:sz w:val="20"/>
                <w:szCs w:val="20"/>
                <w:color w:val="auto"/>
              </w:rPr>
            </w:pPr>
            <w:r>
              <w:rPr>
                <w:rFonts w:ascii="Arial" w:cs="Arial" w:eastAsia="Arial" w:hAnsi="Arial"/>
                <w:sz w:val="18"/>
                <w:szCs w:val="18"/>
                <w:color w:val="auto"/>
              </w:rPr>
              <w:t>54.39%</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Past due loans - reserves for loan losses as a</w:t>
            </w:r>
          </w:p>
        </w:tc>
        <w:tc>
          <w:tcPr>
            <w:tcW w:w="15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percentage of shareholders' equity</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-5.25%</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-7.53%</w:t>
            </w:r>
          </w:p>
        </w:tc>
        <w:tc>
          <w:tcPr>
            <w:tcW w:w="1160" w:type="dxa"/>
            <w:vAlign w:val="bottom"/>
          </w:tcPr>
          <w:p>
            <w:pPr>
              <w:jc w:val="right"/>
              <w:spacing w:after="0"/>
              <w:rPr>
                <w:sz w:val="20"/>
                <w:szCs w:val="20"/>
                <w:color w:val="auto"/>
              </w:rPr>
            </w:pPr>
            <w:r>
              <w:rPr>
                <w:rFonts w:ascii="Arial" w:cs="Arial" w:eastAsia="Arial" w:hAnsi="Arial"/>
                <w:sz w:val="18"/>
                <w:szCs w:val="18"/>
                <w:color w:val="auto"/>
              </w:rPr>
              <w:t>-6.61%</w:t>
            </w:r>
          </w:p>
        </w:tc>
        <w:tc>
          <w:tcPr>
            <w:tcW w:w="40" w:type="dxa"/>
            <w:vAlign w:val="bottom"/>
          </w:tcPr>
          <w:p>
            <w:pPr>
              <w:spacing w:after="0"/>
              <w:rPr>
                <w:sz w:val="21"/>
                <w:szCs w:val="21"/>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-5.25%</w:t>
            </w:r>
          </w:p>
        </w:tc>
        <w:tc>
          <w:tcPr>
            <w:tcW w:w="1180" w:type="dxa"/>
            <w:vAlign w:val="bottom"/>
          </w:tcPr>
          <w:p>
            <w:pPr>
              <w:jc w:val="right"/>
              <w:spacing w:after="0"/>
              <w:rPr>
                <w:sz w:val="20"/>
                <w:szCs w:val="20"/>
                <w:color w:val="auto"/>
              </w:rPr>
            </w:pPr>
            <w:r>
              <w:rPr>
                <w:rFonts w:ascii="Arial" w:cs="Arial" w:eastAsia="Arial" w:hAnsi="Arial"/>
                <w:sz w:val="18"/>
                <w:szCs w:val="18"/>
                <w:color w:val="auto"/>
              </w:rPr>
              <w:t>-6.61%</w:t>
            </w:r>
          </w:p>
        </w:tc>
      </w:tr>
      <w:tr>
        <w:trPr>
          <w:trHeight w:val="486"/>
        </w:trPr>
        <w:tc>
          <w:tcPr>
            <w:tcW w:w="4520" w:type="dxa"/>
            <w:vAlign w:val="bottom"/>
            <w:gridSpan w:val="2"/>
          </w:tcPr>
          <w:p>
            <w:pPr>
              <w:spacing w:after="0"/>
              <w:rPr>
                <w:sz w:val="20"/>
                <w:szCs w:val="20"/>
                <w:color w:val="auto"/>
              </w:rPr>
            </w:pPr>
            <w:r>
              <w:rPr>
                <w:rFonts w:ascii="Arial" w:cs="Arial" w:eastAsia="Arial" w:hAnsi="Arial"/>
                <w:sz w:val="18"/>
                <w:szCs w:val="18"/>
                <w:color w:val="auto"/>
              </w:rPr>
              <w:t>Operating efficiency</w:t>
            </w: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Oper. expense as a percent. of total income (5)</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46.41%</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50.65%</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48.61%</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50.17%</w:t>
            </w:r>
          </w:p>
        </w:tc>
        <w:tc>
          <w:tcPr>
            <w:tcW w:w="1180" w:type="dxa"/>
            <w:vAlign w:val="bottom"/>
          </w:tcPr>
          <w:p>
            <w:pPr>
              <w:jc w:val="right"/>
              <w:spacing w:after="0"/>
              <w:rPr>
                <w:sz w:val="20"/>
                <w:szCs w:val="20"/>
                <w:color w:val="auto"/>
              </w:rPr>
            </w:pPr>
            <w:r>
              <w:rPr>
                <w:rFonts w:ascii="Arial" w:cs="Arial" w:eastAsia="Arial" w:hAnsi="Arial"/>
                <w:sz w:val="18"/>
                <w:szCs w:val="18"/>
                <w:color w:val="auto"/>
              </w:rPr>
              <w:t>49.94%</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Oper. expense as a percent. of av. tot. assets(2)(3)(5)</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4.41%</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4.56%</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5.10%</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4.64%</w:t>
            </w:r>
          </w:p>
        </w:tc>
        <w:tc>
          <w:tcPr>
            <w:tcW w:w="118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486"/>
        </w:trPr>
        <w:tc>
          <w:tcPr>
            <w:tcW w:w="4520" w:type="dxa"/>
            <w:vAlign w:val="bottom"/>
            <w:gridSpan w:val="2"/>
          </w:tcPr>
          <w:p>
            <w:pPr>
              <w:spacing w:after="0"/>
              <w:rPr>
                <w:sz w:val="20"/>
                <w:szCs w:val="20"/>
                <w:color w:val="auto"/>
              </w:rPr>
            </w:pPr>
            <w:r>
              <w:rPr>
                <w:rFonts w:ascii="Arial" w:cs="Arial" w:eastAsia="Arial" w:hAnsi="Arial"/>
                <w:sz w:val="18"/>
                <w:szCs w:val="18"/>
                <w:color w:val="auto"/>
              </w:rPr>
              <w:t>Capital adequacy</w:t>
            </w: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Total Regulatory Capital (US$Mn)</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712.6</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867.0</w:t>
            </w:r>
          </w:p>
        </w:tc>
        <w:tc>
          <w:tcPr>
            <w:tcW w:w="1160" w:type="dxa"/>
            <w:vAlign w:val="bottom"/>
          </w:tcPr>
          <w:p>
            <w:pPr>
              <w:jc w:val="right"/>
              <w:spacing w:after="0"/>
              <w:rPr>
                <w:sz w:val="20"/>
                <w:szCs w:val="20"/>
                <w:color w:val="auto"/>
              </w:rPr>
            </w:pPr>
            <w:r>
              <w:rPr>
                <w:rFonts w:ascii="Arial" w:cs="Arial" w:eastAsia="Arial" w:hAnsi="Arial"/>
                <w:sz w:val="18"/>
                <w:szCs w:val="18"/>
                <w:color w:val="auto"/>
              </w:rPr>
              <w:t>851.0</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712.6</w:t>
            </w:r>
          </w:p>
        </w:tc>
        <w:tc>
          <w:tcPr>
            <w:tcW w:w="1180" w:type="dxa"/>
            <w:vAlign w:val="bottom"/>
          </w:tcPr>
          <w:p>
            <w:pPr>
              <w:jc w:val="right"/>
              <w:spacing w:after="0"/>
              <w:rPr>
                <w:sz w:val="20"/>
                <w:szCs w:val="20"/>
                <w:color w:val="auto"/>
              </w:rPr>
            </w:pPr>
            <w:r>
              <w:rPr>
                <w:rFonts w:ascii="Arial" w:cs="Arial" w:eastAsia="Arial" w:hAnsi="Arial"/>
                <w:sz w:val="18"/>
                <w:szCs w:val="18"/>
                <w:color w:val="auto"/>
              </w:rPr>
              <w:t>851.0</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Tier I Capital (US$Mn)</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601.7</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743.2</w:t>
            </w:r>
          </w:p>
        </w:tc>
        <w:tc>
          <w:tcPr>
            <w:tcW w:w="1160" w:type="dxa"/>
            <w:vAlign w:val="bottom"/>
          </w:tcPr>
          <w:p>
            <w:pPr>
              <w:jc w:val="right"/>
              <w:spacing w:after="0"/>
              <w:rPr>
                <w:sz w:val="20"/>
                <w:szCs w:val="20"/>
                <w:color w:val="auto"/>
              </w:rPr>
            </w:pPr>
            <w:r>
              <w:rPr>
                <w:rFonts w:ascii="Arial" w:cs="Arial" w:eastAsia="Arial" w:hAnsi="Arial"/>
                <w:sz w:val="18"/>
                <w:szCs w:val="18"/>
                <w:color w:val="auto"/>
              </w:rPr>
              <w:t>733.5</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601.7</w:t>
            </w:r>
          </w:p>
        </w:tc>
        <w:tc>
          <w:tcPr>
            <w:tcW w:w="1180" w:type="dxa"/>
            <w:vAlign w:val="bottom"/>
          </w:tcPr>
          <w:p>
            <w:pPr>
              <w:jc w:val="right"/>
              <w:spacing w:after="0"/>
              <w:rPr>
                <w:sz w:val="20"/>
                <w:szCs w:val="20"/>
                <w:color w:val="auto"/>
              </w:rPr>
            </w:pPr>
            <w:r>
              <w:rPr>
                <w:rFonts w:ascii="Arial" w:cs="Arial" w:eastAsia="Arial" w:hAnsi="Arial"/>
                <w:sz w:val="18"/>
                <w:szCs w:val="18"/>
                <w:color w:val="auto"/>
              </w:rPr>
              <w:t>733.5</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Regulatory capital / risk-weighted assets (6)</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10.96%</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13.57%</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13.12%</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10.96%</w:t>
            </w:r>
          </w:p>
        </w:tc>
        <w:tc>
          <w:tcPr>
            <w:tcW w:w="1180" w:type="dxa"/>
            <w:vAlign w:val="bottom"/>
          </w:tcPr>
          <w:p>
            <w:pPr>
              <w:jc w:val="right"/>
              <w:spacing w:after="0"/>
              <w:rPr>
                <w:sz w:val="20"/>
                <w:szCs w:val="20"/>
                <w:color w:val="auto"/>
              </w:rPr>
            </w:pPr>
            <w:r>
              <w:rPr>
                <w:rFonts w:ascii="Arial" w:cs="Arial" w:eastAsia="Arial" w:hAnsi="Arial"/>
                <w:sz w:val="18"/>
                <w:szCs w:val="18"/>
                <w:color w:val="auto"/>
              </w:rPr>
              <w:t>13.12%</w:t>
            </w:r>
          </w:p>
        </w:tc>
      </w:tr>
      <w:tr>
        <w:trPr>
          <w:trHeight w:val="486"/>
        </w:trPr>
        <w:tc>
          <w:tcPr>
            <w:tcW w:w="4520" w:type="dxa"/>
            <w:vAlign w:val="bottom"/>
            <w:gridSpan w:val="2"/>
          </w:tcPr>
          <w:p>
            <w:pPr>
              <w:spacing w:after="0"/>
              <w:rPr>
                <w:sz w:val="20"/>
                <w:szCs w:val="20"/>
                <w:color w:val="auto"/>
              </w:rPr>
            </w:pPr>
            <w:r>
              <w:rPr>
                <w:rFonts w:ascii="Arial" w:cs="Arial" w:eastAsia="Arial" w:hAnsi="Arial"/>
                <w:sz w:val="18"/>
                <w:szCs w:val="18"/>
                <w:color w:val="auto"/>
              </w:rPr>
              <w:t>Average balances (US$Mn) (3)</w:t>
            </w: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Interest earning assets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6,808.5</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6,977.9</w:t>
            </w:r>
          </w:p>
        </w:tc>
        <w:tc>
          <w:tcPr>
            <w:tcW w:w="1160" w:type="dxa"/>
            <w:vAlign w:val="bottom"/>
          </w:tcPr>
          <w:p>
            <w:pPr>
              <w:jc w:val="right"/>
              <w:spacing w:after="0"/>
              <w:rPr>
                <w:sz w:val="20"/>
                <w:szCs w:val="20"/>
                <w:color w:val="auto"/>
              </w:rPr>
            </w:pPr>
            <w:r>
              <w:rPr>
                <w:rFonts w:ascii="Arial" w:cs="Arial" w:eastAsia="Arial" w:hAnsi="Arial"/>
                <w:sz w:val="18"/>
                <w:szCs w:val="18"/>
                <w:color w:val="auto"/>
              </w:rPr>
              <w:t>7,199.3</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6,861.8</w:t>
            </w:r>
          </w:p>
        </w:tc>
        <w:tc>
          <w:tcPr>
            <w:tcW w:w="1180" w:type="dxa"/>
            <w:vAlign w:val="bottom"/>
          </w:tcPr>
          <w:p>
            <w:pPr>
              <w:jc w:val="right"/>
              <w:spacing w:after="0"/>
              <w:rPr>
                <w:sz w:val="20"/>
                <w:szCs w:val="20"/>
                <w:color w:val="auto"/>
              </w:rPr>
            </w:pPr>
            <w:r>
              <w:rPr>
                <w:rFonts w:ascii="Arial" w:cs="Arial" w:eastAsia="Arial" w:hAnsi="Arial"/>
                <w:sz w:val="18"/>
                <w:szCs w:val="18"/>
                <w:color w:val="auto"/>
              </w:rPr>
              <w:t>7,018.3</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8,229.0</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8,418.7</w:t>
            </w:r>
          </w:p>
        </w:tc>
        <w:tc>
          <w:tcPr>
            <w:tcW w:w="1160" w:type="dxa"/>
            <w:vAlign w:val="bottom"/>
          </w:tcPr>
          <w:p>
            <w:pPr>
              <w:jc w:val="right"/>
              <w:spacing w:after="0"/>
              <w:rPr>
                <w:sz w:val="20"/>
                <w:szCs w:val="20"/>
                <w:color w:val="auto"/>
              </w:rPr>
            </w:pPr>
            <w:r>
              <w:rPr>
                <w:rFonts w:ascii="Arial" w:cs="Arial" w:eastAsia="Arial" w:hAnsi="Arial"/>
                <w:sz w:val="18"/>
                <w:szCs w:val="18"/>
                <w:color w:val="auto"/>
              </w:rPr>
              <w:t>8,665.7</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8,413.4</w:t>
            </w:r>
          </w:p>
        </w:tc>
        <w:tc>
          <w:tcPr>
            <w:tcW w:w="1180" w:type="dxa"/>
            <w:vAlign w:val="bottom"/>
          </w:tcPr>
          <w:p>
            <w:pPr>
              <w:jc w:val="right"/>
              <w:spacing w:after="0"/>
              <w:rPr>
                <w:sz w:val="20"/>
                <w:szCs w:val="20"/>
                <w:color w:val="auto"/>
              </w:rPr>
            </w:pPr>
            <w:r>
              <w:rPr>
                <w:rFonts w:ascii="Arial" w:cs="Arial" w:eastAsia="Arial" w:hAnsi="Arial"/>
                <w:sz w:val="18"/>
                <w:szCs w:val="18"/>
                <w:color w:val="auto"/>
              </w:rPr>
              <w:t>8,481.0</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Net equity</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873.9</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929.4</w:t>
            </w:r>
          </w:p>
        </w:tc>
        <w:tc>
          <w:tcPr>
            <w:tcW w:w="1160" w:type="dxa"/>
            <w:vAlign w:val="bottom"/>
          </w:tcPr>
          <w:p>
            <w:pPr>
              <w:jc w:val="right"/>
              <w:spacing w:after="0"/>
              <w:rPr>
                <w:sz w:val="20"/>
                <w:szCs w:val="20"/>
                <w:color w:val="auto"/>
              </w:rPr>
            </w:pPr>
            <w:r>
              <w:rPr>
                <w:rFonts w:ascii="Arial" w:cs="Arial" w:eastAsia="Arial" w:hAnsi="Arial"/>
                <w:sz w:val="18"/>
                <w:szCs w:val="18"/>
                <w:color w:val="auto"/>
              </w:rPr>
              <w:t>971.2</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845.0</w:t>
            </w:r>
          </w:p>
        </w:tc>
        <w:tc>
          <w:tcPr>
            <w:tcW w:w="1180" w:type="dxa"/>
            <w:vAlign w:val="bottom"/>
          </w:tcPr>
          <w:p>
            <w:pPr>
              <w:jc w:val="right"/>
              <w:spacing w:after="0"/>
              <w:rPr>
                <w:sz w:val="20"/>
                <w:szCs w:val="20"/>
                <w:color w:val="auto"/>
              </w:rPr>
            </w:pPr>
            <w:r>
              <w:rPr>
                <w:rFonts w:ascii="Arial" w:cs="Arial" w:eastAsia="Arial" w:hAnsi="Arial"/>
                <w:sz w:val="18"/>
                <w:szCs w:val="18"/>
                <w:color w:val="auto"/>
              </w:rPr>
              <w:t>942.8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5475605</wp:posOffset>
            </wp:positionH>
            <wp:positionV relativeFrom="paragraph">
              <wp:posOffset>-5199380</wp:posOffset>
            </wp:positionV>
            <wp:extent cx="3429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7207885</wp:posOffset>
            </wp:positionH>
            <wp:positionV relativeFrom="paragraph">
              <wp:posOffset>-5199380</wp:posOffset>
            </wp:positionV>
            <wp:extent cx="3429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-4872990</wp:posOffset>
            </wp:positionV>
            <wp:extent cx="3429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5475605</wp:posOffset>
            </wp:positionH>
            <wp:positionV relativeFrom="paragraph">
              <wp:posOffset>-4872990</wp:posOffset>
            </wp:positionV>
            <wp:extent cx="3429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7207885</wp:posOffset>
            </wp:positionH>
            <wp:positionV relativeFrom="paragraph">
              <wp:posOffset>-4872990</wp:posOffset>
            </wp:positionV>
            <wp:extent cx="3429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74295</wp:posOffset>
            </wp:positionV>
            <wp:extent cx="722503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57" w:lineRule="exact"/>
        <w:rPr>
          <w:sz w:val="20"/>
          <w:szCs w:val="20"/>
          <w:color w:val="auto"/>
        </w:rPr>
      </w:pPr>
    </w:p>
    <w:p>
      <w:pPr>
        <w:ind w:left="572" w:hanging="572"/>
        <w:spacing w:after="0"/>
        <w:tabs>
          <w:tab w:leader="none" w:pos="572"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outstanding of 79.8 million in all periods.</w:t>
      </w:r>
    </w:p>
    <w:p>
      <w:pPr>
        <w:spacing w:after="0" w:line="15" w:lineRule="exact"/>
        <w:rPr>
          <w:rFonts w:ascii="Arial" w:cs="Arial" w:eastAsia="Arial" w:hAnsi="Arial"/>
          <w:sz w:val="18"/>
          <w:szCs w:val="18"/>
          <w:color w:val="auto"/>
        </w:rPr>
      </w:pPr>
    </w:p>
    <w:p>
      <w:pPr>
        <w:ind w:left="572" w:hanging="572"/>
        <w:spacing w:after="0"/>
        <w:tabs>
          <w:tab w:leader="none" w:pos="572"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7"/>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of treasury shares. The total number of shares was of 94.38 million.</w:t>
      </w:r>
    </w:p>
    <w:p>
      <w:pPr>
        <w:spacing w:after="0" w:line="9" w:lineRule="exact"/>
        <w:rPr>
          <w:rFonts w:ascii="Arial" w:cs="Arial" w:eastAsia="Arial" w:hAnsi="Arial"/>
          <w:sz w:val="18"/>
          <w:szCs w:val="18"/>
          <w:color w:val="auto"/>
        </w:rPr>
      </w:pPr>
    </w:p>
    <w:p>
      <w:pPr>
        <w:ind w:left="572" w:hanging="572"/>
        <w:spacing w:after="0" w:line="250" w:lineRule="auto"/>
        <w:tabs>
          <w:tab w:leader="none" w:pos="572"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income includes net interest income and other income. Operating expense is net of provisions for other assets received in lieu of loan repayment and mandatory employee profit sharing expense. Non-recurring items are not included.</w:t>
      </w:r>
    </w:p>
    <w:p>
      <w:pPr>
        <w:ind w:left="572" w:hanging="572"/>
        <w:spacing w:after="0"/>
        <w:tabs>
          <w:tab w:leader="none" w:pos="572"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Risk-weighted assets include market risk assets.</w:t>
      </w:r>
    </w:p>
    <w:p>
      <w:pPr>
        <w:sectPr>
          <w:pgSz w:w="11900" w:h="16838" w:orient="portrait"/>
          <w:cols w:equalWidth="0" w:num="1">
            <w:col w:w="11412"/>
          </w:cols>
          <w:pgMar w:left="248" w:top="347"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color w:val="auto"/>
        </w:rPr>
        <w:t>BANCO DE CREDITO DEL PERU AND SUBSIDIARIES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Table 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(Constant Nuevos Soles, as of September 30, 2004, and U.S. 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500" w:type="dxa"/>
            <w:vAlign w:val="bottom"/>
          </w:tcPr>
          <w:p>
            <w:pPr>
              <w:jc w:val="center"/>
              <w:ind w:right="452"/>
              <w:spacing w:after="0"/>
              <w:rPr>
                <w:sz w:val="20"/>
                <w:szCs w:val="20"/>
                <w:color w:val="auto"/>
              </w:rPr>
            </w:pPr>
            <w:r>
              <w:rPr>
                <w:rFonts w:ascii="Arial" w:cs="Arial" w:eastAsia="Arial" w:hAnsi="Arial"/>
                <w:sz w:val="18"/>
                <w:szCs w:val="18"/>
                <w:color w:val="auto"/>
                <w:w w:val="90"/>
              </w:rPr>
              <w:t>ASSETS</w:t>
            </w: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30.09.03</w:t>
            </w:r>
          </w:p>
        </w:tc>
        <w:tc>
          <w:tcPr>
            <w:tcW w:w="1260" w:type="dxa"/>
            <w:vAlign w:val="bottom"/>
          </w:tcPr>
          <w:p>
            <w:pPr>
              <w:jc w:val="right"/>
              <w:ind w:right="412"/>
              <w:spacing w:after="0"/>
              <w:rPr>
                <w:sz w:val="20"/>
                <w:szCs w:val="20"/>
                <w:color w:val="auto"/>
              </w:rPr>
            </w:pPr>
            <w:r>
              <w:rPr>
                <w:rFonts w:ascii="Arial" w:cs="Arial" w:eastAsia="Arial" w:hAnsi="Arial"/>
                <w:sz w:val="18"/>
                <w:szCs w:val="18"/>
                <w:color w:val="auto"/>
              </w:rPr>
              <w:t>31.12.03</w:t>
            </w:r>
          </w:p>
        </w:tc>
        <w:tc>
          <w:tcPr>
            <w:tcW w:w="1260" w:type="dxa"/>
            <w:vAlign w:val="bottom"/>
          </w:tcPr>
          <w:p>
            <w:pPr>
              <w:jc w:val="right"/>
              <w:ind w:right="392"/>
              <w:spacing w:after="0"/>
              <w:rPr>
                <w:sz w:val="20"/>
                <w:szCs w:val="20"/>
                <w:color w:val="auto"/>
              </w:rPr>
            </w:pPr>
            <w:r>
              <w:rPr>
                <w:rFonts w:ascii="Arial" w:cs="Arial" w:eastAsia="Arial" w:hAnsi="Arial"/>
                <w:sz w:val="18"/>
                <w:szCs w:val="18"/>
                <w:color w:val="auto"/>
              </w:rPr>
              <w:t>30.06.04</w:t>
            </w:r>
          </w:p>
        </w:tc>
        <w:tc>
          <w:tcPr>
            <w:tcW w:w="1220" w:type="dxa"/>
            <w:vAlign w:val="bottom"/>
          </w:tcPr>
          <w:p>
            <w:pPr>
              <w:jc w:val="right"/>
              <w:ind w:right="372"/>
              <w:spacing w:after="0"/>
              <w:rPr>
                <w:sz w:val="20"/>
                <w:szCs w:val="20"/>
                <w:color w:val="auto"/>
              </w:rPr>
            </w:pPr>
            <w:r>
              <w:rPr>
                <w:rFonts w:ascii="Arial" w:cs="Arial" w:eastAsia="Arial" w:hAnsi="Arial"/>
                <w:sz w:val="18"/>
                <w:szCs w:val="18"/>
                <w:color w:val="auto"/>
              </w:rPr>
              <w:t>30.09.04</w:t>
            </w:r>
          </w:p>
        </w:tc>
        <w:tc>
          <w:tcPr>
            <w:tcW w:w="1140" w:type="dxa"/>
            <w:vAlign w:val="bottom"/>
          </w:tcPr>
          <w:p>
            <w:pPr>
              <w:jc w:val="right"/>
              <w:ind w:right="252"/>
              <w:spacing w:after="0"/>
              <w:rPr>
                <w:sz w:val="20"/>
                <w:szCs w:val="20"/>
                <w:color w:val="auto"/>
              </w:rPr>
            </w:pPr>
            <w:r>
              <w:rPr>
                <w:rFonts w:ascii="Arial" w:cs="Arial" w:eastAsia="Arial" w:hAnsi="Arial"/>
                <w:sz w:val="18"/>
                <w:szCs w:val="18"/>
                <w:color w:val="auto"/>
              </w:rPr>
              <w:t>30.09.04</w:t>
            </w:r>
          </w:p>
        </w:tc>
      </w:tr>
      <w:tr>
        <w:trPr>
          <w:trHeight w:val="137"/>
        </w:trPr>
        <w:tc>
          <w:tcPr>
            <w:tcW w:w="4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45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r>
      <w:tr>
        <w:trPr>
          <w:trHeight w:val="343"/>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US$000(1)</w:t>
            </w:r>
          </w:p>
        </w:tc>
      </w:tr>
      <w:tr>
        <w:trPr>
          <w:trHeight w:val="243"/>
        </w:trPr>
        <w:tc>
          <w:tcPr>
            <w:tcW w:w="4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6,072.733</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5,435.842</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5,896.438</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5,615.886</w:t>
            </w:r>
          </w:p>
        </w:tc>
        <w:tc>
          <w:tcPr>
            <w:tcW w:w="1140" w:type="dxa"/>
            <w:vAlign w:val="bottom"/>
          </w:tcPr>
          <w:p>
            <w:pPr>
              <w:jc w:val="right"/>
              <w:spacing w:after="0"/>
              <w:rPr>
                <w:sz w:val="20"/>
                <w:szCs w:val="20"/>
                <w:color w:val="auto"/>
              </w:rPr>
            </w:pPr>
            <w:r>
              <w:rPr>
                <w:rFonts w:ascii="Arial" w:cs="Arial" w:eastAsia="Arial" w:hAnsi="Arial"/>
                <w:sz w:val="18"/>
                <w:szCs w:val="18"/>
                <w:color w:val="auto"/>
              </w:rPr>
              <w:t>$1,680.397</w:t>
            </w:r>
          </w:p>
        </w:tc>
      </w:tr>
      <w:tr>
        <w:trPr>
          <w:trHeight w:val="243"/>
        </w:trPr>
        <w:tc>
          <w:tcPr>
            <w:tcW w:w="4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Cash and Checks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924.346</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830.291</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946.687</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892.957</w:t>
            </w:r>
          </w:p>
        </w:tc>
        <w:tc>
          <w:tcPr>
            <w:tcW w:w="1140" w:type="dxa"/>
            <w:vAlign w:val="bottom"/>
          </w:tcPr>
          <w:p>
            <w:pPr>
              <w:jc w:val="right"/>
              <w:spacing w:after="0"/>
              <w:rPr>
                <w:sz w:val="20"/>
                <w:szCs w:val="20"/>
                <w:color w:val="auto"/>
              </w:rPr>
            </w:pPr>
            <w:r>
              <w:rPr>
                <w:rFonts w:ascii="Arial" w:cs="Arial" w:eastAsia="Arial" w:hAnsi="Arial"/>
                <w:sz w:val="18"/>
                <w:szCs w:val="18"/>
                <w:color w:val="auto"/>
              </w:rPr>
              <w:t>$267.192</w:t>
            </w:r>
          </w:p>
        </w:tc>
      </w:tr>
      <w:tr>
        <w:trPr>
          <w:trHeight w:val="243"/>
        </w:trPr>
        <w:tc>
          <w:tcPr>
            <w:tcW w:w="4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Deposits in Central Bank of Peru</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4,223.190</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3,488.055</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3,715.514</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3,510.499</w:t>
            </w:r>
          </w:p>
        </w:tc>
        <w:tc>
          <w:tcPr>
            <w:tcW w:w="1140" w:type="dxa"/>
            <w:vAlign w:val="bottom"/>
          </w:tcPr>
          <w:p>
            <w:pPr>
              <w:jc w:val="right"/>
              <w:spacing w:after="0"/>
              <w:rPr>
                <w:sz w:val="20"/>
                <w:szCs w:val="20"/>
                <w:color w:val="auto"/>
              </w:rPr>
            </w:pPr>
            <w:r>
              <w:rPr>
                <w:rFonts w:ascii="Arial" w:cs="Arial" w:eastAsia="Arial" w:hAnsi="Arial"/>
                <w:sz w:val="18"/>
                <w:szCs w:val="18"/>
                <w:color w:val="auto"/>
              </w:rPr>
              <w:t>$1,050.419</w:t>
            </w:r>
          </w:p>
        </w:tc>
      </w:tr>
      <w:tr>
        <w:trPr>
          <w:trHeight w:val="243"/>
        </w:trPr>
        <w:tc>
          <w:tcPr>
            <w:tcW w:w="4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Deposits with local and foreign banks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925.197</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1,117.496</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1,234.237</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1,212.430</w:t>
            </w:r>
          </w:p>
        </w:tc>
        <w:tc>
          <w:tcPr>
            <w:tcW w:w="1140" w:type="dxa"/>
            <w:vAlign w:val="bottom"/>
          </w:tcPr>
          <w:p>
            <w:pPr>
              <w:jc w:val="right"/>
              <w:spacing w:after="0"/>
              <w:rPr>
                <w:sz w:val="20"/>
                <w:szCs w:val="20"/>
                <w:color w:val="auto"/>
              </w:rPr>
            </w:pPr>
            <w:r>
              <w:rPr>
                <w:rFonts w:ascii="Arial" w:cs="Arial" w:eastAsia="Arial" w:hAnsi="Arial"/>
                <w:sz w:val="18"/>
                <w:szCs w:val="18"/>
                <w:color w:val="auto"/>
              </w:rPr>
              <w:t>$362.786</w:t>
            </w:r>
          </w:p>
        </w:tc>
      </w:tr>
      <w:tr>
        <w:trPr>
          <w:trHeight w:val="486"/>
        </w:trPr>
        <w:tc>
          <w:tcPr>
            <w:tcW w:w="4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TRADING SECURITIES, net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179.930</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144.042</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179.927</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183.601</w:t>
            </w:r>
          </w:p>
        </w:tc>
        <w:tc>
          <w:tcPr>
            <w:tcW w:w="1140" w:type="dxa"/>
            <w:vAlign w:val="bottom"/>
          </w:tcPr>
          <w:p>
            <w:pPr>
              <w:jc w:val="right"/>
              <w:spacing w:after="0"/>
              <w:rPr>
                <w:sz w:val="20"/>
                <w:szCs w:val="20"/>
                <w:color w:val="auto"/>
              </w:rPr>
            </w:pPr>
            <w:r>
              <w:rPr>
                <w:rFonts w:ascii="Arial" w:cs="Arial" w:eastAsia="Arial" w:hAnsi="Arial"/>
                <w:sz w:val="18"/>
                <w:szCs w:val="18"/>
                <w:color w:val="auto"/>
              </w:rPr>
              <w:t>$54.937</w:t>
            </w:r>
          </w:p>
        </w:tc>
      </w:tr>
      <w:tr>
        <w:trPr>
          <w:trHeight w:val="486"/>
        </w:trPr>
        <w:tc>
          <w:tcPr>
            <w:tcW w:w="4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LOANS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15,138.536</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14,899.936</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14,418.576</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13,576.346</w:t>
            </w:r>
          </w:p>
        </w:tc>
        <w:tc>
          <w:tcPr>
            <w:tcW w:w="1140" w:type="dxa"/>
            <w:vAlign w:val="bottom"/>
          </w:tcPr>
          <w:p>
            <w:pPr>
              <w:jc w:val="right"/>
              <w:spacing w:after="0"/>
              <w:rPr>
                <w:sz w:val="20"/>
                <w:szCs w:val="20"/>
                <w:color w:val="auto"/>
              </w:rPr>
            </w:pPr>
            <w:r>
              <w:rPr>
                <w:rFonts w:ascii="Arial" w:cs="Arial" w:eastAsia="Arial" w:hAnsi="Arial"/>
                <w:sz w:val="18"/>
                <w:szCs w:val="18"/>
                <w:color w:val="auto"/>
              </w:rPr>
              <w:t>$4,062.342</w:t>
            </w:r>
          </w:p>
        </w:tc>
      </w:tr>
      <w:tr>
        <w:trPr>
          <w:trHeight w:val="243"/>
        </w:trPr>
        <w:tc>
          <w:tcPr>
            <w:tcW w:w="40" w:type="dxa"/>
            <w:vAlign w:val="bottom"/>
          </w:tcPr>
          <w:p>
            <w:pPr>
              <w:spacing w:after="0"/>
              <w:rPr>
                <w:sz w:val="21"/>
                <w:szCs w:val="21"/>
                <w:color w:val="auto"/>
              </w:rPr>
            </w:pPr>
          </w:p>
        </w:tc>
        <w:tc>
          <w:tcPr>
            <w:tcW w:w="540" w:type="dxa"/>
            <w:vAlign w:val="bottom"/>
          </w:tcPr>
          <w:p>
            <w:pPr>
              <w:spacing w:after="0"/>
              <w:rPr>
                <w:sz w:val="20"/>
                <w:szCs w:val="20"/>
                <w:color w:val="auto"/>
              </w:rPr>
            </w:pPr>
            <w:r>
              <w:rPr>
                <w:rFonts w:ascii="Arial" w:cs="Arial" w:eastAsia="Arial" w:hAnsi="Arial"/>
                <w:sz w:val="18"/>
                <w:szCs w:val="18"/>
                <w:color w:val="auto"/>
                <w:w w:val="86"/>
              </w:rPr>
              <w:t>Current</w:t>
            </w:r>
          </w:p>
        </w:tc>
        <w:tc>
          <w:tcPr>
            <w:tcW w:w="450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13,907.662</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13,996.097</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13,685.787</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12,895.540</w:t>
            </w:r>
          </w:p>
        </w:tc>
        <w:tc>
          <w:tcPr>
            <w:tcW w:w="1140" w:type="dxa"/>
            <w:vAlign w:val="bottom"/>
          </w:tcPr>
          <w:p>
            <w:pPr>
              <w:jc w:val="right"/>
              <w:spacing w:after="0"/>
              <w:rPr>
                <w:sz w:val="20"/>
                <w:szCs w:val="20"/>
                <w:color w:val="auto"/>
              </w:rPr>
            </w:pPr>
            <w:r>
              <w:rPr>
                <w:rFonts w:ascii="Arial" w:cs="Arial" w:eastAsia="Arial" w:hAnsi="Arial"/>
                <w:sz w:val="18"/>
                <w:szCs w:val="18"/>
                <w:color w:val="auto"/>
              </w:rPr>
              <w:t>$3,858.630</w:t>
            </w:r>
          </w:p>
        </w:tc>
      </w:tr>
      <w:tr>
        <w:trPr>
          <w:trHeight w:val="243"/>
        </w:trPr>
        <w:tc>
          <w:tcPr>
            <w:tcW w:w="4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Past Due</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1,230.874</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903.839</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732.790</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680.806</w:t>
            </w:r>
          </w:p>
        </w:tc>
        <w:tc>
          <w:tcPr>
            <w:tcW w:w="1140" w:type="dxa"/>
            <w:vAlign w:val="bottom"/>
          </w:tcPr>
          <w:p>
            <w:pPr>
              <w:jc w:val="right"/>
              <w:spacing w:after="0"/>
              <w:rPr>
                <w:sz w:val="20"/>
                <w:szCs w:val="20"/>
                <w:color w:val="auto"/>
              </w:rPr>
            </w:pPr>
            <w:r>
              <w:rPr>
                <w:rFonts w:ascii="Arial" w:cs="Arial" w:eastAsia="Arial" w:hAnsi="Arial"/>
                <w:sz w:val="18"/>
                <w:szCs w:val="18"/>
                <w:color w:val="auto"/>
              </w:rPr>
              <w:t>$203.712</w:t>
            </w:r>
          </w:p>
        </w:tc>
      </w:tr>
      <w:tr>
        <w:trPr>
          <w:trHeight w:val="243"/>
        </w:trPr>
        <w:tc>
          <w:tcPr>
            <w:tcW w:w="4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Less - Reserve for possible loan losses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(1,449.427)</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(1,199.663)</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(1,008.552)</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(913.171)</w:t>
            </w:r>
          </w:p>
        </w:tc>
        <w:tc>
          <w:tcPr>
            <w:tcW w:w="1140" w:type="dxa"/>
            <w:vAlign w:val="bottom"/>
          </w:tcPr>
          <w:p>
            <w:pPr>
              <w:jc w:val="right"/>
              <w:spacing w:after="0"/>
              <w:rPr>
                <w:sz w:val="20"/>
                <w:szCs w:val="20"/>
                <w:color w:val="auto"/>
              </w:rPr>
            </w:pPr>
            <w:r>
              <w:rPr>
                <w:rFonts w:ascii="Arial" w:cs="Arial" w:eastAsia="Arial" w:hAnsi="Arial"/>
                <w:sz w:val="18"/>
                <w:szCs w:val="18"/>
                <w:color w:val="auto"/>
              </w:rPr>
              <w:t>($273.241)</w:t>
            </w:r>
          </w:p>
        </w:tc>
      </w:tr>
      <w:tr>
        <w:trPr>
          <w:trHeight w:val="243"/>
        </w:trPr>
        <w:tc>
          <w:tcPr>
            <w:tcW w:w="4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LOANS NET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13,689.109</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13,700.273</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13,410.024</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12,663.175</w:t>
            </w:r>
          </w:p>
        </w:tc>
        <w:tc>
          <w:tcPr>
            <w:tcW w:w="1140" w:type="dxa"/>
            <w:vAlign w:val="bottom"/>
          </w:tcPr>
          <w:p>
            <w:pPr>
              <w:jc w:val="right"/>
              <w:spacing w:after="0"/>
              <w:rPr>
                <w:sz w:val="20"/>
                <w:szCs w:val="20"/>
                <w:color w:val="auto"/>
              </w:rPr>
            </w:pPr>
            <w:r>
              <w:rPr>
                <w:rFonts w:ascii="Arial" w:cs="Arial" w:eastAsia="Arial" w:hAnsi="Arial"/>
                <w:sz w:val="18"/>
                <w:szCs w:val="18"/>
                <w:color w:val="auto"/>
              </w:rPr>
              <w:t>$3,789.101</w:t>
            </w:r>
          </w:p>
        </w:tc>
      </w:tr>
      <w:tr>
        <w:trPr>
          <w:trHeight w:val="486"/>
        </w:trPr>
        <w:tc>
          <w:tcPr>
            <w:tcW w:w="4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INVESTMENT SECURITIES AVAIL. FOR SALE</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2,917.667</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3,166.132</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2,643.382</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3,120.714</w:t>
            </w:r>
          </w:p>
        </w:tc>
        <w:tc>
          <w:tcPr>
            <w:tcW w:w="1140" w:type="dxa"/>
            <w:vAlign w:val="bottom"/>
          </w:tcPr>
          <w:p>
            <w:pPr>
              <w:jc w:val="right"/>
              <w:spacing w:after="0"/>
              <w:rPr>
                <w:sz w:val="20"/>
                <w:szCs w:val="20"/>
                <w:color w:val="auto"/>
              </w:rPr>
            </w:pPr>
            <w:r>
              <w:rPr>
                <w:rFonts w:ascii="Arial" w:cs="Arial" w:eastAsia="Arial" w:hAnsi="Arial"/>
                <w:sz w:val="18"/>
                <w:szCs w:val="18"/>
                <w:color w:val="auto"/>
              </w:rPr>
              <w:t>$933.786</w:t>
            </w:r>
          </w:p>
        </w:tc>
      </w:tr>
      <w:tr>
        <w:trPr>
          <w:trHeight w:val="243"/>
        </w:trPr>
        <w:tc>
          <w:tcPr>
            <w:tcW w:w="4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756.185</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767.529</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717.039</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699.043</w:t>
            </w:r>
          </w:p>
        </w:tc>
        <w:tc>
          <w:tcPr>
            <w:tcW w:w="1140" w:type="dxa"/>
            <w:vAlign w:val="bottom"/>
          </w:tcPr>
          <w:p>
            <w:pPr>
              <w:jc w:val="right"/>
              <w:spacing w:after="0"/>
              <w:rPr>
                <w:sz w:val="20"/>
                <w:szCs w:val="20"/>
                <w:color w:val="auto"/>
              </w:rPr>
            </w:pPr>
            <w:r>
              <w:rPr>
                <w:rFonts w:ascii="Arial" w:cs="Arial" w:eastAsia="Arial" w:hAnsi="Arial"/>
                <w:sz w:val="18"/>
                <w:szCs w:val="18"/>
                <w:color w:val="auto"/>
              </w:rPr>
              <w:t>$209.169</w:t>
            </w:r>
          </w:p>
        </w:tc>
      </w:tr>
      <w:tr>
        <w:trPr>
          <w:trHeight w:val="243"/>
        </w:trPr>
        <w:tc>
          <w:tcPr>
            <w:tcW w:w="4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1,177.167</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1,080.871</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861.876</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882.330</w:t>
            </w:r>
          </w:p>
        </w:tc>
        <w:tc>
          <w:tcPr>
            <w:tcW w:w="1140" w:type="dxa"/>
            <w:vAlign w:val="bottom"/>
          </w:tcPr>
          <w:p>
            <w:pPr>
              <w:jc w:val="right"/>
              <w:spacing w:after="0"/>
              <w:rPr>
                <w:sz w:val="20"/>
                <w:szCs w:val="20"/>
                <w:color w:val="auto"/>
              </w:rPr>
            </w:pPr>
            <w:r>
              <w:rPr>
                <w:rFonts w:ascii="Arial" w:cs="Arial" w:eastAsia="Arial" w:hAnsi="Arial"/>
                <w:sz w:val="18"/>
                <w:szCs w:val="18"/>
                <w:color w:val="auto"/>
              </w:rPr>
              <w:t>$264.013</w:t>
            </w:r>
          </w:p>
        </w:tc>
      </w:tr>
      <w:tr>
        <w:trPr>
          <w:trHeight w:val="486"/>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00" w:type="dxa"/>
            <w:vAlign w:val="bottom"/>
          </w:tcPr>
          <w:p>
            <w:pPr>
              <w:jc w:val="center"/>
              <w:ind w:right="452"/>
              <w:spacing w:after="0"/>
              <w:rPr>
                <w:sz w:val="20"/>
                <w:szCs w:val="20"/>
                <w:color w:val="auto"/>
              </w:rPr>
            </w:pPr>
            <w:r>
              <w:rPr>
                <w:rFonts w:ascii="Arial" w:cs="Arial" w:eastAsia="Arial" w:hAnsi="Arial"/>
                <w:sz w:val="18"/>
                <w:szCs w:val="18"/>
                <w:color w:val="auto"/>
                <w:w w:val="92"/>
              </w:rPr>
              <w:t>TOTAL ASSETS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24,792.791</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24,294.689</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23,708.686</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23,164.749</w:t>
            </w:r>
          </w:p>
        </w:tc>
        <w:tc>
          <w:tcPr>
            <w:tcW w:w="1140" w:type="dxa"/>
            <w:vAlign w:val="bottom"/>
          </w:tcPr>
          <w:p>
            <w:pPr>
              <w:jc w:val="right"/>
              <w:spacing w:after="0"/>
              <w:rPr>
                <w:sz w:val="20"/>
                <w:szCs w:val="20"/>
                <w:color w:val="auto"/>
              </w:rPr>
            </w:pPr>
            <w:r>
              <w:rPr>
                <w:rFonts w:ascii="Arial" w:cs="Arial" w:eastAsia="Arial" w:hAnsi="Arial"/>
                <w:sz w:val="18"/>
                <w:szCs w:val="18"/>
                <w:color w:val="auto"/>
              </w:rPr>
              <w:t>$6,931.403</w:t>
            </w:r>
          </w:p>
        </w:tc>
      </w:tr>
      <w:tr>
        <w:trPr>
          <w:trHeight w:val="486"/>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00" w:type="dxa"/>
            <w:vAlign w:val="bottom"/>
          </w:tcPr>
          <w:p>
            <w:pPr>
              <w:jc w:val="center"/>
              <w:ind w:right="452"/>
              <w:spacing w:after="0"/>
              <w:rPr>
                <w:sz w:val="20"/>
                <w:szCs w:val="20"/>
                <w:color w:val="auto"/>
              </w:rPr>
            </w:pPr>
            <w:r>
              <w:rPr>
                <w:rFonts w:ascii="Arial" w:cs="Arial" w:eastAsia="Arial" w:hAnsi="Arial"/>
                <w:sz w:val="18"/>
                <w:szCs w:val="18"/>
                <w:color w:val="auto"/>
                <w:w w:val="96"/>
              </w:rPr>
              <w:t>LIABILITIES AND SHAREHOLDERS' EQUITY</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DEPOSITS AND OBLIGATIONS: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21,015.430</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20,517.718</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20,006.948</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19,288.961</w:t>
            </w:r>
          </w:p>
        </w:tc>
        <w:tc>
          <w:tcPr>
            <w:tcW w:w="1140" w:type="dxa"/>
            <w:vAlign w:val="bottom"/>
          </w:tcPr>
          <w:p>
            <w:pPr>
              <w:jc w:val="right"/>
              <w:spacing w:after="0"/>
              <w:rPr>
                <w:sz w:val="20"/>
                <w:szCs w:val="20"/>
                <w:color w:val="auto"/>
              </w:rPr>
            </w:pPr>
            <w:r>
              <w:rPr>
                <w:rFonts w:ascii="Arial" w:cs="Arial" w:eastAsia="Arial" w:hAnsi="Arial"/>
                <w:sz w:val="18"/>
                <w:szCs w:val="18"/>
                <w:color w:val="auto"/>
              </w:rPr>
              <w:t>$5,771.682</w:t>
            </w:r>
          </w:p>
        </w:tc>
      </w:tr>
      <w:tr>
        <w:trPr>
          <w:trHeight w:val="243"/>
        </w:trPr>
        <w:tc>
          <w:tcPr>
            <w:tcW w:w="4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Demand deposits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5,004.157</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5,056.006</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5,660.994</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5,243.913</w:t>
            </w:r>
          </w:p>
        </w:tc>
        <w:tc>
          <w:tcPr>
            <w:tcW w:w="1140" w:type="dxa"/>
            <w:vAlign w:val="bottom"/>
          </w:tcPr>
          <w:p>
            <w:pPr>
              <w:jc w:val="right"/>
              <w:spacing w:after="0"/>
              <w:rPr>
                <w:sz w:val="20"/>
                <w:szCs w:val="20"/>
                <w:color w:val="auto"/>
              </w:rPr>
            </w:pPr>
            <w:r>
              <w:rPr>
                <w:rFonts w:ascii="Arial" w:cs="Arial" w:eastAsia="Arial" w:hAnsi="Arial"/>
                <w:sz w:val="18"/>
                <w:szCs w:val="18"/>
                <w:color w:val="auto"/>
              </w:rPr>
              <w:t>$1,569.094</w:t>
            </w:r>
          </w:p>
        </w:tc>
      </w:tr>
      <w:tr>
        <w:trPr>
          <w:trHeight w:val="243"/>
        </w:trPr>
        <w:tc>
          <w:tcPr>
            <w:tcW w:w="4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Saving accounts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5,607.244</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5,557.836</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4,885.128</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4,741.729</w:t>
            </w:r>
          </w:p>
        </w:tc>
        <w:tc>
          <w:tcPr>
            <w:tcW w:w="1140" w:type="dxa"/>
            <w:vAlign w:val="bottom"/>
          </w:tcPr>
          <w:p>
            <w:pPr>
              <w:jc w:val="right"/>
              <w:spacing w:after="0"/>
              <w:rPr>
                <w:sz w:val="20"/>
                <w:szCs w:val="20"/>
                <w:color w:val="auto"/>
              </w:rPr>
            </w:pPr>
            <w:r>
              <w:rPr>
                <w:rFonts w:ascii="Arial" w:cs="Arial" w:eastAsia="Arial" w:hAnsi="Arial"/>
                <w:sz w:val="18"/>
                <w:szCs w:val="18"/>
                <w:color w:val="auto"/>
              </w:rPr>
              <w:t>$1,418.830</w:t>
            </w:r>
          </w:p>
        </w:tc>
      </w:tr>
      <w:tr>
        <w:trPr>
          <w:trHeight w:val="243"/>
        </w:trPr>
        <w:tc>
          <w:tcPr>
            <w:tcW w:w="4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10,404.029</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9,903.876</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9,460.826</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9,303.319</w:t>
            </w:r>
          </w:p>
        </w:tc>
        <w:tc>
          <w:tcPr>
            <w:tcW w:w="1140" w:type="dxa"/>
            <w:vAlign w:val="bottom"/>
          </w:tcPr>
          <w:p>
            <w:pPr>
              <w:jc w:val="right"/>
              <w:spacing w:after="0"/>
              <w:rPr>
                <w:sz w:val="20"/>
                <w:szCs w:val="20"/>
                <w:color w:val="auto"/>
              </w:rPr>
            </w:pPr>
            <w:r>
              <w:rPr>
                <w:rFonts w:ascii="Arial" w:cs="Arial" w:eastAsia="Arial" w:hAnsi="Arial"/>
                <w:sz w:val="18"/>
                <w:szCs w:val="18"/>
                <w:color w:val="auto"/>
              </w:rPr>
              <w:t>$2,783.758</w:t>
            </w:r>
          </w:p>
        </w:tc>
      </w:tr>
      <w:tr>
        <w:trPr>
          <w:trHeight w:val="486"/>
        </w:trPr>
        <w:tc>
          <w:tcPr>
            <w:tcW w:w="4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DUE TO BANKS AND CORRESPONDENTS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375.586</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372.122</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649.300</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537.652</w:t>
            </w:r>
          </w:p>
        </w:tc>
        <w:tc>
          <w:tcPr>
            <w:tcW w:w="1140" w:type="dxa"/>
            <w:vAlign w:val="bottom"/>
          </w:tcPr>
          <w:p>
            <w:pPr>
              <w:jc w:val="right"/>
              <w:spacing w:after="0"/>
              <w:rPr>
                <w:sz w:val="20"/>
                <w:szCs w:val="20"/>
                <w:color w:val="auto"/>
              </w:rPr>
            </w:pPr>
            <w:r>
              <w:rPr>
                <w:rFonts w:ascii="Arial" w:cs="Arial" w:eastAsia="Arial" w:hAnsi="Arial"/>
                <w:sz w:val="18"/>
                <w:szCs w:val="18"/>
                <w:color w:val="auto"/>
              </w:rPr>
              <w:t>$160.877</w:t>
            </w:r>
          </w:p>
        </w:tc>
      </w:tr>
      <w:tr>
        <w:trPr>
          <w:trHeight w:val="243"/>
        </w:trPr>
        <w:tc>
          <w:tcPr>
            <w:tcW w:w="4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1,148.268</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1,060.579</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802.444</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1,018.327</w:t>
            </w:r>
          </w:p>
        </w:tc>
        <w:tc>
          <w:tcPr>
            <w:tcW w:w="1140" w:type="dxa"/>
            <w:vAlign w:val="bottom"/>
          </w:tcPr>
          <w:p>
            <w:pPr>
              <w:jc w:val="right"/>
              <w:spacing w:after="0"/>
              <w:rPr>
                <w:sz w:val="20"/>
                <w:szCs w:val="20"/>
                <w:color w:val="auto"/>
              </w:rPr>
            </w:pPr>
            <w:r>
              <w:rPr>
                <w:rFonts w:ascii="Arial" w:cs="Arial" w:eastAsia="Arial" w:hAnsi="Arial"/>
                <w:sz w:val="18"/>
                <w:szCs w:val="18"/>
                <w:color w:val="auto"/>
              </w:rPr>
              <w:t>$304.706</w:t>
            </w:r>
          </w:p>
        </w:tc>
      </w:tr>
      <w:tr>
        <w:trPr>
          <w:trHeight w:val="486"/>
        </w:trPr>
        <w:tc>
          <w:tcPr>
            <w:tcW w:w="4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2,253.507</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2,344.270</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2,249.994</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2,319.809</w:t>
            </w:r>
          </w:p>
        </w:tc>
        <w:tc>
          <w:tcPr>
            <w:tcW w:w="1140" w:type="dxa"/>
            <w:vAlign w:val="bottom"/>
          </w:tcPr>
          <w:p>
            <w:pPr>
              <w:jc w:val="right"/>
              <w:spacing w:after="0"/>
              <w:rPr>
                <w:sz w:val="20"/>
                <w:szCs w:val="20"/>
                <w:color w:val="auto"/>
              </w:rPr>
            </w:pPr>
            <w:r>
              <w:rPr>
                <w:rFonts w:ascii="Arial" w:cs="Arial" w:eastAsia="Arial" w:hAnsi="Arial"/>
                <w:sz w:val="18"/>
                <w:szCs w:val="18"/>
                <w:color w:val="auto"/>
              </w:rPr>
              <w:t>$694.138</w:t>
            </w:r>
          </w:p>
        </w:tc>
      </w:tr>
      <w:tr>
        <w:trPr>
          <w:trHeight w:val="243"/>
        </w:trPr>
        <w:tc>
          <w:tcPr>
            <w:tcW w:w="4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Capital stock</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1,287.287</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1,286.528</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1,286.587</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1,286.528</w:t>
            </w:r>
          </w:p>
        </w:tc>
        <w:tc>
          <w:tcPr>
            <w:tcW w:w="1140" w:type="dxa"/>
            <w:vAlign w:val="bottom"/>
          </w:tcPr>
          <w:p>
            <w:pPr>
              <w:jc w:val="right"/>
              <w:spacing w:after="0"/>
              <w:rPr>
                <w:sz w:val="20"/>
                <w:szCs w:val="20"/>
                <w:color w:val="auto"/>
              </w:rPr>
            </w:pPr>
            <w:r>
              <w:rPr>
                <w:rFonts w:ascii="Arial" w:cs="Arial" w:eastAsia="Arial" w:hAnsi="Arial"/>
                <w:sz w:val="18"/>
                <w:szCs w:val="18"/>
                <w:color w:val="auto"/>
              </w:rPr>
              <w:t>$384.958</w:t>
            </w:r>
          </w:p>
        </w:tc>
      </w:tr>
      <w:tr>
        <w:trPr>
          <w:trHeight w:val="243"/>
        </w:trPr>
        <w:tc>
          <w:tcPr>
            <w:tcW w:w="4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Legal reserve</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733.015</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732.583</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805.521</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805.484</w:t>
            </w:r>
          </w:p>
        </w:tc>
        <w:tc>
          <w:tcPr>
            <w:tcW w:w="1140" w:type="dxa"/>
            <w:vAlign w:val="bottom"/>
          </w:tcPr>
          <w:p>
            <w:pPr>
              <w:jc w:val="right"/>
              <w:spacing w:after="0"/>
              <w:rPr>
                <w:sz w:val="20"/>
                <w:szCs w:val="20"/>
                <w:color w:val="auto"/>
              </w:rPr>
            </w:pPr>
            <w:r>
              <w:rPr>
                <w:rFonts w:ascii="Arial" w:cs="Arial" w:eastAsia="Arial" w:hAnsi="Arial"/>
                <w:sz w:val="18"/>
                <w:szCs w:val="18"/>
                <w:color w:val="auto"/>
              </w:rPr>
              <w:t>$241.019</w:t>
            </w:r>
          </w:p>
        </w:tc>
      </w:tr>
      <w:tr>
        <w:trPr>
          <w:trHeight w:val="243"/>
        </w:trPr>
        <w:tc>
          <w:tcPr>
            <w:tcW w:w="4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233.205</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325.159</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157.886</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227.797</w:t>
            </w:r>
          </w:p>
        </w:tc>
        <w:tc>
          <w:tcPr>
            <w:tcW w:w="1140" w:type="dxa"/>
            <w:vAlign w:val="bottom"/>
          </w:tcPr>
          <w:p>
            <w:pPr>
              <w:jc w:val="right"/>
              <w:spacing w:after="0"/>
              <w:rPr>
                <w:sz w:val="20"/>
                <w:szCs w:val="20"/>
                <w:color w:val="auto"/>
              </w:rPr>
            </w:pPr>
            <w:r>
              <w:rPr>
                <w:rFonts w:ascii="Arial" w:cs="Arial" w:eastAsia="Arial" w:hAnsi="Arial"/>
                <w:sz w:val="18"/>
                <w:szCs w:val="18"/>
                <w:color w:val="auto"/>
              </w:rPr>
              <w:t>$68.162</w:t>
            </w:r>
          </w:p>
        </w:tc>
      </w:tr>
      <w:tr>
        <w:trPr>
          <w:trHeight w:val="486"/>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00" w:type="dxa"/>
            <w:vAlign w:val="bottom"/>
          </w:tcPr>
          <w:p>
            <w:pPr>
              <w:jc w:val="center"/>
              <w:ind w:right="452"/>
              <w:spacing w:after="0"/>
              <w:rPr>
                <w:sz w:val="20"/>
                <w:szCs w:val="20"/>
                <w:color w:val="auto"/>
              </w:rPr>
            </w:pPr>
            <w:r>
              <w:rPr>
                <w:rFonts w:ascii="Arial" w:cs="Arial" w:eastAsia="Arial" w:hAnsi="Arial"/>
                <w:sz w:val="18"/>
                <w:szCs w:val="18"/>
                <w:color w:val="auto"/>
                <w:w w:val="98"/>
              </w:rPr>
              <w:t>TOTAL LIABILITIES AND EQUITY</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24,792.791</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24,294.689</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23,708.686</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23,164.749</w:t>
            </w:r>
          </w:p>
        </w:tc>
        <w:tc>
          <w:tcPr>
            <w:tcW w:w="1140" w:type="dxa"/>
            <w:vAlign w:val="bottom"/>
          </w:tcPr>
          <w:p>
            <w:pPr>
              <w:jc w:val="right"/>
              <w:spacing w:after="0"/>
              <w:rPr>
                <w:sz w:val="20"/>
                <w:szCs w:val="20"/>
                <w:color w:val="auto"/>
              </w:rPr>
            </w:pPr>
            <w:r>
              <w:rPr>
                <w:rFonts w:ascii="Arial" w:cs="Arial" w:eastAsia="Arial" w:hAnsi="Arial"/>
                <w:sz w:val="18"/>
                <w:szCs w:val="18"/>
                <w:color w:val="auto"/>
              </w:rPr>
              <w:t>$6,931.403</w:t>
            </w:r>
          </w:p>
        </w:tc>
      </w:tr>
      <w:tr>
        <w:trPr>
          <w:trHeight w:val="486"/>
        </w:trPr>
        <w:tc>
          <w:tcPr>
            <w:tcW w:w="4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Contingent Credits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4,836.768</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6,105.920</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5,967.593</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5,518.437</w:t>
            </w:r>
          </w:p>
        </w:tc>
        <w:tc>
          <w:tcPr>
            <w:tcW w:w="1140" w:type="dxa"/>
            <w:vAlign w:val="bottom"/>
          </w:tcPr>
          <w:p>
            <w:pPr>
              <w:jc w:val="right"/>
              <w:spacing w:after="0"/>
              <w:rPr>
                <w:sz w:val="20"/>
                <w:szCs w:val="20"/>
                <w:color w:val="auto"/>
              </w:rPr>
            </w:pPr>
            <w:r>
              <w:rPr>
                <w:rFonts w:ascii="Arial" w:cs="Arial" w:eastAsia="Arial" w:hAnsi="Arial"/>
                <w:sz w:val="18"/>
                <w:szCs w:val="18"/>
                <w:color w:val="auto"/>
              </w:rPr>
              <w:t>$1,651.238</w:t>
            </w:r>
          </w:p>
        </w:tc>
      </w:tr>
      <w:tr>
        <w:trPr>
          <w:trHeight w:val="243"/>
        </w:trPr>
        <w:tc>
          <w:tcPr>
            <w:tcW w:w="4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Funds under management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3,886.098</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3,938.220</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3,393.487</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3,182.042</w:t>
            </w:r>
          </w:p>
        </w:tc>
        <w:tc>
          <w:tcPr>
            <w:tcW w:w="1140" w:type="dxa"/>
            <w:vAlign w:val="bottom"/>
          </w:tcPr>
          <w:p>
            <w:pPr>
              <w:jc w:val="right"/>
              <w:spacing w:after="0"/>
              <w:rPr>
                <w:sz w:val="20"/>
                <w:szCs w:val="20"/>
                <w:color w:val="auto"/>
              </w:rPr>
            </w:pPr>
            <w:r>
              <w:rPr>
                <w:rFonts w:ascii="Arial" w:cs="Arial" w:eastAsia="Arial" w:hAnsi="Arial"/>
                <w:sz w:val="18"/>
                <w:szCs w:val="18"/>
                <w:color w:val="auto"/>
              </w:rPr>
              <w:t>$952.137</w:t>
            </w:r>
          </w:p>
        </w:tc>
      </w:tr>
      <w:tr>
        <w:trPr>
          <w:trHeight w:val="137"/>
        </w:trPr>
        <w:tc>
          <w:tcPr>
            <w:tcW w:w="4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45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r>
      <w:tr>
        <w:trPr>
          <w:trHeight w:val="343"/>
        </w:trPr>
        <w:tc>
          <w:tcPr>
            <w:tcW w:w="580" w:type="dxa"/>
            <w:vAlign w:val="bottom"/>
            <w:gridSpan w:val="2"/>
          </w:tcPr>
          <w:p>
            <w:pPr>
              <w:jc w:val="right"/>
              <w:ind w:right="272"/>
              <w:spacing w:after="0"/>
              <w:rPr>
                <w:sz w:val="20"/>
                <w:szCs w:val="20"/>
                <w:color w:val="auto"/>
              </w:rPr>
            </w:pPr>
            <w:r>
              <w:rPr>
                <w:rFonts w:ascii="Arial" w:cs="Arial" w:eastAsia="Arial" w:hAnsi="Arial"/>
                <w:sz w:val="18"/>
                <w:szCs w:val="18"/>
                <w:color w:val="auto"/>
                <w:w w:val="90"/>
              </w:rPr>
              <w:t>(1)</w:t>
            </w:r>
          </w:p>
        </w:tc>
        <w:tc>
          <w:tcPr>
            <w:tcW w:w="4500" w:type="dxa"/>
            <w:vAlign w:val="bottom"/>
          </w:tcPr>
          <w:p>
            <w:pPr>
              <w:spacing w:after="0"/>
              <w:rPr>
                <w:sz w:val="20"/>
                <w:szCs w:val="20"/>
                <w:color w:val="auto"/>
              </w:rPr>
            </w:pPr>
            <w:r>
              <w:rPr>
                <w:rFonts w:ascii="Arial" w:cs="Arial" w:eastAsia="Arial" w:hAnsi="Arial"/>
                <w:sz w:val="18"/>
                <w:szCs w:val="18"/>
                <w:color w:val="auto"/>
              </w:rPr>
              <w:t>Translated at S/.3.342 per US$1.00.</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-6271260</wp:posOffset>
            </wp:positionV>
            <wp:extent cx="3429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-6271260</wp:posOffset>
            </wp:positionV>
            <wp:extent cx="3429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-242570</wp:posOffset>
            </wp:positionV>
            <wp:extent cx="3429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18" w:name="page19"/>
    <w:bookmarkEnd w:id="18"/>
    <w:p>
      <w:pPr>
        <w:jc w:val="center"/>
        <w:ind w:right="-11"/>
        <w:spacing w:after="0"/>
        <w:rPr>
          <w:sz w:val="20"/>
          <w:szCs w:val="20"/>
          <w:color w:val="auto"/>
        </w:rPr>
      </w:pPr>
      <w:r>
        <w:rPr>
          <w:rFonts w:ascii="Arial" w:cs="Arial" w:eastAsia="Arial" w:hAnsi="Arial"/>
          <w:sz w:val="18"/>
          <w:szCs w:val="18"/>
          <w:color w:val="auto"/>
        </w:rPr>
        <w:t>BANCO DE CREDITO DEL PERU AND SUBSIDIARIES</w:t>
      </w:r>
    </w:p>
    <w:p>
      <w:pPr>
        <w:spacing w:after="0" w:line="1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Table 5</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CONSOLIDATED INCOME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(Constant Nuevos Soles, as of September 30, 2004 and U.S. Dollars in thousands)</w:t>
      </w:r>
    </w:p>
    <w:p>
      <w:pPr>
        <w:spacing w:after="0" w:line="246" w:lineRule="exact"/>
        <w:rPr>
          <w:sz w:val="20"/>
          <w:szCs w:val="20"/>
          <w:color w:val="auto"/>
        </w:rPr>
      </w:pPr>
    </w:p>
    <w:tbl>
      <w:tblPr>
        <w:tblLayout w:type="fixed"/>
        <w:tblInd w:w="32" w:type="dxa"/>
        <w:tblCellMar>
          <w:top w:w="0" w:type="dxa"/>
          <w:left w:w="0" w:type="dxa"/>
          <w:bottom w:w="0" w:type="dxa"/>
          <w:right w:w="0" w:type="dxa"/>
        </w:tblCellMar>
      </w:tblPr>
      <w:tr>
        <w:trPr>
          <w:trHeight w:val="222"/>
        </w:trPr>
        <w:tc>
          <w:tcPr>
            <w:tcW w:w="3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60" w:type="dxa"/>
            <w:vAlign w:val="bottom"/>
            <w:gridSpan w:val="2"/>
          </w:tcPr>
          <w:p>
            <w:pPr>
              <w:jc w:val="right"/>
              <w:ind w:right="432"/>
              <w:spacing w:after="0"/>
              <w:rPr>
                <w:sz w:val="20"/>
                <w:szCs w:val="20"/>
                <w:color w:val="auto"/>
              </w:rPr>
            </w:pPr>
            <w:r>
              <w:rPr>
                <w:rFonts w:ascii="Arial" w:cs="Arial" w:eastAsia="Arial" w:hAnsi="Arial"/>
                <w:sz w:val="18"/>
                <w:szCs w:val="18"/>
                <w:color w:val="auto"/>
              </w:rPr>
              <w:t>Three months ended</w:t>
            </w: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Nine months ended</w:t>
            </w:r>
          </w:p>
        </w:tc>
        <w:tc>
          <w:tcPr>
            <w:tcW w:w="980" w:type="dxa"/>
            <w:vAlign w:val="bottom"/>
          </w:tcPr>
          <w:p>
            <w:pPr>
              <w:spacing w:after="0"/>
              <w:rPr>
                <w:sz w:val="19"/>
                <w:szCs w:val="19"/>
                <w:color w:val="auto"/>
              </w:rPr>
            </w:pPr>
          </w:p>
        </w:tc>
      </w:tr>
      <w:tr>
        <w:trPr>
          <w:trHeight w:val="137"/>
        </w:trPr>
        <w:tc>
          <w:tcPr>
            <w:tcW w:w="3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r>
      <w:tr>
        <w:trPr>
          <w:trHeight w:val="343"/>
        </w:trPr>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jc w:val="right"/>
              <w:ind w:right="292"/>
              <w:spacing w:after="0"/>
              <w:rPr>
                <w:sz w:val="20"/>
                <w:szCs w:val="20"/>
                <w:color w:val="auto"/>
              </w:rPr>
            </w:pPr>
            <w:r>
              <w:rPr>
                <w:rFonts w:ascii="Arial" w:cs="Arial" w:eastAsia="Arial" w:hAnsi="Arial"/>
                <w:sz w:val="18"/>
                <w:szCs w:val="18"/>
                <w:color w:val="auto"/>
              </w:rPr>
              <w:t>30.09.03</w:t>
            </w:r>
          </w:p>
        </w:tc>
        <w:tc>
          <w:tcPr>
            <w:tcW w:w="1160" w:type="dxa"/>
            <w:vAlign w:val="bottom"/>
          </w:tcPr>
          <w:p>
            <w:pPr>
              <w:jc w:val="right"/>
              <w:ind w:right="312"/>
              <w:spacing w:after="0"/>
              <w:rPr>
                <w:sz w:val="20"/>
                <w:szCs w:val="20"/>
                <w:color w:val="auto"/>
              </w:rPr>
            </w:pPr>
            <w:r>
              <w:rPr>
                <w:rFonts w:ascii="Arial" w:cs="Arial" w:eastAsia="Arial" w:hAnsi="Arial"/>
                <w:sz w:val="18"/>
                <w:szCs w:val="18"/>
                <w:color w:val="auto"/>
              </w:rPr>
              <w:t>30.06.04</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30.09.04</w:t>
            </w: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30.09.04</w:t>
            </w:r>
          </w:p>
        </w:tc>
        <w:tc>
          <w:tcPr>
            <w:tcW w:w="1280" w:type="dxa"/>
            <w:vAlign w:val="bottom"/>
            <w:gridSpan w:val="2"/>
          </w:tcPr>
          <w:p>
            <w:pPr>
              <w:jc w:val="right"/>
              <w:ind w:right="292"/>
              <w:spacing w:after="0"/>
              <w:rPr>
                <w:sz w:val="20"/>
                <w:szCs w:val="20"/>
                <w:color w:val="auto"/>
              </w:rPr>
            </w:pPr>
            <w:r>
              <w:rPr>
                <w:rFonts w:ascii="Arial" w:cs="Arial" w:eastAsia="Arial" w:hAnsi="Arial"/>
                <w:sz w:val="18"/>
                <w:szCs w:val="18"/>
                <w:color w:val="auto"/>
              </w:rPr>
              <w:t>30.09.03</w:t>
            </w:r>
          </w:p>
        </w:tc>
        <w:tc>
          <w:tcPr>
            <w:tcW w:w="1160" w:type="dxa"/>
            <w:vAlign w:val="bottom"/>
          </w:tcPr>
          <w:p>
            <w:pPr>
              <w:jc w:val="right"/>
              <w:ind w:right="312"/>
              <w:spacing w:after="0"/>
              <w:rPr>
                <w:sz w:val="20"/>
                <w:szCs w:val="20"/>
                <w:color w:val="auto"/>
              </w:rPr>
            </w:pPr>
            <w:r>
              <w:rPr>
                <w:rFonts w:ascii="Arial" w:cs="Arial" w:eastAsia="Arial" w:hAnsi="Arial"/>
                <w:sz w:val="18"/>
                <w:szCs w:val="18"/>
                <w:color w:val="auto"/>
              </w:rPr>
              <w:t>30.09.04</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w w:val="99"/>
              </w:rPr>
              <w:t>30.09.04</w:t>
            </w:r>
          </w:p>
        </w:tc>
      </w:tr>
      <w:tr>
        <w:trPr>
          <w:trHeight w:val="137"/>
        </w:trPr>
        <w:tc>
          <w:tcPr>
            <w:tcW w:w="33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r>
      <w:tr>
        <w:trPr>
          <w:trHeight w:val="343"/>
        </w:trPr>
        <w:tc>
          <w:tcPr>
            <w:tcW w:w="3380" w:type="dxa"/>
            <w:vAlign w:val="bottom"/>
            <w:gridSpan w:val="2"/>
          </w:tcPr>
          <w:p>
            <w:pPr>
              <w:spacing w:after="0"/>
              <w:rPr>
                <w:sz w:val="20"/>
                <w:szCs w:val="20"/>
                <w:color w:val="auto"/>
              </w:rPr>
            </w:pPr>
            <w:r>
              <w:rPr>
                <w:rFonts w:ascii="Arial" w:cs="Arial" w:eastAsia="Arial" w:hAnsi="Arial"/>
                <w:sz w:val="18"/>
                <w:szCs w:val="18"/>
                <w:color w:val="auto"/>
              </w:rPr>
              <w:t>Interest income and expense</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w w:val="98"/>
              </w:rPr>
              <w:t>US$000(1)</w:t>
            </w: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w w:val="89"/>
              </w:rPr>
              <w:t>US$000(1)</w:t>
            </w:r>
          </w:p>
        </w:tc>
      </w:tr>
      <w:tr>
        <w:trPr>
          <w:trHeight w:val="243"/>
        </w:trPr>
        <w:tc>
          <w:tcPr>
            <w:tcW w:w="33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423.434</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369.506</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372.396</w:t>
            </w:r>
          </w:p>
        </w:tc>
        <w:tc>
          <w:tcPr>
            <w:tcW w:w="1040" w:type="dxa"/>
            <w:vAlign w:val="bottom"/>
          </w:tcPr>
          <w:p>
            <w:pPr>
              <w:jc w:val="right"/>
              <w:spacing w:after="0"/>
              <w:rPr>
                <w:sz w:val="20"/>
                <w:szCs w:val="20"/>
                <w:color w:val="auto"/>
              </w:rPr>
            </w:pPr>
            <w:r>
              <w:rPr>
                <w:rFonts w:ascii="Arial" w:cs="Arial" w:eastAsia="Arial" w:hAnsi="Arial"/>
                <w:sz w:val="18"/>
                <w:szCs w:val="18"/>
                <w:color w:val="auto"/>
              </w:rPr>
              <w:t>$111.429</w:t>
            </w: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1,291.865</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1,117.577</w:t>
            </w:r>
          </w:p>
        </w:tc>
        <w:tc>
          <w:tcPr>
            <w:tcW w:w="980" w:type="dxa"/>
            <w:vAlign w:val="bottom"/>
          </w:tcPr>
          <w:p>
            <w:pPr>
              <w:jc w:val="right"/>
              <w:spacing w:after="0"/>
              <w:rPr>
                <w:sz w:val="20"/>
                <w:szCs w:val="20"/>
                <w:color w:val="auto"/>
              </w:rPr>
            </w:pPr>
            <w:r>
              <w:rPr>
                <w:rFonts w:ascii="Arial" w:cs="Arial" w:eastAsia="Arial" w:hAnsi="Arial"/>
                <w:sz w:val="18"/>
                <w:szCs w:val="18"/>
                <w:color w:val="auto"/>
              </w:rPr>
              <w:t>$334.404</w:t>
            </w:r>
          </w:p>
        </w:tc>
      </w:tr>
      <w:tr>
        <w:trPr>
          <w:trHeight w:val="243"/>
        </w:trPr>
        <w:tc>
          <w:tcPr>
            <w:tcW w:w="3380" w:type="dxa"/>
            <w:vAlign w:val="bottom"/>
            <w:gridSpan w:val="2"/>
          </w:tcPr>
          <w:p>
            <w:pPr>
              <w:spacing w:after="0"/>
              <w:rPr>
                <w:sz w:val="20"/>
                <w:szCs w:val="20"/>
                <w:color w:val="auto"/>
              </w:rPr>
            </w:pPr>
            <w:r>
              <w:rPr>
                <w:rFonts w:ascii="Arial" w:cs="Arial" w:eastAsia="Arial" w:hAnsi="Arial"/>
                <w:sz w:val="18"/>
                <w:szCs w:val="18"/>
                <w:color w:val="auto"/>
              </w:rPr>
              <w:t>Less - Interest expense</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112.858</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105.874</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111.793</w:t>
            </w:r>
          </w:p>
        </w:tc>
        <w:tc>
          <w:tcPr>
            <w:tcW w:w="1040" w:type="dxa"/>
            <w:vAlign w:val="bottom"/>
          </w:tcPr>
          <w:p>
            <w:pPr>
              <w:jc w:val="right"/>
              <w:spacing w:after="0"/>
              <w:rPr>
                <w:sz w:val="20"/>
                <w:szCs w:val="20"/>
                <w:color w:val="auto"/>
              </w:rPr>
            </w:pPr>
            <w:r>
              <w:rPr>
                <w:rFonts w:ascii="Arial" w:cs="Arial" w:eastAsia="Arial" w:hAnsi="Arial"/>
                <w:sz w:val="18"/>
                <w:szCs w:val="18"/>
                <w:color w:val="auto"/>
              </w:rPr>
              <w:t>$33.451</w:t>
            </w: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378.367</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325.715</w:t>
            </w:r>
          </w:p>
        </w:tc>
        <w:tc>
          <w:tcPr>
            <w:tcW w:w="980" w:type="dxa"/>
            <w:vAlign w:val="bottom"/>
          </w:tcPr>
          <w:p>
            <w:pPr>
              <w:jc w:val="right"/>
              <w:spacing w:after="0"/>
              <w:rPr>
                <w:sz w:val="20"/>
                <w:szCs w:val="20"/>
                <w:color w:val="auto"/>
              </w:rPr>
            </w:pPr>
            <w:r>
              <w:rPr>
                <w:rFonts w:ascii="Arial" w:cs="Arial" w:eastAsia="Arial" w:hAnsi="Arial"/>
                <w:sz w:val="18"/>
                <w:szCs w:val="18"/>
                <w:color w:val="auto"/>
              </w:rPr>
              <w:t>$97.461</w:t>
            </w:r>
          </w:p>
        </w:tc>
      </w:tr>
      <w:tr>
        <w:trPr>
          <w:trHeight w:val="243"/>
        </w:trPr>
        <w:tc>
          <w:tcPr>
            <w:tcW w:w="338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Net interest income</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310.576</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263.632</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260.603</w:t>
            </w:r>
          </w:p>
        </w:tc>
        <w:tc>
          <w:tcPr>
            <w:tcW w:w="1040" w:type="dxa"/>
            <w:vAlign w:val="bottom"/>
          </w:tcPr>
          <w:p>
            <w:pPr>
              <w:jc w:val="right"/>
              <w:spacing w:after="0"/>
              <w:rPr>
                <w:sz w:val="20"/>
                <w:szCs w:val="20"/>
                <w:color w:val="auto"/>
              </w:rPr>
            </w:pPr>
            <w:r>
              <w:rPr>
                <w:rFonts w:ascii="Arial" w:cs="Arial" w:eastAsia="Arial" w:hAnsi="Arial"/>
                <w:sz w:val="18"/>
                <w:szCs w:val="18"/>
                <w:color w:val="auto"/>
              </w:rPr>
              <w:t>$77.978</w:t>
            </w: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913.498</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791.862</w:t>
            </w:r>
          </w:p>
        </w:tc>
        <w:tc>
          <w:tcPr>
            <w:tcW w:w="980" w:type="dxa"/>
            <w:vAlign w:val="bottom"/>
          </w:tcPr>
          <w:p>
            <w:pPr>
              <w:jc w:val="right"/>
              <w:spacing w:after="0"/>
              <w:rPr>
                <w:sz w:val="20"/>
                <w:szCs w:val="20"/>
                <w:color w:val="auto"/>
              </w:rPr>
            </w:pPr>
            <w:r>
              <w:rPr>
                <w:rFonts w:ascii="Arial" w:cs="Arial" w:eastAsia="Arial" w:hAnsi="Arial"/>
                <w:sz w:val="18"/>
                <w:szCs w:val="18"/>
                <w:color w:val="auto"/>
              </w:rPr>
              <w:t>$236.943</w:t>
            </w:r>
          </w:p>
        </w:tc>
      </w:tr>
      <w:tr>
        <w:trPr>
          <w:trHeight w:val="486"/>
        </w:trPr>
        <w:tc>
          <w:tcPr>
            <w:tcW w:w="3380" w:type="dxa"/>
            <w:vAlign w:val="bottom"/>
            <w:gridSpan w:val="2"/>
          </w:tcPr>
          <w:p>
            <w:pPr>
              <w:spacing w:after="0"/>
              <w:rPr>
                <w:sz w:val="20"/>
                <w:szCs w:val="20"/>
                <w:color w:val="auto"/>
              </w:rPr>
            </w:pPr>
            <w:r>
              <w:rPr>
                <w:rFonts w:ascii="Arial" w:cs="Arial" w:eastAsia="Arial" w:hAnsi="Arial"/>
                <w:sz w:val="18"/>
                <w:szCs w:val="18"/>
                <w:color w:val="auto"/>
              </w:rPr>
              <w:t>Provisions for possible loan losses, net</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83.570</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20.618</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12.317</w:t>
            </w:r>
          </w:p>
        </w:tc>
        <w:tc>
          <w:tcPr>
            <w:tcW w:w="1040" w:type="dxa"/>
            <w:vAlign w:val="bottom"/>
          </w:tcPr>
          <w:p>
            <w:pPr>
              <w:jc w:val="right"/>
              <w:spacing w:after="0"/>
              <w:rPr>
                <w:sz w:val="20"/>
                <w:szCs w:val="20"/>
                <w:color w:val="auto"/>
              </w:rPr>
            </w:pPr>
            <w:r>
              <w:rPr>
                <w:rFonts w:ascii="Arial" w:cs="Arial" w:eastAsia="Arial" w:hAnsi="Arial"/>
                <w:sz w:val="18"/>
                <w:szCs w:val="18"/>
                <w:color w:val="auto"/>
              </w:rPr>
              <w:t>$3.686</w:t>
            </w: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276.969</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81.022</w:t>
            </w:r>
          </w:p>
        </w:tc>
        <w:tc>
          <w:tcPr>
            <w:tcW w:w="980" w:type="dxa"/>
            <w:vAlign w:val="bottom"/>
          </w:tcPr>
          <w:p>
            <w:pPr>
              <w:jc w:val="right"/>
              <w:spacing w:after="0"/>
              <w:rPr>
                <w:sz w:val="20"/>
                <w:szCs w:val="20"/>
                <w:color w:val="auto"/>
              </w:rPr>
            </w:pPr>
            <w:r>
              <w:rPr>
                <w:rFonts w:ascii="Arial" w:cs="Arial" w:eastAsia="Arial" w:hAnsi="Arial"/>
                <w:sz w:val="18"/>
                <w:szCs w:val="18"/>
                <w:color w:val="auto"/>
              </w:rPr>
              <w:t>$24.244</w:t>
            </w:r>
          </w:p>
        </w:tc>
      </w:tr>
      <w:tr>
        <w:trPr>
          <w:trHeight w:val="486"/>
        </w:trPr>
        <w:tc>
          <w:tcPr>
            <w:tcW w:w="33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Net interest income after provisions</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227.006</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243.014</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248.286</w:t>
            </w:r>
          </w:p>
        </w:tc>
        <w:tc>
          <w:tcPr>
            <w:tcW w:w="1040" w:type="dxa"/>
            <w:vAlign w:val="bottom"/>
          </w:tcPr>
          <w:p>
            <w:pPr>
              <w:jc w:val="right"/>
              <w:spacing w:after="0"/>
              <w:rPr>
                <w:sz w:val="20"/>
                <w:szCs w:val="20"/>
                <w:color w:val="auto"/>
              </w:rPr>
            </w:pPr>
            <w:r>
              <w:rPr>
                <w:rFonts w:ascii="Arial" w:cs="Arial" w:eastAsia="Arial" w:hAnsi="Arial"/>
                <w:sz w:val="18"/>
                <w:szCs w:val="18"/>
                <w:color w:val="auto"/>
              </w:rPr>
              <w:t>$74.293</w:t>
            </w: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636.529</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710.840</w:t>
            </w:r>
          </w:p>
        </w:tc>
        <w:tc>
          <w:tcPr>
            <w:tcW w:w="980" w:type="dxa"/>
            <w:vAlign w:val="bottom"/>
          </w:tcPr>
          <w:p>
            <w:pPr>
              <w:jc w:val="right"/>
              <w:spacing w:after="0"/>
              <w:rPr>
                <w:sz w:val="20"/>
                <w:szCs w:val="20"/>
                <w:color w:val="auto"/>
              </w:rPr>
            </w:pPr>
            <w:r>
              <w:rPr>
                <w:rFonts w:ascii="Arial" w:cs="Arial" w:eastAsia="Arial" w:hAnsi="Arial"/>
                <w:sz w:val="18"/>
                <w:szCs w:val="18"/>
                <w:color w:val="auto"/>
              </w:rPr>
              <w:t>$212.699</w:t>
            </w:r>
          </w:p>
        </w:tc>
      </w:tr>
      <w:tr>
        <w:trPr>
          <w:trHeight w:val="486"/>
        </w:trPr>
        <w:tc>
          <w:tcPr>
            <w:tcW w:w="338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3"/>
        </w:trPr>
        <w:tc>
          <w:tcPr>
            <w:tcW w:w="3380" w:type="dxa"/>
            <w:vAlign w:val="bottom"/>
            <w:gridSpan w:val="2"/>
          </w:tcPr>
          <w:p>
            <w:pPr>
              <w:spacing w:after="0"/>
              <w:rPr>
                <w:sz w:val="20"/>
                <w:szCs w:val="20"/>
                <w:color w:val="auto"/>
              </w:rPr>
            </w:pPr>
            <w:r>
              <w:rPr>
                <w:rFonts w:ascii="Arial" w:cs="Arial" w:eastAsia="Arial" w:hAnsi="Arial"/>
                <w:sz w:val="18"/>
                <w:szCs w:val="18"/>
                <w:color w:val="auto"/>
              </w:rPr>
              <w:t>Fees and commissions from services</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174.898</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161.188</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163.186</w:t>
            </w:r>
          </w:p>
        </w:tc>
        <w:tc>
          <w:tcPr>
            <w:tcW w:w="1040" w:type="dxa"/>
            <w:vAlign w:val="bottom"/>
          </w:tcPr>
          <w:p>
            <w:pPr>
              <w:jc w:val="right"/>
              <w:spacing w:after="0"/>
              <w:rPr>
                <w:sz w:val="20"/>
                <w:szCs w:val="20"/>
                <w:color w:val="auto"/>
              </w:rPr>
            </w:pPr>
            <w:r>
              <w:rPr>
                <w:rFonts w:ascii="Arial" w:cs="Arial" w:eastAsia="Arial" w:hAnsi="Arial"/>
                <w:sz w:val="18"/>
                <w:szCs w:val="18"/>
                <w:color w:val="auto"/>
              </w:rPr>
              <w:t>$48.829</w:t>
            </w: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508.786</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485.001</w:t>
            </w:r>
          </w:p>
        </w:tc>
        <w:tc>
          <w:tcPr>
            <w:tcW w:w="980" w:type="dxa"/>
            <w:vAlign w:val="bottom"/>
          </w:tcPr>
          <w:p>
            <w:pPr>
              <w:jc w:val="right"/>
              <w:spacing w:after="0"/>
              <w:rPr>
                <w:sz w:val="20"/>
                <w:szCs w:val="20"/>
                <w:color w:val="auto"/>
              </w:rPr>
            </w:pPr>
            <w:r>
              <w:rPr>
                <w:rFonts w:ascii="Arial" w:cs="Arial" w:eastAsia="Arial" w:hAnsi="Arial"/>
                <w:sz w:val="18"/>
                <w:szCs w:val="18"/>
                <w:color w:val="auto"/>
              </w:rPr>
              <w:t>$145.123</w:t>
            </w:r>
          </w:p>
        </w:tc>
      </w:tr>
      <w:tr>
        <w:trPr>
          <w:trHeight w:val="243"/>
        </w:trPr>
        <w:tc>
          <w:tcPr>
            <w:tcW w:w="3380" w:type="dxa"/>
            <w:vAlign w:val="bottom"/>
            <w:gridSpan w:val="2"/>
          </w:tcPr>
          <w:p>
            <w:pPr>
              <w:spacing w:after="0"/>
              <w:rPr>
                <w:sz w:val="20"/>
                <w:szCs w:val="20"/>
                <w:color w:val="auto"/>
              </w:rPr>
            </w:pPr>
            <w:r>
              <w:rPr>
                <w:rFonts w:ascii="Arial" w:cs="Arial" w:eastAsia="Arial" w:hAnsi="Arial"/>
                <w:sz w:val="18"/>
                <w:szCs w:val="18"/>
                <w:color w:val="auto"/>
              </w:rPr>
              <w:t>Net gains from sales of securities</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(5.663)</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(8.748)</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5.579</w:t>
            </w:r>
          </w:p>
        </w:tc>
        <w:tc>
          <w:tcPr>
            <w:tcW w:w="1040" w:type="dxa"/>
            <w:vAlign w:val="bottom"/>
          </w:tcPr>
          <w:p>
            <w:pPr>
              <w:jc w:val="right"/>
              <w:spacing w:after="0"/>
              <w:rPr>
                <w:sz w:val="20"/>
                <w:szCs w:val="20"/>
                <w:color w:val="auto"/>
              </w:rPr>
            </w:pPr>
            <w:r>
              <w:rPr>
                <w:rFonts w:ascii="Arial" w:cs="Arial" w:eastAsia="Arial" w:hAnsi="Arial"/>
                <w:sz w:val="18"/>
                <w:szCs w:val="18"/>
                <w:color w:val="auto"/>
              </w:rPr>
              <w:t>$1.669</w:t>
            </w: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7.818</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6.834</w:t>
            </w:r>
          </w:p>
        </w:tc>
        <w:tc>
          <w:tcPr>
            <w:tcW w:w="980" w:type="dxa"/>
            <w:vAlign w:val="bottom"/>
          </w:tcPr>
          <w:p>
            <w:pPr>
              <w:jc w:val="right"/>
              <w:spacing w:after="0"/>
              <w:rPr>
                <w:sz w:val="20"/>
                <w:szCs w:val="20"/>
                <w:color w:val="auto"/>
              </w:rPr>
            </w:pPr>
            <w:r>
              <w:rPr>
                <w:rFonts w:ascii="Arial" w:cs="Arial" w:eastAsia="Arial" w:hAnsi="Arial"/>
                <w:sz w:val="18"/>
                <w:szCs w:val="18"/>
                <w:color w:val="auto"/>
              </w:rPr>
              <w:t>$2.045</w:t>
            </w:r>
          </w:p>
        </w:tc>
      </w:tr>
      <w:tr>
        <w:trPr>
          <w:trHeight w:val="243"/>
        </w:trPr>
        <w:tc>
          <w:tcPr>
            <w:tcW w:w="3380" w:type="dxa"/>
            <w:vAlign w:val="bottom"/>
            <w:gridSpan w:val="2"/>
          </w:tcPr>
          <w:p>
            <w:pPr>
              <w:spacing w:after="0"/>
              <w:rPr>
                <w:sz w:val="20"/>
                <w:szCs w:val="20"/>
                <w:color w:val="auto"/>
              </w:rPr>
            </w:pPr>
            <w:r>
              <w:rPr>
                <w:rFonts w:ascii="Arial" w:cs="Arial" w:eastAsia="Arial" w:hAnsi="Arial"/>
                <w:sz w:val="18"/>
                <w:szCs w:val="18"/>
                <w:color w:val="auto"/>
              </w:rPr>
              <w:t>Net gains on foreing exchg. transacts.</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19.324</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18.341</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21.559</w:t>
            </w:r>
          </w:p>
        </w:tc>
        <w:tc>
          <w:tcPr>
            <w:tcW w:w="1040" w:type="dxa"/>
            <w:vAlign w:val="bottom"/>
          </w:tcPr>
          <w:p>
            <w:pPr>
              <w:jc w:val="right"/>
              <w:spacing w:after="0"/>
              <w:rPr>
                <w:sz w:val="20"/>
                <w:szCs w:val="20"/>
                <w:color w:val="auto"/>
              </w:rPr>
            </w:pPr>
            <w:r>
              <w:rPr>
                <w:rFonts w:ascii="Arial" w:cs="Arial" w:eastAsia="Arial" w:hAnsi="Arial"/>
                <w:sz w:val="18"/>
                <w:szCs w:val="18"/>
                <w:color w:val="auto"/>
              </w:rPr>
              <w:t>$6.451</w:t>
            </w: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62.057</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59.092</w:t>
            </w:r>
          </w:p>
        </w:tc>
        <w:tc>
          <w:tcPr>
            <w:tcW w:w="980" w:type="dxa"/>
            <w:vAlign w:val="bottom"/>
          </w:tcPr>
          <w:p>
            <w:pPr>
              <w:jc w:val="right"/>
              <w:spacing w:after="0"/>
              <w:rPr>
                <w:sz w:val="20"/>
                <w:szCs w:val="20"/>
                <w:color w:val="auto"/>
              </w:rPr>
            </w:pPr>
            <w:r>
              <w:rPr>
                <w:rFonts w:ascii="Arial" w:cs="Arial" w:eastAsia="Arial" w:hAnsi="Arial"/>
                <w:sz w:val="18"/>
                <w:szCs w:val="18"/>
                <w:color w:val="auto"/>
              </w:rPr>
              <w:t>$17.682</w:t>
            </w:r>
          </w:p>
        </w:tc>
      </w:tr>
      <w:tr>
        <w:trPr>
          <w:trHeight w:val="243"/>
        </w:trPr>
        <w:tc>
          <w:tcPr>
            <w:tcW w:w="338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49.706</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35.036</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24.701</w:t>
            </w:r>
          </w:p>
        </w:tc>
        <w:tc>
          <w:tcPr>
            <w:tcW w:w="1040" w:type="dxa"/>
            <w:vAlign w:val="bottom"/>
          </w:tcPr>
          <w:p>
            <w:pPr>
              <w:jc w:val="right"/>
              <w:spacing w:after="0"/>
              <w:rPr>
                <w:sz w:val="20"/>
                <w:szCs w:val="20"/>
                <w:color w:val="auto"/>
              </w:rPr>
            </w:pPr>
            <w:r>
              <w:rPr>
                <w:rFonts w:ascii="Arial" w:cs="Arial" w:eastAsia="Arial" w:hAnsi="Arial"/>
                <w:sz w:val="18"/>
                <w:szCs w:val="18"/>
                <w:color w:val="auto"/>
              </w:rPr>
              <w:t>$7.391</w:t>
            </w: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147.800</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96.752</w:t>
            </w:r>
          </w:p>
        </w:tc>
        <w:tc>
          <w:tcPr>
            <w:tcW w:w="980" w:type="dxa"/>
            <w:vAlign w:val="bottom"/>
          </w:tcPr>
          <w:p>
            <w:pPr>
              <w:jc w:val="right"/>
              <w:spacing w:after="0"/>
              <w:rPr>
                <w:sz w:val="20"/>
                <w:szCs w:val="20"/>
                <w:color w:val="auto"/>
              </w:rPr>
            </w:pPr>
            <w:r>
              <w:rPr>
                <w:rFonts w:ascii="Arial" w:cs="Arial" w:eastAsia="Arial" w:hAnsi="Arial"/>
                <w:sz w:val="18"/>
                <w:szCs w:val="18"/>
                <w:color w:val="auto"/>
              </w:rPr>
              <w:t>$28.950</w:t>
            </w:r>
          </w:p>
        </w:tc>
      </w:tr>
      <w:tr>
        <w:trPr>
          <w:trHeight w:val="243"/>
        </w:trPr>
        <w:tc>
          <w:tcPr>
            <w:tcW w:w="3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238.265</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205.817</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215.025</w:t>
            </w:r>
          </w:p>
        </w:tc>
        <w:tc>
          <w:tcPr>
            <w:tcW w:w="1040" w:type="dxa"/>
            <w:vAlign w:val="bottom"/>
          </w:tcPr>
          <w:p>
            <w:pPr>
              <w:jc w:val="right"/>
              <w:spacing w:after="0"/>
              <w:rPr>
                <w:sz w:val="20"/>
                <w:szCs w:val="20"/>
                <w:color w:val="auto"/>
              </w:rPr>
            </w:pPr>
            <w:r>
              <w:rPr>
                <w:rFonts w:ascii="Arial" w:cs="Arial" w:eastAsia="Arial" w:hAnsi="Arial"/>
                <w:sz w:val="18"/>
                <w:szCs w:val="18"/>
                <w:color w:val="auto"/>
              </w:rPr>
              <w:t>$64.340</w:t>
            </w: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726.461</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647.679</w:t>
            </w:r>
          </w:p>
        </w:tc>
        <w:tc>
          <w:tcPr>
            <w:tcW w:w="980" w:type="dxa"/>
            <w:vAlign w:val="bottom"/>
          </w:tcPr>
          <w:p>
            <w:pPr>
              <w:jc w:val="right"/>
              <w:spacing w:after="0"/>
              <w:rPr>
                <w:sz w:val="20"/>
                <w:szCs w:val="20"/>
                <w:color w:val="auto"/>
              </w:rPr>
            </w:pPr>
            <w:r>
              <w:rPr>
                <w:rFonts w:ascii="Arial" w:cs="Arial" w:eastAsia="Arial" w:hAnsi="Arial"/>
                <w:sz w:val="18"/>
                <w:szCs w:val="18"/>
                <w:color w:val="auto"/>
              </w:rPr>
              <w:t>$193.800</w:t>
            </w:r>
          </w:p>
        </w:tc>
      </w:tr>
      <w:tr>
        <w:trPr>
          <w:trHeight w:val="486"/>
        </w:trPr>
        <w:tc>
          <w:tcPr>
            <w:tcW w:w="338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3"/>
        </w:trPr>
        <w:tc>
          <w:tcPr>
            <w:tcW w:w="3380" w:type="dxa"/>
            <w:vAlign w:val="bottom"/>
            <w:gridSpan w:val="2"/>
          </w:tcPr>
          <w:p>
            <w:pPr>
              <w:spacing w:after="0"/>
              <w:rPr>
                <w:sz w:val="20"/>
                <w:szCs w:val="20"/>
                <w:color w:val="auto"/>
              </w:rPr>
            </w:pPr>
            <w:r>
              <w:rPr>
                <w:rFonts w:ascii="Arial" w:cs="Arial" w:eastAsia="Arial" w:hAnsi="Arial"/>
                <w:sz w:val="18"/>
                <w:szCs w:val="18"/>
                <w:color w:val="auto"/>
              </w:rPr>
              <w:t>Salaries and employee benefits</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135.869</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131.375</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127.773</w:t>
            </w:r>
          </w:p>
        </w:tc>
        <w:tc>
          <w:tcPr>
            <w:tcW w:w="1040" w:type="dxa"/>
            <w:vAlign w:val="bottom"/>
          </w:tcPr>
          <w:p>
            <w:pPr>
              <w:jc w:val="right"/>
              <w:spacing w:after="0"/>
              <w:rPr>
                <w:sz w:val="20"/>
                <w:szCs w:val="20"/>
                <w:color w:val="auto"/>
              </w:rPr>
            </w:pPr>
            <w:r>
              <w:rPr>
                <w:rFonts w:ascii="Arial" w:cs="Arial" w:eastAsia="Arial" w:hAnsi="Arial"/>
                <w:sz w:val="18"/>
                <w:szCs w:val="18"/>
                <w:color w:val="auto"/>
              </w:rPr>
              <w:t>$38.232</w:t>
            </w: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409.945</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387.440</w:t>
            </w:r>
          </w:p>
        </w:tc>
        <w:tc>
          <w:tcPr>
            <w:tcW w:w="980" w:type="dxa"/>
            <w:vAlign w:val="bottom"/>
          </w:tcPr>
          <w:p>
            <w:pPr>
              <w:jc w:val="right"/>
              <w:spacing w:after="0"/>
              <w:rPr>
                <w:sz w:val="20"/>
                <w:szCs w:val="20"/>
                <w:color w:val="auto"/>
              </w:rPr>
            </w:pPr>
            <w:r>
              <w:rPr>
                <w:rFonts w:ascii="Arial" w:cs="Arial" w:eastAsia="Arial" w:hAnsi="Arial"/>
                <w:sz w:val="18"/>
                <w:szCs w:val="18"/>
                <w:color w:val="auto"/>
              </w:rPr>
              <w:t>$115.931</w:t>
            </w:r>
          </w:p>
        </w:tc>
      </w:tr>
      <w:tr>
        <w:trPr>
          <w:trHeight w:val="243"/>
        </w:trPr>
        <w:tc>
          <w:tcPr>
            <w:tcW w:w="338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102.957</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97.546</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95.696</w:t>
            </w:r>
          </w:p>
        </w:tc>
        <w:tc>
          <w:tcPr>
            <w:tcW w:w="1040" w:type="dxa"/>
            <w:vAlign w:val="bottom"/>
          </w:tcPr>
          <w:p>
            <w:pPr>
              <w:jc w:val="right"/>
              <w:spacing w:after="0"/>
              <w:rPr>
                <w:sz w:val="20"/>
                <w:szCs w:val="20"/>
                <w:color w:val="auto"/>
              </w:rPr>
            </w:pPr>
            <w:r>
              <w:rPr>
                <w:rFonts w:ascii="Arial" w:cs="Arial" w:eastAsia="Arial" w:hAnsi="Arial"/>
                <w:sz w:val="18"/>
                <w:szCs w:val="18"/>
                <w:color w:val="auto"/>
              </w:rPr>
              <w:t>$28.634</w:t>
            </w: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319.999</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296.195</w:t>
            </w:r>
          </w:p>
        </w:tc>
        <w:tc>
          <w:tcPr>
            <w:tcW w:w="980" w:type="dxa"/>
            <w:vAlign w:val="bottom"/>
          </w:tcPr>
          <w:p>
            <w:pPr>
              <w:jc w:val="right"/>
              <w:spacing w:after="0"/>
              <w:rPr>
                <w:sz w:val="20"/>
                <w:szCs w:val="20"/>
                <w:color w:val="auto"/>
              </w:rPr>
            </w:pPr>
            <w:r>
              <w:rPr>
                <w:rFonts w:ascii="Arial" w:cs="Arial" w:eastAsia="Arial" w:hAnsi="Arial"/>
                <w:sz w:val="18"/>
                <w:szCs w:val="18"/>
                <w:color w:val="auto"/>
              </w:rPr>
              <w:t>$88.628</w:t>
            </w:r>
          </w:p>
        </w:tc>
      </w:tr>
      <w:tr>
        <w:trPr>
          <w:trHeight w:val="243"/>
        </w:trPr>
        <w:tc>
          <w:tcPr>
            <w:tcW w:w="33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36.419</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33.554</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34.176</w:t>
            </w:r>
          </w:p>
        </w:tc>
        <w:tc>
          <w:tcPr>
            <w:tcW w:w="1040" w:type="dxa"/>
            <w:vAlign w:val="bottom"/>
          </w:tcPr>
          <w:p>
            <w:pPr>
              <w:jc w:val="right"/>
              <w:spacing w:after="0"/>
              <w:rPr>
                <w:sz w:val="20"/>
                <w:szCs w:val="20"/>
                <w:color w:val="auto"/>
              </w:rPr>
            </w:pPr>
            <w:r>
              <w:rPr>
                <w:rFonts w:ascii="Arial" w:cs="Arial" w:eastAsia="Arial" w:hAnsi="Arial"/>
                <w:sz w:val="18"/>
                <w:szCs w:val="18"/>
                <w:color w:val="auto"/>
              </w:rPr>
              <w:t>$10.226</w:t>
            </w: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108.657</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104.025</w:t>
            </w:r>
          </w:p>
        </w:tc>
        <w:tc>
          <w:tcPr>
            <w:tcW w:w="980" w:type="dxa"/>
            <w:vAlign w:val="bottom"/>
          </w:tcPr>
          <w:p>
            <w:pPr>
              <w:jc w:val="right"/>
              <w:spacing w:after="0"/>
              <w:rPr>
                <w:sz w:val="20"/>
                <w:szCs w:val="20"/>
                <w:color w:val="auto"/>
              </w:rPr>
            </w:pPr>
            <w:r>
              <w:rPr>
                <w:rFonts w:ascii="Arial" w:cs="Arial" w:eastAsia="Arial" w:hAnsi="Arial"/>
                <w:sz w:val="18"/>
                <w:szCs w:val="18"/>
                <w:color w:val="auto"/>
              </w:rPr>
              <w:t>$31.127</w:t>
            </w:r>
          </w:p>
        </w:tc>
      </w:tr>
      <w:tr>
        <w:trPr>
          <w:trHeight w:val="243"/>
        </w:trPr>
        <w:tc>
          <w:tcPr>
            <w:tcW w:w="3380" w:type="dxa"/>
            <w:vAlign w:val="bottom"/>
            <w:gridSpan w:val="2"/>
          </w:tcPr>
          <w:p>
            <w:pPr>
              <w:spacing w:after="0"/>
              <w:rPr>
                <w:sz w:val="20"/>
                <w:szCs w:val="20"/>
                <w:color w:val="auto"/>
              </w:rPr>
            </w:pPr>
            <w:r>
              <w:rPr>
                <w:rFonts w:ascii="Arial" w:cs="Arial" w:eastAsia="Arial" w:hAnsi="Arial"/>
                <w:sz w:val="18"/>
                <w:szCs w:val="18"/>
                <w:color w:val="auto"/>
              </w:rPr>
              <w:t>Taxes other than income tax</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10.249</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13.307</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10.162</w:t>
            </w:r>
          </w:p>
        </w:tc>
        <w:tc>
          <w:tcPr>
            <w:tcW w:w="1040" w:type="dxa"/>
            <w:vAlign w:val="bottom"/>
          </w:tcPr>
          <w:p>
            <w:pPr>
              <w:jc w:val="right"/>
              <w:spacing w:after="0"/>
              <w:rPr>
                <w:sz w:val="20"/>
                <w:szCs w:val="20"/>
                <w:color w:val="auto"/>
              </w:rPr>
            </w:pPr>
            <w:r>
              <w:rPr>
                <w:rFonts w:ascii="Arial" w:cs="Arial" w:eastAsia="Arial" w:hAnsi="Arial"/>
                <w:sz w:val="18"/>
                <w:szCs w:val="18"/>
                <w:color w:val="auto"/>
              </w:rPr>
              <w:t>$3.041</w:t>
            </w: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41.897</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35.479</w:t>
            </w:r>
          </w:p>
        </w:tc>
        <w:tc>
          <w:tcPr>
            <w:tcW w:w="980" w:type="dxa"/>
            <w:vAlign w:val="bottom"/>
          </w:tcPr>
          <w:p>
            <w:pPr>
              <w:jc w:val="right"/>
              <w:spacing w:after="0"/>
              <w:rPr>
                <w:sz w:val="20"/>
                <w:szCs w:val="20"/>
                <w:color w:val="auto"/>
              </w:rPr>
            </w:pPr>
            <w:r>
              <w:rPr>
                <w:rFonts w:ascii="Arial" w:cs="Arial" w:eastAsia="Arial" w:hAnsi="Arial"/>
                <w:sz w:val="18"/>
                <w:szCs w:val="18"/>
                <w:color w:val="auto"/>
              </w:rPr>
              <w:t>$10.616</w:t>
            </w:r>
          </w:p>
        </w:tc>
      </w:tr>
      <w:tr>
        <w:trPr>
          <w:trHeight w:val="243"/>
        </w:trPr>
        <w:tc>
          <w:tcPr>
            <w:tcW w:w="33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25.001</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31.541</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36.534</w:t>
            </w:r>
          </w:p>
        </w:tc>
        <w:tc>
          <w:tcPr>
            <w:tcW w:w="1040" w:type="dxa"/>
            <w:vAlign w:val="bottom"/>
          </w:tcPr>
          <w:p>
            <w:pPr>
              <w:jc w:val="right"/>
              <w:spacing w:after="0"/>
              <w:rPr>
                <w:sz w:val="20"/>
                <w:szCs w:val="20"/>
                <w:color w:val="auto"/>
              </w:rPr>
            </w:pPr>
            <w:r>
              <w:rPr>
                <w:rFonts w:ascii="Arial" w:cs="Arial" w:eastAsia="Arial" w:hAnsi="Arial"/>
                <w:sz w:val="18"/>
                <w:szCs w:val="18"/>
                <w:color w:val="auto"/>
              </w:rPr>
              <w:t>$10.932</w:t>
            </w: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76.222</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95.757</w:t>
            </w:r>
          </w:p>
        </w:tc>
        <w:tc>
          <w:tcPr>
            <w:tcW w:w="980" w:type="dxa"/>
            <w:vAlign w:val="bottom"/>
          </w:tcPr>
          <w:p>
            <w:pPr>
              <w:jc w:val="right"/>
              <w:spacing w:after="0"/>
              <w:rPr>
                <w:sz w:val="20"/>
                <w:szCs w:val="20"/>
                <w:color w:val="auto"/>
              </w:rPr>
            </w:pPr>
            <w:r>
              <w:rPr>
                <w:rFonts w:ascii="Arial" w:cs="Arial" w:eastAsia="Arial" w:hAnsi="Arial"/>
                <w:sz w:val="18"/>
                <w:szCs w:val="18"/>
                <w:color w:val="auto"/>
              </w:rPr>
              <w:t>$28.653</w:t>
            </w:r>
          </w:p>
        </w:tc>
      </w:tr>
      <w:tr>
        <w:trPr>
          <w:trHeight w:val="243"/>
        </w:trPr>
        <w:tc>
          <w:tcPr>
            <w:tcW w:w="3380" w:type="dxa"/>
            <w:vAlign w:val="bottom"/>
            <w:gridSpan w:val="2"/>
          </w:tcPr>
          <w:p>
            <w:pPr>
              <w:spacing w:after="0"/>
              <w:rPr>
                <w:sz w:val="20"/>
                <w:szCs w:val="20"/>
                <w:color w:val="auto"/>
              </w:rPr>
            </w:pPr>
            <w:r>
              <w:rPr>
                <w:rFonts w:ascii="Arial" w:cs="Arial" w:eastAsia="Arial" w:hAnsi="Arial"/>
                <w:sz w:val="18"/>
                <w:szCs w:val="18"/>
                <w:color w:val="auto"/>
              </w:rPr>
              <w:t>Merger costs</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0.000</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4.854</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1.830</w:t>
            </w:r>
          </w:p>
        </w:tc>
        <w:tc>
          <w:tcPr>
            <w:tcW w:w="1040" w:type="dxa"/>
            <w:vAlign w:val="bottom"/>
          </w:tcPr>
          <w:p>
            <w:pPr>
              <w:jc w:val="right"/>
              <w:spacing w:after="0"/>
              <w:rPr>
                <w:sz w:val="20"/>
                <w:szCs w:val="20"/>
                <w:color w:val="auto"/>
              </w:rPr>
            </w:pPr>
            <w:r>
              <w:rPr>
                <w:rFonts w:ascii="Arial" w:cs="Arial" w:eastAsia="Arial" w:hAnsi="Arial"/>
                <w:sz w:val="18"/>
                <w:szCs w:val="18"/>
                <w:color w:val="auto"/>
              </w:rPr>
              <w:t>$0.548</w:t>
            </w: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64.311</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13.203</w:t>
            </w:r>
          </w:p>
        </w:tc>
        <w:tc>
          <w:tcPr>
            <w:tcW w:w="980" w:type="dxa"/>
            <w:vAlign w:val="bottom"/>
          </w:tcPr>
          <w:p>
            <w:pPr>
              <w:jc w:val="right"/>
              <w:spacing w:after="0"/>
              <w:rPr>
                <w:sz w:val="20"/>
                <w:szCs w:val="20"/>
                <w:color w:val="auto"/>
              </w:rPr>
            </w:pPr>
            <w:r>
              <w:rPr>
                <w:rFonts w:ascii="Arial" w:cs="Arial" w:eastAsia="Arial" w:hAnsi="Arial"/>
                <w:sz w:val="18"/>
                <w:szCs w:val="18"/>
                <w:color w:val="auto"/>
              </w:rPr>
              <w:t>$3.951</w:t>
            </w:r>
          </w:p>
        </w:tc>
      </w:tr>
      <w:tr>
        <w:trPr>
          <w:trHeight w:val="243"/>
        </w:trPr>
        <w:tc>
          <w:tcPr>
            <w:tcW w:w="3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310.495</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312.177</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306.171</w:t>
            </w:r>
          </w:p>
        </w:tc>
        <w:tc>
          <w:tcPr>
            <w:tcW w:w="1040" w:type="dxa"/>
            <w:vAlign w:val="bottom"/>
          </w:tcPr>
          <w:p>
            <w:pPr>
              <w:jc w:val="right"/>
              <w:spacing w:after="0"/>
              <w:rPr>
                <w:sz w:val="20"/>
                <w:szCs w:val="20"/>
                <w:color w:val="auto"/>
              </w:rPr>
            </w:pPr>
            <w:r>
              <w:rPr>
                <w:rFonts w:ascii="Arial" w:cs="Arial" w:eastAsia="Arial" w:hAnsi="Arial"/>
                <w:sz w:val="18"/>
                <w:szCs w:val="18"/>
                <w:color w:val="auto"/>
              </w:rPr>
              <w:t>$91.613</w:t>
            </w: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1,021.031</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932.099</w:t>
            </w:r>
          </w:p>
        </w:tc>
        <w:tc>
          <w:tcPr>
            <w:tcW w:w="980" w:type="dxa"/>
            <w:vAlign w:val="bottom"/>
          </w:tcPr>
          <w:p>
            <w:pPr>
              <w:jc w:val="right"/>
              <w:spacing w:after="0"/>
              <w:rPr>
                <w:sz w:val="20"/>
                <w:szCs w:val="20"/>
                <w:color w:val="auto"/>
              </w:rPr>
            </w:pPr>
            <w:r>
              <w:rPr>
                <w:rFonts w:ascii="Arial" w:cs="Arial" w:eastAsia="Arial" w:hAnsi="Arial"/>
                <w:sz w:val="18"/>
                <w:szCs w:val="18"/>
                <w:color w:val="auto"/>
              </w:rPr>
              <w:t>$278.905</w:t>
            </w:r>
          </w:p>
        </w:tc>
      </w:tr>
      <w:tr>
        <w:trPr>
          <w:trHeight w:val="486"/>
        </w:trPr>
        <w:tc>
          <w:tcPr>
            <w:tcW w:w="33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Result from exposure to inflation</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0.698</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(16.828)</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(53.610)</w:t>
            </w:r>
          </w:p>
        </w:tc>
        <w:tc>
          <w:tcPr>
            <w:tcW w:w="1040" w:type="dxa"/>
            <w:vAlign w:val="bottom"/>
          </w:tcPr>
          <w:p>
            <w:pPr>
              <w:jc w:val="right"/>
              <w:spacing w:after="0"/>
              <w:rPr>
                <w:sz w:val="20"/>
                <w:szCs w:val="20"/>
                <w:color w:val="auto"/>
              </w:rPr>
            </w:pPr>
            <w:r>
              <w:rPr>
                <w:rFonts w:ascii="Arial" w:cs="Arial" w:eastAsia="Arial" w:hAnsi="Arial"/>
                <w:sz w:val="18"/>
                <w:szCs w:val="18"/>
                <w:color w:val="auto"/>
              </w:rPr>
              <w:t>($16.041)</w:t>
            </w: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(21.840)</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(106.043)</w:t>
            </w:r>
          </w:p>
        </w:tc>
        <w:tc>
          <w:tcPr>
            <w:tcW w:w="980" w:type="dxa"/>
            <w:vAlign w:val="bottom"/>
          </w:tcPr>
          <w:p>
            <w:pPr>
              <w:jc w:val="right"/>
              <w:spacing w:after="0"/>
              <w:rPr>
                <w:sz w:val="20"/>
                <w:szCs w:val="20"/>
                <w:color w:val="auto"/>
              </w:rPr>
            </w:pPr>
            <w:r>
              <w:rPr>
                <w:rFonts w:ascii="Arial" w:cs="Arial" w:eastAsia="Arial" w:hAnsi="Arial"/>
                <w:sz w:val="18"/>
                <w:szCs w:val="18"/>
                <w:color w:val="auto"/>
              </w:rPr>
              <w:t>($31.730)</w:t>
            </w:r>
          </w:p>
        </w:tc>
      </w:tr>
      <w:tr>
        <w:trPr>
          <w:trHeight w:val="486"/>
        </w:trPr>
        <w:tc>
          <w:tcPr>
            <w:tcW w:w="338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Income before income tax</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155.474</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119.826</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103.530</w:t>
            </w:r>
          </w:p>
        </w:tc>
        <w:tc>
          <w:tcPr>
            <w:tcW w:w="1040" w:type="dxa"/>
            <w:vAlign w:val="bottom"/>
          </w:tcPr>
          <w:p>
            <w:pPr>
              <w:jc w:val="right"/>
              <w:spacing w:after="0"/>
              <w:rPr>
                <w:sz w:val="20"/>
                <w:szCs w:val="20"/>
                <w:color w:val="auto"/>
              </w:rPr>
            </w:pPr>
            <w:r>
              <w:rPr>
                <w:rFonts w:ascii="Arial" w:cs="Arial" w:eastAsia="Arial" w:hAnsi="Arial"/>
                <w:sz w:val="18"/>
                <w:szCs w:val="18"/>
                <w:color w:val="auto"/>
              </w:rPr>
              <w:t>$30.978</w:t>
            </w: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320.119</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320.377</w:t>
            </w:r>
          </w:p>
        </w:tc>
        <w:tc>
          <w:tcPr>
            <w:tcW w:w="980" w:type="dxa"/>
            <w:vAlign w:val="bottom"/>
          </w:tcPr>
          <w:p>
            <w:pPr>
              <w:jc w:val="right"/>
              <w:spacing w:after="0"/>
              <w:rPr>
                <w:sz w:val="20"/>
                <w:szCs w:val="20"/>
                <w:color w:val="auto"/>
              </w:rPr>
            </w:pPr>
            <w:r>
              <w:rPr>
                <w:rFonts w:ascii="Arial" w:cs="Arial" w:eastAsia="Arial" w:hAnsi="Arial"/>
                <w:sz w:val="18"/>
                <w:szCs w:val="18"/>
                <w:color w:val="auto"/>
              </w:rPr>
              <w:t>$95.864</w:t>
            </w:r>
          </w:p>
        </w:tc>
      </w:tr>
      <w:tr>
        <w:trPr>
          <w:trHeight w:val="486"/>
        </w:trPr>
        <w:tc>
          <w:tcPr>
            <w:tcW w:w="3380" w:type="dxa"/>
            <w:vAlign w:val="bottom"/>
            <w:gridSpan w:val="2"/>
          </w:tcPr>
          <w:p>
            <w:pPr>
              <w:spacing w:after="0"/>
              <w:rPr>
                <w:sz w:val="20"/>
                <w:szCs w:val="20"/>
                <w:color w:val="auto"/>
              </w:rPr>
            </w:pPr>
            <w:r>
              <w:rPr>
                <w:rFonts w:ascii="Arial" w:cs="Arial" w:eastAsia="Arial" w:hAnsi="Arial"/>
                <w:sz w:val="18"/>
                <w:szCs w:val="18"/>
                <w:color w:val="auto"/>
              </w:rPr>
              <w:t>Income Tax</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42.905</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37.362</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33.609</w:t>
            </w:r>
          </w:p>
        </w:tc>
        <w:tc>
          <w:tcPr>
            <w:tcW w:w="1040" w:type="dxa"/>
            <w:vAlign w:val="bottom"/>
          </w:tcPr>
          <w:p>
            <w:pPr>
              <w:jc w:val="right"/>
              <w:spacing w:after="0"/>
              <w:rPr>
                <w:sz w:val="20"/>
                <w:szCs w:val="20"/>
                <w:color w:val="auto"/>
              </w:rPr>
            </w:pPr>
            <w:r>
              <w:rPr>
                <w:rFonts w:ascii="Arial" w:cs="Arial" w:eastAsia="Arial" w:hAnsi="Arial"/>
                <w:sz w:val="18"/>
                <w:szCs w:val="18"/>
                <w:color w:val="auto"/>
              </w:rPr>
              <w:t>$10.057</w:t>
            </w: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88.062</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99.553</w:t>
            </w:r>
          </w:p>
        </w:tc>
        <w:tc>
          <w:tcPr>
            <w:tcW w:w="980" w:type="dxa"/>
            <w:vAlign w:val="bottom"/>
          </w:tcPr>
          <w:p>
            <w:pPr>
              <w:jc w:val="right"/>
              <w:spacing w:after="0"/>
              <w:rPr>
                <w:sz w:val="20"/>
                <w:szCs w:val="20"/>
                <w:color w:val="auto"/>
              </w:rPr>
            </w:pPr>
            <w:r>
              <w:rPr>
                <w:rFonts w:ascii="Arial" w:cs="Arial" w:eastAsia="Arial" w:hAnsi="Arial"/>
                <w:sz w:val="18"/>
                <w:szCs w:val="18"/>
                <w:color w:val="auto"/>
              </w:rPr>
              <w:t>$29.788</w:t>
            </w:r>
          </w:p>
        </w:tc>
      </w:tr>
      <w:tr>
        <w:trPr>
          <w:trHeight w:val="486"/>
        </w:trPr>
        <w:tc>
          <w:tcPr>
            <w:tcW w:w="338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NET INCOME</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112.569</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82.464</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69.921</w:t>
            </w:r>
          </w:p>
        </w:tc>
        <w:tc>
          <w:tcPr>
            <w:tcW w:w="1040" w:type="dxa"/>
            <w:vAlign w:val="bottom"/>
          </w:tcPr>
          <w:p>
            <w:pPr>
              <w:jc w:val="right"/>
              <w:spacing w:after="0"/>
              <w:rPr>
                <w:sz w:val="20"/>
                <w:szCs w:val="20"/>
                <w:color w:val="auto"/>
              </w:rPr>
            </w:pPr>
            <w:r>
              <w:rPr>
                <w:rFonts w:ascii="Arial" w:cs="Arial" w:eastAsia="Arial" w:hAnsi="Arial"/>
                <w:sz w:val="18"/>
                <w:szCs w:val="18"/>
                <w:color w:val="auto"/>
              </w:rPr>
              <w:t>$20.922</w:t>
            </w: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232.057</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220.824</w:t>
            </w:r>
          </w:p>
        </w:tc>
        <w:tc>
          <w:tcPr>
            <w:tcW w:w="980" w:type="dxa"/>
            <w:vAlign w:val="bottom"/>
          </w:tcPr>
          <w:p>
            <w:pPr>
              <w:jc w:val="right"/>
              <w:spacing w:after="0"/>
              <w:rPr>
                <w:sz w:val="20"/>
                <w:szCs w:val="20"/>
                <w:color w:val="auto"/>
              </w:rPr>
            </w:pPr>
            <w:r>
              <w:rPr>
                <w:rFonts w:ascii="Arial" w:cs="Arial" w:eastAsia="Arial" w:hAnsi="Arial"/>
                <w:sz w:val="18"/>
                <w:szCs w:val="18"/>
                <w:color w:val="auto"/>
              </w:rPr>
              <w:t>$66.075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5046980</wp:posOffset>
            </wp:positionH>
            <wp:positionV relativeFrom="paragraph">
              <wp:posOffset>-5344795</wp:posOffset>
            </wp:positionV>
            <wp:extent cx="3429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7207885</wp:posOffset>
            </wp:positionH>
            <wp:positionV relativeFrom="paragraph">
              <wp:posOffset>-5344795</wp:posOffset>
            </wp:positionV>
            <wp:extent cx="3429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-5027930</wp:posOffset>
            </wp:positionV>
            <wp:extent cx="3429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5046980</wp:posOffset>
            </wp:positionH>
            <wp:positionV relativeFrom="paragraph">
              <wp:posOffset>-5027930</wp:posOffset>
            </wp:positionV>
            <wp:extent cx="3429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7207885</wp:posOffset>
            </wp:positionH>
            <wp:positionV relativeFrom="paragraph">
              <wp:posOffset>-5027930</wp:posOffset>
            </wp:positionV>
            <wp:extent cx="3429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74295</wp:posOffset>
            </wp:positionV>
            <wp:extent cx="722503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57" w:lineRule="exact"/>
        <w:rPr>
          <w:sz w:val="20"/>
          <w:szCs w:val="20"/>
          <w:color w:val="auto"/>
        </w:rPr>
      </w:pPr>
    </w:p>
    <w:p>
      <w:pPr>
        <w:ind w:left="572" w:hanging="572"/>
        <w:spacing w:after="0"/>
        <w:tabs>
          <w:tab w:leader="none" w:pos="572"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Translated at S/.3.342 per US$1.00.</w:t>
      </w:r>
    </w:p>
    <w:p>
      <w:pPr>
        <w:sectPr>
          <w:pgSz w:w="11900" w:h="16838" w:orient="portrait"/>
          <w:cols w:equalWidth="0" w:num="1">
            <w:col w:w="11392"/>
          </w:cols>
          <w:pgMar w:left="248" w:top="347" w:right="259" w:bottom="1440" w:gutter="0" w:footer="0" w:header="0"/>
        </w:sectPr>
      </w:pPr>
    </w:p>
    <w:bookmarkStart w:id="19" w:name="page20"/>
    <w:bookmarkEnd w:id="19"/>
    <w:p>
      <w:pPr>
        <w:jc w:val="center"/>
        <w:ind w:right="-11"/>
        <w:spacing w:after="0"/>
        <w:rPr>
          <w:sz w:val="20"/>
          <w:szCs w:val="20"/>
          <w:color w:val="auto"/>
        </w:rPr>
      </w:pPr>
      <w:r>
        <w:rPr>
          <w:rFonts w:ascii="Arial" w:cs="Arial" w:eastAsia="Arial" w:hAnsi="Arial"/>
          <w:sz w:val="18"/>
          <w:szCs w:val="18"/>
          <w:color w:val="auto"/>
        </w:rPr>
        <w:t>BANCO DE CREDITO DEL PERU AND SUBSIDIARIES</w:t>
      </w:r>
    </w:p>
    <w:p>
      <w:pPr>
        <w:spacing w:after="0" w:line="1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Table 6</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SELECTED FINANCIAL INDICATORS</w:t>
      </w:r>
    </w:p>
    <w:p>
      <w:pPr>
        <w:spacing w:after="0" w:line="246" w:lineRule="exact"/>
        <w:rPr>
          <w:sz w:val="20"/>
          <w:szCs w:val="20"/>
          <w:color w:val="auto"/>
        </w:rPr>
      </w:pPr>
    </w:p>
    <w:tbl>
      <w:tblPr>
        <w:tblLayout w:type="fixed"/>
        <w:tblInd w:w="32" w:type="dxa"/>
        <w:tblCellMar>
          <w:top w:w="0" w:type="dxa"/>
          <w:left w:w="0" w:type="dxa"/>
          <w:bottom w:w="0" w:type="dxa"/>
          <w:right w:w="0" w:type="dxa"/>
        </w:tblCellMar>
      </w:tblPr>
      <w:tr>
        <w:trPr>
          <w:trHeight w:val="222"/>
        </w:trPr>
        <w:tc>
          <w:tcPr>
            <w:tcW w:w="4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40" w:type="dxa"/>
            <w:vAlign w:val="bottom"/>
            <w:gridSpan w:val="2"/>
          </w:tcPr>
          <w:p>
            <w:pPr>
              <w:jc w:val="right"/>
              <w:ind w:right="92"/>
              <w:spacing w:after="0"/>
              <w:rPr>
                <w:sz w:val="20"/>
                <w:szCs w:val="20"/>
                <w:color w:val="auto"/>
              </w:rPr>
            </w:pPr>
            <w:r>
              <w:rPr>
                <w:rFonts w:ascii="Arial" w:cs="Arial" w:eastAsia="Arial" w:hAnsi="Arial"/>
                <w:sz w:val="18"/>
                <w:szCs w:val="18"/>
                <w:color w:val="auto"/>
              </w:rPr>
              <w:t>Three months ended</w:t>
            </w: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700" w:type="dxa"/>
            <w:vAlign w:val="bottom"/>
            <w:gridSpan w:val="2"/>
          </w:tcPr>
          <w:p>
            <w:pPr>
              <w:jc w:val="right"/>
              <w:ind w:right="592"/>
              <w:spacing w:after="0"/>
              <w:rPr>
                <w:sz w:val="20"/>
                <w:szCs w:val="20"/>
                <w:color w:val="auto"/>
              </w:rPr>
            </w:pPr>
            <w:r>
              <w:rPr>
                <w:rFonts w:ascii="Arial" w:cs="Arial" w:eastAsia="Arial" w:hAnsi="Arial"/>
                <w:sz w:val="18"/>
                <w:szCs w:val="18"/>
                <w:color w:val="auto"/>
              </w:rPr>
              <w:t>Nine months ended</w:t>
            </w:r>
          </w:p>
        </w:tc>
      </w:tr>
      <w:tr>
        <w:trPr>
          <w:trHeight w:val="137"/>
        </w:trPr>
        <w:tc>
          <w:tcPr>
            <w:tcW w:w="4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tcBorders>
              <w:bottom w:val="single" w:sz="8" w:color="9A9A9A"/>
            </w:tcBorders>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r>
      <w:tr>
        <w:trPr>
          <w:trHeight w:val="356"/>
        </w:trPr>
        <w:tc>
          <w:tcPr>
            <w:tcW w:w="4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jc w:val="right"/>
              <w:ind w:right="492"/>
              <w:spacing w:after="0"/>
              <w:rPr>
                <w:sz w:val="20"/>
                <w:szCs w:val="20"/>
                <w:color w:val="auto"/>
              </w:rPr>
            </w:pPr>
            <w:r>
              <w:rPr>
                <w:rFonts w:ascii="Arial" w:cs="Arial" w:eastAsia="Arial" w:hAnsi="Arial"/>
                <w:sz w:val="18"/>
                <w:szCs w:val="18"/>
                <w:color w:val="auto"/>
              </w:rPr>
              <w:t>30.09.03</w:t>
            </w:r>
          </w:p>
        </w:tc>
        <w:tc>
          <w:tcPr>
            <w:tcW w:w="1400" w:type="dxa"/>
            <w:vAlign w:val="bottom"/>
          </w:tcPr>
          <w:p>
            <w:pPr>
              <w:jc w:val="right"/>
              <w:ind w:right="512"/>
              <w:spacing w:after="0"/>
              <w:rPr>
                <w:sz w:val="20"/>
                <w:szCs w:val="20"/>
                <w:color w:val="auto"/>
              </w:rPr>
            </w:pPr>
            <w:r>
              <w:rPr>
                <w:rFonts w:ascii="Arial" w:cs="Arial" w:eastAsia="Arial" w:hAnsi="Arial"/>
                <w:sz w:val="18"/>
                <w:szCs w:val="18"/>
                <w:color w:val="auto"/>
              </w:rPr>
              <w:t>30.06.04</w:t>
            </w:r>
          </w:p>
        </w:tc>
        <w:tc>
          <w:tcPr>
            <w:tcW w:w="1160" w:type="dxa"/>
            <w:vAlign w:val="bottom"/>
          </w:tcPr>
          <w:p>
            <w:pPr>
              <w:jc w:val="right"/>
              <w:ind w:right="292"/>
              <w:spacing w:after="0"/>
              <w:rPr>
                <w:sz w:val="20"/>
                <w:szCs w:val="20"/>
                <w:color w:val="auto"/>
              </w:rPr>
            </w:pPr>
            <w:r>
              <w:rPr>
                <w:rFonts w:ascii="Arial" w:cs="Arial" w:eastAsia="Arial" w:hAnsi="Arial"/>
                <w:sz w:val="18"/>
                <w:szCs w:val="18"/>
                <w:color w:val="auto"/>
              </w:rPr>
              <w:t>30.09.04</w:t>
            </w:r>
          </w:p>
        </w:tc>
        <w:tc>
          <w:tcPr>
            <w:tcW w:w="40" w:type="dxa"/>
            <w:vAlign w:val="bottom"/>
          </w:tcPr>
          <w:p>
            <w:pPr>
              <w:spacing w:after="0"/>
              <w:rPr>
                <w:sz w:val="24"/>
                <w:szCs w:val="24"/>
                <w:color w:val="auto"/>
              </w:rPr>
            </w:pPr>
          </w:p>
        </w:tc>
        <w:tc>
          <w:tcPr>
            <w:tcW w:w="1520" w:type="dxa"/>
            <w:vAlign w:val="bottom"/>
          </w:tcPr>
          <w:p>
            <w:pPr>
              <w:jc w:val="right"/>
              <w:ind w:right="492"/>
              <w:spacing w:after="0"/>
              <w:rPr>
                <w:sz w:val="20"/>
                <w:szCs w:val="20"/>
                <w:color w:val="auto"/>
              </w:rPr>
            </w:pPr>
            <w:r>
              <w:rPr>
                <w:rFonts w:ascii="Arial" w:cs="Arial" w:eastAsia="Arial" w:hAnsi="Arial"/>
                <w:sz w:val="18"/>
                <w:szCs w:val="18"/>
                <w:color w:val="auto"/>
              </w:rPr>
              <w:t>30.09.03</w:t>
            </w:r>
          </w:p>
        </w:tc>
        <w:tc>
          <w:tcPr>
            <w:tcW w:w="1180" w:type="dxa"/>
            <w:vAlign w:val="bottom"/>
          </w:tcPr>
          <w:p>
            <w:pPr>
              <w:jc w:val="right"/>
              <w:ind w:right="312"/>
              <w:spacing w:after="0"/>
              <w:rPr>
                <w:sz w:val="20"/>
                <w:szCs w:val="20"/>
                <w:color w:val="auto"/>
              </w:rPr>
            </w:pPr>
            <w:r>
              <w:rPr>
                <w:rFonts w:ascii="Arial" w:cs="Arial" w:eastAsia="Arial" w:hAnsi="Arial"/>
                <w:sz w:val="18"/>
                <w:szCs w:val="18"/>
                <w:color w:val="auto"/>
              </w:rPr>
              <w:t>30.09.04</w:t>
            </w:r>
          </w:p>
        </w:tc>
      </w:tr>
      <w:tr>
        <w:trPr>
          <w:trHeight w:val="137"/>
        </w:trPr>
        <w:tc>
          <w:tcPr>
            <w:tcW w:w="45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tcBorders>
              <w:bottom w:val="single" w:sz="8" w:color="9A9A9A"/>
            </w:tcBorders>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r>
      <w:tr>
        <w:trPr>
          <w:trHeight w:val="343"/>
        </w:trPr>
        <w:tc>
          <w:tcPr>
            <w:tcW w:w="4520" w:type="dxa"/>
            <w:vAlign w:val="bottom"/>
            <w:gridSpan w:val="2"/>
          </w:tcPr>
          <w:p>
            <w:pPr>
              <w:spacing w:after="0"/>
              <w:rPr>
                <w:sz w:val="20"/>
                <w:szCs w:val="20"/>
                <w:color w:val="auto"/>
              </w:rPr>
            </w:pPr>
            <w:r>
              <w:rPr>
                <w:rFonts w:ascii="Arial" w:cs="Arial" w:eastAsia="Arial" w:hAnsi="Arial"/>
                <w:sz w:val="18"/>
                <w:szCs w:val="18"/>
                <w:color w:val="auto"/>
              </w:rPr>
              <w:t>Profitability</w:t>
            </w: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Net income per common share (S/. per share)(1)</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0.092</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0.067</w:t>
            </w:r>
          </w:p>
        </w:tc>
        <w:tc>
          <w:tcPr>
            <w:tcW w:w="1160" w:type="dxa"/>
            <w:vAlign w:val="bottom"/>
          </w:tcPr>
          <w:p>
            <w:pPr>
              <w:jc w:val="right"/>
              <w:spacing w:after="0"/>
              <w:rPr>
                <w:sz w:val="20"/>
                <w:szCs w:val="20"/>
                <w:color w:val="auto"/>
              </w:rPr>
            </w:pPr>
            <w:r>
              <w:rPr>
                <w:rFonts w:ascii="Arial" w:cs="Arial" w:eastAsia="Arial" w:hAnsi="Arial"/>
                <w:sz w:val="18"/>
                <w:szCs w:val="18"/>
                <w:color w:val="auto"/>
              </w:rPr>
              <w:t>0.057</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0.189</w:t>
            </w:r>
          </w:p>
        </w:tc>
        <w:tc>
          <w:tcPr>
            <w:tcW w:w="1180" w:type="dxa"/>
            <w:vAlign w:val="bottom"/>
          </w:tcPr>
          <w:p>
            <w:pPr>
              <w:jc w:val="right"/>
              <w:spacing w:after="0"/>
              <w:rPr>
                <w:sz w:val="20"/>
                <w:szCs w:val="20"/>
                <w:color w:val="auto"/>
              </w:rPr>
            </w:pPr>
            <w:r>
              <w:rPr>
                <w:rFonts w:ascii="Arial" w:cs="Arial" w:eastAsia="Arial" w:hAnsi="Arial"/>
                <w:sz w:val="18"/>
                <w:szCs w:val="18"/>
                <w:color w:val="auto"/>
              </w:rPr>
              <w:t>0.180</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Net interest margin on interest earning assets (2)</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5.71%</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5.08%</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5.06%</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5.38%</w:t>
            </w:r>
          </w:p>
        </w:tc>
        <w:tc>
          <w:tcPr>
            <w:tcW w:w="1180" w:type="dxa"/>
            <w:vAlign w:val="bottom"/>
          </w:tcPr>
          <w:p>
            <w:pPr>
              <w:jc w:val="right"/>
              <w:spacing w:after="0"/>
              <w:rPr>
                <w:sz w:val="20"/>
                <w:szCs w:val="20"/>
                <w:color w:val="auto"/>
              </w:rPr>
            </w:pPr>
            <w:r>
              <w:rPr>
                <w:rFonts w:ascii="Arial" w:cs="Arial" w:eastAsia="Arial" w:hAnsi="Arial"/>
                <w:sz w:val="18"/>
                <w:szCs w:val="18"/>
                <w:color w:val="auto"/>
              </w:rPr>
              <w:t>5.08%</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Return on average total assets (2)(3)</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1.81%</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1.40%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1.19%</w:t>
            </w:r>
          </w:p>
        </w:tc>
        <w:tc>
          <w:tcPr>
            <w:tcW w:w="11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Return on average shareholders' equity (2)(3)</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20.50%</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14.94%</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12.24%</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14.46%</w:t>
            </w:r>
          </w:p>
        </w:tc>
        <w:tc>
          <w:tcPr>
            <w:tcW w:w="1180" w:type="dxa"/>
            <w:vAlign w:val="bottom"/>
          </w:tcPr>
          <w:p>
            <w:pPr>
              <w:jc w:val="right"/>
              <w:spacing w:after="0"/>
              <w:rPr>
                <w:sz w:val="20"/>
                <w:szCs w:val="20"/>
                <w:color w:val="auto"/>
              </w:rPr>
            </w:pPr>
            <w:r>
              <w:rPr>
                <w:rFonts w:ascii="Arial" w:cs="Arial" w:eastAsia="Arial" w:hAnsi="Arial"/>
                <w:sz w:val="18"/>
                <w:szCs w:val="18"/>
                <w:color w:val="auto"/>
              </w:rPr>
              <w:t>12.97%</w:t>
            </w:r>
          </w:p>
        </w:tc>
      </w:tr>
      <w:tr>
        <w:trPr>
          <w:trHeight w:val="486"/>
        </w:trPr>
        <w:tc>
          <w:tcPr>
            <w:tcW w:w="4520" w:type="dxa"/>
            <w:vAlign w:val="bottom"/>
            <w:gridSpan w:val="2"/>
          </w:tcPr>
          <w:p>
            <w:pPr>
              <w:spacing w:after="0"/>
              <w:rPr>
                <w:sz w:val="20"/>
                <w:szCs w:val="20"/>
                <w:color w:val="auto"/>
              </w:rPr>
            </w:pPr>
            <w:r>
              <w:rPr>
                <w:rFonts w:ascii="Arial" w:cs="Arial" w:eastAsia="Arial" w:hAnsi="Arial"/>
                <w:sz w:val="18"/>
                <w:szCs w:val="18"/>
                <w:color w:val="auto"/>
              </w:rPr>
              <w:t>Quality of loan portfolio</w:t>
            </w: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86"/>
        </w:trPr>
        <w:tc>
          <w:tcPr>
            <w:tcW w:w="4520" w:type="dxa"/>
            <w:vAlign w:val="bottom"/>
            <w:gridSpan w:val="2"/>
          </w:tcPr>
          <w:p>
            <w:pPr>
              <w:spacing w:after="0"/>
              <w:rPr>
                <w:sz w:val="20"/>
                <w:szCs w:val="20"/>
                <w:color w:val="auto"/>
              </w:rPr>
            </w:pPr>
            <w:r>
              <w:rPr>
                <w:rFonts w:ascii="Arial" w:cs="Arial" w:eastAsia="Arial" w:hAnsi="Arial"/>
                <w:sz w:val="18"/>
                <w:szCs w:val="18"/>
                <w:color w:val="auto"/>
              </w:rPr>
              <w:t>Past due loans as a percentage of total loans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8.13%</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5.08%</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5.01%</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8.13%</w:t>
            </w:r>
          </w:p>
        </w:tc>
        <w:tc>
          <w:tcPr>
            <w:tcW w:w="1180" w:type="dxa"/>
            <w:vAlign w:val="bottom"/>
          </w:tcPr>
          <w:p>
            <w:pPr>
              <w:jc w:val="right"/>
              <w:spacing w:after="0"/>
              <w:rPr>
                <w:sz w:val="20"/>
                <w:szCs w:val="20"/>
                <w:color w:val="auto"/>
              </w:rPr>
            </w:pPr>
            <w:r>
              <w:rPr>
                <w:rFonts w:ascii="Arial" w:cs="Arial" w:eastAsia="Arial" w:hAnsi="Arial"/>
                <w:sz w:val="18"/>
                <w:szCs w:val="18"/>
                <w:color w:val="auto"/>
              </w:rPr>
              <w:t>5.01%</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Past due loans + refinanced loans as a</w:t>
            </w:r>
          </w:p>
        </w:tc>
        <w:tc>
          <w:tcPr>
            <w:tcW w:w="15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percentage of total loans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13.64%</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10.34%</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9.94%</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13.64%</w:t>
            </w:r>
          </w:p>
        </w:tc>
        <w:tc>
          <w:tcPr>
            <w:tcW w:w="1180" w:type="dxa"/>
            <w:vAlign w:val="bottom"/>
          </w:tcPr>
          <w:p>
            <w:pPr>
              <w:jc w:val="right"/>
              <w:spacing w:after="0"/>
              <w:rPr>
                <w:sz w:val="20"/>
                <w:szCs w:val="20"/>
                <w:color w:val="auto"/>
              </w:rPr>
            </w:pPr>
            <w:r>
              <w:rPr>
                <w:rFonts w:ascii="Arial" w:cs="Arial" w:eastAsia="Arial" w:hAnsi="Arial"/>
                <w:sz w:val="18"/>
                <w:szCs w:val="18"/>
                <w:color w:val="auto"/>
              </w:rPr>
              <w:t>9.94%</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Reserves for loan losses as a percentage of</w:t>
            </w:r>
          </w:p>
        </w:tc>
        <w:tc>
          <w:tcPr>
            <w:tcW w:w="15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past due loans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117.76%</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137.63%</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134.13%</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117.76%</w:t>
            </w:r>
          </w:p>
        </w:tc>
        <w:tc>
          <w:tcPr>
            <w:tcW w:w="1180" w:type="dxa"/>
            <w:vAlign w:val="bottom"/>
          </w:tcPr>
          <w:p>
            <w:pPr>
              <w:jc w:val="right"/>
              <w:spacing w:after="0"/>
              <w:rPr>
                <w:sz w:val="20"/>
                <w:szCs w:val="20"/>
                <w:color w:val="auto"/>
              </w:rPr>
            </w:pPr>
            <w:r>
              <w:rPr>
                <w:rFonts w:ascii="Arial" w:cs="Arial" w:eastAsia="Arial" w:hAnsi="Arial"/>
                <w:sz w:val="18"/>
                <w:szCs w:val="18"/>
                <w:color w:val="auto"/>
              </w:rPr>
              <w:t>134.13%</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Reserves for loan losses as a percentage of</w:t>
            </w:r>
          </w:p>
        </w:tc>
        <w:tc>
          <w:tcPr>
            <w:tcW w:w="15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substandard loans (C+D+E)</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54.35%</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52.08%</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54.98%</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54.35%</w:t>
            </w:r>
          </w:p>
        </w:tc>
        <w:tc>
          <w:tcPr>
            <w:tcW w:w="1180" w:type="dxa"/>
            <w:vAlign w:val="bottom"/>
          </w:tcPr>
          <w:p>
            <w:pPr>
              <w:jc w:val="right"/>
              <w:spacing w:after="0"/>
              <w:rPr>
                <w:sz w:val="20"/>
                <w:szCs w:val="20"/>
                <w:color w:val="auto"/>
              </w:rPr>
            </w:pPr>
            <w:r>
              <w:rPr>
                <w:rFonts w:ascii="Arial" w:cs="Arial" w:eastAsia="Arial" w:hAnsi="Arial"/>
                <w:sz w:val="18"/>
                <w:szCs w:val="18"/>
                <w:color w:val="auto"/>
              </w:rPr>
              <w:t>54.98%</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Past due loans - reserves for loan losses as a</w:t>
            </w:r>
          </w:p>
        </w:tc>
        <w:tc>
          <w:tcPr>
            <w:tcW w:w="15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percentage of shareholders' equity</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-9.70%</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-12.26%</w:t>
            </w:r>
          </w:p>
        </w:tc>
        <w:tc>
          <w:tcPr>
            <w:tcW w:w="1160" w:type="dxa"/>
            <w:vAlign w:val="bottom"/>
          </w:tcPr>
          <w:p>
            <w:pPr>
              <w:jc w:val="right"/>
              <w:spacing w:after="0"/>
              <w:rPr>
                <w:sz w:val="20"/>
                <w:szCs w:val="20"/>
                <w:color w:val="auto"/>
              </w:rPr>
            </w:pPr>
            <w:r>
              <w:rPr>
                <w:rFonts w:ascii="Arial" w:cs="Arial" w:eastAsia="Arial" w:hAnsi="Arial"/>
                <w:sz w:val="18"/>
                <w:szCs w:val="18"/>
                <w:color w:val="auto"/>
              </w:rPr>
              <w:t>-10.02%</w:t>
            </w:r>
          </w:p>
        </w:tc>
        <w:tc>
          <w:tcPr>
            <w:tcW w:w="40" w:type="dxa"/>
            <w:vAlign w:val="bottom"/>
          </w:tcPr>
          <w:p>
            <w:pPr>
              <w:spacing w:after="0"/>
              <w:rPr>
                <w:sz w:val="21"/>
                <w:szCs w:val="21"/>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-9.70%</w:t>
            </w:r>
          </w:p>
        </w:tc>
        <w:tc>
          <w:tcPr>
            <w:tcW w:w="1180" w:type="dxa"/>
            <w:vAlign w:val="bottom"/>
          </w:tcPr>
          <w:p>
            <w:pPr>
              <w:jc w:val="right"/>
              <w:spacing w:after="0"/>
              <w:rPr>
                <w:sz w:val="20"/>
                <w:szCs w:val="20"/>
                <w:color w:val="auto"/>
              </w:rPr>
            </w:pPr>
            <w:r>
              <w:rPr>
                <w:rFonts w:ascii="Arial" w:cs="Arial" w:eastAsia="Arial" w:hAnsi="Arial"/>
                <w:sz w:val="18"/>
                <w:szCs w:val="18"/>
                <w:color w:val="auto"/>
              </w:rPr>
              <w:t>-10.02%</w:t>
            </w:r>
          </w:p>
        </w:tc>
      </w:tr>
      <w:tr>
        <w:trPr>
          <w:trHeight w:val="486"/>
        </w:trPr>
        <w:tc>
          <w:tcPr>
            <w:tcW w:w="4520" w:type="dxa"/>
            <w:vAlign w:val="bottom"/>
            <w:gridSpan w:val="2"/>
          </w:tcPr>
          <w:p>
            <w:pPr>
              <w:spacing w:after="0"/>
              <w:rPr>
                <w:sz w:val="20"/>
                <w:szCs w:val="20"/>
                <w:color w:val="auto"/>
              </w:rPr>
            </w:pPr>
            <w:r>
              <w:rPr>
                <w:rFonts w:ascii="Arial" w:cs="Arial" w:eastAsia="Arial" w:hAnsi="Arial"/>
                <w:sz w:val="18"/>
                <w:szCs w:val="18"/>
                <w:color w:val="auto"/>
              </w:rPr>
              <w:t>Operating efficiency (5)</w:t>
            </w: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Oper. expense as a percent. of total income (4)</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48.58%</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57.83%</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55.65%</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51.91%</w:t>
            </w:r>
          </w:p>
        </w:tc>
        <w:tc>
          <w:tcPr>
            <w:tcW w:w="1180" w:type="dxa"/>
            <w:vAlign w:val="bottom"/>
          </w:tcPr>
          <w:p>
            <w:pPr>
              <w:jc w:val="right"/>
              <w:spacing w:after="0"/>
              <w:rPr>
                <w:sz w:val="20"/>
                <w:szCs w:val="20"/>
                <w:color w:val="auto"/>
              </w:rPr>
            </w:pPr>
            <w:r>
              <w:rPr>
                <w:rFonts w:ascii="Arial" w:cs="Arial" w:eastAsia="Arial" w:hAnsi="Arial"/>
                <w:sz w:val="18"/>
                <w:szCs w:val="18"/>
                <w:color w:val="auto"/>
              </w:rPr>
              <w:t>56.83%</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Oper. expense as a percent. of av. tot. assets(2)(3)</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4.29%</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4.61%</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4.52%</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4.30%</w:t>
            </w:r>
          </w:p>
        </w:tc>
        <w:tc>
          <w:tcPr>
            <w:tcW w:w="118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486"/>
        </w:trPr>
        <w:tc>
          <w:tcPr>
            <w:tcW w:w="4520" w:type="dxa"/>
            <w:vAlign w:val="bottom"/>
            <w:gridSpan w:val="2"/>
          </w:tcPr>
          <w:p>
            <w:pPr>
              <w:spacing w:after="0"/>
              <w:rPr>
                <w:sz w:val="20"/>
                <w:szCs w:val="20"/>
                <w:color w:val="auto"/>
              </w:rPr>
            </w:pPr>
            <w:r>
              <w:rPr>
                <w:rFonts w:ascii="Arial" w:cs="Arial" w:eastAsia="Arial" w:hAnsi="Arial"/>
                <w:sz w:val="18"/>
                <w:szCs w:val="18"/>
                <w:color w:val="auto"/>
              </w:rPr>
              <w:t>Capital adequacy</w:t>
            </w: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Total Regulatory capital (constant millions 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2,258.6</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2,365.2</w:t>
            </w:r>
          </w:p>
        </w:tc>
        <w:tc>
          <w:tcPr>
            <w:tcW w:w="1160" w:type="dxa"/>
            <w:vAlign w:val="bottom"/>
          </w:tcPr>
          <w:p>
            <w:pPr>
              <w:jc w:val="right"/>
              <w:spacing w:after="0"/>
              <w:rPr>
                <w:sz w:val="20"/>
                <w:szCs w:val="20"/>
                <w:color w:val="auto"/>
              </w:rPr>
            </w:pPr>
            <w:r>
              <w:rPr>
                <w:rFonts w:ascii="Arial" w:cs="Arial" w:eastAsia="Arial" w:hAnsi="Arial"/>
                <w:sz w:val="18"/>
                <w:szCs w:val="18"/>
                <w:color w:val="auto"/>
              </w:rPr>
              <w:t>2,280.6</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2,258.6</w:t>
            </w:r>
          </w:p>
        </w:tc>
        <w:tc>
          <w:tcPr>
            <w:tcW w:w="1180" w:type="dxa"/>
            <w:vAlign w:val="bottom"/>
          </w:tcPr>
          <w:p>
            <w:pPr>
              <w:jc w:val="right"/>
              <w:spacing w:after="0"/>
              <w:rPr>
                <w:sz w:val="20"/>
                <w:szCs w:val="20"/>
                <w:color w:val="auto"/>
              </w:rPr>
            </w:pPr>
            <w:r>
              <w:rPr>
                <w:rFonts w:ascii="Arial" w:cs="Arial" w:eastAsia="Arial" w:hAnsi="Arial"/>
                <w:sz w:val="18"/>
                <w:szCs w:val="18"/>
                <w:color w:val="auto"/>
              </w:rPr>
              <w:t>2,280.6</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Tier I Capital (constant millions 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1,994.3</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2,070.6</w:t>
            </w:r>
          </w:p>
        </w:tc>
        <w:tc>
          <w:tcPr>
            <w:tcW w:w="1160" w:type="dxa"/>
            <w:vAlign w:val="bottom"/>
          </w:tcPr>
          <w:p>
            <w:pPr>
              <w:jc w:val="right"/>
              <w:spacing w:after="0"/>
              <w:rPr>
                <w:sz w:val="20"/>
                <w:szCs w:val="20"/>
                <w:color w:val="auto"/>
              </w:rPr>
            </w:pPr>
            <w:r>
              <w:rPr>
                <w:rFonts w:ascii="Arial" w:cs="Arial" w:eastAsia="Arial" w:hAnsi="Arial"/>
                <w:sz w:val="18"/>
                <w:szCs w:val="18"/>
                <w:color w:val="auto"/>
              </w:rPr>
              <w:t>2,071.9</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1,994.3</w:t>
            </w:r>
          </w:p>
        </w:tc>
        <w:tc>
          <w:tcPr>
            <w:tcW w:w="1180" w:type="dxa"/>
            <w:vAlign w:val="bottom"/>
          </w:tcPr>
          <w:p>
            <w:pPr>
              <w:jc w:val="right"/>
              <w:spacing w:after="0"/>
              <w:rPr>
                <w:sz w:val="20"/>
                <w:szCs w:val="20"/>
                <w:color w:val="auto"/>
              </w:rPr>
            </w:pPr>
            <w:r>
              <w:rPr>
                <w:rFonts w:ascii="Arial" w:cs="Arial" w:eastAsia="Arial" w:hAnsi="Arial"/>
                <w:sz w:val="18"/>
                <w:szCs w:val="18"/>
                <w:color w:val="auto"/>
              </w:rPr>
              <w:t>2,071.9</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Net equity as a percentage of period end total assets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9.09%</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9.49%</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10.01%</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9.09%</w:t>
            </w:r>
          </w:p>
        </w:tc>
        <w:tc>
          <w:tcPr>
            <w:tcW w:w="1180" w:type="dxa"/>
            <w:vAlign w:val="bottom"/>
          </w:tcPr>
          <w:p>
            <w:pPr>
              <w:jc w:val="right"/>
              <w:spacing w:after="0"/>
              <w:rPr>
                <w:sz w:val="20"/>
                <w:szCs w:val="20"/>
                <w:color w:val="auto"/>
              </w:rPr>
            </w:pPr>
            <w:r>
              <w:rPr>
                <w:rFonts w:ascii="Arial" w:cs="Arial" w:eastAsia="Arial" w:hAnsi="Arial"/>
                <w:sz w:val="18"/>
                <w:szCs w:val="18"/>
                <w:color w:val="auto"/>
              </w:rPr>
              <w:t>10.01%</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Regulatory capital / risk-weighted assets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12.13%</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14.15%</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14.13%</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12.13%</w:t>
            </w:r>
          </w:p>
        </w:tc>
        <w:tc>
          <w:tcPr>
            <w:tcW w:w="1180" w:type="dxa"/>
            <w:vAlign w:val="bottom"/>
          </w:tcPr>
          <w:p>
            <w:pPr>
              <w:jc w:val="right"/>
              <w:spacing w:after="0"/>
              <w:rPr>
                <w:sz w:val="20"/>
                <w:szCs w:val="20"/>
                <w:color w:val="auto"/>
              </w:rPr>
            </w:pPr>
            <w:r>
              <w:rPr>
                <w:rFonts w:ascii="Arial" w:cs="Arial" w:eastAsia="Arial" w:hAnsi="Arial"/>
                <w:sz w:val="18"/>
                <w:szCs w:val="18"/>
                <w:color w:val="auto"/>
              </w:rPr>
              <w:t>14.13%</w:t>
            </w:r>
          </w:p>
        </w:tc>
      </w:tr>
      <w:tr>
        <w:trPr>
          <w:trHeight w:val="486"/>
        </w:trPr>
        <w:tc>
          <w:tcPr>
            <w:tcW w:w="4520" w:type="dxa"/>
            <w:vAlign w:val="bottom"/>
            <w:gridSpan w:val="2"/>
          </w:tcPr>
          <w:p>
            <w:pPr>
              <w:spacing w:after="0"/>
              <w:rPr>
                <w:sz w:val="20"/>
                <w:szCs w:val="20"/>
                <w:color w:val="auto"/>
              </w:rPr>
            </w:pPr>
            <w:r>
              <w:rPr>
                <w:rFonts w:ascii="Arial" w:cs="Arial" w:eastAsia="Arial" w:hAnsi="Arial"/>
                <w:sz w:val="18"/>
                <w:szCs w:val="18"/>
                <w:color w:val="auto"/>
              </w:rPr>
              <w:t>Average balances (constant millions S/.) (3)</w:t>
            </w: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Interest earning assets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21,755.2</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20,739.1</w:t>
            </w:r>
          </w:p>
        </w:tc>
        <w:tc>
          <w:tcPr>
            <w:tcW w:w="1160" w:type="dxa"/>
            <w:vAlign w:val="bottom"/>
          </w:tcPr>
          <w:p>
            <w:pPr>
              <w:jc w:val="right"/>
              <w:spacing w:after="0"/>
              <w:rPr>
                <w:sz w:val="20"/>
                <w:szCs w:val="20"/>
                <w:color w:val="auto"/>
              </w:rPr>
            </w:pPr>
            <w:r>
              <w:rPr>
                <w:rFonts w:ascii="Arial" w:cs="Arial" w:eastAsia="Arial" w:hAnsi="Arial"/>
                <w:sz w:val="18"/>
                <w:szCs w:val="18"/>
                <w:color w:val="auto"/>
              </w:rPr>
              <w:t>20,614.4</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22,654.4</w:t>
            </w:r>
          </w:p>
        </w:tc>
        <w:tc>
          <w:tcPr>
            <w:tcW w:w="1180" w:type="dxa"/>
            <w:vAlign w:val="bottom"/>
          </w:tcPr>
          <w:p>
            <w:pPr>
              <w:jc w:val="right"/>
              <w:spacing w:after="0"/>
              <w:rPr>
                <w:sz w:val="20"/>
                <w:szCs w:val="20"/>
                <w:color w:val="auto"/>
              </w:rPr>
            </w:pPr>
            <w:r>
              <w:rPr>
                <w:rFonts w:ascii="Arial" w:cs="Arial" w:eastAsia="Arial" w:hAnsi="Arial"/>
                <w:sz w:val="18"/>
                <w:szCs w:val="18"/>
                <w:color w:val="auto"/>
              </w:rPr>
              <w:t>20,763.9</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24,849.2</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23,541.3</w:t>
            </w:r>
          </w:p>
        </w:tc>
        <w:tc>
          <w:tcPr>
            <w:tcW w:w="1160" w:type="dxa"/>
            <w:vAlign w:val="bottom"/>
          </w:tcPr>
          <w:p>
            <w:pPr>
              <w:jc w:val="right"/>
              <w:spacing w:after="0"/>
              <w:rPr>
                <w:sz w:val="20"/>
                <w:szCs w:val="20"/>
                <w:color w:val="auto"/>
              </w:rPr>
            </w:pPr>
            <w:r>
              <w:rPr>
                <w:rFonts w:ascii="Arial" w:cs="Arial" w:eastAsia="Arial" w:hAnsi="Arial"/>
                <w:sz w:val="18"/>
                <w:szCs w:val="18"/>
                <w:color w:val="auto"/>
              </w:rPr>
              <w:t>23,436.7</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26,047.8</w:t>
            </w:r>
          </w:p>
        </w:tc>
        <w:tc>
          <w:tcPr>
            <w:tcW w:w="1180" w:type="dxa"/>
            <w:vAlign w:val="bottom"/>
          </w:tcPr>
          <w:p>
            <w:pPr>
              <w:jc w:val="right"/>
              <w:spacing w:after="0"/>
              <w:rPr>
                <w:sz w:val="20"/>
                <w:szCs w:val="20"/>
                <w:color w:val="auto"/>
              </w:rPr>
            </w:pPr>
            <w:r>
              <w:rPr>
                <w:rFonts w:ascii="Arial" w:cs="Arial" w:eastAsia="Arial" w:hAnsi="Arial"/>
                <w:sz w:val="18"/>
                <w:szCs w:val="18"/>
                <w:color w:val="auto"/>
              </w:rPr>
              <w:t>23,729.7</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Net equity</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2,195.9</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2,208.2</w:t>
            </w:r>
          </w:p>
        </w:tc>
        <w:tc>
          <w:tcPr>
            <w:tcW w:w="1160" w:type="dxa"/>
            <w:vAlign w:val="bottom"/>
          </w:tcPr>
          <w:p>
            <w:pPr>
              <w:jc w:val="right"/>
              <w:spacing w:after="0"/>
              <w:rPr>
                <w:sz w:val="20"/>
                <w:szCs w:val="20"/>
                <w:color w:val="auto"/>
              </w:rPr>
            </w:pPr>
            <w:r>
              <w:rPr>
                <w:rFonts w:ascii="Arial" w:cs="Arial" w:eastAsia="Arial" w:hAnsi="Arial"/>
                <w:sz w:val="18"/>
                <w:szCs w:val="18"/>
                <w:color w:val="auto"/>
              </w:rPr>
              <w:t>2,284.9</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2,139.2</w:t>
            </w:r>
          </w:p>
        </w:tc>
        <w:tc>
          <w:tcPr>
            <w:tcW w:w="1180" w:type="dxa"/>
            <w:vAlign w:val="bottom"/>
          </w:tcPr>
          <w:p>
            <w:pPr>
              <w:jc w:val="right"/>
              <w:spacing w:after="0"/>
              <w:rPr>
                <w:sz w:val="20"/>
                <w:szCs w:val="20"/>
                <w:color w:val="auto"/>
              </w:rPr>
            </w:pPr>
            <w:r>
              <w:rPr>
                <w:rFonts w:ascii="Arial" w:cs="Arial" w:eastAsia="Arial" w:hAnsi="Arial"/>
                <w:sz w:val="18"/>
                <w:szCs w:val="18"/>
                <w:color w:val="auto"/>
              </w:rPr>
              <w:t>2,270.1</w:t>
            </w:r>
          </w:p>
        </w:tc>
      </w:tr>
      <w:tr>
        <w:trPr>
          <w:trHeight w:val="486"/>
        </w:trPr>
        <w:tc>
          <w:tcPr>
            <w:tcW w:w="4520" w:type="dxa"/>
            <w:vAlign w:val="bottom"/>
            <w:gridSpan w:val="2"/>
          </w:tcPr>
          <w:p>
            <w:pPr>
              <w:spacing w:after="0"/>
              <w:rPr>
                <w:sz w:val="20"/>
                <w:szCs w:val="20"/>
                <w:color w:val="auto"/>
              </w:rPr>
            </w:pPr>
            <w:r>
              <w:rPr>
                <w:rFonts w:ascii="Arial" w:cs="Arial" w:eastAsia="Arial" w:hAnsi="Arial"/>
                <w:sz w:val="18"/>
                <w:szCs w:val="18"/>
                <w:color w:val="auto"/>
              </w:rPr>
              <w:t>Additional data</w:t>
            </w: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No. of outstanding shares (millions)</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1,202</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1,226</w:t>
            </w:r>
          </w:p>
        </w:tc>
        <w:tc>
          <w:tcPr>
            <w:tcW w:w="1160" w:type="dxa"/>
            <w:vAlign w:val="bottom"/>
          </w:tcPr>
          <w:p>
            <w:pPr>
              <w:jc w:val="right"/>
              <w:spacing w:after="0"/>
              <w:rPr>
                <w:sz w:val="20"/>
                <w:szCs w:val="20"/>
                <w:color w:val="auto"/>
              </w:rPr>
            </w:pPr>
            <w:r>
              <w:rPr>
                <w:rFonts w:ascii="Arial" w:cs="Arial" w:eastAsia="Arial" w:hAnsi="Arial"/>
                <w:sz w:val="18"/>
                <w:szCs w:val="18"/>
                <w:color w:val="auto"/>
              </w:rPr>
              <w:t>1,226</w:t>
            </w:r>
          </w:p>
        </w:tc>
        <w:tc>
          <w:tcPr>
            <w:tcW w:w="40" w:type="dxa"/>
            <w:vAlign w:val="bottom"/>
          </w:tcPr>
          <w:p>
            <w:pPr>
              <w:spacing w:after="0"/>
              <w:rPr>
                <w:sz w:val="21"/>
                <w:szCs w:val="21"/>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1,202</w:t>
            </w:r>
          </w:p>
        </w:tc>
        <w:tc>
          <w:tcPr>
            <w:tcW w:w="1180" w:type="dxa"/>
            <w:vAlign w:val="bottom"/>
          </w:tcPr>
          <w:p>
            <w:pPr>
              <w:jc w:val="right"/>
              <w:spacing w:after="0"/>
              <w:rPr>
                <w:sz w:val="20"/>
                <w:szCs w:val="20"/>
                <w:color w:val="auto"/>
              </w:rPr>
            </w:pPr>
            <w:r>
              <w:rPr>
                <w:rFonts w:ascii="Arial" w:cs="Arial" w:eastAsia="Arial" w:hAnsi="Arial"/>
                <w:sz w:val="18"/>
                <w:szCs w:val="18"/>
                <w:color w:val="auto"/>
              </w:rPr>
              <w:t>1,226</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No. of employees</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7,644</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7,567</w:t>
            </w:r>
          </w:p>
        </w:tc>
        <w:tc>
          <w:tcPr>
            <w:tcW w:w="1160" w:type="dxa"/>
            <w:vAlign w:val="bottom"/>
          </w:tcPr>
          <w:p>
            <w:pPr>
              <w:jc w:val="right"/>
              <w:spacing w:after="0"/>
              <w:rPr>
                <w:sz w:val="20"/>
                <w:szCs w:val="20"/>
                <w:color w:val="auto"/>
              </w:rPr>
            </w:pPr>
            <w:r>
              <w:rPr>
                <w:rFonts w:ascii="Arial" w:cs="Arial" w:eastAsia="Arial" w:hAnsi="Arial"/>
                <w:sz w:val="18"/>
                <w:szCs w:val="18"/>
                <w:color w:val="auto"/>
              </w:rPr>
              <w:t>7,667</w:t>
            </w:r>
          </w:p>
        </w:tc>
        <w:tc>
          <w:tcPr>
            <w:tcW w:w="40" w:type="dxa"/>
            <w:vAlign w:val="bottom"/>
          </w:tcPr>
          <w:p>
            <w:pPr>
              <w:spacing w:after="0"/>
              <w:rPr>
                <w:sz w:val="21"/>
                <w:szCs w:val="21"/>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7,644</w:t>
            </w:r>
          </w:p>
        </w:tc>
        <w:tc>
          <w:tcPr>
            <w:tcW w:w="1180" w:type="dxa"/>
            <w:vAlign w:val="bottom"/>
          </w:tcPr>
          <w:p>
            <w:pPr>
              <w:jc w:val="right"/>
              <w:spacing w:after="0"/>
              <w:rPr>
                <w:sz w:val="20"/>
                <w:szCs w:val="20"/>
                <w:color w:val="auto"/>
              </w:rPr>
            </w:pPr>
            <w:r>
              <w:rPr>
                <w:rFonts w:ascii="Arial" w:cs="Arial" w:eastAsia="Arial" w:hAnsi="Arial"/>
                <w:sz w:val="18"/>
                <w:szCs w:val="18"/>
                <w:color w:val="auto"/>
              </w:rPr>
              <w:t>7,667</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Inflation rate ( Wholesale price index)</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0.54%</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1.89%</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0.13%</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0.98%</w:t>
            </w:r>
          </w:p>
        </w:tc>
        <w:tc>
          <w:tcPr>
            <w:tcW w:w="1180" w:type="dxa"/>
            <w:vAlign w:val="bottom"/>
          </w:tcPr>
          <w:p>
            <w:pPr>
              <w:jc w:val="right"/>
              <w:spacing w:after="0"/>
              <w:rPr>
                <w:sz w:val="20"/>
                <w:szCs w:val="20"/>
                <w:color w:val="auto"/>
              </w:rPr>
            </w:pPr>
            <w:r>
              <w:rPr>
                <w:rFonts w:ascii="Arial" w:cs="Arial" w:eastAsia="Arial" w:hAnsi="Arial"/>
                <w:sz w:val="18"/>
                <w:szCs w:val="18"/>
                <w:color w:val="auto"/>
              </w:rPr>
              <w:t>4.91%</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Exchange rate (S/. per 1 U.S. Dollar)</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3.48</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3.47</w:t>
            </w:r>
          </w:p>
        </w:tc>
        <w:tc>
          <w:tcPr>
            <w:tcW w:w="1160" w:type="dxa"/>
            <w:vAlign w:val="bottom"/>
          </w:tcPr>
          <w:p>
            <w:pPr>
              <w:jc w:val="right"/>
              <w:spacing w:after="0"/>
              <w:rPr>
                <w:sz w:val="20"/>
                <w:szCs w:val="20"/>
                <w:color w:val="auto"/>
              </w:rPr>
            </w:pPr>
            <w:r>
              <w:rPr>
                <w:rFonts w:ascii="Arial" w:cs="Arial" w:eastAsia="Arial" w:hAnsi="Arial"/>
                <w:sz w:val="18"/>
                <w:szCs w:val="18"/>
                <w:color w:val="auto"/>
              </w:rPr>
              <w:t>3.34</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3.48</w:t>
            </w:r>
          </w:p>
        </w:tc>
        <w:tc>
          <w:tcPr>
            <w:tcW w:w="1180" w:type="dxa"/>
            <w:vAlign w:val="bottom"/>
          </w:tcPr>
          <w:p>
            <w:pPr>
              <w:jc w:val="right"/>
              <w:spacing w:after="0"/>
              <w:rPr>
                <w:sz w:val="20"/>
                <w:szCs w:val="20"/>
                <w:color w:val="auto"/>
              </w:rPr>
            </w:pPr>
            <w:r>
              <w:rPr>
                <w:rFonts w:ascii="Arial" w:cs="Arial" w:eastAsia="Arial" w:hAnsi="Arial"/>
                <w:sz w:val="18"/>
                <w:szCs w:val="18"/>
                <w:color w:val="auto"/>
              </w:rPr>
              <w:t>3.34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5475605</wp:posOffset>
            </wp:positionH>
            <wp:positionV relativeFrom="paragraph">
              <wp:posOffset>-6279515</wp:posOffset>
            </wp:positionV>
            <wp:extent cx="3429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7207885</wp:posOffset>
            </wp:positionH>
            <wp:positionV relativeFrom="paragraph">
              <wp:posOffset>-6279515</wp:posOffset>
            </wp:positionV>
            <wp:extent cx="3429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-5953760</wp:posOffset>
            </wp:positionV>
            <wp:extent cx="3429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5475605</wp:posOffset>
            </wp:positionH>
            <wp:positionV relativeFrom="paragraph">
              <wp:posOffset>-5953760</wp:posOffset>
            </wp:positionV>
            <wp:extent cx="3429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7207885</wp:posOffset>
            </wp:positionH>
            <wp:positionV relativeFrom="paragraph">
              <wp:posOffset>-5953760</wp:posOffset>
            </wp:positionV>
            <wp:extent cx="3429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74295</wp:posOffset>
            </wp:positionV>
            <wp:extent cx="722503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57" w:lineRule="exact"/>
        <w:rPr>
          <w:sz w:val="20"/>
          <w:szCs w:val="20"/>
          <w:color w:val="auto"/>
        </w:rPr>
      </w:pPr>
    </w:p>
    <w:p>
      <w:pPr>
        <w:ind w:left="572" w:hanging="572"/>
        <w:spacing w:after="0"/>
        <w:tabs>
          <w:tab w:leader="none" w:pos="572" w:val="left"/>
        </w:tabs>
        <w:numPr>
          <w:ilvl w:val="0"/>
          <w:numId w:val="9"/>
        </w:numPr>
        <w:rPr>
          <w:rFonts w:ascii="Arial" w:cs="Arial" w:eastAsia="Arial" w:hAnsi="Arial"/>
          <w:sz w:val="16"/>
          <w:szCs w:val="16"/>
          <w:color w:val="auto"/>
        </w:rPr>
      </w:pPr>
      <w:r>
        <w:rPr>
          <w:rFonts w:ascii="Arial" w:cs="Arial" w:eastAsia="Arial" w:hAnsi="Arial"/>
          <w:sz w:val="16"/>
          <w:szCs w:val="16"/>
          <w:color w:val="auto"/>
        </w:rPr>
        <w:t>Shares outstanding of 1,226 million is used for all periods since shares have been issued only for capitalization of profits and inflation adjustment.</w:t>
      </w:r>
    </w:p>
    <w:p>
      <w:pPr>
        <w:spacing w:after="0" w:line="38" w:lineRule="exact"/>
        <w:rPr>
          <w:rFonts w:ascii="Arial" w:cs="Arial" w:eastAsia="Arial" w:hAnsi="Arial"/>
          <w:sz w:val="16"/>
          <w:szCs w:val="16"/>
          <w:color w:val="auto"/>
        </w:rPr>
      </w:pPr>
    </w:p>
    <w:p>
      <w:pPr>
        <w:ind w:left="572" w:hanging="572"/>
        <w:spacing w:after="0"/>
        <w:tabs>
          <w:tab w:leader="none" w:pos="572" w:val="left"/>
        </w:tabs>
        <w:numPr>
          <w:ilvl w:val="0"/>
          <w:numId w:val="9"/>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income includes net interest income and other income, excluding non-recurring items.</w:t>
      </w:r>
    </w:p>
    <w:p>
      <w:pPr>
        <w:spacing w:after="0" w:line="9" w:lineRule="exact"/>
        <w:rPr>
          <w:rFonts w:ascii="Arial" w:cs="Arial" w:eastAsia="Arial" w:hAnsi="Arial"/>
          <w:sz w:val="18"/>
          <w:szCs w:val="18"/>
          <w:color w:val="auto"/>
        </w:rPr>
      </w:pPr>
    </w:p>
    <w:p>
      <w:pPr>
        <w:ind w:left="572" w:hanging="572"/>
        <w:spacing w:after="0" w:line="261" w:lineRule="auto"/>
        <w:tabs>
          <w:tab w:leader="none" w:pos="572"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expense does not include mandatory employee profit sharing expense nor provisions for other assets received in lieu of loan repayment and non-recurring items.</w:t>
      </w:r>
    </w:p>
    <w:p>
      <w:pPr>
        <w:sectPr>
          <w:pgSz w:w="11900" w:h="16838" w:orient="portrait"/>
          <w:cols w:equalWidth="0" w:num="1">
            <w:col w:w="11392"/>
          </w:cols>
          <w:pgMar w:left="248" w:top="347" w:right="259" w:bottom="1440" w:gutter="0" w:footer="0" w:header="0"/>
        </w:sectPr>
      </w:pPr>
    </w:p>
    <w:bookmarkStart w:id="20" w:name="page21"/>
    <w:bookmarkEnd w:id="20"/>
    <w:p>
      <w:pPr>
        <w:jc w:val="center"/>
        <w:ind w:right="-91"/>
        <w:spacing w:after="0"/>
        <w:rPr>
          <w:sz w:val="20"/>
          <w:szCs w:val="20"/>
          <w:color w:val="auto"/>
        </w:rPr>
      </w:pPr>
      <w:r>
        <w:rPr>
          <w:rFonts w:ascii="Arial" w:cs="Arial" w:eastAsia="Arial" w:hAnsi="Arial"/>
          <w:sz w:val="18"/>
          <w:szCs w:val="18"/>
          <w:color w:val="auto"/>
        </w:rPr>
        <w:t>ATLANTIC SECURITY HOLDING CORPORATION</w:t>
      </w:r>
    </w:p>
    <w:p>
      <w:pPr>
        <w:spacing w:after="0" w:line="15"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Table 7</w:t>
      </w:r>
    </w:p>
    <w:p>
      <w:pPr>
        <w:spacing w:after="0" w:line="9"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SELECTED FINANCIAL DATA</w:t>
      </w:r>
    </w:p>
    <w:p>
      <w:pPr>
        <w:spacing w:after="0" w:line="9"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(Thousands of U.S. Dollars, except net income per share, and percentages)</w:t>
      </w:r>
    </w:p>
    <w:p>
      <w:pPr>
        <w:spacing w:after="0" w:line="246" w:lineRule="exact"/>
        <w:rPr>
          <w:sz w:val="20"/>
          <w:szCs w:val="20"/>
          <w:color w:val="auto"/>
        </w:rPr>
      </w:pPr>
    </w:p>
    <w:tbl>
      <w:tblPr>
        <w:tblLayout w:type="fixed"/>
        <w:tblInd w:w="32" w:type="dxa"/>
        <w:tblCellMar>
          <w:top w:w="0" w:type="dxa"/>
          <w:left w:w="0" w:type="dxa"/>
          <w:bottom w:w="0" w:type="dxa"/>
          <w:right w:w="0" w:type="dxa"/>
        </w:tblCellMar>
      </w:tblPr>
      <w:tr>
        <w:trPr>
          <w:trHeight w:val="222"/>
        </w:trPr>
        <w:tc>
          <w:tcPr>
            <w:tcW w:w="4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00" w:type="dxa"/>
            <w:vAlign w:val="bottom"/>
            <w:gridSpan w:val="2"/>
          </w:tcPr>
          <w:p>
            <w:pPr>
              <w:jc w:val="right"/>
              <w:ind w:right="72"/>
              <w:spacing w:after="0"/>
              <w:rPr>
                <w:sz w:val="20"/>
                <w:szCs w:val="20"/>
                <w:color w:val="auto"/>
              </w:rPr>
            </w:pPr>
            <w:r>
              <w:rPr>
                <w:rFonts w:ascii="Arial" w:cs="Arial" w:eastAsia="Arial" w:hAnsi="Arial"/>
                <w:sz w:val="18"/>
                <w:szCs w:val="18"/>
                <w:color w:val="auto"/>
              </w:rPr>
              <w:t>Three months ended</w:t>
            </w: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700" w:type="dxa"/>
            <w:vAlign w:val="bottom"/>
            <w:gridSpan w:val="2"/>
          </w:tcPr>
          <w:p>
            <w:pPr>
              <w:jc w:val="right"/>
              <w:ind w:right="592"/>
              <w:spacing w:after="0"/>
              <w:rPr>
                <w:sz w:val="20"/>
                <w:szCs w:val="20"/>
                <w:color w:val="auto"/>
              </w:rPr>
            </w:pPr>
            <w:r>
              <w:rPr>
                <w:rFonts w:ascii="Arial" w:cs="Arial" w:eastAsia="Arial" w:hAnsi="Arial"/>
                <w:sz w:val="18"/>
                <w:szCs w:val="18"/>
                <w:color w:val="auto"/>
              </w:rPr>
              <w:t>Nine months ended</w:t>
            </w:r>
          </w:p>
        </w:tc>
      </w:tr>
      <w:tr>
        <w:trPr>
          <w:trHeight w:val="137"/>
        </w:trPr>
        <w:tc>
          <w:tcPr>
            <w:tcW w:w="4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r>
      <w:tr>
        <w:trPr>
          <w:trHeight w:val="356"/>
        </w:trPr>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jc w:val="right"/>
              <w:ind w:right="472"/>
              <w:spacing w:after="0"/>
              <w:rPr>
                <w:sz w:val="20"/>
                <w:szCs w:val="20"/>
                <w:color w:val="auto"/>
              </w:rPr>
            </w:pPr>
            <w:r>
              <w:rPr>
                <w:rFonts w:ascii="Arial" w:cs="Arial" w:eastAsia="Arial" w:hAnsi="Arial"/>
                <w:sz w:val="18"/>
                <w:szCs w:val="18"/>
                <w:color w:val="auto"/>
              </w:rPr>
              <w:t>30.09.03</w:t>
            </w:r>
          </w:p>
        </w:tc>
        <w:tc>
          <w:tcPr>
            <w:tcW w:w="1380" w:type="dxa"/>
            <w:vAlign w:val="bottom"/>
          </w:tcPr>
          <w:p>
            <w:pPr>
              <w:jc w:val="right"/>
              <w:ind w:right="492"/>
              <w:spacing w:after="0"/>
              <w:rPr>
                <w:sz w:val="20"/>
                <w:szCs w:val="20"/>
                <w:color w:val="auto"/>
              </w:rPr>
            </w:pPr>
            <w:r>
              <w:rPr>
                <w:rFonts w:ascii="Arial" w:cs="Arial" w:eastAsia="Arial" w:hAnsi="Arial"/>
                <w:sz w:val="18"/>
                <w:szCs w:val="18"/>
                <w:color w:val="auto"/>
              </w:rPr>
              <w:t>30.06.04</w:t>
            </w:r>
          </w:p>
        </w:tc>
        <w:tc>
          <w:tcPr>
            <w:tcW w:w="1160" w:type="dxa"/>
            <w:vAlign w:val="bottom"/>
          </w:tcPr>
          <w:p>
            <w:pPr>
              <w:jc w:val="right"/>
              <w:ind w:right="292"/>
              <w:spacing w:after="0"/>
              <w:rPr>
                <w:sz w:val="20"/>
                <w:szCs w:val="20"/>
                <w:color w:val="auto"/>
              </w:rPr>
            </w:pPr>
            <w:r>
              <w:rPr>
                <w:rFonts w:ascii="Arial" w:cs="Arial" w:eastAsia="Arial" w:hAnsi="Arial"/>
                <w:sz w:val="18"/>
                <w:szCs w:val="18"/>
                <w:color w:val="auto"/>
              </w:rPr>
              <w:t>30.09.04</w:t>
            </w:r>
          </w:p>
        </w:tc>
        <w:tc>
          <w:tcPr>
            <w:tcW w:w="1560" w:type="dxa"/>
            <w:vAlign w:val="bottom"/>
            <w:gridSpan w:val="2"/>
          </w:tcPr>
          <w:p>
            <w:pPr>
              <w:jc w:val="right"/>
              <w:ind w:right="492"/>
              <w:spacing w:after="0"/>
              <w:rPr>
                <w:sz w:val="20"/>
                <w:szCs w:val="20"/>
                <w:color w:val="auto"/>
              </w:rPr>
            </w:pPr>
            <w:r>
              <w:rPr>
                <w:rFonts w:ascii="Arial" w:cs="Arial" w:eastAsia="Arial" w:hAnsi="Arial"/>
                <w:sz w:val="18"/>
                <w:szCs w:val="18"/>
                <w:color w:val="auto"/>
              </w:rPr>
              <w:t>30.09.03</w:t>
            </w:r>
          </w:p>
        </w:tc>
        <w:tc>
          <w:tcPr>
            <w:tcW w:w="1180" w:type="dxa"/>
            <w:vAlign w:val="bottom"/>
          </w:tcPr>
          <w:p>
            <w:pPr>
              <w:jc w:val="right"/>
              <w:ind w:right="312"/>
              <w:spacing w:after="0"/>
              <w:rPr>
                <w:sz w:val="20"/>
                <w:szCs w:val="20"/>
                <w:color w:val="auto"/>
              </w:rPr>
            </w:pPr>
            <w:r>
              <w:rPr>
                <w:rFonts w:ascii="Arial" w:cs="Arial" w:eastAsia="Arial" w:hAnsi="Arial"/>
                <w:sz w:val="18"/>
                <w:szCs w:val="18"/>
                <w:color w:val="auto"/>
              </w:rPr>
              <w:t>30.09.04</w:t>
            </w:r>
          </w:p>
        </w:tc>
      </w:tr>
      <w:tr>
        <w:trPr>
          <w:trHeight w:val="137"/>
        </w:trPr>
        <w:tc>
          <w:tcPr>
            <w:tcW w:w="44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r>
      <w:tr>
        <w:trPr>
          <w:trHeight w:val="343"/>
        </w:trPr>
        <w:tc>
          <w:tcPr>
            <w:tcW w:w="4480" w:type="dxa"/>
            <w:vAlign w:val="bottom"/>
            <w:gridSpan w:val="2"/>
          </w:tcPr>
          <w:p>
            <w:pPr>
              <w:spacing w:after="0"/>
              <w:rPr>
                <w:sz w:val="20"/>
                <w:szCs w:val="20"/>
                <w:color w:val="auto"/>
              </w:rPr>
            </w:pPr>
            <w:r>
              <w:rPr>
                <w:rFonts w:ascii="Arial" w:cs="Arial" w:eastAsia="Arial" w:hAnsi="Arial"/>
                <w:sz w:val="18"/>
                <w:szCs w:val="18"/>
                <w:color w:val="auto"/>
              </w:rPr>
              <w:t>Results</w:t>
            </w: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4480" w:type="dxa"/>
            <w:vAlign w:val="bottom"/>
            <w:gridSpan w:val="2"/>
          </w:tcPr>
          <w:p>
            <w:pPr>
              <w:spacing w:after="0"/>
              <w:rPr>
                <w:sz w:val="20"/>
                <w:szCs w:val="20"/>
                <w:color w:val="auto"/>
              </w:rPr>
            </w:pPr>
            <w:r>
              <w:rPr>
                <w:rFonts w:ascii="Arial" w:cs="Arial" w:eastAsia="Arial" w:hAnsi="Arial"/>
                <w:sz w:val="18"/>
                <w:szCs w:val="18"/>
                <w:color w:val="auto"/>
              </w:rPr>
              <w:t>Net Interest Income (w/o dividends)</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3,601</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3,632</w:t>
            </w:r>
          </w:p>
        </w:tc>
        <w:tc>
          <w:tcPr>
            <w:tcW w:w="1160" w:type="dxa"/>
            <w:vAlign w:val="bottom"/>
          </w:tcPr>
          <w:p>
            <w:pPr>
              <w:jc w:val="right"/>
              <w:spacing w:after="0"/>
              <w:rPr>
                <w:sz w:val="20"/>
                <w:szCs w:val="20"/>
                <w:color w:val="auto"/>
              </w:rPr>
            </w:pPr>
            <w:r>
              <w:rPr>
                <w:rFonts w:ascii="Arial" w:cs="Arial" w:eastAsia="Arial" w:hAnsi="Arial"/>
                <w:sz w:val="18"/>
                <w:szCs w:val="18"/>
                <w:color w:val="auto"/>
              </w:rPr>
              <w:t>3,374</w:t>
            </w:r>
          </w:p>
        </w:tc>
        <w:tc>
          <w:tcPr>
            <w:tcW w:w="1560" w:type="dxa"/>
            <w:vAlign w:val="bottom"/>
            <w:gridSpan w:val="2"/>
          </w:tcPr>
          <w:p>
            <w:pPr>
              <w:jc w:val="right"/>
              <w:ind w:right="152"/>
              <w:spacing w:after="0"/>
              <w:rPr>
                <w:sz w:val="20"/>
                <w:szCs w:val="20"/>
                <w:color w:val="auto"/>
              </w:rPr>
            </w:pPr>
            <w:r>
              <w:rPr>
                <w:rFonts w:ascii="Arial" w:cs="Arial" w:eastAsia="Arial" w:hAnsi="Arial"/>
                <w:sz w:val="18"/>
                <w:szCs w:val="18"/>
                <w:color w:val="auto"/>
              </w:rPr>
              <w:t>11,244</w:t>
            </w:r>
          </w:p>
        </w:tc>
        <w:tc>
          <w:tcPr>
            <w:tcW w:w="1180" w:type="dxa"/>
            <w:vAlign w:val="bottom"/>
          </w:tcPr>
          <w:p>
            <w:pPr>
              <w:jc w:val="right"/>
              <w:spacing w:after="0"/>
              <w:rPr>
                <w:sz w:val="20"/>
                <w:szCs w:val="20"/>
                <w:color w:val="auto"/>
              </w:rPr>
            </w:pPr>
            <w:r>
              <w:rPr>
                <w:rFonts w:ascii="Arial" w:cs="Arial" w:eastAsia="Arial" w:hAnsi="Arial"/>
                <w:sz w:val="18"/>
                <w:szCs w:val="18"/>
                <w:color w:val="auto"/>
              </w:rPr>
              <w:t>10,389</w:t>
            </w:r>
          </w:p>
        </w:tc>
      </w:tr>
      <w:tr>
        <w:trPr>
          <w:trHeight w:val="243"/>
        </w:trPr>
        <w:tc>
          <w:tcPr>
            <w:tcW w:w="4480" w:type="dxa"/>
            <w:vAlign w:val="bottom"/>
            <w:gridSpan w:val="2"/>
          </w:tcPr>
          <w:p>
            <w:pPr>
              <w:spacing w:after="0"/>
              <w:rPr>
                <w:sz w:val="20"/>
                <w:szCs w:val="20"/>
                <w:color w:val="auto"/>
              </w:rPr>
            </w:pPr>
            <w:r>
              <w:rPr>
                <w:rFonts w:ascii="Arial" w:cs="Arial" w:eastAsia="Arial" w:hAnsi="Arial"/>
                <w:sz w:val="18"/>
                <w:szCs w:val="18"/>
                <w:color w:val="auto"/>
              </w:rPr>
              <w:t>Dividend income</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4</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1,043</w:t>
            </w: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1560" w:type="dxa"/>
            <w:vAlign w:val="bottom"/>
            <w:gridSpan w:val="2"/>
          </w:tcPr>
          <w:p>
            <w:pPr>
              <w:jc w:val="right"/>
              <w:ind w:right="152"/>
              <w:spacing w:after="0"/>
              <w:rPr>
                <w:sz w:val="20"/>
                <w:szCs w:val="20"/>
                <w:color w:val="auto"/>
              </w:rPr>
            </w:pPr>
            <w:r>
              <w:rPr>
                <w:rFonts w:ascii="Arial" w:cs="Arial" w:eastAsia="Arial" w:hAnsi="Arial"/>
                <w:sz w:val="18"/>
                <w:szCs w:val="18"/>
                <w:color w:val="auto"/>
              </w:rPr>
              <w:t>3,221</w:t>
            </w:r>
          </w:p>
        </w:tc>
        <w:tc>
          <w:tcPr>
            <w:tcW w:w="1180" w:type="dxa"/>
            <w:vAlign w:val="bottom"/>
          </w:tcPr>
          <w:p>
            <w:pPr>
              <w:jc w:val="right"/>
              <w:spacing w:after="0"/>
              <w:rPr>
                <w:sz w:val="20"/>
                <w:szCs w:val="20"/>
                <w:color w:val="auto"/>
              </w:rPr>
            </w:pPr>
            <w:r>
              <w:rPr>
                <w:rFonts w:ascii="Arial" w:cs="Arial" w:eastAsia="Arial" w:hAnsi="Arial"/>
                <w:sz w:val="18"/>
                <w:szCs w:val="18"/>
                <w:color w:val="auto"/>
              </w:rPr>
              <w:t>5,947</w:t>
            </w:r>
          </w:p>
        </w:tc>
      </w:tr>
      <w:tr>
        <w:trPr>
          <w:trHeight w:val="243"/>
        </w:trPr>
        <w:tc>
          <w:tcPr>
            <w:tcW w:w="4480" w:type="dxa"/>
            <w:vAlign w:val="bottom"/>
            <w:gridSpan w:val="2"/>
          </w:tcPr>
          <w:p>
            <w:pPr>
              <w:spacing w:after="0"/>
              <w:rPr>
                <w:sz w:val="20"/>
                <w:szCs w:val="20"/>
                <w:color w:val="auto"/>
              </w:rPr>
            </w:pPr>
            <w:r>
              <w:rPr>
                <w:rFonts w:ascii="Arial" w:cs="Arial" w:eastAsia="Arial" w:hAnsi="Arial"/>
                <w:sz w:val="18"/>
                <w:szCs w:val="18"/>
                <w:color w:val="auto"/>
              </w:rPr>
              <w:t>Provisions for credit and market risks</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1,894</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520</w:t>
            </w: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1560" w:type="dxa"/>
            <w:vAlign w:val="bottom"/>
            <w:gridSpan w:val="2"/>
          </w:tcPr>
          <w:p>
            <w:pPr>
              <w:jc w:val="right"/>
              <w:ind w:right="152"/>
              <w:spacing w:after="0"/>
              <w:rPr>
                <w:sz w:val="20"/>
                <w:szCs w:val="20"/>
                <w:color w:val="auto"/>
              </w:rPr>
            </w:pPr>
            <w:r>
              <w:rPr>
                <w:rFonts w:ascii="Arial" w:cs="Arial" w:eastAsia="Arial" w:hAnsi="Arial"/>
                <w:sz w:val="18"/>
                <w:szCs w:val="18"/>
                <w:color w:val="auto"/>
              </w:rPr>
              <w:t>10,600</w:t>
            </w:r>
          </w:p>
        </w:tc>
        <w:tc>
          <w:tcPr>
            <w:tcW w:w="1180" w:type="dxa"/>
            <w:vAlign w:val="bottom"/>
          </w:tcPr>
          <w:p>
            <w:pPr>
              <w:jc w:val="right"/>
              <w:spacing w:after="0"/>
              <w:rPr>
                <w:sz w:val="20"/>
                <w:szCs w:val="20"/>
                <w:color w:val="auto"/>
              </w:rPr>
            </w:pPr>
            <w:r>
              <w:rPr>
                <w:rFonts w:ascii="Arial" w:cs="Arial" w:eastAsia="Arial" w:hAnsi="Arial"/>
                <w:sz w:val="18"/>
                <w:szCs w:val="18"/>
                <w:color w:val="auto"/>
              </w:rPr>
              <w:t>1,554</w:t>
            </w:r>
          </w:p>
        </w:tc>
      </w:tr>
      <w:tr>
        <w:trPr>
          <w:trHeight w:val="243"/>
        </w:trPr>
        <w:tc>
          <w:tcPr>
            <w:tcW w:w="4480" w:type="dxa"/>
            <w:vAlign w:val="bottom"/>
            <w:gridSpan w:val="2"/>
          </w:tcPr>
          <w:p>
            <w:pPr>
              <w:spacing w:after="0"/>
              <w:rPr>
                <w:sz w:val="20"/>
                <w:szCs w:val="20"/>
                <w:color w:val="auto"/>
              </w:rPr>
            </w:pPr>
            <w:r>
              <w:rPr>
                <w:rFonts w:ascii="Arial" w:cs="Arial" w:eastAsia="Arial" w:hAnsi="Arial"/>
                <w:sz w:val="18"/>
                <w:szCs w:val="18"/>
                <w:color w:val="auto"/>
              </w:rPr>
              <w:t>Commissions and fee income</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829</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1,095</w:t>
            </w:r>
          </w:p>
        </w:tc>
        <w:tc>
          <w:tcPr>
            <w:tcW w:w="1160" w:type="dxa"/>
            <w:vAlign w:val="bottom"/>
          </w:tcPr>
          <w:p>
            <w:pPr>
              <w:jc w:val="right"/>
              <w:spacing w:after="0"/>
              <w:rPr>
                <w:sz w:val="20"/>
                <w:szCs w:val="20"/>
                <w:color w:val="auto"/>
              </w:rPr>
            </w:pPr>
            <w:r>
              <w:rPr>
                <w:rFonts w:ascii="Arial" w:cs="Arial" w:eastAsia="Arial" w:hAnsi="Arial"/>
                <w:sz w:val="18"/>
                <w:szCs w:val="18"/>
                <w:color w:val="auto"/>
              </w:rPr>
              <w:t>1,001</w:t>
            </w:r>
          </w:p>
        </w:tc>
        <w:tc>
          <w:tcPr>
            <w:tcW w:w="1560" w:type="dxa"/>
            <w:vAlign w:val="bottom"/>
            <w:gridSpan w:val="2"/>
          </w:tcPr>
          <w:p>
            <w:pPr>
              <w:jc w:val="right"/>
              <w:ind w:right="152"/>
              <w:spacing w:after="0"/>
              <w:rPr>
                <w:sz w:val="20"/>
                <w:szCs w:val="20"/>
                <w:color w:val="auto"/>
              </w:rPr>
            </w:pPr>
            <w:r>
              <w:rPr>
                <w:rFonts w:ascii="Arial" w:cs="Arial" w:eastAsia="Arial" w:hAnsi="Arial"/>
                <w:sz w:val="18"/>
                <w:szCs w:val="18"/>
                <w:color w:val="auto"/>
              </w:rPr>
              <w:t>2,631</w:t>
            </w:r>
          </w:p>
        </w:tc>
        <w:tc>
          <w:tcPr>
            <w:tcW w:w="1180" w:type="dxa"/>
            <w:vAlign w:val="bottom"/>
          </w:tcPr>
          <w:p>
            <w:pPr>
              <w:jc w:val="right"/>
              <w:spacing w:after="0"/>
              <w:rPr>
                <w:sz w:val="20"/>
                <w:szCs w:val="20"/>
                <w:color w:val="auto"/>
              </w:rPr>
            </w:pPr>
            <w:r>
              <w:rPr>
                <w:rFonts w:ascii="Arial" w:cs="Arial" w:eastAsia="Arial" w:hAnsi="Arial"/>
                <w:sz w:val="18"/>
                <w:szCs w:val="18"/>
                <w:color w:val="auto"/>
              </w:rPr>
              <w:t>3,212</w:t>
            </w:r>
          </w:p>
        </w:tc>
      </w:tr>
      <w:tr>
        <w:trPr>
          <w:trHeight w:val="243"/>
        </w:trPr>
        <w:tc>
          <w:tcPr>
            <w:tcW w:w="4480" w:type="dxa"/>
            <w:vAlign w:val="bottom"/>
            <w:gridSpan w:val="2"/>
          </w:tcPr>
          <w:p>
            <w:pPr>
              <w:spacing w:after="0"/>
              <w:rPr>
                <w:sz w:val="20"/>
                <w:szCs w:val="20"/>
                <w:color w:val="auto"/>
              </w:rPr>
            </w:pPr>
            <w:r>
              <w:rPr>
                <w:rFonts w:ascii="Arial" w:cs="Arial" w:eastAsia="Arial" w:hAnsi="Arial"/>
                <w:sz w:val="18"/>
                <w:szCs w:val="18"/>
                <w:color w:val="auto"/>
              </w:rPr>
              <w:t>Other Income(1)</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1,643</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1,116</w:t>
            </w:r>
          </w:p>
        </w:tc>
        <w:tc>
          <w:tcPr>
            <w:tcW w:w="1160" w:type="dxa"/>
            <w:vAlign w:val="bottom"/>
          </w:tcPr>
          <w:p>
            <w:pPr>
              <w:jc w:val="right"/>
              <w:spacing w:after="0"/>
              <w:rPr>
                <w:sz w:val="20"/>
                <w:szCs w:val="20"/>
                <w:color w:val="auto"/>
              </w:rPr>
            </w:pPr>
            <w:r>
              <w:rPr>
                <w:rFonts w:ascii="Arial" w:cs="Arial" w:eastAsia="Arial" w:hAnsi="Arial"/>
                <w:sz w:val="18"/>
                <w:szCs w:val="18"/>
                <w:color w:val="auto"/>
              </w:rPr>
              <w:t>329</w:t>
            </w:r>
          </w:p>
        </w:tc>
        <w:tc>
          <w:tcPr>
            <w:tcW w:w="1560" w:type="dxa"/>
            <w:vAlign w:val="bottom"/>
            <w:gridSpan w:val="2"/>
          </w:tcPr>
          <w:p>
            <w:pPr>
              <w:jc w:val="right"/>
              <w:ind w:right="152"/>
              <w:spacing w:after="0"/>
              <w:rPr>
                <w:sz w:val="20"/>
                <w:szCs w:val="20"/>
                <w:color w:val="auto"/>
              </w:rPr>
            </w:pPr>
            <w:r>
              <w:rPr>
                <w:rFonts w:ascii="Arial" w:cs="Arial" w:eastAsia="Arial" w:hAnsi="Arial"/>
                <w:sz w:val="18"/>
                <w:szCs w:val="18"/>
                <w:color w:val="auto"/>
              </w:rPr>
              <w:t>6,160</w:t>
            </w:r>
          </w:p>
        </w:tc>
        <w:tc>
          <w:tcPr>
            <w:tcW w:w="1180" w:type="dxa"/>
            <w:vAlign w:val="bottom"/>
          </w:tcPr>
          <w:p>
            <w:pPr>
              <w:jc w:val="right"/>
              <w:spacing w:after="0"/>
              <w:rPr>
                <w:sz w:val="20"/>
                <w:szCs w:val="20"/>
                <w:color w:val="auto"/>
              </w:rPr>
            </w:pPr>
            <w:r>
              <w:rPr>
                <w:rFonts w:ascii="Arial" w:cs="Arial" w:eastAsia="Arial" w:hAnsi="Arial"/>
                <w:sz w:val="18"/>
                <w:szCs w:val="18"/>
                <w:color w:val="auto"/>
              </w:rPr>
              <w:t>2,697</w:t>
            </w:r>
          </w:p>
        </w:tc>
      </w:tr>
      <w:tr>
        <w:trPr>
          <w:trHeight w:val="243"/>
        </w:trPr>
        <w:tc>
          <w:tcPr>
            <w:tcW w:w="4480" w:type="dxa"/>
            <w:vAlign w:val="bottom"/>
            <w:gridSpan w:val="2"/>
          </w:tcPr>
          <w:p>
            <w:pPr>
              <w:spacing w:after="0"/>
              <w:rPr>
                <w:sz w:val="20"/>
                <w:szCs w:val="20"/>
                <w:color w:val="auto"/>
              </w:rPr>
            </w:pPr>
            <w:r>
              <w:rPr>
                <w:rFonts w:ascii="Arial" w:cs="Arial" w:eastAsia="Arial" w:hAnsi="Arial"/>
                <w:sz w:val="18"/>
                <w:szCs w:val="18"/>
                <w:color w:val="auto"/>
              </w:rPr>
              <w:t>Operating Expense</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1,716</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1,776</w:t>
            </w:r>
          </w:p>
        </w:tc>
        <w:tc>
          <w:tcPr>
            <w:tcW w:w="1160" w:type="dxa"/>
            <w:vAlign w:val="bottom"/>
          </w:tcPr>
          <w:p>
            <w:pPr>
              <w:jc w:val="right"/>
              <w:spacing w:after="0"/>
              <w:rPr>
                <w:sz w:val="20"/>
                <w:szCs w:val="20"/>
                <w:color w:val="auto"/>
              </w:rPr>
            </w:pPr>
            <w:r>
              <w:rPr>
                <w:rFonts w:ascii="Arial" w:cs="Arial" w:eastAsia="Arial" w:hAnsi="Arial"/>
                <w:sz w:val="18"/>
                <w:szCs w:val="18"/>
                <w:color w:val="auto"/>
              </w:rPr>
              <w:t>1,911</w:t>
            </w:r>
          </w:p>
        </w:tc>
        <w:tc>
          <w:tcPr>
            <w:tcW w:w="1560" w:type="dxa"/>
            <w:vAlign w:val="bottom"/>
            <w:gridSpan w:val="2"/>
          </w:tcPr>
          <w:p>
            <w:pPr>
              <w:jc w:val="right"/>
              <w:ind w:right="152"/>
              <w:spacing w:after="0"/>
              <w:rPr>
                <w:sz w:val="20"/>
                <w:szCs w:val="20"/>
                <w:color w:val="auto"/>
              </w:rPr>
            </w:pPr>
            <w:r>
              <w:rPr>
                <w:rFonts w:ascii="Arial" w:cs="Arial" w:eastAsia="Arial" w:hAnsi="Arial"/>
                <w:sz w:val="18"/>
                <w:szCs w:val="18"/>
                <w:color w:val="auto"/>
              </w:rPr>
              <w:t>4,816</w:t>
            </w:r>
          </w:p>
        </w:tc>
        <w:tc>
          <w:tcPr>
            <w:tcW w:w="1180" w:type="dxa"/>
            <w:vAlign w:val="bottom"/>
          </w:tcPr>
          <w:p>
            <w:pPr>
              <w:jc w:val="right"/>
              <w:spacing w:after="0"/>
              <w:rPr>
                <w:sz w:val="20"/>
                <w:szCs w:val="20"/>
                <w:color w:val="auto"/>
              </w:rPr>
            </w:pPr>
            <w:r>
              <w:rPr>
                <w:rFonts w:ascii="Arial" w:cs="Arial" w:eastAsia="Arial" w:hAnsi="Arial"/>
                <w:sz w:val="18"/>
                <w:szCs w:val="18"/>
                <w:color w:val="auto"/>
              </w:rPr>
              <w:t>5,551</w:t>
            </w:r>
          </w:p>
        </w:tc>
      </w:tr>
      <w:tr>
        <w:trPr>
          <w:trHeight w:val="243"/>
        </w:trPr>
        <w:tc>
          <w:tcPr>
            <w:tcW w:w="44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2,466</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4,589</w:t>
            </w:r>
          </w:p>
        </w:tc>
        <w:tc>
          <w:tcPr>
            <w:tcW w:w="1160" w:type="dxa"/>
            <w:vAlign w:val="bottom"/>
          </w:tcPr>
          <w:p>
            <w:pPr>
              <w:jc w:val="right"/>
              <w:spacing w:after="0"/>
              <w:rPr>
                <w:sz w:val="20"/>
                <w:szCs w:val="20"/>
                <w:color w:val="auto"/>
              </w:rPr>
            </w:pPr>
            <w:r>
              <w:rPr>
                <w:rFonts w:ascii="Arial" w:cs="Arial" w:eastAsia="Arial" w:hAnsi="Arial"/>
                <w:sz w:val="18"/>
                <w:szCs w:val="18"/>
                <w:color w:val="auto"/>
              </w:rPr>
              <w:t>2,827</w:t>
            </w:r>
          </w:p>
        </w:tc>
        <w:tc>
          <w:tcPr>
            <w:tcW w:w="1560" w:type="dxa"/>
            <w:vAlign w:val="bottom"/>
            <w:gridSpan w:val="2"/>
          </w:tcPr>
          <w:p>
            <w:pPr>
              <w:jc w:val="right"/>
              <w:ind w:right="152"/>
              <w:spacing w:after="0"/>
              <w:rPr>
                <w:sz w:val="20"/>
                <w:szCs w:val="20"/>
                <w:color w:val="auto"/>
              </w:rPr>
            </w:pPr>
            <w:r>
              <w:rPr>
                <w:rFonts w:ascii="Arial" w:cs="Arial" w:eastAsia="Arial" w:hAnsi="Arial"/>
                <w:sz w:val="18"/>
                <w:szCs w:val="18"/>
                <w:color w:val="auto"/>
              </w:rPr>
              <w:t>7,840</w:t>
            </w:r>
          </w:p>
        </w:tc>
        <w:tc>
          <w:tcPr>
            <w:tcW w:w="1180" w:type="dxa"/>
            <w:vAlign w:val="bottom"/>
          </w:tcPr>
          <w:p>
            <w:pPr>
              <w:jc w:val="right"/>
              <w:spacing w:after="0"/>
              <w:rPr>
                <w:sz w:val="20"/>
                <w:szCs w:val="20"/>
                <w:color w:val="auto"/>
              </w:rPr>
            </w:pPr>
            <w:r>
              <w:rPr>
                <w:rFonts w:ascii="Arial" w:cs="Arial" w:eastAsia="Arial" w:hAnsi="Arial"/>
                <w:sz w:val="18"/>
                <w:szCs w:val="18"/>
                <w:color w:val="auto"/>
              </w:rPr>
              <w:t>15,141</w:t>
            </w:r>
          </w:p>
        </w:tc>
      </w:tr>
      <w:tr>
        <w:trPr>
          <w:trHeight w:val="243"/>
        </w:trPr>
        <w:tc>
          <w:tcPr>
            <w:tcW w:w="4480" w:type="dxa"/>
            <w:vAlign w:val="bottom"/>
            <w:gridSpan w:val="2"/>
          </w:tcPr>
          <w:p>
            <w:pPr>
              <w:spacing w:after="0"/>
              <w:rPr>
                <w:sz w:val="20"/>
                <w:szCs w:val="20"/>
                <w:color w:val="auto"/>
              </w:rPr>
            </w:pPr>
            <w:r>
              <w:rPr>
                <w:rFonts w:ascii="Arial" w:cs="Arial" w:eastAsia="Arial" w:hAnsi="Arial"/>
                <w:sz w:val="18"/>
                <w:szCs w:val="18"/>
                <w:color w:val="auto"/>
              </w:rPr>
              <w:t>Net Income per share (US$)</w:t>
            </w: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0.06</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0.11</w:t>
            </w:r>
          </w:p>
        </w:tc>
        <w:tc>
          <w:tcPr>
            <w:tcW w:w="1160" w:type="dxa"/>
            <w:vAlign w:val="bottom"/>
          </w:tcPr>
          <w:p>
            <w:pPr>
              <w:jc w:val="right"/>
              <w:spacing w:after="0"/>
              <w:rPr>
                <w:sz w:val="20"/>
                <w:szCs w:val="20"/>
                <w:color w:val="auto"/>
              </w:rPr>
            </w:pPr>
            <w:r>
              <w:rPr>
                <w:rFonts w:ascii="Arial" w:cs="Arial" w:eastAsia="Arial" w:hAnsi="Arial"/>
                <w:sz w:val="18"/>
                <w:szCs w:val="18"/>
                <w:color w:val="auto"/>
              </w:rPr>
              <w:t>0.05</w:t>
            </w:r>
          </w:p>
        </w:tc>
        <w:tc>
          <w:tcPr>
            <w:tcW w:w="1560" w:type="dxa"/>
            <w:vAlign w:val="bottom"/>
            <w:gridSpan w:val="2"/>
          </w:tcPr>
          <w:p>
            <w:pPr>
              <w:jc w:val="right"/>
              <w:ind w:right="112"/>
              <w:spacing w:after="0"/>
              <w:rPr>
                <w:sz w:val="20"/>
                <w:szCs w:val="20"/>
                <w:color w:val="auto"/>
              </w:rPr>
            </w:pPr>
            <w:r>
              <w:rPr>
                <w:rFonts w:ascii="Arial" w:cs="Arial" w:eastAsia="Arial" w:hAnsi="Arial"/>
                <w:sz w:val="18"/>
                <w:szCs w:val="18"/>
                <w:color w:val="auto"/>
              </w:rPr>
              <w:t>0.20</w:t>
            </w:r>
          </w:p>
        </w:tc>
        <w:tc>
          <w:tcPr>
            <w:tcW w:w="1180" w:type="dxa"/>
            <w:vAlign w:val="bottom"/>
          </w:tcPr>
          <w:p>
            <w:pPr>
              <w:jc w:val="right"/>
              <w:spacing w:after="0"/>
              <w:rPr>
                <w:sz w:val="20"/>
                <w:szCs w:val="20"/>
                <w:color w:val="auto"/>
              </w:rPr>
            </w:pPr>
            <w:r>
              <w:rPr>
                <w:rFonts w:ascii="Arial" w:cs="Arial" w:eastAsia="Arial" w:hAnsi="Arial"/>
                <w:sz w:val="18"/>
                <w:szCs w:val="18"/>
                <w:color w:val="auto"/>
              </w:rPr>
              <w:t>0.25</w:t>
            </w:r>
          </w:p>
        </w:tc>
      </w:tr>
      <w:tr>
        <w:trPr>
          <w:trHeight w:val="486"/>
        </w:trPr>
        <w:tc>
          <w:tcPr>
            <w:tcW w:w="4480" w:type="dxa"/>
            <w:vAlign w:val="bottom"/>
            <w:gridSpan w:val="2"/>
          </w:tcPr>
          <w:p>
            <w:pPr>
              <w:spacing w:after="0"/>
              <w:rPr>
                <w:sz w:val="20"/>
                <w:szCs w:val="20"/>
                <w:color w:val="auto"/>
              </w:rPr>
            </w:pPr>
            <w:r>
              <w:rPr>
                <w:rFonts w:ascii="Arial" w:cs="Arial" w:eastAsia="Arial" w:hAnsi="Arial"/>
                <w:sz w:val="18"/>
                <w:szCs w:val="18"/>
                <w:color w:val="auto"/>
              </w:rPr>
              <w:t>Balance Sheets (end of period)</w:t>
            </w: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44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746,885</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851,608</w:t>
            </w:r>
          </w:p>
        </w:tc>
        <w:tc>
          <w:tcPr>
            <w:tcW w:w="1160" w:type="dxa"/>
            <w:vAlign w:val="bottom"/>
          </w:tcPr>
          <w:p>
            <w:pPr>
              <w:jc w:val="right"/>
              <w:spacing w:after="0"/>
              <w:rPr>
                <w:sz w:val="20"/>
                <w:szCs w:val="20"/>
                <w:color w:val="auto"/>
              </w:rPr>
            </w:pPr>
            <w:r>
              <w:rPr>
                <w:rFonts w:ascii="Arial" w:cs="Arial" w:eastAsia="Arial" w:hAnsi="Arial"/>
                <w:sz w:val="18"/>
                <w:szCs w:val="18"/>
                <w:color w:val="auto"/>
              </w:rPr>
              <w:t>871,734</w:t>
            </w:r>
          </w:p>
        </w:tc>
        <w:tc>
          <w:tcPr>
            <w:tcW w:w="1560" w:type="dxa"/>
            <w:vAlign w:val="bottom"/>
            <w:gridSpan w:val="2"/>
          </w:tcPr>
          <w:p>
            <w:pPr>
              <w:jc w:val="right"/>
              <w:ind w:right="152"/>
              <w:spacing w:after="0"/>
              <w:rPr>
                <w:sz w:val="20"/>
                <w:szCs w:val="20"/>
                <w:color w:val="auto"/>
              </w:rPr>
            </w:pPr>
            <w:r>
              <w:rPr>
                <w:rFonts w:ascii="Arial" w:cs="Arial" w:eastAsia="Arial" w:hAnsi="Arial"/>
                <w:sz w:val="18"/>
                <w:szCs w:val="18"/>
                <w:color w:val="auto"/>
              </w:rPr>
              <w:t>746,885</w:t>
            </w:r>
          </w:p>
        </w:tc>
        <w:tc>
          <w:tcPr>
            <w:tcW w:w="1180" w:type="dxa"/>
            <w:vAlign w:val="bottom"/>
          </w:tcPr>
          <w:p>
            <w:pPr>
              <w:jc w:val="right"/>
              <w:spacing w:after="0"/>
              <w:rPr>
                <w:sz w:val="20"/>
                <w:szCs w:val="20"/>
                <w:color w:val="auto"/>
              </w:rPr>
            </w:pPr>
            <w:r>
              <w:rPr>
                <w:rFonts w:ascii="Arial" w:cs="Arial" w:eastAsia="Arial" w:hAnsi="Arial"/>
                <w:sz w:val="18"/>
                <w:szCs w:val="18"/>
                <w:color w:val="auto"/>
              </w:rPr>
              <w:t>871,734</w:t>
            </w:r>
          </w:p>
        </w:tc>
      </w:tr>
      <w:tr>
        <w:trPr>
          <w:trHeight w:val="243"/>
        </w:trPr>
        <w:tc>
          <w:tcPr>
            <w:tcW w:w="4480" w:type="dxa"/>
            <w:vAlign w:val="bottom"/>
            <w:gridSpan w:val="2"/>
          </w:tcPr>
          <w:p>
            <w:pPr>
              <w:spacing w:after="0"/>
              <w:rPr>
                <w:sz w:val="20"/>
                <w:szCs w:val="20"/>
                <w:color w:val="auto"/>
              </w:rPr>
            </w:pPr>
            <w:r>
              <w:rPr>
                <w:rFonts w:ascii="Arial" w:cs="Arial" w:eastAsia="Arial" w:hAnsi="Arial"/>
                <w:sz w:val="18"/>
                <w:szCs w:val="18"/>
                <w:color w:val="auto"/>
              </w:rPr>
              <w:t>Loan portfolio, net</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151,123</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163,136</w:t>
            </w:r>
          </w:p>
        </w:tc>
        <w:tc>
          <w:tcPr>
            <w:tcW w:w="1160" w:type="dxa"/>
            <w:vAlign w:val="bottom"/>
          </w:tcPr>
          <w:p>
            <w:pPr>
              <w:jc w:val="right"/>
              <w:spacing w:after="0"/>
              <w:rPr>
                <w:sz w:val="20"/>
                <w:szCs w:val="20"/>
                <w:color w:val="auto"/>
              </w:rPr>
            </w:pPr>
            <w:r>
              <w:rPr>
                <w:rFonts w:ascii="Arial" w:cs="Arial" w:eastAsia="Arial" w:hAnsi="Arial"/>
                <w:sz w:val="18"/>
                <w:szCs w:val="18"/>
                <w:color w:val="auto"/>
              </w:rPr>
              <w:t>154,518</w:t>
            </w:r>
          </w:p>
        </w:tc>
        <w:tc>
          <w:tcPr>
            <w:tcW w:w="1560" w:type="dxa"/>
            <w:vAlign w:val="bottom"/>
            <w:gridSpan w:val="2"/>
          </w:tcPr>
          <w:p>
            <w:pPr>
              <w:jc w:val="right"/>
              <w:ind w:right="152"/>
              <w:spacing w:after="0"/>
              <w:rPr>
                <w:sz w:val="20"/>
                <w:szCs w:val="20"/>
                <w:color w:val="auto"/>
              </w:rPr>
            </w:pPr>
            <w:r>
              <w:rPr>
                <w:rFonts w:ascii="Arial" w:cs="Arial" w:eastAsia="Arial" w:hAnsi="Arial"/>
                <w:sz w:val="18"/>
                <w:szCs w:val="18"/>
                <w:color w:val="auto"/>
              </w:rPr>
              <w:t>151,123</w:t>
            </w:r>
          </w:p>
        </w:tc>
        <w:tc>
          <w:tcPr>
            <w:tcW w:w="1180" w:type="dxa"/>
            <w:vAlign w:val="bottom"/>
          </w:tcPr>
          <w:p>
            <w:pPr>
              <w:jc w:val="right"/>
              <w:spacing w:after="0"/>
              <w:rPr>
                <w:sz w:val="20"/>
                <w:szCs w:val="20"/>
                <w:color w:val="auto"/>
              </w:rPr>
            </w:pPr>
            <w:r>
              <w:rPr>
                <w:rFonts w:ascii="Arial" w:cs="Arial" w:eastAsia="Arial" w:hAnsi="Arial"/>
                <w:sz w:val="18"/>
                <w:szCs w:val="18"/>
                <w:color w:val="auto"/>
              </w:rPr>
              <w:t>154,518</w:t>
            </w:r>
          </w:p>
        </w:tc>
      </w:tr>
      <w:tr>
        <w:trPr>
          <w:trHeight w:val="243"/>
        </w:trPr>
        <w:tc>
          <w:tcPr>
            <w:tcW w:w="4480" w:type="dxa"/>
            <w:vAlign w:val="bottom"/>
            <w:gridSpan w:val="2"/>
          </w:tcPr>
          <w:p>
            <w:pPr>
              <w:spacing w:after="0"/>
              <w:rPr>
                <w:sz w:val="20"/>
                <w:szCs w:val="20"/>
                <w:color w:val="auto"/>
              </w:rPr>
            </w:pPr>
            <w:r>
              <w:rPr>
                <w:rFonts w:ascii="Arial" w:cs="Arial" w:eastAsia="Arial" w:hAnsi="Arial"/>
                <w:sz w:val="18"/>
                <w:szCs w:val="18"/>
                <w:color w:val="auto"/>
              </w:rPr>
              <w:t>Marketable securities and investments</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423,214</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464,926</w:t>
            </w:r>
          </w:p>
        </w:tc>
        <w:tc>
          <w:tcPr>
            <w:tcW w:w="1160" w:type="dxa"/>
            <w:vAlign w:val="bottom"/>
          </w:tcPr>
          <w:p>
            <w:pPr>
              <w:jc w:val="right"/>
              <w:spacing w:after="0"/>
              <w:rPr>
                <w:sz w:val="20"/>
                <w:szCs w:val="20"/>
                <w:color w:val="auto"/>
              </w:rPr>
            </w:pPr>
            <w:r>
              <w:rPr>
                <w:rFonts w:ascii="Arial" w:cs="Arial" w:eastAsia="Arial" w:hAnsi="Arial"/>
                <w:sz w:val="18"/>
                <w:szCs w:val="18"/>
                <w:color w:val="auto"/>
              </w:rPr>
              <w:t>500,498</w:t>
            </w:r>
          </w:p>
        </w:tc>
        <w:tc>
          <w:tcPr>
            <w:tcW w:w="1560" w:type="dxa"/>
            <w:vAlign w:val="bottom"/>
            <w:gridSpan w:val="2"/>
          </w:tcPr>
          <w:p>
            <w:pPr>
              <w:jc w:val="right"/>
              <w:ind w:right="152"/>
              <w:spacing w:after="0"/>
              <w:rPr>
                <w:sz w:val="20"/>
                <w:szCs w:val="20"/>
                <w:color w:val="auto"/>
              </w:rPr>
            </w:pPr>
            <w:r>
              <w:rPr>
                <w:rFonts w:ascii="Arial" w:cs="Arial" w:eastAsia="Arial" w:hAnsi="Arial"/>
                <w:sz w:val="18"/>
                <w:szCs w:val="18"/>
                <w:color w:val="auto"/>
              </w:rPr>
              <w:t>423,214</w:t>
            </w:r>
          </w:p>
        </w:tc>
        <w:tc>
          <w:tcPr>
            <w:tcW w:w="1180" w:type="dxa"/>
            <w:vAlign w:val="bottom"/>
          </w:tcPr>
          <w:p>
            <w:pPr>
              <w:jc w:val="right"/>
              <w:spacing w:after="0"/>
              <w:rPr>
                <w:sz w:val="20"/>
                <w:szCs w:val="20"/>
                <w:color w:val="auto"/>
              </w:rPr>
            </w:pPr>
            <w:r>
              <w:rPr>
                <w:rFonts w:ascii="Arial" w:cs="Arial" w:eastAsia="Arial" w:hAnsi="Arial"/>
                <w:sz w:val="18"/>
                <w:szCs w:val="18"/>
                <w:color w:val="auto"/>
              </w:rPr>
              <w:t>500,498</w:t>
            </w:r>
          </w:p>
        </w:tc>
      </w:tr>
      <w:tr>
        <w:trPr>
          <w:trHeight w:val="243"/>
        </w:trPr>
        <w:tc>
          <w:tcPr>
            <w:tcW w:w="4480" w:type="dxa"/>
            <w:vAlign w:val="bottom"/>
            <w:gridSpan w:val="2"/>
          </w:tcPr>
          <w:p>
            <w:pPr>
              <w:spacing w:after="0"/>
              <w:rPr>
                <w:sz w:val="20"/>
                <w:szCs w:val="20"/>
                <w:color w:val="auto"/>
              </w:rPr>
            </w:pPr>
            <w:r>
              <w:rPr>
                <w:rFonts w:ascii="Arial" w:cs="Arial" w:eastAsia="Arial" w:hAnsi="Arial"/>
                <w:sz w:val="18"/>
                <w:szCs w:val="18"/>
                <w:color w:val="auto"/>
              </w:rPr>
              <w:t>Total Deposits</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584,526</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677,793</w:t>
            </w:r>
          </w:p>
        </w:tc>
        <w:tc>
          <w:tcPr>
            <w:tcW w:w="1160" w:type="dxa"/>
            <w:vAlign w:val="bottom"/>
          </w:tcPr>
          <w:p>
            <w:pPr>
              <w:jc w:val="right"/>
              <w:spacing w:after="0"/>
              <w:rPr>
                <w:sz w:val="20"/>
                <w:szCs w:val="20"/>
                <w:color w:val="auto"/>
              </w:rPr>
            </w:pPr>
            <w:r>
              <w:rPr>
                <w:rFonts w:ascii="Arial" w:cs="Arial" w:eastAsia="Arial" w:hAnsi="Arial"/>
                <w:sz w:val="18"/>
                <w:szCs w:val="18"/>
                <w:color w:val="auto"/>
              </w:rPr>
              <w:t>688,718</w:t>
            </w:r>
          </w:p>
        </w:tc>
        <w:tc>
          <w:tcPr>
            <w:tcW w:w="1560" w:type="dxa"/>
            <w:vAlign w:val="bottom"/>
            <w:gridSpan w:val="2"/>
          </w:tcPr>
          <w:p>
            <w:pPr>
              <w:jc w:val="right"/>
              <w:ind w:right="152"/>
              <w:spacing w:after="0"/>
              <w:rPr>
                <w:sz w:val="20"/>
                <w:szCs w:val="20"/>
                <w:color w:val="auto"/>
              </w:rPr>
            </w:pPr>
            <w:r>
              <w:rPr>
                <w:rFonts w:ascii="Arial" w:cs="Arial" w:eastAsia="Arial" w:hAnsi="Arial"/>
                <w:sz w:val="18"/>
                <w:szCs w:val="18"/>
                <w:color w:val="auto"/>
              </w:rPr>
              <w:t>584,526</w:t>
            </w:r>
          </w:p>
        </w:tc>
        <w:tc>
          <w:tcPr>
            <w:tcW w:w="1180" w:type="dxa"/>
            <w:vAlign w:val="bottom"/>
          </w:tcPr>
          <w:p>
            <w:pPr>
              <w:jc w:val="right"/>
              <w:spacing w:after="0"/>
              <w:rPr>
                <w:sz w:val="20"/>
                <w:szCs w:val="20"/>
                <w:color w:val="auto"/>
              </w:rPr>
            </w:pPr>
            <w:r>
              <w:rPr>
                <w:rFonts w:ascii="Arial" w:cs="Arial" w:eastAsia="Arial" w:hAnsi="Arial"/>
                <w:sz w:val="18"/>
                <w:szCs w:val="18"/>
                <w:color w:val="auto"/>
              </w:rPr>
              <w:t>688,718</w:t>
            </w:r>
          </w:p>
        </w:tc>
      </w:tr>
      <w:tr>
        <w:trPr>
          <w:trHeight w:val="243"/>
        </w:trPr>
        <w:tc>
          <w:tcPr>
            <w:tcW w:w="448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129,467</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141,316</w:t>
            </w:r>
          </w:p>
        </w:tc>
        <w:tc>
          <w:tcPr>
            <w:tcW w:w="1160" w:type="dxa"/>
            <w:vAlign w:val="bottom"/>
          </w:tcPr>
          <w:p>
            <w:pPr>
              <w:jc w:val="right"/>
              <w:spacing w:after="0"/>
              <w:rPr>
                <w:sz w:val="20"/>
                <w:szCs w:val="20"/>
                <w:color w:val="auto"/>
              </w:rPr>
            </w:pPr>
            <w:r>
              <w:rPr>
                <w:rFonts w:ascii="Arial" w:cs="Arial" w:eastAsia="Arial" w:hAnsi="Arial"/>
                <w:sz w:val="18"/>
                <w:szCs w:val="18"/>
                <w:color w:val="auto"/>
              </w:rPr>
              <w:t>146,512</w:t>
            </w:r>
          </w:p>
        </w:tc>
        <w:tc>
          <w:tcPr>
            <w:tcW w:w="1560" w:type="dxa"/>
            <w:vAlign w:val="bottom"/>
            <w:gridSpan w:val="2"/>
          </w:tcPr>
          <w:p>
            <w:pPr>
              <w:jc w:val="right"/>
              <w:ind w:right="152"/>
              <w:spacing w:after="0"/>
              <w:rPr>
                <w:sz w:val="20"/>
                <w:szCs w:val="20"/>
                <w:color w:val="auto"/>
              </w:rPr>
            </w:pPr>
            <w:r>
              <w:rPr>
                <w:rFonts w:ascii="Arial" w:cs="Arial" w:eastAsia="Arial" w:hAnsi="Arial"/>
                <w:sz w:val="18"/>
                <w:szCs w:val="18"/>
                <w:color w:val="auto"/>
              </w:rPr>
              <w:t>129,467</w:t>
            </w:r>
          </w:p>
        </w:tc>
        <w:tc>
          <w:tcPr>
            <w:tcW w:w="1180" w:type="dxa"/>
            <w:vAlign w:val="bottom"/>
          </w:tcPr>
          <w:p>
            <w:pPr>
              <w:jc w:val="right"/>
              <w:spacing w:after="0"/>
              <w:rPr>
                <w:sz w:val="20"/>
                <w:szCs w:val="20"/>
                <w:color w:val="auto"/>
              </w:rPr>
            </w:pPr>
            <w:r>
              <w:rPr>
                <w:rFonts w:ascii="Arial" w:cs="Arial" w:eastAsia="Arial" w:hAnsi="Arial"/>
                <w:sz w:val="18"/>
                <w:szCs w:val="18"/>
                <w:color w:val="auto"/>
              </w:rPr>
              <w:t>146,512</w:t>
            </w:r>
          </w:p>
        </w:tc>
      </w:tr>
      <w:tr>
        <w:trPr>
          <w:trHeight w:val="243"/>
        </w:trPr>
        <w:tc>
          <w:tcPr>
            <w:tcW w:w="4480" w:type="dxa"/>
            <w:vAlign w:val="bottom"/>
            <w:gridSpan w:val="2"/>
          </w:tcPr>
          <w:p>
            <w:pPr>
              <w:spacing w:after="0"/>
              <w:rPr>
                <w:sz w:val="20"/>
                <w:szCs w:val="20"/>
                <w:color w:val="auto"/>
              </w:rPr>
            </w:pPr>
            <w:r>
              <w:rPr>
                <w:rFonts w:ascii="Arial" w:cs="Arial" w:eastAsia="Arial" w:hAnsi="Arial"/>
                <w:sz w:val="18"/>
                <w:szCs w:val="18"/>
                <w:color w:val="auto"/>
              </w:rPr>
              <w:t>Funds under administration (2)</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584,789</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693,498</w:t>
            </w:r>
          </w:p>
        </w:tc>
        <w:tc>
          <w:tcPr>
            <w:tcW w:w="1160" w:type="dxa"/>
            <w:vAlign w:val="bottom"/>
          </w:tcPr>
          <w:p>
            <w:pPr>
              <w:jc w:val="right"/>
              <w:spacing w:after="0"/>
              <w:rPr>
                <w:sz w:val="20"/>
                <w:szCs w:val="20"/>
                <w:color w:val="auto"/>
              </w:rPr>
            </w:pPr>
            <w:r>
              <w:rPr>
                <w:rFonts w:ascii="Arial" w:cs="Arial" w:eastAsia="Arial" w:hAnsi="Arial"/>
                <w:sz w:val="18"/>
                <w:szCs w:val="18"/>
                <w:color w:val="auto"/>
              </w:rPr>
              <w:t>708,752</w:t>
            </w:r>
          </w:p>
        </w:tc>
        <w:tc>
          <w:tcPr>
            <w:tcW w:w="1560" w:type="dxa"/>
            <w:vAlign w:val="bottom"/>
            <w:gridSpan w:val="2"/>
          </w:tcPr>
          <w:p>
            <w:pPr>
              <w:jc w:val="right"/>
              <w:ind w:right="152"/>
              <w:spacing w:after="0"/>
              <w:rPr>
                <w:sz w:val="20"/>
                <w:szCs w:val="20"/>
                <w:color w:val="auto"/>
              </w:rPr>
            </w:pPr>
            <w:r>
              <w:rPr>
                <w:rFonts w:ascii="Arial" w:cs="Arial" w:eastAsia="Arial" w:hAnsi="Arial"/>
                <w:sz w:val="18"/>
                <w:szCs w:val="18"/>
                <w:color w:val="auto"/>
              </w:rPr>
              <w:t>584,789</w:t>
            </w:r>
          </w:p>
        </w:tc>
        <w:tc>
          <w:tcPr>
            <w:tcW w:w="1180" w:type="dxa"/>
            <w:vAlign w:val="bottom"/>
          </w:tcPr>
          <w:p>
            <w:pPr>
              <w:jc w:val="right"/>
              <w:spacing w:after="0"/>
              <w:rPr>
                <w:sz w:val="20"/>
                <w:szCs w:val="20"/>
                <w:color w:val="auto"/>
              </w:rPr>
            </w:pPr>
            <w:r>
              <w:rPr>
                <w:rFonts w:ascii="Arial" w:cs="Arial" w:eastAsia="Arial" w:hAnsi="Arial"/>
                <w:sz w:val="18"/>
                <w:szCs w:val="18"/>
                <w:color w:val="auto"/>
              </w:rPr>
              <w:t>708,752</w:t>
            </w:r>
          </w:p>
        </w:tc>
      </w:tr>
      <w:tr>
        <w:trPr>
          <w:trHeight w:val="486"/>
        </w:trPr>
        <w:tc>
          <w:tcPr>
            <w:tcW w:w="4480" w:type="dxa"/>
            <w:vAlign w:val="bottom"/>
            <w:gridSpan w:val="2"/>
          </w:tcPr>
          <w:p>
            <w:pPr>
              <w:spacing w:after="0"/>
              <w:rPr>
                <w:sz w:val="20"/>
                <w:szCs w:val="20"/>
                <w:color w:val="auto"/>
              </w:rPr>
            </w:pPr>
            <w:r>
              <w:rPr>
                <w:rFonts w:ascii="Arial" w:cs="Arial" w:eastAsia="Arial" w:hAnsi="Arial"/>
                <w:sz w:val="18"/>
                <w:szCs w:val="18"/>
                <w:color w:val="auto"/>
              </w:rPr>
              <w:t>Ratios (3)</w:t>
            </w: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4480" w:type="dxa"/>
            <w:vAlign w:val="bottom"/>
            <w:gridSpan w:val="2"/>
          </w:tcPr>
          <w:p>
            <w:pPr>
              <w:spacing w:after="0"/>
              <w:rPr>
                <w:sz w:val="20"/>
                <w:szCs w:val="20"/>
                <w:color w:val="auto"/>
              </w:rPr>
            </w:pPr>
            <w:r>
              <w:rPr>
                <w:rFonts w:ascii="Arial" w:cs="Arial" w:eastAsia="Arial" w:hAnsi="Arial"/>
                <w:sz w:val="18"/>
                <w:szCs w:val="18"/>
                <w:color w:val="auto"/>
              </w:rPr>
              <w:t>Net interest margin / interest earning assets (4,5,6)</w:t>
            </w: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2.3%</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2.1%</w:t>
            </w: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1560" w:type="dxa"/>
            <w:vAlign w:val="bottom"/>
            <w:gridSpan w:val="2"/>
          </w:tcPr>
          <w:p>
            <w:pPr>
              <w:jc w:val="right"/>
              <w:ind w:right="112"/>
              <w:spacing w:after="0"/>
              <w:rPr>
                <w:sz w:val="20"/>
                <w:szCs w:val="20"/>
                <w:color w:val="auto"/>
              </w:rPr>
            </w:pPr>
            <w:r>
              <w:rPr>
                <w:rFonts w:ascii="Arial" w:cs="Arial" w:eastAsia="Arial" w:hAnsi="Arial"/>
                <w:sz w:val="18"/>
                <w:szCs w:val="18"/>
                <w:color w:val="auto"/>
              </w:rPr>
              <w:t>2.4%</w:t>
            </w: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4480" w:type="dxa"/>
            <w:vAlign w:val="bottom"/>
            <w:gridSpan w:val="2"/>
          </w:tcPr>
          <w:p>
            <w:pPr>
              <w:spacing w:after="0"/>
              <w:rPr>
                <w:sz w:val="20"/>
                <w:szCs w:val="20"/>
                <w:color w:val="auto"/>
              </w:rPr>
            </w:pPr>
            <w:r>
              <w:rPr>
                <w:rFonts w:ascii="Arial" w:cs="Arial" w:eastAsia="Arial" w:hAnsi="Arial"/>
                <w:sz w:val="18"/>
                <w:szCs w:val="18"/>
                <w:color w:val="auto"/>
              </w:rPr>
              <w:t>Return on average stockholders' equity(5)</w:t>
            </w: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7.6%</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13.9%</w:t>
            </w: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c>
          <w:tcPr>
            <w:tcW w:w="1560" w:type="dxa"/>
            <w:vAlign w:val="bottom"/>
            <w:gridSpan w:val="2"/>
          </w:tcPr>
          <w:p>
            <w:pPr>
              <w:jc w:val="right"/>
              <w:ind w:right="112"/>
              <w:spacing w:after="0"/>
              <w:rPr>
                <w:sz w:val="20"/>
                <w:szCs w:val="20"/>
                <w:color w:val="auto"/>
              </w:rPr>
            </w:pPr>
            <w:r>
              <w:rPr>
                <w:rFonts w:ascii="Arial" w:cs="Arial" w:eastAsia="Arial" w:hAnsi="Arial"/>
                <w:sz w:val="18"/>
                <w:szCs w:val="18"/>
                <w:color w:val="auto"/>
              </w:rPr>
              <w:t>8.7%</w:t>
            </w:r>
          </w:p>
        </w:tc>
        <w:tc>
          <w:tcPr>
            <w:tcW w:w="118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43"/>
        </w:trPr>
        <w:tc>
          <w:tcPr>
            <w:tcW w:w="4480" w:type="dxa"/>
            <w:vAlign w:val="bottom"/>
            <w:gridSpan w:val="2"/>
          </w:tcPr>
          <w:p>
            <w:pPr>
              <w:spacing w:after="0"/>
              <w:rPr>
                <w:sz w:val="20"/>
                <w:szCs w:val="20"/>
                <w:color w:val="auto"/>
              </w:rPr>
            </w:pPr>
            <w:r>
              <w:rPr>
                <w:rFonts w:ascii="Arial" w:cs="Arial" w:eastAsia="Arial" w:hAnsi="Arial"/>
                <w:sz w:val="18"/>
                <w:szCs w:val="18"/>
                <w:color w:val="auto"/>
              </w:rPr>
              <w:t>Return on average total assets(5)</w:t>
            </w: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1.3%</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2.2%</w:t>
            </w: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c>
          <w:tcPr>
            <w:tcW w:w="1560" w:type="dxa"/>
            <w:vAlign w:val="bottom"/>
            <w:gridSpan w:val="2"/>
          </w:tcPr>
          <w:p>
            <w:pPr>
              <w:jc w:val="right"/>
              <w:ind w:right="112"/>
              <w:spacing w:after="0"/>
              <w:rPr>
                <w:sz w:val="20"/>
                <w:szCs w:val="20"/>
                <w:color w:val="auto"/>
              </w:rPr>
            </w:pPr>
            <w:r>
              <w:rPr>
                <w:rFonts w:ascii="Arial" w:cs="Arial" w:eastAsia="Arial" w:hAnsi="Arial"/>
                <w:sz w:val="18"/>
                <w:szCs w:val="18"/>
                <w:color w:val="auto"/>
              </w:rPr>
              <w:t>1.5%</w:t>
            </w: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4480" w:type="dxa"/>
            <w:vAlign w:val="bottom"/>
            <w:gridSpan w:val="2"/>
          </w:tcPr>
          <w:p>
            <w:pPr>
              <w:spacing w:after="0"/>
              <w:rPr>
                <w:sz w:val="20"/>
                <w:szCs w:val="20"/>
                <w:color w:val="auto"/>
              </w:rPr>
            </w:pPr>
            <w:r>
              <w:rPr>
                <w:rFonts w:ascii="Arial" w:cs="Arial" w:eastAsia="Arial" w:hAnsi="Arial"/>
                <w:sz w:val="18"/>
                <w:szCs w:val="18"/>
                <w:color w:val="auto"/>
              </w:rPr>
              <w:t>Past due loans as a percentage of total loans</w:t>
            </w: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0.0%</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2.3%</w:t>
            </w: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1560" w:type="dxa"/>
            <w:vAlign w:val="bottom"/>
            <w:gridSpan w:val="2"/>
          </w:tcPr>
          <w:p>
            <w:pPr>
              <w:jc w:val="right"/>
              <w:ind w:right="112"/>
              <w:spacing w:after="0"/>
              <w:rPr>
                <w:sz w:val="20"/>
                <w:szCs w:val="20"/>
                <w:color w:val="auto"/>
              </w:rPr>
            </w:pPr>
            <w:r>
              <w:rPr>
                <w:rFonts w:ascii="Arial" w:cs="Arial" w:eastAsia="Arial" w:hAnsi="Arial"/>
                <w:sz w:val="18"/>
                <w:szCs w:val="18"/>
                <w:color w:val="auto"/>
              </w:rPr>
              <w:t>0.0%</w:t>
            </w: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4480" w:type="dxa"/>
            <w:vAlign w:val="bottom"/>
            <w:gridSpan w:val="2"/>
          </w:tcPr>
          <w:p>
            <w:pPr>
              <w:spacing w:after="0"/>
              <w:rPr>
                <w:sz w:val="20"/>
                <w:szCs w:val="20"/>
                <w:color w:val="auto"/>
              </w:rPr>
            </w:pPr>
            <w:r>
              <w:rPr>
                <w:rFonts w:ascii="Arial" w:cs="Arial" w:eastAsia="Arial" w:hAnsi="Arial"/>
                <w:sz w:val="18"/>
                <w:szCs w:val="18"/>
                <w:color w:val="auto"/>
              </w:rPr>
              <w:t>Reserves for loan losses as a percentage of total loans</w:t>
            </w: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2.2%</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3.2%</w:t>
            </w: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1560" w:type="dxa"/>
            <w:vAlign w:val="bottom"/>
            <w:gridSpan w:val="2"/>
          </w:tcPr>
          <w:p>
            <w:pPr>
              <w:jc w:val="right"/>
              <w:ind w:right="112"/>
              <w:spacing w:after="0"/>
              <w:rPr>
                <w:sz w:val="20"/>
                <w:szCs w:val="20"/>
                <w:color w:val="auto"/>
              </w:rPr>
            </w:pPr>
            <w:r>
              <w:rPr>
                <w:rFonts w:ascii="Arial" w:cs="Arial" w:eastAsia="Arial" w:hAnsi="Arial"/>
                <w:sz w:val="18"/>
                <w:szCs w:val="18"/>
                <w:color w:val="auto"/>
              </w:rPr>
              <w:t>2.2%</w:t>
            </w: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4480" w:type="dxa"/>
            <w:vAlign w:val="bottom"/>
            <w:gridSpan w:val="2"/>
          </w:tcPr>
          <w:p>
            <w:pPr>
              <w:spacing w:after="0"/>
              <w:rPr>
                <w:sz w:val="20"/>
                <w:szCs w:val="20"/>
                <w:color w:val="auto"/>
              </w:rPr>
            </w:pPr>
            <w:r>
              <w:rPr>
                <w:rFonts w:ascii="Arial" w:cs="Arial" w:eastAsia="Arial" w:hAnsi="Arial"/>
                <w:sz w:val="18"/>
                <w:szCs w:val="18"/>
                <w:color w:val="auto"/>
              </w:rPr>
              <w:t>Operating expense / total income (7)</w:t>
            </w: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28.2%</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25.8%</w:t>
            </w:r>
          </w:p>
        </w:tc>
        <w:tc>
          <w:tcPr>
            <w:tcW w:w="1160" w:type="dxa"/>
            <w:vAlign w:val="bottom"/>
          </w:tcPr>
          <w:p>
            <w:pPr>
              <w:jc w:val="right"/>
              <w:spacing w:after="0"/>
              <w:rPr>
                <w:sz w:val="20"/>
                <w:szCs w:val="20"/>
                <w:color w:val="auto"/>
              </w:rPr>
            </w:pPr>
            <w:r>
              <w:rPr>
                <w:rFonts w:ascii="Arial" w:cs="Arial" w:eastAsia="Arial" w:hAnsi="Arial"/>
                <w:sz w:val="18"/>
                <w:szCs w:val="18"/>
                <w:color w:val="auto"/>
              </w:rPr>
              <w:t>40.3%</w:t>
            </w:r>
          </w:p>
        </w:tc>
        <w:tc>
          <w:tcPr>
            <w:tcW w:w="1560" w:type="dxa"/>
            <w:vAlign w:val="bottom"/>
            <w:gridSpan w:val="2"/>
          </w:tcPr>
          <w:p>
            <w:pPr>
              <w:jc w:val="right"/>
              <w:ind w:right="112"/>
              <w:spacing w:after="0"/>
              <w:rPr>
                <w:sz w:val="20"/>
                <w:szCs w:val="20"/>
                <w:color w:val="auto"/>
              </w:rPr>
            </w:pPr>
            <w:r>
              <w:rPr>
                <w:rFonts w:ascii="Arial" w:cs="Arial" w:eastAsia="Arial" w:hAnsi="Arial"/>
                <w:sz w:val="18"/>
                <w:szCs w:val="18"/>
                <w:color w:val="auto"/>
              </w:rPr>
              <w:t>20.7%</w:t>
            </w:r>
          </w:p>
        </w:tc>
        <w:tc>
          <w:tcPr>
            <w:tcW w:w="118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4480" w:type="dxa"/>
            <w:vAlign w:val="bottom"/>
            <w:gridSpan w:val="2"/>
          </w:tcPr>
          <w:p>
            <w:pPr>
              <w:spacing w:after="0"/>
              <w:rPr>
                <w:sz w:val="20"/>
                <w:szCs w:val="20"/>
                <w:color w:val="auto"/>
              </w:rPr>
            </w:pPr>
            <w:r>
              <w:rPr>
                <w:rFonts w:ascii="Arial" w:cs="Arial" w:eastAsia="Arial" w:hAnsi="Arial"/>
                <w:sz w:val="18"/>
                <w:szCs w:val="18"/>
                <w:color w:val="auto"/>
              </w:rPr>
              <w:t>Operating expense / average total assets(5)</w:t>
            </w: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0.9%</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0.9%</w:t>
            </w:r>
          </w:p>
        </w:tc>
        <w:tc>
          <w:tcPr>
            <w:tcW w:w="1160" w:type="dxa"/>
            <w:vAlign w:val="bottom"/>
          </w:tcPr>
          <w:p>
            <w:pPr>
              <w:jc w:val="right"/>
              <w:spacing w:after="0"/>
              <w:rPr>
                <w:sz w:val="20"/>
                <w:szCs w:val="20"/>
                <w:color w:val="auto"/>
              </w:rPr>
            </w:pPr>
            <w:r>
              <w:rPr>
                <w:rFonts w:ascii="Arial" w:cs="Arial" w:eastAsia="Arial" w:hAnsi="Arial"/>
                <w:sz w:val="18"/>
                <w:szCs w:val="18"/>
                <w:color w:val="auto"/>
              </w:rPr>
              <w:t>0.9%</w:t>
            </w:r>
          </w:p>
        </w:tc>
        <w:tc>
          <w:tcPr>
            <w:tcW w:w="1560" w:type="dxa"/>
            <w:vAlign w:val="bottom"/>
            <w:gridSpan w:val="2"/>
          </w:tcPr>
          <w:p>
            <w:pPr>
              <w:jc w:val="right"/>
              <w:ind w:right="112"/>
              <w:spacing w:after="0"/>
              <w:rPr>
                <w:sz w:val="20"/>
                <w:szCs w:val="20"/>
                <w:color w:val="auto"/>
              </w:rPr>
            </w:pPr>
            <w:r>
              <w:rPr>
                <w:rFonts w:ascii="Arial" w:cs="Arial" w:eastAsia="Arial" w:hAnsi="Arial"/>
                <w:sz w:val="18"/>
                <w:szCs w:val="18"/>
                <w:color w:val="auto"/>
              </w:rPr>
              <w:t>0.9%</w:t>
            </w:r>
          </w:p>
        </w:tc>
        <w:tc>
          <w:tcPr>
            <w:tcW w:w="11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37"/>
        </w:trPr>
        <w:tc>
          <w:tcPr>
            <w:tcW w:w="4480" w:type="dxa"/>
            <w:vAlign w:val="bottom"/>
            <w:gridSpan w:val="2"/>
          </w:tcPr>
          <w:p>
            <w:pPr>
              <w:spacing w:after="0"/>
              <w:rPr>
                <w:sz w:val="20"/>
                <w:szCs w:val="20"/>
                <w:color w:val="auto"/>
              </w:rPr>
            </w:pPr>
            <w:r>
              <w:rPr>
                <w:rFonts w:ascii="Arial" w:cs="Arial" w:eastAsia="Arial" w:hAnsi="Arial"/>
                <w:sz w:val="18"/>
                <w:szCs w:val="18"/>
                <w:color w:val="auto"/>
              </w:rPr>
              <w:t>Operating expense / average total assets + funds under</w:t>
            </w:r>
          </w:p>
        </w:tc>
        <w:tc>
          <w:tcPr>
            <w:tcW w:w="15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2"/>
        </w:trPr>
        <w:tc>
          <w:tcPr>
            <w:tcW w:w="4480" w:type="dxa"/>
            <w:vAlign w:val="bottom"/>
            <w:gridSpan w:val="2"/>
          </w:tcPr>
          <w:p>
            <w:pPr>
              <w:spacing w:after="0"/>
              <w:rPr>
                <w:sz w:val="20"/>
                <w:szCs w:val="20"/>
                <w:color w:val="auto"/>
              </w:rPr>
            </w:pPr>
            <w:r>
              <w:rPr>
                <w:rFonts w:ascii="Arial" w:cs="Arial" w:eastAsia="Arial" w:hAnsi="Arial"/>
                <w:sz w:val="18"/>
                <w:szCs w:val="18"/>
                <w:color w:val="auto"/>
              </w:rPr>
              <w:t>management(5)</w:t>
            </w: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0.5%</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0.5%</w:t>
            </w:r>
          </w:p>
        </w:tc>
        <w:tc>
          <w:tcPr>
            <w:tcW w:w="1160" w:type="dxa"/>
            <w:vAlign w:val="bottom"/>
          </w:tcPr>
          <w:p>
            <w:pPr>
              <w:jc w:val="right"/>
              <w:spacing w:after="0"/>
              <w:rPr>
                <w:sz w:val="20"/>
                <w:szCs w:val="20"/>
                <w:color w:val="auto"/>
              </w:rPr>
            </w:pPr>
            <w:r>
              <w:rPr>
                <w:rFonts w:ascii="Arial" w:cs="Arial" w:eastAsia="Arial" w:hAnsi="Arial"/>
                <w:sz w:val="18"/>
                <w:szCs w:val="18"/>
                <w:color w:val="auto"/>
              </w:rPr>
              <w:t>0.5%</w:t>
            </w:r>
          </w:p>
        </w:tc>
        <w:tc>
          <w:tcPr>
            <w:tcW w:w="1560" w:type="dxa"/>
            <w:vAlign w:val="bottom"/>
            <w:gridSpan w:val="2"/>
          </w:tcPr>
          <w:p>
            <w:pPr>
              <w:jc w:val="right"/>
              <w:ind w:right="112"/>
              <w:spacing w:after="0"/>
              <w:rPr>
                <w:sz w:val="20"/>
                <w:szCs w:val="20"/>
                <w:color w:val="auto"/>
              </w:rPr>
            </w:pPr>
            <w:r>
              <w:rPr>
                <w:rFonts w:ascii="Arial" w:cs="Arial" w:eastAsia="Arial" w:hAnsi="Arial"/>
                <w:sz w:val="18"/>
                <w:szCs w:val="18"/>
                <w:color w:val="auto"/>
              </w:rPr>
              <w:t>0.5%</w:t>
            </w:r>
          </w:p>
        </w:tc>
        <w:tc>
          <w:tcPr>
            <w:tcW w:w="1180" w:type="dxa"/>
            <w:vAlign w:val="bottom"/>
          </w:tcPr>
          <w:p>
            <w:pPr>
              <w:jc w:val="right"/>
              <w:spacing w:after="0"/>
              <w:rPr>
                <w:sz w:val="20"/>
                <w:szCs w:val="20"/>
                <w:color w:val="auto"/>
              </w:rPr>
            </w:pPr>
            <w:r>
              <w:rPr>
                <w:rFonts w:ascii="Arial" w:cs="Arial" w:eastAsia="Arial" w:hAnsi="Arial"/>
                <w:sz w:val="18"/>
                <w:szCs w:val="18"/>
                <w:color w:val="auto"/>
              </w:rPr>
              <w:t>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5424170</wp:posOffset>
            </wp:positionH>
            <wp:positionV relativeFrom="paragraph">
              <wp:posOffset>-4718685</wp:posOffset>
            </wp:positionV>
            <wp:extent cx="3429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7156450</wp:posOffset>
            </wp:positionH>
            <wp:positionV relativeFrom="paragraph">
              <wp:posOffset>-4718685</wp:posOffset>
            </wp:positionV>
            <wp:extent cx="3429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-4392930</wp:posOffset>
            </wp:positionV>
            <wp:extent cx="3429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5424170</wp:posOffset>
            </wp:positionH>
            <wp:positionV relativeFrom="paragraph">
              <wp:posOffset>-4392930</wp:posOffset>
            </wp:positionV>
            <wp:extent cx="3429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7156450</wp:posOffset>
            </wp:positionH>
            <wp:positionV relativeFrom="paragraph">
              <wp:posOffset>-4392930</wp:posOffset>
            </wp:positionV>
            <wp:extent cx="3429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74295</wp:posOffset>
            </wp:positionV>
            <wp:extent cx="722503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57" w:lineRule="exact"/>
        <w:rPr>
          <w:sz w:val="20"/>
          <w:szCs w:val="20"/>
          <w:color w:val="auto"/>
        </w:rPr>
      </w:pPr>
    </w:p>
    <w:p>
      <w:pPr>
        <w:ind w:left="572" w:hanging="572"/>
        <w:spacing w:after="0"/>
        <w:tabs>
          <w:tab w:leader="none" w:pos="5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realized gains in securities.</w:t>
      </w:r>
    </w:p>
    <w:p>
      <w:pPr>
        <w:spacing w:after="0" w:line="15" w:lineRule="exact"/>
        <w:rPr>
          <w:rFonts w:ascii="Arial" w:cs="Arial" w:eastAsia="Arial" w:hAnsi="Arial"/>
          <w:sz w:val="18"/>
          <w:szCs w:val="18"/>
          <w:color w:val="auto"/>
        </w:rPr>
      </w:pPr>
    </w:p>
    <w:p>
      <w:pPr>
        <w:ind w:left="572" w:hanging="572"/>
        <w:spacing w:after="0"/>
        <w:tabs>
          <w:tab w:leader="none" w:pos="572"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Prior period figures have been revised to reflect funds currently booked by Credicorp Securities, which were previously registered by ASHC.</w:t>
      </w:r>
    </w:p>
    <w:p>
      <w:pPr>
        <w:spacing w:after="0" w:line="32" w:lineRule="exact"/>
        <w:rPr>
          <w:rFonts w:ascii="Arial" w:cs="Arial" w:eastAsia="Arial" w:hAnsi="Arial"/>
          <w:sz w:val="16"/>
          <w:szCs w:val="16"/>
          <w:color w:val="auto"/>
        </w:rPr>
      </w:pPr>
    </w:p>
    <w:p>
      <w:pPr>
        <w:ind w:left="572" w:hanging="572"/>
        <w:spacing w:after="0"/>
        <w:tabs>
          <w:tab w:leader="none" w:pos="5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Averages determined from monthly balances.</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Annualized.</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Without considering dividend income and dividend earning assets.</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Without considering provisions for investments.</w:t>
      </w:r>
    </w:p>
    <w:p>
      <w:pPr>
        <w:sectPr>
          <w:pgSz w:w="11900" w:h="16838" w:orient="portrait"/>
          <w:cols w:equalWidth="0" w:num="1">
            <w:col w:w="11312"/>
          </w:cols>
          <w:pgMar w:left="248" w:top="347"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color w:val="auto"/>
        </w:rPr>
        <w:t>EL PACIFICO-PERUANO SUIZA AND SUBSIDIARIES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Table 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SELECTED FINANCIAL DATA</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(Constant Nuevos Soles as of September 30, 2004, and</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U.S. Dollars in thousands, except net income per share)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360" w:type="dxa"/>
            <w:vAlign w:val="bottom"/>
            <w:gridSpan w:val="2"/>
          </w:tcPr>
          <w:p>
            <w:pPr>
              <w:jc w:val="right"/>
              <w:ind w:right="132"/>
              <w:spacing w:after="0"/>
              <w:rPr>
                <w:sz w:val="20"/>
                <w:szCs w:val="20"/>
                <w:color w:val="auto"/>
              </w:rPr>
            </w:pPr>
            <w:r>
              <w:rPr>
                <w:rFonts w:ascii="Arial" w:cs="Arial" w:eastAsia="Arial" w:hAnsi="Arial"/>
                <w:sz w:val="18"/>
                <w:szCs w:val="18"/>
                <w:color w:val="auto"/>
                <w:w w:val="90"/>
              </w:rPr>
              <w:t>As of and for the three month</w:t>
            </w:r>
          </w:p>
        </w:tc>
        <w:tc>
          <w:tcPr>
            <w:tcW w:w="1140" w:type="dxa"/>
            <w:vAlign w:val="bottom"/>
          </w:tcPr>
          <w:p>
            <w:pPr>
              <w:spacing w:after="0"/>
              <w:rPr>
                <w:sz w:val="18"/>
                <w:szCs w:val="18"/>
                <w:color w:val="auto"/>
              </w:rPr>
            </w:pPr>
          </w:p>
        </w:tc>
        <w:tc>
          <w:tcPr>
            <w:tcW w:w="3260" w:type="dxa"/>
            <w:vAlign w:val="bottom"/>
            <w:gridSpan w:val="3"/>
          </w:tcPr>
          <w:p>
            <w:pPr>
              <w:jc w:val="center"/>
              <w:ind w:right="32"/>
              <w:spacing w:after="0"/>
              <w:rPr>
                <w:sz w:val="20"/>
                <w:szCs w:val="20"/>
                <w:color w:val="auto"/>
              </w:rPr>
            </w:pPr>
            <w:r>
              <w:rPr>
                <w:rFonts w:ascii="Arial" w:cs="Arial" w:eastAsia="Arial" w:hAnsi="Arial"/>
                <w:sz w:val="18"/>
                <w:szCs w:val="18"/>
                <w:color w:val="auto"/>
                <w:w w:val="89"/>
              </w:rPr>
              <w:t>As of and for the nine month</w:t>
            </w:r>
          </w:p>
        </w:tc>
      </w:tr>
      <w:tr>
        <w:trPr>
          <w:trHeight w:val="222"/>
        </w:trPr>
        <w:tc>
          <w:tcPr>
            <w:tcW w:w="3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360" w:type="dxa"/>
            <w:vAlign w:val="bottom"/>
            <w:gridSpan w:val="2"/>
          </w:tcPr>
          <w:p>
            <w:pPr>
              <w:jc w:val="right"/>
              <w:ind w:right="732"/>
              <w:spacing w:after="0"/>
              <w:rPr>
                <w:sz w:val="20"/>
                <w:szCs w:val="20"/>
                <w:color w:val="auto"/>
              </w:rPr>
            </w:pPr>
            <w:r>
              <w:rPr>
                <w:rFonts w:ascii="Arial" w:cs="Arial" w:eastAsia="Arial" w:hAnsi="Arial"/>
                <w:sz w:val="18"/>
                <w:szCs w:val="18"/>
                <w:color w:val="auto"/>
              </w:rPr>
              <w:t>period ended</w:t>
            </w:r>
          </w:p>
        </w:tc>
        <w:tc>
          <w:tcPr>
            <w:tcW w:w="1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0" w:type="dxa"/>
            <w:vAlign w:val="bottom"/>
          </w:tcPr>
          <w:p>
            <w:pPr>
              <w:jc w:val="center"/>
              <w:ind w:right="112"/>
              <w:spacing w:after="0"/>
              <w:rPr>
                <w:sz w:val="20"/>
                <w:szCs w:val="20"/>
                <w:color w:val="auto"/>
              </w:rPr>
            </w:pPr>
            <w:r>
              <w:rPr>
                <w:rFonts w:ascii="Arial" w:cs="Arial" w:eastAsia="Arial" w:hAnsi="Arial"/>
                <w:sz w:val="18"/>
                <w:szCs w:val="18"/>
                <w:color w:val="auto"/>
                <w:w w:val="87"/>
              </w:rPr>
              <w:t>period ended</w:t>
            </w:r>
          </w:p>
        </w:tc>
        <w:tc>
          <w:tcPr>
            <w:tcW w:w="1000" w:type="dxa"/>
            <w:vAlign w:val="bottom"/>
          </w:tcPr>
          <w:p>
            <w:pPr>
              <w:spacing w:after="0"/>
              <w:rPr>
                <w:sz w:val="19"/>
                <w:szCs w:val="19"/>
                <w:color w:val="auto"/>
              </w:rPr>
            </w:pPr>
          </w:p>
        </w:tc>
      </w:tr>
      <w:tr>
        <w:trPr>
          <w:trHeight w:val="110"/>
        </w:trPr>
        <w:tc>
          <w:tcPr>
            <w:tcW w:w="3420" w:type="dxa"/>
            <w:vAlign w:val="bottom"/>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r>
      <w:tr>
        <w:trPr>
          <w:trHeight w:val="316"/>
        </w:trPr>
        <w:tc>
          <w:tcPr>
            <w:tcW w:w="3420" w:type="dxa"/>
            <w:vAlign w:val="bottom"/>
          </w:tcPr>
          <w:p>
            <w:pPr>
              <w:spacing w:after="0"/>
              <w:rPr>
                <w:sz w:val="24"/>
                <w:szCs w:val="24"/>
                <w:color w:val="auto"/>
              </w:rPr>
            </w:pPr>
          </w:p>
        </w:tc>
        <w:tc>
          <w:tcPr>
            <w:tcW w:w="1180" w:type="dxa"/>
            <w:vAlign w:val="bottom"/>
          </w:tcPr>
          <w:p>
            <w:pPr>
              <w:jc w:val="right"/>
              <w:ind w:right="212"/>
              <w:spacing w:after="0"/>
              <w:rPr>
                <w:sz w:val="20"/>
                <w:szCs w:val="20"/>
                <w:color w:val="auto"/>
              </w:rPr>
            </w:pPr>
            <w:r>
              <w:rPr>
                <w:rFonts w:ascii="Arial" w:cs="Arial" w:eastAsia="Arial" w:hAnsi="Arial"/>
                <w:sz w:val="18"/>
                <w:szCs w:val="18"/>
                <w:color w:val="auto"/>
              </w:rPr>
              <w:t>30.09.03</w:t>
            </w:r>
          </w:p>
        </w:tc>
        <w:tc>
          <w:tcPr>
            <w:tcW w:w="1220" w:type="dxa"/>
            <w:vAlign w:val="bottom"/>
          </w:tcPr>
          <w:p>
            <w:pPr>
              <w:jc w:val="right"/>
              <w:ind w:right="292"/>
              <w:spacing w:after="0"/>
              <w:rPr>
                <w:sz w:val="20"/>
                <w:szCs w:val="20"/>
                <w:color w:val="auto"/>
              </w:rPr>
            </w:pPr>
            <w:r>
              <w:rPr>
                <w:rFonts w:ascii="Arial" w:cs="Arial" w:eastAsia="Arial" w:hAnsi="Arial"/>
                <w:sz w:val="18"/>
                <w:szCs w:val="18"/>
                <w:color w:val="auto"/>
              </w:rPr>
              <w:t>31.06.04</w:t>
            </w:r>
          </w:p>
        </w:tc>
        <w:tc>
          <w:tcPr>
            <w:tcW w:w="1140" w:type="dxa"/>
            <w:vAlign w:val="bottom"/>
          </w:tcPr>
          <w:p>
            <w:pPr>
              <w:jc w:val="right"/>
              <w:ind w:right="312"/>
              <w:spacing w:after="0"/>
              <w:rPr>
                <w:sz w:val="20"/>
                <w:szCs w:val="20"/>
                <w:color w:val="auto"/>
              </w:rPr>
            </w:pPr>
            <w:r>
              <w:rPr>
                <w:rFonts w:ascii="Arial" w:cs="Arial" w:eastAsia="Arial" w:hAnsi="Arial"/>
                <w:sz w:val="18"/>
                <w:szCs w:val="18"/>
                <w:color w:val="auto"/>
              </w:rPr>
              <w:t>30.09.04</w:t>
            </w:r>
          </w:p>
        </w:tc>
        <w:tc>
          <w:tcPr>
            <w:tcW w:w="1140" w:type="dxa"/>
            <w:vAlign w:val="bottom"/>
          </w:tcPr>
          <w:p>
            <w:pPr>
              <w:jc w:val="right"/>
              <w:ind w:right="312"/>
              <w:spacing w:after="0"/>
              <w:rPr>
                <w:sz w:val="20"/>
                <w:szCs w:val="20"/>
                <w:color w:val="auto"/>
              </w:rPr>
            </w:pPr>
            <w:r>
              <w:rPr>
                <w:rFonts w:ascii="Arial" w:cs="Arial" w:eastAsia="Arial" w:hAnsi="Arial"/>
                <w:sz w:val="18"/>
                <w:szCs w:val="18"/>
                <w:color w:val="auto"/>
              </w:rPr>
              <w:t>30.09.04</w:t>
            </w:r>
          </w:p>
        </w:tc>
        <w:tc>
          <w:tcPr>
            <w:tcW w:w="1060" w:type="dxa"/>
            <w:vAlign w:val="bottom"/>
          </w:tcPr>
          <w:p>
            <w:pPr>
              <w:jc w:val="right"/>
              <w:ind w:right="232"/>
              <w:spacing w:after="0"/>
              <w:rPr>
                <w:sz w:val="20"/>
                <w:szCs w:val="20"/>
                <w:color w:val="auto"/>
              </w:rPr>
            </w:pPr>
            <w:r>
              <w:rPr>
                <w:rFonts w:ascii="Arial" w:cs="Arial" w:eastAsia="Arial" w:hAnsi="Arial"/>
                <w:sz w:val="18"/>
                <w:szCs w:val="18"/>
                <w:color w:val="auto"/>
              </w:rPr>
              <w:t>30.09.03</w:t>
            </w:r>
          </w:p>
        </w:tc>
        <w:tc>
          <w:tcPr>
            <w:tcW w:w="1200" w:type="dxa"/>
            <w:vAlign w:val="bottom"/>
          </w:tcPr>
          <w:p>
            <w:pPr>
              <w:jc w:val="center"/>
              <w:ind w:right="92"/>
              <w:spacing w:after="0"/>
              <w:rPr>
                <w:sz w:val="20"/>
                <w:szCs w:val="20"/>
                <w:color w:val="auto"/>
              </w:rPr>
            </w:pPr>
            <w:r>
              <w:rPr>
                <w:rFonts w:ascii="Arial" w:cs="Arial" w:eastAsia="Arial" w:hAnsi="Arial"/>
                <w:sz w:val="18"/>
                <w:szCs w:val="18"/>
                <w:color w:val="auto"/>
                <w:w w:val="88"/>
              </w:rPr>
              <w:t>30.09.04</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30.09.04</w:t>
            </w:r>
          </w:p>
        </w:tc>
      </w:tr>
      <w:tr>
        <w:trPr>
          <w:trHeight w:val="110"/>
        </w:trPr>
        <w:tc>
          <w:tcPr>
            <w:tcW w:w="34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r>
      <w:tr>
        <w:trPr>
          <w:trHeight w:val="309"/>
        </w:trPr>
        <w:tc>
          <w:tcPr>
            <w:tcW w:w="3420" w:type="dxa"/>
            <w:vAlign w:val="bottom"/>
          </w:tcPr>
          <w:p>
            <w:pPr>
              <w:spacing w:after="0"/>
              <w:rPr>
                <w:sz w:val="20"/>
                <w:szCs w:val="20"/>
                <w:color w:val="auto"/>
              </w:rPr>
            </w:pPr>
            <w:r>
              <w:rPr>
                <w:rFonts w:ascii="Arial" w:cs="Arial" w:eastAsia="Arial" w:hAnsi="Arial"/>
                <w:sz w:val="18"/>
                <w:szCs w:val="18"/>
                <w:color w:val="auto"/>
              </w:rPr>
              <w:t>Results</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US$000(1)</w:t>
            </w: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US$000(1)</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Total gross Premiums</w:t>
            </w:r>
          </w:p>
        </w:tc>
        <w:tc>
          <w:tcPr>
            <w:tcW w:w="1180" w:type="dxa"/>
            <w:vAlign w:val="bottom"/>
          </w:tcPr>
          <w:p>
            <w:pPr>
              <w:jc w:val="right"/>
              <w:spacing w:after="0"/>
              <w:rPr>
                <w:sz w:val="20"/>
                <w:szCs w:val="20"/>
                <w:color w:val="auto"/>
              </w:rPr>
            </w:pPr>
            <w:r>
              <w:rPr>
                <w:rFonts w:ascii="Arial" w:cs="Arial" w:eastAsia="Arial" w:hAnsi="Arial"/>
                <w:sz w:val="18"/>
                <w:szCs w:val="18"/>
                <w:color w:val="auto"/>
              </w:rPr>
              <w:t>292,236</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269,853</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358,318</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$107,217</w:t>
            </w:r>
          </w:p>
        </w:tc>
        <w:tc>
          <w:tcPr>
            <w:tcW w:w="1060" w:type="dxa"/>
            <w:vAlign w:val="bottom"/>
          </w:tcPr>
          <w:p>
            <w:pPr>
              <w:jc w:val="right"/>
              <w:spacing w:after="0"/>
              <w:rPr>
                <w:sz w:val="20"/>
                <w:szCs w:val="20"/>
                <w:color w:val="auto"/>
              </w:rPr>
            </w:pPr>
            <w:r>
              <w:rPr>
                <w:rFonts w:ascii="Arial" w:cs="Arial" w:eastAsia="Arial" w:hAnsi="Arial"/>
                <w:sz w:val="18"/>
                <w:szCs w:val="18"/>
                <w:color w:val="auto"/>
              </w:rPr>
              <w:t>829,084</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876,547</w:t>
            </w:r>
          </w:p>
        </w:tc>
        <w:tc>
          <w:tcPr>
            <w:tcW w:w="1000" w:type="dxa"/>
            <w:vAlign w:val="bottom"/>
          </w:tcPr>
          <w:p>
            <w:pPr>
              <w:jc w:val="right"/>
              <w:spacing w:after="0"/>
              <w:rPr>
                <w:sz w:val="20"/>
                <w:szCs w:val="20"/>
                <w:color w:val="auto"/>
              </w:rPr>
            </w:pPr>
            <w:r>
              <w:rPr>
                <w:rFonts w:ascii="Arial" w:cs="Arial" w:eastAsia="Arial" w:hAnsi="Arial"/>
                <w:sz w:val="18"/>
                <w:szCs w:val="18"/>
                <w:color w:val="auto"/>
              </w:rPr>
              <w:t>$262,282</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Net Premiums Earned</w:t>
            </w:r>
          </w:p>
        </w:tc>
        <w:tc>
          <w:tcPr>
            <w:tcW w:w="1180" w:type="dxa"/>
            <w:vAlign w:val="bottom"/>
          </w:tcPr>
          <w:p>
            <w:pPr>
              <w:jc w:val="right"/>
              <w:spacing w:after="0"/>
              <w:rPr>
                <w:sz w:val="20"/>
                <w:szCs w:val="20"/>
                <w:color w:val="auto"/>
              </w:rPr>
            </w:pPr>
            <w:r>
              <w:rPr>
                <w:rFonts w:ascii="Arial" w:cs="Arial" w:eastAsia="Arial" w:hAnsi="Arial"/>
                <w:sz w:val="18"/>
                <w:szCs w:val="18"/>
                <w:color w:val="auto"/>
              </w:rPr>
              <w:t>140,974</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126,736</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232,674</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$69,621</w:t>
            </w:r>
          </w:p>
        </w:tc>
        <w:tc>
          <w:tcPr>
            <w:tcW w:w="1060" w:type="dxa"/>
            <w:vAlign w:val="bottom"/>
          </w:tcPr>
          <w:p>
            <w:pPr>
              <w:jc w:val="right"/>
              <w:spacing w:after="0"/>
              <w:rPr>
                <w:sz w:val="20"/>
                <w:szCs w:val="20"/>
                <w:color w:val="auto"/>
              </w:rPr>
            </w:pPr>
            <w:r>
              <w:rPr>
                <w:rFonts w:ascii="Arial" w:cs="Arial" w:eastAsia="Arial" w:hAnsi="Arial"/>
                <w:sz w:val="18"/>
                <w:szCs w:val="18"/>
                <w:color w:val="auto"/>
              </w:rPr>
              <w:t>395,452</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505,942</w:t>
            </w:r>
          </w:p>
        </w:tc>
        <w:tc>
          <w:tcPr>
            <w:tcW w:w="1000" w:type="dxa"/>
            <w:vAlign w:val="bottom"/>
          </w:tcPr>
          <w:p>
            <w:pPr>
              <w:jc w:val="right"/>
              <w:spacing w:after="0"/>
              <w:rPr>
                <w:sz w:val="20"/>
                <w:szCs w:val="20"/>
                <w:color w:val="auto"/>
              </w:rPr>
            </w:pPr>
            <w:r>
              <w:rPr>
                <w:rFonts w:ascii="Arial" w:cs="Arial" w:eastAsia="Arial" w:hAnsi="Arial"/>
                <w:sz w:val="18"/>
                <w:szCs w:val="18"/>
                <w:color w:val="auto"/>
              </w:rPr>
              <w:t>$151,389</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Change in Reserves</w:t>
            </w:r>
          </w:p>
        </w:tc>
        <w:tc>
          <w:tcPr>
            <w:tcW w:w="1180" w:type="dxa"/>
            <w:vAlign w:val="bottom"/>
          </w:tcPr>
          <w:p>
            <w:pPr>
              <w:jc w:val="right"/>
              <w:spacing w:after="0"/>
              <w:rPr>
                <w:sz w:val="20"/>
                <w:szCs w:val="20"/>
                <w:color w:val="auto"/>
              </w:rPr>
            </w:pPr>
            <w:r>
              <w:rPr>
                <w:rFonts w:ascii="Arial" w:cs="Arial" w:eastAsia="Arial" w:hAnsi="Arial"/>
                <w:sz w:val="18"/>
                <w:szCs w:val="18"/>
                <w:color w:val="auto"/>
              </w:rPr>
              <w:t>58,124</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102,859</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62,331</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$18,651</w:t>
            </w:r>
          </w:p>
        </w:tc>
        <w:tc>
          <w:tcPr>
            <w:tcW w:w="1060" w:type="dxa"/>
            <w:vAlign w:val="bottom"/>
          </w:tcPr>
          <w:p>
            <w:pPr>
              <w:jc w:val="right"/>
              <w:spacing w:after="0"/>
              <w:rPr>
                <w:sz w:val="20"/>
                <w:szCs w:val="20"/>
                <w:color w:val="auto"/>
              </w:rPr>
            </w:pPr>
            <w:r>
              <w:rPr>
                <w:rFonts w:ascii="Arial" w:cs="Arial" w:eastAsia="Arial" w:hAnsi="Arial"/>
                <w:sz w:val="18"/>
                <w:szCs w:val="18"/>
                <w:color w:val="auto"/>
              </w:rPr>
              <w:t>191,176</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228,791</w:t>
            </w:r>
          </w:p>
        </w:tc>
        <w:tc>
          <w:tcPr>
            <w:tcW w:w="1000" w:type="dxa"/>
            <w:vAlign w:val="bottom"/>
          </w:tcPr>
          <w:p>
            <w:pPr>
              <w:jc w:val="right"/>
              <w:spacing w:after="0"/>
              <w:rPr>
                <w:sz w:val="20"/>
                <w:szCs w:val="20"/>
                <w:color w:val="auto"/>
              </w:rPr>
            </w:pPr>
            <w:r>
              <w:rPr>
                <w:rFonts w:ascii="Arial" w:cs="Arial" w:eastAsia="Arial" w:hAnsi="Arial"/>
                <w:sz w:val="18"/>
                <w:szCs w:val="18"/>
                <w:color w:val="auto"/>
              </w:rPr>
              <w:t>$68,459</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Net Underwriting Results</w:t>
            </w:r>
          </w:p>
        </w:tc>
        <w:tc>
          <w:tcPr>
            <w:tcW w:w="1180" w:type="dxa"/>
            <w:vAlign w:val="bottom"/>
          </w:tcPr>
          <w:p>
            <w:pPr>
              <w:jc w:val="right"/>
              <w:spacing w:after="0"/>
              <w:rPr>
                <w:sz w:val="20"/>
                <w:szCs w:val="20"/>
                <w:color w:val="auto"/>
              </w:rPr>
            </w:pPr>
            <w:r>
              <w:rPr>
                <w:rFonts w:ascii="Arial" w:cs="Arial" w:eastAsia="Arial" w:hAnsi="Arial"/>
                <w:sz w:val="18"/>
                <w:szCs w:val="18"/>
                <w:color w:val="auto"/>
              </w:rPr>
              <w:t>33,056</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10,841</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40,349</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$12,073</w:t>
            </w:r>
          </w:p>
        </w:tc>
        <w:tc>
          <w:tcPr>
            <w:tcW w:w="1060" w:type="dxa"/>
            <w:vAlign w:val="bottom"/>
          </w:tcPr>
          <w:p>
            <w:pPr>
              <w:jc w:val="right"/>
              <w:spacing w:after="0"/>
              <w:rPr>
                <w:sz w:val="20"/>
                <w:szCs w:val="20"/>
                <w:color w:val="auto"/>
              </w:rPr>
            </w:pPr>
            <w:r>
              <w:rPr>
                <w:rFonts w:ascii="Arial" w:cs="Arial" w:eastAsia="Arial" w:hAnsi="Arial"/>
                <w:sz w:val="18"/>
                <w:szCs w:val="18"/>
                <w:color w:val="auto"/>
              </w:rPr>
              <w:t>63,223</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72,268</w:t>
            </w:r>
          </w:p>
        </w:tc>
        <w:tc>
          <w:tcPr>
            <w:tcW w:w="1000" w:type="dxa"/>
            <w:vAlign w:val="bottom"/>
          </w:tcPr>
          <w:p>
            <w:pPr>
              <w:jc w:val="right"/>
              <w:spacing w:after="0"/>
              <w:rPr>
                <w:sz w:val="20"/>
                <w:szCs w:val="20"/>
                <w:color w:val="auto"/>
              </w:rPr>
            </w:pPr>
            <w:r>
              <w:rPr>
                <w:rFonts w:ascii="Arial" w:cs="Arial" w:eastAsia="Arial" w:hAnsi="Arial"/>
                <w:sz w:val="18"/>
                <w:szCs w:val="18"/>
                <w:color w:val="auto"/>
              </w:rPr>
              <w:t>$21,624</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Net Financial Income</w:t>
            </w:r>
          </w:p>
        </w:tc>
        <w:tc>
          <w:tcPr>
            <w:tcW w:w="1180" w:type="dxa"/>
            <w:vAlign w:val="bottom"/>
          </w:tcPr>
          <w:p>
            <w:pPr>
              <w:jc w:val="right"/>
              <w:spacing w:after="0"/>
              <w:rPr>
                <w:sz w:val="20"/>
                <w:szCs w:val="20"/>
                <w:color w:val="auto"/>
              </w:rPr>
            </w:pPr>
            <w:r>
              <w:rPr>
                <w:rFonts w:ascii="Arial" w:cs="Arial" w:eastAsia="Arial" w:hAnsi="Arial"/>
                <w:sz w:val="18"/>
                <w:szCs w:val="18"/>
                <w:color w:val="auto"/>
              </w:rPr>
              <w:t>20,413</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106,466</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29,356</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$8,784</w:t>
            </w:r>
          </w:p>
        </w:tc>
        <w:tc>
          <w:tcPr>
            <w:tcW w:w="1060" w:type="dxa"/>
            <w:vAlign w:val="bottom"/>
          </w:tcPr>
          <w:p>
            <w:pPr>
              <w:jc w:val="right"/>
              <w:spacing w:after="0"/>
              <w:rPr>
                <w:sz w:val="20"/>
                <w:szCs w:val="20"/>
                <w:color w:val="auto"/>
              </w:rPr>
            </w:pPr>
            <w:r>
              <w:rPr>
                <w:rFonts w:ascii="Arial" w:cs="Arial" w:eastAsia="Arial" w:hAnsi="Arial"/>
                <w:sz w:val="18"/>
                <w:szCs w:val="18"/>
                <w:color w:val="auto"/>
              </w:rPr>
              <w:t>91,332</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167,278</w:t>
            </w:r>
          </w:p>
        </w:tc>
        <w:tc>
          <w:tcPr>
            <w:tcW w:w="1000" w:type="dxa"/>
            <w:vAlign w:val="bottom"/>
          </w:tcPr>
          <w:p>
            <w:pPr>
              <w:jc w:val="right"/>
              <w:spacing w:after="0"/>
              <w:rPr>
                <w:sz w:val="20"/>
                <w:szCs w:val="20"/>
                <w:color w:val="auto"/>
              </w:rPr>
            </w:pPr>
            <w:r>
              <w:rPr>
                <w:rFonts w:ascii="Arial" w:cs="Arial" w:eastAsia="Arial" w:hAnsi="Arial"/>
                <w:sz w:val="18"/>
                <w:szCs w:val="18"/>
                <w:color w:val="auto"/>
              </w:rPr>
              <w:t>$50,053</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General Expenses</w:t>
            </w:r>
          </w:p>
        </w:tc>
        <w:tc>
          <w:tcPr>
            <w:tcW w:w="1180" w:type="dxa"/>
            <w:vAlign w:val="bottom"/>
          </w:tcPr>
          <w:p>
            <w:pPr>
              <w:jc w:val="right"/>
              <w:spacing w:after="0"/>
              <w:rPr>
                <w:sz w:val="20"/>
                <w:szCs w:val="20"/>
                <w:color w:val="auto"/>
              </w:rPr>
            </w:pPr>
            <w:r>
              <w:rPr>
                <w:rFonts w:ascii="Arial" w:cs="Arial" w:eastAsia="Arial" w:hAnsi="Arial"/>
                <w:sz w:val="18"/>
                <w:szCs w:val="18"/>
                <w:color w:val="auto"/>
              </w:rPr>
              <w:t>30,331</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29,189</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44,410</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$13,288</w:t>
            </w:r>
          </w:p>
        </w:tc>
        <w:tc>
          <w:tcPr>
            <w:tcW w:w="1060" w:type="dxa"/>
            <w:vAlign w:val="bottom"/>
          </w:tcPr>
          <w:p>
            <w:pPr>
              <w:jc w:val="right"/>
              <w:spacing w:after="0"/>
              <w:rPr>
                <w:sz w:val="20"/>
                <w:szCs w:val="20"/>
                <w:color w:val="auto"/>
              </w:rPr>
            </w:pPr>
            <w:r>
              <w:rPr>
                <w:rFonts w:ascii="Arial" w:cs="Arial" w:eastAsia="Arial" w:hAnsi="Arial"/>
                <w:sz w:val="18"/>
                <w:szCs w:val="18"/>
                <w:color w:val="auto"/>
              </w:rPr>
              <w:t>88,977</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104,418</w:t>
            </w:r>
          </w:p>
        </w:tc>
        <w:tc>
          <w:tcPr>
            <w:tcW w:w="1000" w:type="dxa"/>
            <w:vAlign w:val="bottom"/>
          </w:tcPr>
          <w:p>
            <w:pPr>
              <w:jc w:val="right"/>
              <w:spacing w:after="0"/>
              <w:rPr>
                <w:sz w:val="20"/>
                <w:szCs w:val="20"/>
                <w:color w:val="auto"/>
              </w:rPr>
            </w:pPr>
            <w:r>
              <w:rPr>
                <w:rFonts w:ascii="Arial" w:cs="Arial" w:eastAsia="Arial" w:hAnsi="Arial"/>
                <w:sz w:val="18"/>
                <w:szCs w:val="18"/>
                <w:color w:val="auto"/>
              </w:rPr>
              <w:t>$31,244</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Income Tax</w:t>
            </w:r>
          </w:p>
        </w:tc>
        <w:tc>
          <w:tcPr>
            <w:tcW w:w="1180" w:type="dxa"/>
            <w:vAlign w:val="bottom"/>
          </w:tcPr>
          <w:p>
            <w:pPr>
              <w:jc w:val="right"/>
              <w:spacing w:after="0"/>
              <w:rPr>
                <w:sz w:val="20"/>
                <w:szCs w:val="20"/>
                <w:color w:val="auto"/>
              </w:rPr>
            </w:pPr>
            <w:r>
              <w:rPr>
                <w:rFonts w:ascii="Arial" w:cs="Arial" w:eastAsia="Arial" w:hAnsi="Arial"/>
                <w:sz w:val="18"/>
                <w:szCs w:val="18"/>
                <w:color w:val="auto"/>
              </w:rPr>
              <w:t>2,944</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1,047</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3,304</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$989</w:t>
            </w:r>
          </w:p>
        </w:tc>
        <w:tc>
          <w:tcPr>
            <w:tcW w:w="1060" w:type="dxa"/>
            <w:vAlign w:val="bottom"/>
          </w:tcPr>
          <w:p>
            <w:pPr>
              <w:jc w:val="right"/>
              <w:spacing w:after="0"/>
              <w:rPr>
                <w:sz w:val="20"/>
                <w:szCs w:val="20"/>
                <w:color w:val="auto"/>
              </w:rPr>
            </w:pPr>
            <w:r>
              <w:rPr>
                <w:rFonts w:ascii="Arial" w:cs="Arial" w:eastAsia="Arial" w:hAnsi="Arial"/>
                <w:sz w:val="18"/>
                <w:szCs w:val="18"/>
                <w:color w:val="auto"/>
              </w:rPr>
              <w:t>11,961</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6,454</w:t>
            </w:r>
          </w:p>
        </w:tc>
        <w:tc>
          <w:tcPr>
            <w:tcW w:w="1000" w:type="dxa"/>
            <w:vAlign w:val="bottom"/>
          </w:tcPr>
          <w:p>
            <w:pPr>
              <w:jc w:val="right"/>
              <w:spacing w:after="0"/>
              <w:rPr>
                <w:sz w:val="20"/>
                <w:szCs w:val="20"/>
                <w:color w:val="auto"/>
              </w:rPr>
            </w:pPr>
            <w:r>
              <w:rPr>
                <w:rFonts w:ascii="Arial" w:cs="Arial" w:eastAsia="Arial" w:hAnsi="Arial"/>
                <w:sz w:val="18"/>
                <w:szCs w:val="18"/>
                <w:color w:val="auto"/>
              </w:rPr>
              <w:t>$1,931</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Net Income</w:t>
            </w:r>
          </w:p>
        </w:tc>
        <w:tc>
          <w:tcPr>
            <w:tcW w:w="1180" w:type="dxa"/>
            <w:vAlign w:val="bottom"/>
          </w:tcPr>
          <w:p>
            <w:pPr>
              <w:jc w:val="right"/>
              <w:spacing w:after="0"/>
              <w:rPr>
                <w:sz w:val="20"/>
                <w:szCs w:val="20"/>
                <w:color w:val="auto"/>
              </w:rPr>
            </w:pPr>
            <w:r>
              <w:rPr>
                <w:rFonts w:ascii="Arial" w:cs="Arial" w:eastAsia="Arial" w:hAnsi="Arial"/>
                <w:sz w:val="18"/>
                <w:szCs w:val="18"/>
                <w:color w:val="auto"/>
              </w:rPr>
              <w:t>17,065</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57,580</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12,748</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$3,814</w:t>
            </w:r>
          </w:p>
        </w:tc>
        <w:tc>
          <w:tcPr>
            <w:tcW w:w="1060" w:type="dxa"/>
            <w:vAlign w:val="bottom"/>
          </w:tcPr>
          <w:p>
            <w:pPr>
              <w:jc w:val="right"/>
              <w:spacing w:after="0"/>
              <w:rPr>
                <w:sz w:val="20"/>
                <w:szCs w:val="20"/>
                <w:color w:val="auto"/>
              </w:rPr>
            </w:pPr>
            <w:r>
              <w:rPr>
                <w:rFonts w:ascii="Arial" w:cs="Arial" w:eastAsia="Arial" w:hAnsi="Arial"/>
                <w:sz w:val="18"/>
                <w:szCs w:val="18"/>
                <w:color w:val="auto"/>
              </w:rPr>
              <w:t>47,393</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78,240</w:t>
            </w:r>
          </w:p>
        </w:tc>
        <w:tc>
          <w:tcPr>
            <w:tcW w:w="1000" w:type="dxa"/>
            <w:vAlign w:val="bottom"/>
          </w:tcPr>
          <w:p>
            <w:pPr>
              <w:jc w:val="right"/>
              <w:spacing w:after="0"/>
              <w:rPr>
                <w:sz w:val="20"/>
                <w:szCs w:val="20"/>
                <w:color w:val="auto"/>
              </w:rPr>
            </w:pPr>
            <w:r>
              <w:rPr>
                <w:rFonts w:ascii="Arial" w:cs="Arial" w:eastAsia="Arial" w:hAnsi="Arial"/>
                <w:sz w:val="18"/>
                <w:szCs w:val="18"/>
                <w:color w:val="auto"/>
              </w:rPr>
              <w:t>$23,411</w:t>
            </w: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Net Income per share (S/.)(2)</w:t>
            </w:r>
          </w:p>
        </w:tc>
        <w:tc>
          <w:tcPr>
            <w:tcW w:w="1180" w:type="dxa"/>
            <w:vAlign w:val="bottom"/>
          </w:tcPr>
          <w:p>
            <w:pPr>
              <w:jc w:val="right"/>
              <w:spacing w:after="0"/>
              <w:rPr>
                <w:sz w:val="20"/>
                <w:szCs w:val="20"/>
                <w:color w:val="auto"/>
              </w:rPr>
            </w:pPr>
            <w:r>
              <w:rPr>
                <w:rFonts w:ascii="Arial" w:cs="Arial" w:eastAsia="Arial" w:hAnsi="Arial"/>
                <w:sz w:val="18"/>
                <w:szCs w:val="18"/>
                <w:color w:val="auto"/>
              </w:rPr>
              <w:t>0.72</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2.38</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0.53</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$0.16</w:t>
            </w:r>
          </w:p>
        </w:tc>
        <w:tc>
          <w:tcPr>
            <w:tcW w:w="1060" w:type="dxa"/>
            <w:vAlign w:val="bottom"/>
          </w:tcPr>
          <w:p>
            <w:pPr>
              <w:jc w:val="right"/>
              <w:spacing w:after="0"/>
              <w:rPr>
                <w:sz w:val="20"/>
                <w:szCs w:val="20"/>
                <w:color w:val="auto"/>
              </w:rPr>
            </w:pPr>
            <w:r>
              <w:rPr>
                <w:rFonts w:ascii="Arial" w:cs="Arial" w:eastAsia="Arial" w:hAnsi="Arial"/>
                <w:sz w:val="18"/>
                <w:szCs w:val="18"/>
                <w:color w:val="auto"/>
              </w:rPr>
              <w:t>2.00</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3.23</w:t>
            </w:r>
          </w:p>
        </w:tc>
        <w:tc>
          <w:tcPr>
            <w:tcW w:w="1000" w:type="dxa"/>
            <w:vAlign w:val="bottom"/>
          </w:tcPr>
          <w:p>
            <w:pPr>
              <w:jc w:val="right"/>
              <w:spacing w:after="0"/>
              <w:rPr>
                <w:sz w:val="20"/>
                <w:szCs w:val="20"/>
                <w:color w:val="auto"/>
              </w:rPr>
            </w:pPr>
            <w:r>
              <w:rPr>
                <w:rFonts w:ascii="Arial" w:cs="Arial" w:eastAsia="Arial" w:hAnsi="Arial"/>
                <w:sz w:val="18"/>
                <w:szCs w:val="18"/>
                <w:color w:val="auto"/>
              </w:rPr>
              <w:t>$0.97</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Balance Sheets (end of period)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26"/>
        </w:trPr>
        <w:tc>
          <w:tcPr>
            <w:tcW w:w="3420" w:type="dxa"/>
            <w:vAlign w:val="bottom"/>
          </w:tcPr>
          <w:p>
            <w:pPr>
              <w:spacing w:after="0"/>
              <w:rPr>
                <w:sz w:val="20"/>
                <w:szCs w:val="20"/>
                <w:color w:val="auto"/>
              </w:rPr>
            </w:pPr>
            <w:r>
              <w:rPr>
                <w:rFonts w:ascii="Arial" w:cs="Arial" w:eastAsia="Arial" w:hAnsi="Arial"/>
                <w:sz w:val="18"/>
                <w:szCs w:val="18"/>
                <w:color w:val="auto"/>
              </w:rPr>
              <w:t>Total Assets</w:t>
            </w:r>
          </w:p>
        </w:tc>
        <w:tc>
          <w:tcPr>
            <w:tcW w:w="1180" w:type="dxa"/>
            <w:vAlign w:val="bottom"/>
          </w:tcPr>
          <w:p>
            <w:pPr>
              <w:jc w:val="right"/>
              <w:spacing w:after="0"/>
              <w:rPr>
                <w:sz w:val="20"/>
                <w:szCs w:val="20"/>
                <w:color w:val="auto"/>
              </w:rPr>
            </w:pPr>
            <w:r>
              <w:rPr>
                <w:rFonts w:ascii="Arial" w:cs="Arial" w:eastAsia="Arial" w:hAnsi="Arial"/>
                <w:sz w:val="18"/>
                <w:szCs w:val="18"/>
                <w:color w:val="auto"/>
              </w:rPr>
              <w:t>1,886,192</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1,927,649</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2,056,565</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$615,369</w:t>
            </w:r>
          </w:p>
        </w:tc>
        <w:tc>
          <w:tcPr>
            <w:tcW w:w="1060" w:type="dxa"/>
            <w:vAlign w:val="bottom"/>
          </w:tcPr>
          <w:p>
            <w:pPr>
              <w:jc w:val="right"/>
              <w:spacing w:after="0"/>
              <w:rPr>
                <w:sz w:val="20"/>
                <w:szCs w:val="20"/>
                <w:color w:val="auto"/>
              </w:rPr>
            </w:pPr>
            <w:r>
              <w:rPr>
                <w:rFonts w:ascii="Arial" w:cs="Arial" w:eastAsia="Arial" w:hAnsi="Arial"/>
                <w:sz w:val="18"/>
                <w:szCs w:val="18"/>
                <w:color w:val="auto"/>
              </w:rPr>
              <w:t>1,886,192</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2,056,565</w:t>
            </w:r>
          </w:p>
        </w:tc>
        <w:tc>
          <w:tcPr>
            <w:tcW w:w="1000" w:type="dxa"/>
            <w:vAlign w:val="bottom"/>
          </w:tcPr>
          <w:p>
            <w:pPr>
              <w:jc w:val="right"/>
              <w:spacing w:after="0"/>
              <w:rPr>
                <w:sz w:val="20"/>
                <w:szCs w:val="20"/>
                <w:color w:val="auto"/>
              </w:rPr>
            </w:pPr>
            <w:r>
              <w:rPr>
                <w:rFonts w:ascii="Arial" w:cs="Arial" w:eastAsia="Arial" w:hAnsi="Arial"/>
                <w:sz w:val="18"/>
                <w:szCs w:val="18"/>
                <w:color w:val="auto"/>
              </w:rPr>
              <w:t>$615,369</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Investments in Secur. and Real estate</w:t>
            </w:r>
          </w:p>
        </w:tc>
        <w:tc>
          <w:tcPr>
            <w:tcW w:w="1180" w:type="dxa"/>
            <w:vAlign w:val="bottom"/>
          </w:tcPr>
          <w:p>
            <w:pPr>
              <w:jc w:val="right"/>
              <w:spacing w:after="0"/>
              <w:rPr>
                <w:sz w:val="20"/>
                <w:szCs w:val="20"/>
                <w:color w:val="auto"/>
              </w:rPr>
            </w:pPr>
            <w:r>
              <w:rPr>
                <w:rFonts w:ascii="Arial" w:cs="Arial" w:eastAsia="Arial" w:hAnsi="Arial"/>
                <w:sz w:val="18"/>
                <w:szCs w:val="18"/>
                <w:color w:val="auto"/>
              </w:rPr>
              <w:t>1,338,701</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1,466,126</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1,536,144</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$459,648</w:t>
            </w:r>
          </w:p>
        </w:tc>
        <w:tc>
          <w:tcPr>
            <w:tcW w:w="1060" w:type="dxa"/>
            <w:vAlign w:val="bottom"/>
          </w:tcPr>
          <w:p>
            <w:pPr>
              <w:jc w:val="right"/>
              <w:spacing w:after="0"/>
              <w:rPr>
                <w:sz w:val="20"/>
                <w:szCs w:val="20"/>
                <w:color w:val="auto"/>
              </w:rPr>
            </w:pPr>
            <w:r>
              <w:rPr>
                <w:rFonts w:ascii="Arial" w:cs="Arial" w:eastAsia="Arial" w:hAnsi="Arial"/>
                <w:sz w:val="18"/>
                <w:szCs w:val="18"/>
                <w:color w:val="auto"/>
              </w:rPr>
              <w:t>1,338,701</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1,536,144</w:t>
            </w:r>
          </w:p>
        </w:tc>
        <w:tc>
          <w:tcPr>
            <w:tcW w:w="1000" w:type="dxa"/>
            <w:vAlign w:val="bottom"/>
          </w:tcPr>
          <w:p>
            <w:pPr>
              <w:jc w:val="right"/>
              <w:spacing w:after="0"/>
              <w:rPr>
                <w:sz w:val="20"/>
                <w:szCs w:val="20"/>
                <w:color w:val="auto"/>
              </w:rPr>
            </w:pPr>
            <w:r>
              <w:rPr>
                <w:rFonts w:ascii="Arial" w:cs="Arial" w:eastAsia="Arial" w:hAnsi="Arial"/>
                <w:sz w:val="18"/>
                <w:szCs w:val="18"/>
                <w:color w:val="auto"/>
              </w:rPr>
              <w:t>$459,648</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Technical Reserves</w:t>
            </w:r>
          </w:p>
        </w:tc>
        <w:tc>
          <w:tcPr>
            <w:tcW w:w="1180" w:type="dxa"/>
            <w:vAlign w:val="bottom"/>
          </w:tcPr>
          <w:p>
            <w:pPr>
              <w:jc w:val="right"/>
              <w:spacing w:after="0"/>
              <w:rPr>
                <w:sz w:val="20"/>
                <w:szCs w:val="20"/>
                <w:color w:val="auto"/>
              </w:rPr>
            </w:pPr>
            <w:r>
              <w:rPr>
                <w:rFonts w:ascii="Arial" w:cs="Arial" w:eastAsia="Arial" w:hAnsi="Arial"/>
                <w:sz w:val="18"/>
                <w:szCs w:val="18"/>
                <w:color w:val="auto"/>
              </w:rPr>
              <w:t>1,191,436</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1,365,419</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1,424,288</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$426,178</w:t>
            </w:r>
          </w:p>
        </w:tc>
        <w:tc>
          <w:tcPr>
            <w:tcW w:w="1060" w:type="dxa"/>
            <w:vAlign w:val="bottom"/>
          </w:tcPr>
          <w:p>
            <w:pPr>
              <w:jc w:val="right"/>
              <w:spacing w:after="0"/>
              <w:rPr>
                <w:sz w:val="20"/>
                <w:szCs w:val="20"/>
                <w:color w:val="auto"/>
              </w:rPr>
            </w:pPr>
            <w:r>
              <w:rPr>
                <w:rFonts w:ascii="Arial" w:cs="Arial" w:eastAsia="Arial" w:hAnsi="Arial"/>
                <w:sz w:val="18"/>
                <w:szCs w:val="18"/>
                <w:color w:val="auto"/>
              </w:rPr>
              <w:t>1,191,436</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1,424,288</w:t>
            </w:r>
          </w:p>
        </w:tc>
        <w:tc>
          <w:tcPr>
            <w:tcW w:w="1000" w:type="dxa"/>
            <w:vAlign w:val="bottom"/>
          </w:tcPr>
          <w:p>
            <w:pPr>
              <w:jc w:val="right"/>
              <w:spacing w:after="0"/>
              <w:rPr>
                <w:sz w:val="20"/>
                <w:szCs w:val="20"/>
                <w:color w:val="auto"/>
              </w:rPr>
            </w:pPr>
            <w:r>
              <w:rPr>
                <w:rFonts w:ascii="Arial" w:cs="Arial" w:eastAsia="Arial" w:hAnsi="Arial"/>
                <w:sz w:val="18"/>
                <w:szCs w:val="18"/>
                <w:color w:val="auto"/>
              </w:rPr>
              <w:t>$426,178</w:t>
            </w: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Net Equity</w:t>
            </w:r>
          </w:p>
        </w:tc>
        <w:tc>
          <w:tcPr>
            <w:tcW w:w="1180" w:type="dxa"/>
            <w:vAlign w:val="bottom"/>
          </w:tcPr>
          <w:p>
            <w:pPr>
              <w:jc w:val="right"/>
              <w:spacing w:after="0"/>
              <w:rPr>
                <w:sz w:val="20"/>
                <w:szCs w:val="20"/>
                <w:color w:val="auto"/>
              </w:rPr>
            </w:pPr>
            <w:r>
              <w:rPr>
                <w:rFonts w:ascii="Arial" w:cs="Arial" w:eastAsia="Arial" w:hAnsi="Arial"/>
                <w:sz w:val="18"/>
                <w:szCs w:val="18"/>
                <w:color w:val="auto"/>
              </w:rPr>
              <w:t>403,884</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396,943</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411,467</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$123,120</w:t>
            </w:r>
          </w:p>
        </w:tc>
        <w:tc>
          <w:tcPr>
            <w:tcW w:w="1060" w:type="dxa"/>
            <w:vAlign w:val="bottom"/>
          </w:tcPr>
          <w:p>
            <w:pPr>
              <w:jc w:val="right"/>
              <w:spacing w:after="0"/>
              <w:rPr>
                <w:sz w:val="20"/>
                <w:szCs w:val="20"/>
                <w:color w:val="auto"/>
              </w:rPr>
            </w:pPr>
            <w:r>
              <w:rPr>
                <w:rFonts w:ascii="Arial" w:cs="Arial" w:eastAsia="Arial" w:hAnsi="Arial"/>
                <w:sz w:val="18"/>
                <w:szCs w:val="18"/>
                <w:color w:val="auto"/>
              </w:rPr>
              <w:t>403,884</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411,467</w:t>
            </w:r>
          </w:p>
        </w:tc>
        <w:tc>
          <w:tcPr>
            <w:tcW w:w="1000" w:type="dxa"/>
            <w:vAlign w:val="bottom"/>
          </w:tcPr>
          <w:p>
            <w:pPr>
              <w:jc w:val="right"/>
              <w:spacing w:after="0"/>
              <w:rPr>
                <w:sz w:val="20"/>
                <w:szCs w:val="20"/>
                <w:color w:val="auto"/>
              </w:rPr>
            </w:pPr>
            <w:r>
              <w:rPr>
                <w:rFonts w:ascii="Arial" w:cs="Arial" w:eastAsia="Arial" w:hAnsi="Arial"/>
                <w:sz w:val="18"/>
                <w:szCs w:val="18"/>
                <w:color w:val="auto"/>
              </w:rPr>
              <w:t>$123,120</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Ratios</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26"/>
        </w:trPr>
        <w:tc>
          <w:tcPr>
            <w:tcW w:w="3420" w:type="dxa"/>
            <w:vAlign w:val="bottom"/>
          </w:tcPr>
          <w:p>
            <w:pPr>
              <w:spacing w:after="0"/>
              <w:rPr>
                <w:sz w:val="20"/>
                <w:szCs w:val="20"/>
                <w:color w:val="auto"/>
              </w:rPr>
            </w:pPr>
            <w:r>
              <w:rPr>
                <w:rFonts w:ascii="Arial" w:cs="Arial" w:eastAsia="Arial" w:hAnsi="Arial"/>
                <w:sz w:val="18"/>
                <w:szCs w:val="18"/>
                <w:color w:val="auto"/>
              </w:rPr>
              <w:t>Net underwriting results</w:t>
            </w:r>
          </w:p>
        </w:tc>
        <w:tc>
          <w:tcPr>
            <w:tcW w:w="1180" w:type="dxa"/>
            <w:vAlign w:val="bottom"/>
          </w:tcPr>
          <w:p>
            <w:pPr>
              <w:jc w:val="right"/>
              <w:spacing w:after="0"/>
              <w:rPr>
                <w:sz w:val="20"/>
                <w:szCs w:val="20"/>
                <w:color w:val="auto"/>
              </w:rPr>
            </w:pPr>
            <w:r>
              <w:rPr>
                <w:rFonts w:ascii="Arial" w:cs="Arial" w:eastAsia="Arial" w:hAnsi="Arial"/>
                <w:sz w:val="18"/>
                <w:szCs w:val="18"/>
                <w:color w:val="auto"/>
              </w:rPr>
              <w:t>11.3%</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4.0%</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11.3%</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11.3%</w:t>
            </w:r>
          </w:p>
        </w:tc>
        <w:tc>
          <w:tcPr>
            <w:tcW w:w="1060" w:type="dxa"/>
            <w:vAlign w:val="bottom"/>
          </w:tcPr>
          <w:p>
            <w:pPr>
              <w:jc w:val="right"/>
              <w:spacing w:after="0"/>
              <w:rPr>
                <w:sz w:val="20"/>
                <w:szCs w:val="20"/>
                <w:color w:val="auto"/>
              </w:rPr>
            </w:pPr>
            <w:r>
              <w:rPr>
                <w:rFonts w:ascii="Arial" w:cs="Arial" w:eastAsia="Arial" w:hAnsi="Arial"/>
                <w:sz w:val="18"/>
                <w:szCs w:val="18"/>
                <w:color w:val="auto"/>
              </w:rPr>
              <w:t>7.6%</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8.2%</w:t>
            </w:r>
          </w:p>
        </w:tc>
        <w:tc>
          <w:tcPr>
            <w:tcW w:w="10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Total loss ratio</w:t>
            </w:r>
          </w:p>
        </w:tc>
        <w:tc>
          <w:tcPr>
            <w:tcW w:w="1180" w:type="dxa"/>
            <w:vAlign w:val="bottom"/>
          </w:tcPr>
          <w:p>
            <w:pPr>
              <w:jc w:val="right"/>
              <w:spacing w:after="0"/>
              <w:rPr>
                <w:sz w:val="20"/>
                <w:szCs w:val="20"/>
                <w:color w:val="auto"/>
              </w:rPr>
            </w:pPr>
            <w:r>
              <w:rPr>
                <w:rFonts w:ascii="Arial" w:cs="Arial" w:eastAsia="Arial" w:hAnsi="Arial"/>
                <w:sz w:val="18"/>
                <w:szCs w:val="18"/>
                <w:color w:val="auto"/>
              </w:rPr>
              <w:t>35.8%</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49.3%</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50.8%</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50.8%</w:t>
            </w:r>
          </w:p>
        </w:tc>
        <w:tc>
          <w:tcPr>
            <w:tcW w:w="1060" w:type="dxa"/>
            <w:vAlign w:val="bottom"/>
          </w:tcPr>
          <w:p>
            <w:pPr>
              <w:jc w:val="right"/>
              <w:spacing w:after="0"/>
              <w:rPr>
                <w:sz w:val="20"/>
                <w:szCs w:val="20"/>
                <w:color w:val="auto"/>
              </w:rPr>
            </w:pPr>
            <w:r>
              <w:rPr>
                <w:rFonts w:ascii="Arial" w:cs="Arial" w:eastAsia="Arial" w:hAnsi="Arial"/>
                <w:sz w:val="18"/>
                <w:szCs w:val="18"/>
                <w:color w:val="auto"/>
              </w:rPr>
              <w:t>38.0%</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49.1%</w:t>
            </w:r>
          </w:p>
        </w:tc>
        <w:tc>
          <w:tcPr>
            <w:tcW w:w="1000" w:type="dxa"/>
            <w:vAlign w:val="bottom"/>
          </w:tcPr>
          <w:p>
            <w:pPr>
              <w:jc w:val="right"/>
              <w:spacing w:after="0"/>
              <w:rPr>
                <w:sz w:val="20"/>
                <w:szCs w:val="20"/>
                <w:color w:val="auto"/>
              </w:rPr>
            </w:pPr>
            <w:r>
              <w:rPr>
                <w:rFonts w:ascii="Arial" w:cs="Arial" w:eastAsia="Arial" w:hAnsi="Arial"/>
                <w:sz w:val="18"/>
                <w:szCs w:val="18"/>
                <w:color w:val="auto"/>
              </w:rPr>
              <w:t>49.1%</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Return on avge. equity (3)(4)</w:t>
            </w:r>
          </w:p>
        </w:tc>
        <w:tc>
          <w:tcPr>
            <w:tcW w:w="1180" w:type="dxa"/>
            <w:vAlign w:val="bottom"/>
          </w:tcPr>
          <w:p>
            <w:pPr>
              <w:jc w:val="right"/>
              <w:spacing w:after="0"/>
              <w:rPr>
                <w:sz w:val="20"/>
                <w:szCs w:val="20"/>
                <w:color w:val="auto"/>
              </w:rPr>
            </w:pPr>
            <w:r>
              <w:rPr>
                <w:rFonts w:ascii="Arial" w:cs="Arial" w:eastAsia="Arial" w:hAnsi="Arial"/>
                <w:sz w:val="18"/>
                <w:szCs w:val="18"/>
                <w:color w:val="auto"/>
              </w:rPr>
              <w:t>18.5%</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79.2%</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13.2%</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13.2%</w:t>
            </w:r>
          </w:p>
        </w:tc>
        <w:tc>
          <w:tcPr>
            <w:tcW w:w="1060" w:type="dxa"/>
            <w:vAlign w:val="bottom"/>
          </w:tcPr>
          <w:p>
            <w:pPr>
              <w:jc w:val="right"/>
              <w:spacing w:after="0"/>
              <w:rPr>
                <w:sz w:val="20"/>
                <w:szCs w:val="20"/>
                <w:color w:val="auto"/>
              </w:rPr>
            </w:pPr>
            <w:r>
              <w:rPr>
                <w:rFonts w:ascii="Arial" w:cs="Arial" w:eastAsia="Arial" w:hAnsi="Arial"/>
                <w:sz w:val="18"/>
                <w:szCs w:val="18"/>
                <w:color w:val="auto"/>
              </w:rPr>
              <w:t>16.9%</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26.7%</w:t>
            </w:r>
          </w:p>
        </w:tc>
        <w:tc>
          <w:tcPr>
            <w:tcW w:w="100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Return on total premiums</w:t>
            </w: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21.3%</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3.6%</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3.6%</w:t>
            </w:r>
          </w:p>
        </w:tc>
        <w:tc>
          <w:tcPr>
            <w:tcW w:w="1060" w:type="dxa"/>
            <w:vAlign w:val="bottom"/>
          </w:tcPr>
          <w:p>
            <w:pPr>
              <w:jc w:val="right"/>
              <w:spacing w:after="0"/>
              <w:rPr>
                <w:sz w:val="20"/>
                <w:szCs w:val="20"/>
                <w:color w:val="auto"/>
              </w:rPr>
            </w:pPr>
            <w:r>
              <w:rPr>
                <w:rFonts w:ascii="Arial" w:cs="Arial" w:eastAsia="Arial" w:hAnsi="Arial"/>
                <w:sz w:val="18"/>
                <w:szCs w:val="18"/>
                <w:color w:val="auto"/>
              </w:rPr>
              <w:t>5.7%</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8.9%</w:t>
            </w:r>
          </w:p>
        </w:tc>
        <w:tc>
          <w:tcPr>
            <w:tcW w:w="10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Shareholders' Equity / TotalAssets</w:t>
            </w:r>
          </w:p>
        </w:tc>
        <w:tc>
          <w:tcPr>
            <w:tcW w:w="1180" w:type="dxa"/>
            <w:vAlign w:val="bottom"/>
          </w:tcPr>
          <w:p>
            <w:pPr>
              <w:jc w:val="right"/>
              <w:spacing w:after="0"/>
              <w:rPr>
                <w:sz w:val="20"/>
                <w:szCs w:val="20"/>
                <w:color w:val="auto"/>
              </w:rPr>
            </w:pPr>
            <w:r>
              <w:rPr>
                <w:rFonts w:ascii="Arial" w:cs="Arial" w:eastAsia="Arial" w:hAnsi="Arial"/>
                <w:sz w:val="18"/>
                <w:szCs w:val="18"/>
                <w:color w:val="auto"/>
              </w:rPr>
              <w:t>21.4%</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20.6%</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20.0%</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20.0%</w:t>
            </w:r>
          </w:p>
        </w:tc>
        <w:tc>
          <w:tcPr>
            <w:tcW w:w="1060" w:type="dxa"/>
            <w:vAlign w:val="bottom"/>
          </w:tcPr>
          <w:p>
            <w:pPr>
              <w:jc w:val="right"/>
              <w:spacing w:after="0"/>
              <w:rPr>
                <w:sz w:val="20"/>
                <w:szCs w:val="20"/>
                <w:color w:val="auto"/>
              </w:rPr>
            </w:pPr>
            <w:r>
              <w:rPr>
                <w:rFonts w:ascii="Arial" w:cs="Arial" w:eastAsia="Arial" w:hAnsi="Arial"/>
                <w:sz w:val="18"/>
                <w:szCs w:val="18"/>
                <w:color w:val="auto"/>
              </w:rPr>
              <w:t>21.4%</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20.0%</w:t>
            </w:r>
          </w:p>
        </w:tc>
        <w:tc>
          <w:tcPr>
            <w:tcW w:w="10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Increase in Risk Reserves</w:t>
            </w:r>
          </w:p>
        </w:tc>
        <w:tc>
          <w:tcPr>
            <w:tcW w:w="1180" w:type="dxa"/>
            <w:vAlign w:val="bottom"/>
          </w:tcPr>
          <w:p>
            <w:pPr>
              <w:jc w:val="right"/>
              <w:spacing w:after="0"/>
              <w:rPr>
                <w:sz w:val="20"/>
                <w:szCs w:val="20"/>
                <w:color w:val="auto"/>
              </w:rPr>
            </w:pPr>
            <w:r>
              <w:rPr>
                <w:rFonts w:ascii="Arial" w:cs="Arial" w:eastAsia="Arial" w:hAnsi="Arial"/>
                <w:sz w:val="18"/>
                <w:szCs w:val="18"/>
                <w:color w:val="auto"/>
              </w:rPr>
              <w:t>29.2%</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44.8%</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21.1%</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21.1%</w:t>
            </w:r>
          </w:p>
        </w:tc>
        <w:tc>
          <w:tcPr>
            <w:tcW w:w="1060" w:type="dxa"/>
            <w:vAlign w:val="bottom"/>
          </w:tcPr>
          <w:p>
            <w:pPr>
              <w:jc w:val="right"/>
              <w:spacing w:after="0"/>
              <w:rPr>
                <w:sz w:val="20"/>
                <w:szCs w:val="20"/>
                <w:color w:val="auto"/>
              </w:rPr>
            </w:pPr>
            <w:r>
              <w:rPr>
                <w:rFonts w:ascii="Arial" w:cs="Arial" w:eastAsia="Arial" w:hAnsi="Arial"/>
                <w:sz w:val="18"/>
                <w:szCs w:val="18"/>
                <w:color w:val="auto"/>
              </w:rPr>
              <w:t>32.6%</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31.1%</w:t>
            </w:r>
          </w:p>
        </w:tc>
        <w:tc>
          <w:tcPr>
            <w:tcW w:w="100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Combined Ratio (5)</w:t>
            </w:r>
          </w:p>
        </w:tc>
        <w:tc>
          <w:tcPr>
            <w:tcW w:w="1180" w:type="dxa"/>
            <w:vAlign w:val="bottom"/>
          </w:tcPr>
          <w:p>
            <w:pPr>
              <w:jc w:val="right"/>
              <w:spacing w:after="0"/>
              <w:rPr>
                <w:sz w:val="20"/>
                <w:szCs w:val="20"/>
                <w:color w:val="auto"/>
              </w:rPr>
            </w:pPr>
            <w:r>
              <w:rPr>
                <w:rFonts w:ascii="Arial" w:cs="Arial" w:eastAsia="Arial" w:hAnsi="Arial"/>
                <w:sz w:val="18"/>
                <w:szCs w:val="18"/>
                <w:color w:val="auto"/>
              </w:rPr>
              <w:t>87.1%</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102.4%</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94.1%</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94.1%</w:t>
            </w:r>
          </w:p>
        </w:tc>
        <w:tc>
          <w:tcPr>
            <w:tcW w:w="1060" w:type="dxa"/>
            <w:vAlign w:val="bottom"/>
          </w:tcPr>
          <w:p>
            <w:pPr>
              <w:jc w:val="right"/>
              <w:spacing w:after="0"/>
              <w:rPr>
                <w:sz w:val="20"/>
                <w:szCs w:val="20"/>
                <w:color w:val="auto"/>
              </w:rPr>
            </w:pPr>
            <w:r>
              <w:rPr>
                <w:rFonts w:ascii="Arial" w:cs="Arial" w:eastAsia="Arial" w:hAnsi="Arial"/>
                <w:sz w:val="18"/>
                <w:szCs w:val="18"/>
                <w:color w:val="auto"/>
              </w:rPr>
              <w:t>93.0%</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96.1%</w:t>
            </w:r>
          </w:p>
        </w:tc>
        <w:tc>
          <w:tcPr>
            <w:tcW w:w="1000" w:type="dxa"/>
            <w:vAlign w:val="bottom"/>
          </w:tcPr>
          <w:p>
            <w:pPr>
              <w:jc w:val="right"/>
              <w:spacing w:after="0"/>
              <w:rPr>
                <w:sz w:val="20"/>
                <w:szCs w:val="20"/>
                <w:color w:val="auto"/>
              </w:rPr>
            </w:pPr>
            <w:r>
              <w:rPr>
                <w:rFonts w:ascii="Arial" w:cs="Arial" w:eastAsia="Arial" w:hAnsi="Arial"/>
                <w:sz w:val="18"/>
                <w:szCs w:val="18"/>
                <w:color w:val="auto"/>
              </w:rPr>
              <w:t>96.1%</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-Net Claims / Net Premiums Earned</w:t>
            </w:r>
          </w:p>
        </w:tc>
        <w:tc>
          <w:tcPr>
            <w:tcW w:w="1180" w:type="dxa"/>
            <w:vAlign w:val="bottom"/>
          </w:tcPr>
          <w:p>
            <w:pPr>
              <w:jc w:val="right"/>
              <w:spacing w:after="0"/>
              <w:rPr>
                <w:sz w:val="20"/>
                <w:szCs w:val="20"/>
                <w:color w:val="auto"/>
              </w:rPr>
            </w:pPr>
            <w:r>
              <w:rPr>
                <w:rFonts w:ascii="Arial" w:cs="Arial" w:eastAsia="Arial" w:hAnsi="Arial"/>
                <w:sz w:val="18"/>
                <w:szCs w:val="18"/>
                <w:color w:val="auto"/>
              </w:rPr>
              <w:t>57.9%</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71.6%</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67.1%</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67.1%</w:t>
            </w:r>
          </w:p>
        </w:tc>
        <w:tc>
          <w:tcPr>
            <w:tcW w:w="1060" w:type="dxa"/>
            <w:vAlign w:val="bottom"/>
          </w:tcPr>
          <w:p>
            <w:pPr>
              <w:jc w:val="right"/>
              <w:spacing w:after="0"/>
              <w:rPr>
                <w:sz w:val="20"/>
                <w:szCs w:val="20"/>
                <w:color w:val="auto"/>
              </w:rPr>
            </w:pPr>
            <w:r>
              <w:rPr>
                <w:rFonts w:ascii="Arial" w:cs="Arial" w:eastAsia="Arial" w:hAnsi="Arial"/>
                <w:sz w:val="18"/>
                <w:szCs w:val="18"/>
                <w:color w:val="auto"/>
              </w:rPr>
              <w:t>63.3%</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66.8%</w:t>
            </w:r>
          </w:p>
        </w:tc>
        <w:tc>
          <w:tcPr>
            <w:tcW w:w="1000" w:type="dxa"/>
            <w:vAlign w:val="bottom"/>
          </w:tcPr>
          <w:p>
            <w:pPr>
              <w:jc w:val="right"/>
              <w:spacing w:after="0"/>
              <w:rPr>
                <w:sz w:val="20"/>
                <w:szCs w:val="20"/>
                <w:color w:val="auto"/>
              </w:rPr>
            </w:pPr>
            <w:r>
              <w:rPr>
                <w:rFonts w:ascii="Arial" w:cs="Arial" w:eastAsia="Arial" w:hAnsi="Arial"/>
                <w:sz w:val="18"/>
                <w:szCs w:val="18"/>
                <w:color w:val="auto"/>
              </w:rPr>
              <w:t>66.8%</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-Op. Exp.+Comiss./Net Prems. Earned</w:t>
            </w:r>
          </w:p>
        </w:tc>
        <w:tc>
          <w:tcPr>
            <w:tcW w:w="1180" w:type="dxa"/>
            <w:vAlign w:val="bottom"/>
          </w:tcPr>
          <w:p>
            <w:pPr>
              <w:jc w:val="right"/>
              <w:spacing w:after="0"/>
              <w:rPr>
                <w:sz w:val="20"/>
                <w:szCs w:val="20"/>
                <w:color w:val="auto"/>
              </w:rPr>
            </w:pPr>
            <w:r>
              <w:rPr>
                <w:rFonts w:ascii="Arial" w:cs="Arial" w:eastAsia="Arial" w:hAnsi="Arial"/>
                <w:sz w:val="18"/>
                <w:szCs w:val="18"/>
                <w:color w:val="auto"/>
              </w:rPr>
              <w:t>29.2%</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30.8%</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27.0%</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27.0%</w:t>
            </w:r>
          </w:p>
        </w:tc>
        <w:tc>
          <w:tcPr>
            <w:tcW w:w="1060" w:type="dxa"/>
            <w:vAlign w:val="bottom"/>
          </w:tcPr>
          <w:p>
            <w:pPr>
              <w:jc w:val="right"/>
              <w:spacing w:after="0"/>
              <w:rPr>
                <w:sz w:val="20"/>
                <w:szCs w:val="20"/>
                <w:color w:val="auto"/>
              </w:rPr>
            </w:pPr>
            <w:r>
              <w:rPr>
                <w:rFonts w:ascii="Arial" w:cs="Arial" w:eastAsia="Arial" w:hAnsi="Arial"/>
                <w:sz w:val="18"/>
                <w:szCs w:val="18"/>
                <w:color w:val="auto"/>
              </w:rPr>
              <w:t>29.7%</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29.3%</w:t>
            </w:r>
          </w:p>
        </w:tc>
        <w:tc>
          <w:tcPr>
            <w:tcW w:w="100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Operating expense/Net Earn. Premiums</w:t>
            </w:r>
          </w:p>
        </w:tc>
        <w:tc>
          <w:tcPr>
            <w:tcW w:w="1180" w:type="dxa"/>
            <w:vAlign w:val="bottom"/>
          </w:tcPr>
          <w:p>
            <w:pPr>
              <w:jc w:val="right"/>
              <w:spacing w:after="0"/>
              <w:rPr>
                <w:sz w:val="20"/>
                <w:szCs w:val="20"/>
                <w:color w:val="auto"/>
              </w:rPr>
            </w:pPr>
            <w:r>
              <w:rPr>
                <w:rFonts w:ascii="Arial" w:cs="Arial" w:eastAsia="Arial" w:hAnsi="Arial"/>
                <w:sz w:val="18"/>
                <w:szCs w:val="18"/>
                <w:color w:val="auto"/>
              </w:rPr>
              <w:t>21.5%</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23.0%</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19.1%</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19.1%</w:t>
            </w:r>
          </w:p>
        </w:tc>
        <w:tc>
          <w:tcPr>
            <w:tcW w:w="1060" w:type="dxa"/>
            <w:vAlign w:val="bottom"/>
          </w:tcPr>
          <w:p>
            <w:pPr>
              <w:jc w:val="right"/>
              <w:spacing w:after="0"/>
              <w:rPr>
                <w:sz w:val="20"/>
                <w:szCs w:val="20"/>
                <w:color w:val="auto"/>
              </w:rPr>
            </w:pPr>
            <w:r>
              <w:rPr>
                <w:rFonts w:ascii="Arial" w:cs="Arial" w:eastAsia="Arial" w:hAnsi="Arial"/>
                <w:sz w:val="18"/>
                <w:szCs w:val="18"/>
                <w:color w:val="auto"/>
              </w:rPr>
              <w:t>22.5%</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20.6%</w:t>
            </w:r>
          </w:p>
        </w:tc>
        <w:tc>
          <w:tcPr>
            <w:tcW w:w="100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Oper. expense / Avge. assets (3)(4)</w:t>
            </w:r>
          </w:p>
        </w:tc>
        <w:tc>
          <w:tcPr>
            <w:tcW w:w="1180" w:type="dxa"/>
            <w:vAlign w:val="bottom"/>
          </w:tcPr>
          <w:p>
            <w:pPr>
              <w:jc w:val="right"/>
              <w:spacing w:after="0"/>
              <w:rPr>
                <w:sz w:val="20"/>
                <w:szCs w:val="20"/>
                <w:color w:val="auto"/>
              </w:rPr>
            </w:pPr>
            <w:r>
              <w:rPr>
                <w:rFonts w:ascii="Arial" w:cs="Arial" w:eastAsia="Arial" w:hAnsi="Arial"/>
                <w:sz w:val="18"/>
                <w:szCs w:val="18"/>
                <w:color w:val="auto"/>
              </w:rPr>
              <w:t>7.0%</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6.3%</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9.2%</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9.2%</w:t>
            </w: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7.2%</w:t>
            </w:r>
          </w:p>
        </w:tc>
        <w:tc>
          <w:tcPr>
            <w:tcW w:w="100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-4624705</wp:posOffset>
            </wp:positionV>
            <wp:extent cx="3429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7195820</wp:posOffset>
            </wp:positionH>
            <wp:positionV relativeFrom="paragraph">
              <wp:posOffset>-4624705</wp:posOffset>
            </wp:positionV>
            <wp:extent cx="3429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7195820</wp:posOffset>
            </wp:positionH>
            <wp:positionV relativeFrom="paragraph">
              <wp:posOffset>-4341495</wp:posOffset>
            </wp:positionV>
            <wp:extent cx="3429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2593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3"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Translated at S/.3.342 per US$1.00.</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24.2 million shares in all periods.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Annualized.</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Does not include the life insurance subsidiary Pacifico Vida.</w:t>
      </w:r>
    </w:p>
    <w:p>
      <w:pPr>
        <w:sectPr>
          <w:pgSz w:w="11900" w:h="16838" w:orient="portrait"/>
          <w:cols w:equalWidth="0" w:num="1">
            <w:col w:w="11360"/>
          </w:cols>
          <w:pgMar w:left="240" w:top="374" w:right="299"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SIGNATURE</w:t>
      </w:r>
    </w:p>
    <w:p>
      <w:pPr>
        <w:spacing w:after="0" w:line="293" w:lineRule="exact"/>
        <w:rPr>
          <w:sz w:val="20"/>
          <w:szCs w:val="20"/>
          <w:color w:val="auto"/>
        </w:rPr>
      </w:pPr>
    </w:p>
    <w:p>
      <w:pPr>
        <w:ind w:right="60" w:firstLine="456"/>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Date: November 10, 2004</w:t>
      </w:r>
    </w:p>
    <w:p>
      <w:pPr>
        <w:spacing w:after="0" w:line="35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CREDICORP LTD.</w:t>
      </w:r>
    </w:p>
    <w:p>
      <w:pPr>
        <w:spacing w:after="0" w:line="219" w:lineRule="exact"/>
        <w:rPr>
          <w:sz w:val="20"/>
          <w:szCs w:val="20"/>
          <w:color w:val="auto"/>
        </w:rPr>
      </w:pPr>
    </w:p>
    <w:p>
      <w:pPr>
        <w:ind w:left="286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80010</wp:posOffset>
            </wp:positionV>
            <wp:extent cx="32499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Authorized Representative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8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lowerRoman"/>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2019-12-14T06:50:36Z</dcterms:created>
  <dcterms:modified xsi:type="dcterms:W3CDTF">2019-12-14T06:50:36Z</dcterms:modified>
</cp:coreProperties>
</file>